
<file path=[Content_Types].xml><?xml version="1.0" encoding="utf-8"?>
<Types xmlns="http://schemas.openxmlformats.org/package/2006/content-types">
  <Override PartName="/customXml/itemProps2.xml" ContentType="application/vnd.openxmlformats-officedocument.customXmlProperties+xml"/>
  <Override PartName="/customXml/itemProps3.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customXml/itemProps4.xml" ContentType="application/vnd.openxmlformats-officedocument.customXmlProperties+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01F17" w:rsidRDefault="00901F17" w:rsidP="00901F17">
      <w:pPr>
        <w:pStyle w:val="Department"/>
      </w:pPr>
    </w:p>
    <w:p w:rsidR="00901F17" w:rsidRDefault="00901F17" w:rsidP="005B4B12">
      <w:pPr>
        <w:pStyle w:val="Title"/>
      </w:pPr>
      <w:bookmarkStart w:id="0" w:name="_Toc418078236"/>
      <w:bookmarkStart w:id="1" w:name="_Toc418078256"/>
      <w:r>
        <w:t>Commonwealth Superannuation Corporation</w:t>
      </w:r>
      <w:bookmarkEnd w:id="0"/>
      <w:bookmarkEnd w:id="1"/>
    </w:p>
    <w:p w:rsidR="00901F17" w:rsidRDefault="00901F17" w:rsidP="00901F17">
      <w:pPr>
        <w:pStyle w:val="Department"/>
      </w:pPr>
    </w:p>
    <w:p w:rsidR="00901F17" w:rsidRDefault="00901F17" w:rsidP="00901F17">
      <w:pPr>
        <w:pStyle w:val="Department"/>
      </w:pPr>
    </w:p>
    <w:p w:rsidR="00901F17" w:rsidRDefault="00901F17" w:rsidP="00901F17">
      <w:pPr>
        <w:pStyle w:val="Department"/>
      </w:pPr>
    </w:p>
    <w:p w:rsidR="00901F17" w:rsidRDefault="00901F17" w:rsidP="00901F17">
      <w:pPr>
        <w:pStyle w:val="Department"/>
      </w:pPr>
    </w:p>
    <w:p w:rsidR="00901F17" w:rsidRDefault="00901F17" w:rsidP="00901F17">
      <w:pPr>
        <w:pStyle w:val="DepartmentSubtitle"/>
      </w:pPr>
      <w:r>
        <w:t>Entity Resources and Planned Performance</w:t>
      </w:r>
    </w:p>
    <w:p w:rsidR="00610267" w:rsidRDefault="00610267" w:rsidP="00901F17">
      <w:pPr>
        <w:sectPr w:rsidR="00610267" w:rsidSect="00AA27AA">
          <w:footerReference w:type="even" r:id="rId11"/>
          <w:footerReference w:type="default" r:id="rId12"/>
          <w:type w:val="oddPage"/>
          <w:pgSz w:w="11906" w:h="16838" w:code="9"/>
          <w:pgMar w:top="2466" w:right="2098" w:bottom="2466" w:left="2098" w:header="1899" w:footer="1899" w:gutter="0"/>
          <w:cols w:space="708"/>
          <w:titlePg/>
          <w:docGrid w:linePitch="360"/>
        </w:sectPr>
      </w:pPr>
    </w:p>
    <w:p w:rsidR="00901F17" w:rsidRDefault="00901F17" w:rsidP="00901F17">
      <w:pPr>
        <w:pStyle w:val="ContentsHeading"/>
        <w:keepNext w:val="0"/>
      </w:pPr>
      <w:r>
        <w:lastRenderedPageBreak/>
        <w:t>Commonwealth Superannuation Corporation</w:t>
      </w:r>
    </w:p>
    <w:p w:rsidR="002E7E5B" w:rsidRDefault="0071332F">
      <w:pPr>
        <w:pStyle w:val="TOC1"/>
        <w:rPr>
          <w:rFonts w:asciiTheme="minorHAnsi" w:eastAsiaTheme="minorEastAsia" w:hAnsiTheme="minorHAnsi" w:cstheme="minorBidi"/>
          <w:b w:val="0"/>
          <w:noProof/>
          <w:sz w:val="22"/>
          <w:szCs w:val="22"/>
        </w:rPr>
      </w:pPr>
      <w:r w:rsidRPr="0071332F">
        <w:fldChar w:fldCharType="begin"/>
      </w:r>
      <w:r w:rsidR="00901F17">
        <w:instrText xml:space="preserve"> TOC \b CSC \h \z \t "Heading 3,1,Heading 4,2" </w:instrText>
      </w:r>
      <w:r w:rsidRPr="0071332F">
        <w:fldChar w:fldCharType="separate"/>
      </w:r>
      <w:hyperlink w:anchor="_Toc418003423" w:history="1">
        <w:r w:rsidR="002E7E5B" w:rsidRPr="005A192E">
          <w:rPr>
            <w:rStyle w:val="Hyperlink"/>
            <w:noProof/>
          </w:rPr>
          <w:t>Section 1: Entity Overview and Resources</w:t>
        </w:r>
        <w:r w:rsidR="002E7E5B">
          <w:rPr>
            <w:noProof/>
            <w:webHidden/>
          </w:rPr>
          <w:tab/>
        </w:r>
        <w:r>
          <w:rPr>
            <w:noProof/>
            <w:webHidden/>
          </w:rPr>
          <w:fldChar w:fldCharType="begin"/>
        </w:r>
        <w:r w:rsidR="002E7E5B">
          <w:rPr>
            <w:noProof/>
            <w:webHidden/>
          </w:rPr>
          <w:instrText xml:space="preserve"> PAGEREF _Toc418003423 \h </w:instrText>
        </w:r>
        <w:r>
          <w:rPr>
            <w:noProof/>
            <w:webHidden/>
          </w:rPr>
        </w:r>
        <w:r>
          <w:rPr>
            <w:noProof/>
            <w:webHidden/>
          </w:rPr>
          <w:fldChar w:fldCharType="separate"/>
        </w:r>
        <w:r w:rsidR="00276DA6">
          <w:rPr>
            <w:noProof/>
            <w:webHidden/>
          </w:rPr>
          <w:t>111</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24" w:history="1">
        <w:r w:rsidR="002E7E5B" w:rsidRPr="005A192E">
          <w:rPr>
            <w:rStyle w:val="Hyperlink"/>
            <w:noProof/>
          </w:rPr>
          <w:t>1.1</w:t>
        </w:r>
        <w:r w:rsidR="002E7E5B">
          <w:rPr>
            <w:rFonts w:asciiTheme="minorHAnsi" w:eastAsiaTheme="minorEastAsia" w:hAnsiTheme="minorHAnsi" w:cstheme="minorBidi"/>
            <w:noProof/>
            <w:sz w:val="22"/>
            <w:szCs w:val="22"/>
          </w:rPr>
          <w:tab/>
        </w:r>
        <w:r w:rsidR="002E7E5B" w:rsidRPr="005A192E">
          <w:rPr>
            <w:rStyle w:val="Hyperlink"/>
            <w:noProof/>
          </w:rPr>
          <w:t>Strategic Direction Statement</w:t>
        </w:r>
        <w:r w:rsidR="002E7E5B">
          <w:rPr>
            <w:noProof/>
            <w:webHidden/>
          </w:rPr>
          <w:tab/>
        </w:r>
        <w:r>
          <w:rPr>
            <w:noProof/>
            <w:webHidden/>
          </w:rPr>
          <w:fldChar w:fldCharType="begin"/>
        </w:r>
        <w:r w:rsidR="002E7E5B">
          <w:rPr>
            <w:noProof/>
            <w:webHidden/>
          </w:rPr>
          <w:instrText xml:space="preserve"> PAGEREF _Toc418003424 \h </w:instrText>
        </w:r>
        <w:r>
          <w:rPr>
            <w:noProof/>
            <w:webHidden/>
          </w:rPr>
        </w:r>
        <w:r>
          <w:rPr>
            <w:noProof/>
            <w:webHidden/>
          </w:rPr>
          <w:fldChar w:fldCharType="separate"/>
        </w:r>
        <w:r w:rsidR="00276DA6">
          <w:rPr>
            <w:noProof/>
            <w:webHidden/>
          </w:rPr>
          <w:t>111</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25" w:history="1">
        <w:r w:rsidR="002E7E5B" w:rsidRPr="005A192E">
          <w:rPr>
            <w:rStyle w:val="Hyperlink"/>
            <w:noProof/>
          </w:rPr>
          <w:t>1.2</w:t>
        </w:r>
        <w:r w:rsidR="002E7E5B">
          <w:rPr>
            <w:rFonts w:asciiTheme="minorHAnsi" w:eastAsiaTheme="minorEastAsia" w:hAnsiTheme="minorHAnsi" w:cstheme="minorBidi"/>
            <w:noProof/>
            <w:sz w:val="22"/>
            <w:szCs w:val="22"/>
          </w:rPr>
          <w:tab/>
        </w:r>
        <w:r w:rsidR="002E7E5B" w:rsidRPr="005A192E">
          <w:rPr>
            <w:rStyle w:val="Hyperlink"/>
            <w:noProof/>
          </w:rPr>
          <w:t>Entity Resource Statement</w:t>
        </w:r>
        <w:r w:rsidR="002E7E5B">
          <w:rPr>
            <w:noProof/>
            <w:webHidden/>
          </w:rPr>
          <w:tab/>
        </w:r>
        <w:r>
          <w:rPr>
            <w:noProof/>
            <w:webHidden/>
          </w:rPr>
          <w:fldChar w:fldCharType="begin"/>
        </w:r>
        <w:r w:rsidR="002E7E5B">
          <w:rPr>
            <w:noProof/>
            <w:webHidden/>
          </w:rPr>
          <w:instrText xml:space="preserve"> PAGEREF _Toc418003425 \h </w:instrText>
        </w:r>
        <w:r>
          <w:rPr>
            <w:noProof/>
            <w:webHidden/>
          </w:rPr>
        </w:r>
        <w:r>
          <w:rPr>
            <w:noProof/>
            <w:webHidden/>
          </w:rPr>
          <w:fldChar w:fldCharType="separate"/>
        </w:r>
        <w:r w:rsidR="00276DA6">
          <w:rPr>
            <w:noProof/>
            <w:webHidden/>
          </w:rPr>
          <w:t>113</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26" w:history="1">
        <w:r w:rsidR="002E7E5B" w:rsidRPr="005A192E">
          <w:rPr>
            <w:rStyle w:val="Hyperlink"/>
            <w:noProof/>
          </w:rPr>
          <w:t>1.3</w:t>
        </w:r>
        <w:r w:rsidR="002E7E5B">
          <w:rPr>
            <w:rFonts w:asciiTheme="minorHAnsi" w:eastAsiaTheme="minorEastAsia" w:hAnsiTheme="minorHAnsi" w:cstheme="minorBidi"/>
            <w:noProof/>
            <w:sz w:val="22"/>
            <w:szCs w:val="22"/>
          </w:rPr>
          <w:tab/>
        </w:r>
        <w:r w:rsidR="002E7E5B" w:rsidRPr="005A192E">
          <w:rPr>
            <w:rStyle w:val="Hyperlink"/>
            <w:noProof/>
          </w:rPr>
          <w:t>Budget Measures</w:t>
        </w:r>
        <w:r w:rsidR="002E7E5B">
          <w:rPr>
            <w:noProof/>
            <w:webHidden/>
          </w:rPr>
          <w:tab/>
        </w:r>
        <w:r>
          <w:rPr>
            <w:noProof/>
            <w:webHidden/>
          </w:rPr>
          <w:fldChar w:fldCharType="begin"/>
        </w:r>
        <w:r w:rsidR="002E7E5B">
          <w:rPr>
            <w:noProof/>
            <w:webHidden/>
          </w:rPr>
          <w:instrText xml:space="preserve"> PAGEREF _Toc418003426 \h </w:instrText>
        </w:r>
        <w:r>
          <w:rPr>
            <w:noProof/>
            <w:webHidden/>
          </w:rPr>
        </w:r>
        <w:r>
          <w:rPr>
            <w:noProof/>
            <w:webHidden/>
          </w:rPr>
          <w:fldChar w:fldCharType="separate"/>
        </w:r>
        <w:r w:rsidR="00276DA6">
          <w:rPr>
            <w:noProof/>
            <w:webHidden/>
          </w:rPr>
          <w:t>114</w:t>
        </w:r>
        <w:r>
          <w:rPr>
            <w:noProof/>
            <w:webHidden/>
          </w:rPr>
          <w:fldChar w:fldCharType="end"/>
        </w:r>
      </w:hyperlink>
    </w:p>
    <w:p w:rsidR="002E7E5B" w:rsidRDefault="0071332F">
      <w:pPr>
        <w:pStyle w:val="TOC1"/>
        <w:rPr>
          <w:rFonts w:asciiTheme="minorHAnsi" w:eastAsiaTheme="minorEastAsia" w:hAnsiTheme="minorHAnsi" w:cstheme="minorBidi"/>
          <w:b w:val="0"/>
          <w:noProof/>
          <w:sz w:val="22"/>
          <w:szCs w:val="22"/>
        </w:rPr>
      </w:pPr>
      <w:hyperlink w:anchor="_Toc418003427" w:history="1">
        <w:r w:rsidR="002E7E5B" w:rsidRPr="005A192E">
          <w:rPr>
            <w:rStyle w:val="Hyperlink"/>
            <w:noProof/>
          </w:rPr>
          <w:t>Section 2: Outcomes and Planned Performance</w:t>
        </w:r>
        <w:r w:rsidR="002E7E5B">
          <w:rPr>
            <w:noProof/>
            <w:webHidden/>
          </w:rPr>
          <w:tab/>
        </w:r>
        <w:r>
          <w:rPr>
            <w:noProof/>
            <w:webHidden/>
          </w:rPr>
          <w:fldChar w:fldCharType="begin"/>
        </w:r>
        <w:r w:rsidR="002E7E5B">
          <w:rPr>
            <w:noProof/>
            <w:webHidden/>
          </w:rPr>
          <w:instrText xml:space="preserve"> PAGEREF _Toc418003427 \h </w:instrText>
        </w:r>
        <w:r>
          <w:rPr>
            <w:noProof/>
            <w:webHidden/>
          </w:rPr>
        </w:r>
        <w:r>
          <w:rPr>
            <w:noProof/>
            <w:webHidden/>
          </w:rPr>
          <w:fldChar w:fldCharType="separate"/>
        </w:r>
        <w:r w:rsidR="00276DA6">
          <w:rPr>
            <w:noProof/>
            <w:webHidden/>
          </w:rPr>
          <w:t>115</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28" w:history="1">
        <w:r w:rsidR="002E7E5B" w:rsidRPr="005A192E">
          <w:rPr>
            <w:rStyle w:val="Hyperlink"/>
            <w:noProof/>
          </w:rPr>
          <w:t>2.1</w:t>
        </w:r>
        <w:r w:rsidR="002E7E5B">
          <w:rPr>
            <w:rFonts w:asciiTheme="minorHAnsi" w:eastAsiaTheme="minorEastAsia" w:hAnsiTheme="minorHAnsi" w:cstheme="minorBidi"/>
            <w:noProof/>
            <w:sz w:val="22"/>
            <w:szCs w:val="22"/>
          </w:rPr>
          <w:tab/>
        </w:r>
        <w:r w:rsidR="002E7E5B" w:rsidRPr="005A192E">
          <w:rPr>
            <w:rStyle w:val="Hyperlink"/>
            <w:noProof/>
          </w:rPr>
          <w:t>Outcomes and Performance Information</w:t>
        </w:r>
        <w:r w:rsidR="002E7E5B">
          <w:rPr>
            <w:noProof/>
            <w:webHidden/>
          </w:rPr>
          <w:tab/>
        </w:r>
        <w:r>
          <w:rPr>
            <w:noProof/>
            <w:webHidden/>
          </w:rPr>
          <w:fldChar w:fldCharType="begin"/>
        </w:r>
        <w:r w:rsidR="002E7E5B">
          <w:rPr>
            <w:noProof/>
            <w:webHidden/>
          </w:rPr>
          <w:instrText xml:space="preserve"> PAGEREF _Toc418003428 \h </w:instrText>
        </w:r>
        <w:r>
          <w:rPr>
            <w:noProof/>
            <w:webHidden/>
          </w:rPr>
        </w:r>
        <w:r>
          <w:rPr>
            <w:noProof/>
            <w:webHidden/>
          </w:rPr>
          <w:fldChar w:fldCharType="separate"/>
        </w:r>
        <w:r w:rsidR="00276DA6">
          <w:rPr>
            <w:noProof/>
            <w:webHidden/>
          </w:rPr>
          <w:t>115</w:t>
        </w:r>
        <w:r>
          <w:rPr>
            <w:noProof/>
            <w:webHidden/>
          </w:rPr>
          <w:fldChar w:fldCharType="end"/>
        </w:r>
      </w:hyperlink>
    </w:p>
    <w:p w:rsidR="002E7E5B" w:rsidRDefault="0071332F">
      <w:pPr>
        <w:pStyle w:val="TOC1"/>
        <w:rPr>
          <w:rFonts w:asciiTheme="minorHAnsi" w:eastAsiaTheme="minorEastAsia" w:hAnsiTheme="minorHAnsi" w:cstheme="minorBidi"/>
          <w:b w:val="0"/>
          <w:noProof/>
          <w:sz w:val="22"/>
          <w:szCs w:val="22"/>
        </w:rPr>
      </w:pPr>
      <w:hyperlink w:anchor="_Toc418003429" w:history="1">
        <w:r w:rsidR="002E7E5B" w:rsidRPr="005A192E">
          <w:rPr>
            <w:rStyle w:val="Hyperlink"/>
            <w:noProof/>
          </w:rPr>
          <w:t>Section 3: Explanatory Tables and Budgeted Financial Statements</w:t>
        </w:r>
        <w:r w:rsidR="002E7E5B">
          <w:rPr>
            <w:noProof/>
            <w:webHidden/>
          </w:rPr>
          <w:tab/>
        </w:r>
        <w:r>
          <w:rPr>
            <w:noProof/>
            <w:webHidden/>
          </w:rPr>
          <w:fldChar w:fldCharType="begin"/>
        </w:r>
        <w:r w:rsidR="002E7E5B">
          <w:rPr>
            <w:noProof/>
            <w:webHidden/>
          </w:rPr>
          <w:instrText xml:space="preserve"> PAGEREF _Toc418003429 \h </w:instrText>
        </w:r>
        <w:r>
          <w:rPr>
            <w:noProof/>
            <w:webHidden/>
          </w:rPr>
        </w:r>
        <w:r>
          <w:rPr>
            <w:noProof/>
            <w:webHidden/>
          </w:rPr>
          <w:fldChar w:fldCharType="separate"/>
        </w:r>
        <w:r w:rsidR="00276DA6">
          <w:rPr>
            <w:noProof/>
            <w:webHidden/>
          </w:rPr>
          <w:t>124</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30" w:history="1">
        <w:r w:rsidR="002E7E5B" w:rsidRPr="005A192E">
          <w:rPr>
            <w:rStyle w:val="Hyperlink"/>
            <w:noProof/>
          </w:rPr>
          <w:t>3.1</w:t>
        </w:r>
        <w:r w:rsidR="002E7E5B">
          <w:rPr>
            <w:rFonts w:asciiTheme="minorHAnsi" w:eastAsiaTheme="minorEastAsia" w:hAnsiTheme="minorHAnsi" w:cstheme="minorBidi"/>
            <w:noProof/>
            <w:sz w:val="22"/>
            <w:szCs w:val="22"/>
          </w:rPr>
          <w:tab/>
        </w:r>
        <w:r w:rsidR="002E7E5B" w:rsidRPr="005A192E">
          <w:rPr>
            <w:rStyle w:val="Hyperlink"/>
            <w:noProof/>
          </w:rPr>
          <w:t>Explanatory Tables</w:t>
        </w:r>
        <w:r w:rsidR="002E7E5B">
          <w:rPr>
            <w:noProof/>
            <w:webHidden/>
          </w:rPr>
          <w:tab/>
        </w:r>
        <w:r>
          <w:rPr>
            <w:noProof/>
            <w:webHidden/>
          </w:rPr>
          <w:fldChar w:fldCharType="begin"/>
        </w:r>
        <w:r w:rsidR="002E7E5B">
          <w:rPr>
            <w:noProof/>
            <w:webHidden/>
          </w:rPr>
          <w:instrText xml:space="preserve"> PAGEREF _Toc418003430 \h </w:instrText>
        </w:r>
        <w:r>
          <w:rPr>
            <w:noProof/>
            <w:webHidden/>
          </w:rPr>
        </w:r>
        <w:r>
          <w:rPr>
            <w:noProof/>
            <w:webHidden/>
          </w:rPr>
          <w:fldChar w:fldCharType="separate"/>
        </w:r>
        <w:r w:rsidR="00276DA6">
          <w:rPr>
            <w:noProof/>
            <w:webHidden/>
          </w:rPr>
          <w:t>124</w:t>
        </w:r>
        <w:r>
          <w:rPr>
            <w:noProof/>
            <w:webHidden/>
          </w:rPr>
          <w:fldChar w:fldCharType="end"/>
        </w:r>
      </w:hyperlink>
    </w:p>
    <w:p w:rsidR="002E7E5B" w:rsidRDefault="0071332F">
      <w:pPr>
        <w:pStyle w:val="TOC2"/>
        <w:tabs>
          <w:tab w:val="left" w:pos="800"/>
        </w:tabs>
        <w:rPr>
          <w:rFonts w:asciiTheme="minorHAnsi" w:eastAsiaTheme="minorEastAsia" w:hAnsiTheme="minorHAnsi" w:cstheme="minorBidi"/>
          <w:noProof/>
          <w:sz w:val="22"/>
          <w:szCs w:val="22"/>
        </w:rPr>
      </w:pPr>
      <w:hyperlink w:anchor="_Toc418003431" w:history="1">
        <w:r w:rsidR="002E7E5B" w:rsidRPr="005A192E">
          <w:rPr>
            <w:rStyle w:val="Hyperlink"/>
            <w:noProof/>
          </w:rPr>
          <w:t>3.2</w:t>
        </w:r>
        <w:r w:rsidR="002E7E5B">
          <w:rPr>
            <w:rFonts w:asciiTheme="minorHAnsi" w:eastAsiaTheme="minorEastAsia" w:hAnsiTheme="minorHAnsi" w:cstheme="minorBidi"/>
            <w:noProof/>
            <w:sz w:val="22"/>
            <w:szCs w:val="22"/>
          </w:rPr>
          <w:tab/>
        </w:r>
        <w:r w:rsidR="002E7E5B" w:rsidRPr="005A192E">
          <w:rPr>
            <w:rStyle w:val="Hyperlink"/>
            <w:noProof/>
          </w:rPr>
          <w:t>Budgeted Financial Statements</w:t>
        </w:r>
        <w:r w:rsidR="002E7E5B">
          <w:rPr>
            <w:noProof/>
            <w:webHidden/>
          </w:rPr>
          <w:tab/>
        </w:r>
        <w:r>
          <w:rPr>
            <w:noProof/>
            <w:webHidden/>
          </w:rPr>
          <w:fldChar w:fldCharType="begin"/>
        </w:r>
        <w:r w:rsidR="002E7E5B">
          <w:rPr>
            <w:noProof/>
            <w:webHidden/>
          </w:rPr>
          <w:instrText xml:space="preserve"> PAGEREF _Toc418003431 \h </w:instrText>
        </w:r>
        <w:r>
          <w:rPr>
            <w:noProof/>
            <w:webHidden/>
          </w:rPr>
        </w:r>
        <w:r>
          <w:rPr>
            <w:noProof/>
            <w:webHidden/>
          </w:rPr>
          <w:fldChar w:fldCharType="separate"/>
        </w:r>
        <w:r w:rsidR="00276DA6">
          <w:rPr>
            <w:noProof/>
            <w:webHidden/>
          </w:rPr>
          <w:t>126</w:t>
        </w:r>
        <w:r>
          <w:rPr>
            <w:noProof/>
            <w:webHidden/>
          </w:rPr>
          <w:fldChar w:fldCharType="end"/>
        </w:r>
      </w:hyperlink>
    </w:p>
    <w:p w:rsidR="00901F17" w:rsidRPr="008B5AFD" w:rsidRDefault="0071332F" w:rsidP="00901F17">
      <w:r>
        <w:fldChar w:fldCharType="end"/>
      </w:r>
    </w:p>
    <w:p w:rsidR="00901F17" w:rsidRDefault="00901F17" w:rsidP="00901F17">
      <w:pPr>
        <w:sectPr w:rsidR="00901F17" w:rsidSect="006F559A">
          <w:footerReference w:type="first" r:id="rId13"/>
          <w:type w:val="oddPage"/>
          <w:pgSz w:w="11906" w:h="16838" w:code="9"/>
          <w:pgMar w:top="2466" w:right="2098" w:bottom="2466" w:left="2098" w:header="1899" w:footer="1899" w:gutter="0"/>
          <w:pgNumType w:start="109"/>
          <w:cols w:space="708"/>
          <w:titlePg/>
          <w:docGrid w:linePitch="360"/>
        </w:sectPr>
      </w:pPr>
    </w:p>
    <w:p w:rsidR="00901F17" w:rsidRPr="00A73816" w:rsidRDefault="00901F17" w:rsidP="00901F17">
      <w:pPr>
        <w:pStyle w:val="Heading2"/>
      </w:pPr>
      <w:bookmarkStart w:id="2" w:name="_Toc417373592"/>
      <w:bookmarkStart w:id="3" w:name="_Toc417895938"/>
      <w:bookmarkStart w:id="4" w:name="CSC"/>
      <w:r w:rsidRPr="00A73816">
        <w:lastRenderedPageBreak/>
        <w:t>Commonwealth Superannuation Corporation</w:t>
      </w:r>
      <w:bookmarkEnd w:id="2"/>
      <w:bookmarkEnd w:id="3"/>
    </w:p>
    <w:p w:rsidR="00901F17" w:rsidRPr="00901F17" w:rsidRDefault="00901F17" w:rsidP="00901F17">
      <w:pPr>
        <w:pStyle w:val="Heading3"/>
      </w:pPr>
      <w:bookmarkStart w:id="5" w:name="_Toc418003423"/>
      <w:r w:rsidRPr="00901F17">
        <w:t>Section 1: Entity Overview and Resources</w:t>
      </w:r>
      <w:bookmarkEnd w:id="5"/>
    </w:p>
    <w:p w:rsidR="00901F17" w:rsidRPr="002F5C83" w:rsidRDefault="00901F17" w:rsidP="00901F17">
      <w:pPr>
        <w:pStyle w:val="Heading4"/>
      </w:pPr>
      <w:bookmarkStart w:id="6" w:name="_Toc418003424"/>
      <w:r w:rsidRPr="002F5C83">
        <w:t>1.1</w:t>
      </w:r>
      <w:r w:rsidRPr="002F5C83">
        <w:tab/>
        <w:t>Strategic Direction Statement</w:t>
      </w:r>
      <w:bookmarkEnd w:id="6"/>
    </w:p>
    <w:p w:rsidR="00901F17" w:rsidRDefault="00901F17" w:rsidP="00901F17">
      <w:pPr>
        <w:pStyle w:val="Exampletext"/>
        <w:spacing w:after="180"/>
        <w:rPr>
          <w:i w:val="0"/>
          <w:color w:val="auto"/>
        </w:rPr>
      </w:pPr>
      <w:r>
        <w:rPr>
          <w:i w:val="0"/>
          <w:color w:val="auto"/>
        </w:rPr>
        <w:t>Commonwealth Superannuation Corporation (CSC) manages and invests the monies of four regulated superannuation schemes: the Public Superannuation Scheme Accumulation Plan (PSSap); the Public Sector Superannuation Scheme (PSS); the Commonwealth Superannuation Scheme (CSS); and the Military Superannuation and Benefits Scheme (MSBS); and administers their relevant Acts and Trust Deeds. In addition, CSC administers five ‘unfunded’ superannuation schemes: the Defence Forces Retirement Benefits Scheme (DFRB), the Defence Force Retirement and Death Benefits Scheme (DFRDB), the Defence Force (Superannuation) (Productivity Benefit) Scheme (DFSPB), the 1922 Scheme, and the Papua New Guinea Scheme (PNG).</w:t>
      </w:r>
    </w:p>
    <w:p w:rsidR="00901F17" w:rsidRPr="00F36A6D" w:rsidRDefault="00901F17" w:rsidP="00901F17">
      <w:pPr>
        <w:pStyle w:val="Exampletext"/>
        <w:spacing w:after="180"/>
        <w:rPr>
          <w:i w:val="0"/>
          <w:color w:val="auto"/>
        </w:rPr>
      </w:pPr>
      <w:r>
        <w:rPr>
          <w:i w:val="0"/>
          <w:color w:val="auto"/>
        </w:rPr>
        <w:t>CSC</w:t>
      </w:r>
      <w:r w:rsidRPr="00F36A6D">
        <w:rPr>
          <w:i w:val="0"/>
          <w:color w:val="auto"/>
        </w:rPr>
        <w:t xml:space="preserve"> seeks to deliver consistently </w:t>
      </w:r>
      <w:r>
        <w:rPr>
          <w:i w:val="0"/>
          <w:color w:val="auto"/>
        </w:rPr>
        <w:t>competitive</w:t>
      </w:r>
      <w:r w:rsidRPr="00F36A6D">
        <w:rPr>
          <w:i w:val="0"/>
          <w:color w:val="auto"/>
        </w:rPr>
        <w:t xml:space="preserve"> investment performance, efficient administration of the </w:t>
      </w:r>
      <w:r>
        <w:rPr>
          <w:i w:val="0"/>
          <w:color w:val="auto"/>
        </w:rPr>
        <w:t>s</w:t>
      </w:r>
      <w:r w:rsidRPr="00F36A6D">
        <w:rPr>
          <w:i w:val="0"/>
          <w:color w:val="auto"/>
        </w:rPr>
        <w:t xml:space="preserve">chemes’ legislation in the best interest of contributors and beneficiaries, and effective interaction with stakeholders, to enable members to make the most of their </w:t>
      </w:r>
      <w:r>
        <w:rPr>
          <w:i w:val="0"/>
          <w:color w:val="auto"/>
        </w:rPr>
        <w:t>financial future</w:t>
      </w:r>
      <w:r w:rsidRPr="00F36A6D">
        <w:rPr>
          <w:i w:val="0"/>
          <w:color w:val="auto"/>
        </w:rPr>
        <w:t>.</w:t>
      </w:r>
    </w:p>
    <w:p w:rsidR="00901F17" w:rsidRPr="0032723C" w:rsidRDefault="00901F17" w:rsidP="00901F17">
      <w:pPr>
        <w:spacing w:after="120"/>
      </w:pPr>
      <w:r>
        <w:t xml:space="preserve">CSC will seek to achieve its outcome agreed with the </w:t>
      </w:r>
      <w:r w:rsidR="00D87624">
        <w:t>government</w:t>
      </w:r>
      <w:r>
        <w:t xml:space="preserve"> through implementation of these key deliverables: </w:t>
      </w:r>
    </w:p>
    <w:p w:rsidR="00901F17" w:rsidRPr="0032723C" w:rsidRDefault="00901F17" w:rsidP="00901F17">
      <w:pPr>
        <w:pStyle w:val="ListParagraph"/>
        <w:numPr>
          <w:ilvl w:val="0"/>
          <w:numId w:val="49"/>
        </w:numPr>
        <w:autoSpaceDE w:val="0"/>
        <w:autoSpaceDN w:val="0"/>
        <w:spacing w:line="240" w:lineRule="auto"/>
        <w:ind w:left="567"/>
        <w:jc w:val="both"/>
        <w:rPr>
          <w:rFonts w:ascii="Book Antiqua" w:hAnsi="Book Antiqua"/>
          <w:sz w:val="20"/>
          <w:szCs w:val="20"/>
        </w:rPr>
      </w:pPr>
      <w:r w:rsidRPr="0032723C">
        <w:rPr>
          <w:rFonts w:ascii="Book Antiqua" w:hAnsi="Book Antiqua"/>
          <w:sz w:val="20"/>
          <w:szCs w:val="20"/>
        </w:rPr>
        <w:t>risk managed investment governance and portfolio management;</w:t>
      </w:r>
    </w:p>
    <w:p w:rsidR="00901F17" w:rsidRPr="0032723C" w:rsidRDefault="00901F17" w:rsidP="00901F17">
      <w:pPr>
        <w:pStyle w:val="ListParagraph"/>
        <w:numPr>
          <w:ilvl w:val="0"/>
          <w:numId w:val="49"/>
        </w:numPr>
        <w:autoSpaceDE w:val="0"/>
        <w:autoSpaceDN w:val="0"/>
        <w:spacing w:line="240" w:lineRule="auto"/>
        <w:ind w:left="567"/>
        <w:jc w:val="both"/>
        <w:rPr>
          <w:rFonts w:ascii="Book Antiqua" w:hAnsi="Book Antiqua"/>
          <w:sz w:val="20"/>
          <w:szCs w:val="20"/>
        </w:rPr>
      </w:pPr>
      <w:r w:rsidRPr="0032723C">
        <w:rPr>
          <w:rFonts w:ascii="Book Antiqua" w:hAnsi="Book Antiqua"/>
          <w:sz w:val="20"/>
          <w:szCs w:val="20"/>
        </w:rPr>
        <w:t>effective relationships with scheme beneficiaries and business stakeholders; and</w:t>
      </w:r>
    </w:p>
    <w:p w:rsidR="00901F17" w:rsidRPr="0032723C" w:rsidRDefault="00901F17" w:rsidP="00901F17">
      <w:pPr>
        <w:pStyle w:val="ListParagraph"/>
        <w:numPr>
          <w:ilvl w:val="0"/>
          <w:numId w:val="49"/>
        </w:numPr>
        <w:autoSpaceDE w:val="0"/>
        <w:autoSpaceDN w:val="0"/>
        <w:spacing w:line="240" w:lineRule="auto"/>
        <w:ind w:left="567"/>
        <w:jc w:val="both"/>
        <w:rPr>
          <w:rFonts w:ascii="Book Antiqua" w:hAnsi="Book Antiqua"/>
          <w:sz w:val="20"/>
          <w:szCs w:val="20"/>
        </w:rPr>
      </w:pPr>
      <w:r w:rsidRPr="0032723C">
        <w:rPr>
          <w:rFonts w:ascii="Book Antiqua" w:hAnsi="Book Antiqua"/>
          <w:sz w:val="20"/>
          <w:szCs w:val="20"/>
        </w:rPr>
        <w:t>cost effectiveness.</w:t>
      </w:r>
    </w:p>
    <w:p w:rsidR="00901F17" w:rsidRDefault="00901F17" w:rsidP="00901F17">
      <w:pPr>
        <w:pStyle w:val="Exampletext"/>
        <w:spacing w:after="180"/>
        <w:rPr>
          <w:i w:val="0"/>
          <w:color w:val="auto"/>
        </w:rPr>
      </w:pPr>
      <w:r>
        <w:rPr>
          <w:i w:val="0"/>
          <w:color w:val="auto"/>
        </w:rPr>
        <w:t xml:space="preserve">CSC aspires to maintain its leadership position as a superannuation provider of choice in the Commonwealth sector. CSC will work with the </w:t>
      </w:r>
      <w:r w:rsidR="00D87624">
        <w:rPr>
          <w:i w:val="0"/>
          <w:color w:val="auto"/>
        </w:rPr>
        <w:t>government</w:t>
      </w:r>
      <w:r>
        <w:rPr>
          <w:i w:val="0"/>
          <w:color w:val="auto"/>
        </w:rPr>
        <w:t xml:space="preserve"> to improve or modernise scheme design and will work to improve service to members. CSC will also contribute to the implementation of </w:t>
      </w:r>
      <w:r w:rsidR="00D87624">
        <w:rPr>
          <w:i w:val="0"/>
          <w:color w:val="auto"/>
        </w:rPr>
        <w:t>government</w:t>
      </w:r>
      <w:r>
        <w:rPr>
          <w:i w:val="0"/>
          <w:color w:val="auto"/>
        </w:rPr>
        <w:t xml:space="preserve"> decisions on superannuation scheme administration reform.</w:t>
      </w:r>
    </w:p>
    <w:p w:rsidR="00901F17" w:rsidRDefault="00901F17" w:rsidP="00901F17">
      <w:pPr>
        <w:pStyle w:val="Exampletext"/>
        <w:spacing w:after="180"/>
        <w:rPr>
          <w:i w:val="0"/>
          <w:color w:val="auto"/>
        </w:rPr>
      </w:pPr>
      <w:r>
        <w:rPr>
          <w:i w:val="0"/>
          <w:color w:val="auto"/>
        </w:rPr>
        <w:t>As a holder of licences from both Australian Prudential Regulation Authority (APRA) and Australian Securities and Investments Commission (ASIC), and as the trustee of four regulated superannuation schemes, CSC will continue to ensure the highest standards are maintained and will seek to meet all compliance obligations.</w:t>
      </w:r>
    </w:p>
    <w:p w:rsidR="008B15C4" w:rsidRDefault="00901F17" w:rsidP="008B15C4">
      <w:pPr>
        <w:spacing w:line="240" w:lineRule="auto"/>
      </w:pPr>
      <w:r>
        <w:t>The Australian Government announced the merger of ComSuper into CSC in the May</w:t>
      </w:r>
      <w:r w:rsidR="00AC3CF0">
        <w:t> </w:t>
      </w:r>
      <w:r>
        <w:t xml:space="preserve">2014 Federal Budget. CSC will continue to be trustee of the public sector and defence force super schemes. The merger is subject to legislation passing in Parliament. The </w:t>
      </w:r>
      <w:r w:rsidRPr="00D87624">
        <w:rPr>
          <w:rStyle w:val="Emphasis"/>
          <w:i w:val="0"/>
        </w:rPr>
        <w:t>Governance of Australian Government Superannuation Schemes Legislation Amendment Bill 2015</w:t>
      </w:r>
      <w:r>
        <w:t xml:space="preserve"> was introduced into the House of Representatives on 19</w:t>
      </w:r>
      <w:r w:rsidR="00AC3CF0">
        <w:t> </w:t>
      </w:r>
      <w:r>
        <w:t>March</w:t>
      </w:r>
      <w:r w:rsidR="00AC3CF0">
        <w:t> </w:t>
      </w:r>
      <w:r>
        <w:t xml:space="preserve">2015 and was referred to the </w:t>
      </w:r>
      <w:r w:rsidR="00763D3B">
        <w:t xml:space="preserve">Senate </w:t>
      </w:r>
      <w:r>
        <w:t>Finance and Public Administration Legislation Committee for inquiry.</w:t>
      </w:r>
    </w:p>
    <w:p w:rsidR="00901F17" w:rsidRDefault="008B15C4" w:rsidP="00997EC1">
      <w:pPr>
        <w:spacing w:after="0" w:line="240" w:lineRule="auto"/>
      </w:pPr>
      <w:r w:rsidRPr="008B15C4">
        <w:lastRenderedPageBreak/>
        <w:t xml:space="preserve">The Australian Government also announced that PSSap administration fees would be deducted from member accounts from 1 July 2015 in the 2014-15 Mid-year Economic and Fiscal Outlook.  This change will mean that PSSap members will pay for a cost that to date has </w:t>
      </w:r>
      <w:r>
        <w:t xml:space="preserve">been paid by the Commonwealth. </w:t>
      </w:r>
      <w:r w:rsidRPr="008B15C4">
        <w:t>The new PSSap administration fee arrangements will also be implemented by the Governance of Australian Government Superannuation Schemes Legislation Amendment Bill 2015.</w:t>
      </w:r>
      <w:r w:rsidR="00901F17">
        <w:br w:type="page"/>
      </w:r>
    </w:p>
    <w:p w:rsidR="00901F17" w:rsidRPr="002F5C83" w:rsidRDefault="00901F17" w:rsidP="00901F17">
      <w:pPr>
        <w:pStyle w:val="Heading4"/>
      </w:pPr>
      <w:bookmarkStart w:id="7" w:name="_Toc418003425"/>
      <w:r w:rsidRPr="002F5C83">
        <w:lastRenderedPageBreak/>
        <w:t>1.2</w:t>
      </w:r>
      <w:r w:rsidRPr="002F5C83">
        <w:tab/>
        <w:t>Entity Resource Statement</w:t>
      </w:r>
      <w:bookmarkEnd w:id="7"/>
    </w:p>
    <w:p w:rsidR="00901F17" w:rsidRDefault="00901F17" w:rsidP="00901F17">
      <w:r>
        <w:t>Table 1.1 shows the total resources from all sources. The table summarises how resources will be applied by outcome and by administered and departmental classification.</w:t>
      </w:r>
    </w:p>
    <w:p w:rsidR="00901F17" w:rsidRPr="00344E3B" w:rsidRDefault="00901F17" w:rsidP="00E453F8">
      <w:pPr>
        <w:pStyle w:val="Heading5"/>
      </w:pPr>
      <w:r w:rsidRPr="00344E3B">
        <w:t>Table 1.1:  Commonwealth Superannuation Corporation Resource Statement</w:t>
      </w:r>
      <w:r w:rsidRPr="00344E3B">
        <w:br/>
        <w:t>Estimates for 2015-16 as at Budget May 2015</w:t>
      </w:r>
    </w:p>
    <w:tbl>
      <w:tblPr>
        <w:tblW w:w="8120" w:type="dxa"/>
        <w:tblInd w:w="93" w:type="dxa"/>
        <w:tblLook w:val="04A0"/>
      </w:tblPr>
      <w:tblGrid>
        <w:gridCol w:w="3020"/>
        <w:gridCol w:w="332"/>
        <w:gridCol w:w="1260"/>
        <w:gridCol w:w="270"/>
        <w:gridCol w:w="1180"/>
        <w:gridCol w:w="275"/>
        <w:gridCol w:w="1000"/>
        <w:gridCol w:w="275"/>
        <w:gridCol w:w="1000"/>
      </w:tblGrid>
      <w:tr w:rsidR="001B05E5" w:rsidRPr="001B05E5" w:rsidTr="001B05E5">
        <w:trPr>
          <w:trHeight w:val="225"/>
        </w:trPr>
        <w:tc>
          <w:tcPr>
            <w:tcW w:w="302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c>
          <w:tcPr>
            <w:tcW w:w="18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r w:rsidRPr="001B05E5">
              <w:rPr>
                <w:rFonts w:ascii="Arial" w:hAnsi="Arial" w:cs="Arial"/>
                <w:sz w:val="16"/>
                <w:szCs w:val="16"/>
              </w:rPr>
              <w:t> </w:t>
            </w:r>
          </w:p>
        </w:tc>
        <w:tc>
          <w:tcPr>
            <w:tcW w:w="126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Actual</w:t>
            </w:r>
          </w:p>
        </w:tc>
        <w:tc>
          <w:tcPr>
            <w:tcW w:w="16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r w:rsidRPr="001B05E5">
              <w:rPr>
                <w:rFonts w:ascii="Arial" w:hAnsi="Arial" w:cs="Arial"/>
                <w:sz w:val="16"/>
                <w:szCs w:val="16"/>
              </w:rPr>
              <w:t> </w:t>
            </w:r>
          </w:p>
        </w:tc>
        <w:tc>
          <w:tcPr>
            <w:tcW w:w="118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Estimate</w:t>
            </w:r>
          </w:p>
        </w:tc>
        <w:tc>
          <w:tcPr>
            <w:tcW w:w="16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c>
          <w:tcPr>
            <w:tcW w:w="100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Proposed</w:t>
            </w:r>
          </w:p>
        </w:tc>
        <w:tc>
          <w:tcPr>
            <w:tcW w:w="160" w:type="dxa"/>
            <w:tcBorders>
              <w:top w:val="single" w:sz="4" w:space="0" w:color="000000"/>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vertAlign w:val="superscript"/>
              </w:rPr>
              <w:t> </w:t>
            </w:r>
          </w:p>
        </w:tc>
        <w:tc>
          <w:tcPr>
            <w:tcW w:w="1000" w:type="dxa"/>
            <w:tcBorders>
              <w:top w:val="single" w:sz="4" w:space="0" w:color="000000"/>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xml:space="preserve">Total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available</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of prior</w:t>
            </w:r>
          </w:p>
        </w:tc>
        <w:tc>
          <w:tcPr>
            <w:tcW w:w="1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center"/>
              <w:rPr>
                <w:rFonts w:ascii="Arial" w:hAnsi="Arial" w:cs="Arial"/>
                <w:sz w:val="16"/>
                <w:szCs w:val="16"/>
              </w:rPr>
            </w:pPr>
            <w:r w:rsidRPr="001B05E5">
              <w:rPr>
                <w:rFonts w:ascii="Arial" w:hAnsi="Arial" w:cs="Arial"/>
                <w:sz w:val="16"/>
                <w:szCs w:val="16"/>
                <w:vertAlign w:val="superscript"/>
              </w:rPr>
              <w:t>+</w:t>
            </w: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at Budget</w:t>
            </w:r>
          </w:p>
        </w:tc>
        <w:tc>
          <w:tcPr>
            <w:tcW w:w="1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center"/>
              <w:rPr>
                <w:rFonts w:ascii="Arial" w:hAnsi="Arial" w:cs="Arial"/>
                <w:sz w:val="16"/>
                <w:szCs w:val="16"/>
              </w:rPr>
            </w:pPr>
            <w:r w:rsidRPr="001B05E5">
              <w:rPr>
                <w:rFonts w:ascii="Arial" w:hAnsi="Arial" w:cs="Arial"/>
                <w:sz w:val="16"/>
                <w:szCs w:val="16"/>
                <w:vertAlign w:val="superscript"/>
              </w:rPr>
              <w:t>=</w:t>
            </w: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estimate</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appropriation</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year amounts</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xml:space="preserve"> available in</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2014-15</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single" w:sz="4" w:space="0" w:color="000000"/>
              <w:right w:val="nil"/>
            </w:tcBorders>
            <w:shd w:val="clear" w:color="auto" w:fill="auto"/>
            <w:noWrap/>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single" w:sz="4" w:space="0" w:color="000000"/>
              <w:right w:val="nil"/>
            </w:tcBorders>
            <w:shd w:val="clear" w:color="auto" w:fill="auto"/>
            <w:noWrap/>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000000"/>
              <w:right w:val="nil"/>
            </w:tcBorders>
            <w:shd w:val="clear" w:color="auto" w:fill="auto"/>
            <w:noWrap/>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000000"/>
              <w:right w:val="nil"/>
            </w:tcBorders>
            <w:shd w:val="clear" w:color="000000" w:fill="E6E6E6"/>
            <w:noWrap/>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Opening balance/Reserves at bank</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vertAlign w:val="superscript"/>
              </w:rPr>
              <w:t>-</w:t>
            </w: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REVENUE FROM GOVERNMENT</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xml:space="preserve">Payments from related entities </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Amounts from other entities</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10,632</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1"/>
              <w:jc w:val="left"/>
              <w:rPr>
                <w:rFonts w:ascii="Arial" w:hAnsi="Arial" w:cs="Arial"/>
                <w:b/>
                <w:bCs/>
                <w:sz w:val="16"/>
                <w:szCs w:val="16"/>
              </w:rPr>
            </w:pPr>
            <w:r w:rsidRPr="001B05E5">
              <w:rPr>
                <w:rFonts w:ascii="Arial" w:hAnsi="Arial" w:cs="Arial"/>
                <w:b/>
                <w:bCs/>
                <w:sz w:val="16"/>
                <w:szCs w:val="16"/>
              </w:rPr>
              <w:t>Total</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10,632</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single" w:sz="4" w:space="0" w:color="auto"/>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Special accounts</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4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 xml:space="preserve">Opening balance </w:t>
            </w:r>
            <w:r w:rsidRPr="001B05E5">
              <w:rPr>
                <w:rFonts w:ascii="Arial" w:hAnsi="Arial" w:cs="Arial"/>
                <w:sz w:val="16"/>
                <w:szCs w:val="16"/>
                <w:vertAlign w:val="superscript"/>
              </w:rPr>
              <w:t>1</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43,546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55,091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55,091</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Special accounts (A)</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2,766,623</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2,766,623</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2,766,623</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Special accounts (D)</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80,190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72,705</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72,705</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Total special accounts</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2,890,359</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18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55,091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2,839,328</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single" w:sz="4" w:space="0" w:color="auto"/>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2,894,419</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single" w:sz="4" w:space="0" w:color="000000"/>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single" w:sz="4" w:space="0" w:color="000000"/>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000000"/>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000000"/>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Total funds from government</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A</w:t>
            </w:r>
          </w:p>
        </w:tc>
        <w:tc>
          <w:tcPr>
            <w:tcW w:w="12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2,900,991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55,091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vertAlign w:val="superscript"/>
              </w:rPr>
              <w:t>-</w:t>
            </w:r>
          </w:p>
        </w:tc>
        <w:tc>
          <w:tcPr>
            <w:tcW w:w="100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2,839,328</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2,894,419</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FUNDS FROM OTHER SOURCES</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Interest</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160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Sale of goods and services</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2,606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4,181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4,181</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1"/>
              <w:jc w:val="left"/>
              <w:rPr>
                <w:rFonts w:ascii="Arial" w:hAnsi="Arial" w:cs="Arial"/>
                <w:b/>
                <w:bCs/>
                <w:sz w:val="16"/>
                <w:szCs w:val="16"/>
              </w:rPr>
            </w:pPr>
            <w:r w:rsidRPr="001B05E5">
              <w:rPr>
                <w:rFonts w:ascii="Arial" w:hAnsi="Arial" w:cs="Arial"/>
                <w:b/>
                <w:bCs/>
                <w:sz w:val="16"/>
                <w:szCs w:val="16"/>
              </w:rPr>
              <w:t>Total</w:t>
            </w: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B</w:t>
            </w:r>
          </w:p>
        </w:tc>
        <w:tc>
          <w:tcPr>
            <w:tcW w:w="126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2,766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000" w:type="dxa"/>
            <w:tcBorders>
              <w:top w:val="single" w:sz="4" w:space="0" w:color="auto"/>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4,181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000" w:type="dxa"/>
            <w:tcBorders>
              <w:top w:val="single" w:sz="4" w:space="0" w:color="auto"/>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4,181</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1"/>
              <w:jc w:val="left"/>
              <w:rPr>
                <w:rFonts w:ascii="Arial" w:hAnsi="Arial" w:cs="Arial"/>
                <w:b/>
                <w:bCs/>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Total net resourcing for CSC</w:t>
            </w:r>
          </w:p>
        </w:tc>
        <w:tc>
          <w:tcPr>
            <w:tcW w:w="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 </w:t>
            </w:r>
          </w:p>
        </w:tc>
        <w:tc>
          <w:tcPr>
            <w:tcW w:w="12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c>
          <w:tcPr>
            <w:tcW w:w="100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c>
          <w:tcPr>
            <w:tcW w:w="1000" w:type="dxa"/>
            <w:tcBorders>
              <w:top w:val="nil"/>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 </w:t>
            </w:r>
          </w:p>
        </w:tc>
      </w:tr>
      <w:tr w:rsidR="001B05E5" w:rsidRPr="001B05E5" w:rsidTr="001B05E5">
        <w:trPr>
          <w:trHeight w:val="225"/>
        </w:trPr>
        <w:tc>
          <w:tcPr>
            <w:tcW w:w="302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A+B</w:t>
            </w:r>
          </w:p>
        </w:tc>
        <w:tc>
          <w:tcPr>
            <w:tcW w:w="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 </w:t>
            </w:r>
          </w:p>
        </w:tc>
        <w:tc>
          <w:tcPr>
            <w:tcW w:w="12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2,903,757</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 </w:t>
            </w:r>
          </w:p>
        </w:tc>
        <w:tc>
          <w:tcPr>
            <w:tcW w:w="1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55,091</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00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2,843,509</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w:t>
            </w:r>
          </w:p>
        </w:tc>
        <w:tc>
          <w:tcPr>
            <w:tcW w:w="1000" w:type="dxa"/>
            <w:tcBorders>
              <w:top w:val="nil"/>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2,898,600</w:t>
            </w:r>
          </w:p>
        </w:tc>
      </w:tr>
    </w:tbl>
    <w:p w:rsidR="00901F17" w:rsidRPr="001B05E5" w:rsidRDefault="00901F17" w:rsidP="00901F17">
      <w:pPr>
        <w:spacing w:after="0" w:line="240" w:lineRule="auto"/>
        <w:rPr>
          <w:b/>
          <w:sz w:val="6"/>
          <w:szCs w:val="6"/>
        </w:rPr>
      </w:pPr>
    </w:p>
    <w:p w:rsidR="00901F17" w:rsidRPr="00984A6C" w:rsidRDefault="00901F17" w:rsidP="00901F17">
      <w:pPr>
        <w:spacing w:after="60" w:line="240" w:lineRule="auto"/>
        <w:jc w:val="left"/>
        <w:rPr>
          <w:rFonts w:ascii="Arial" w:hAnsi="Arial" w:cs="Arial"/>
          <w:sz w:val="15"/>
          <w:szCs w:val="15"/>
        </w:rPr>
      </w:pPr>
      <w:r w:rsidRPr="00984A6C">
        <w:rPr>
          <w:rFonts w:ascii="Arial" w:hAnsi="Arial" w:cs="Arial"/>
          <w:sz w:val="15"/>
          <w:szCs w:val="15"/>
        </w:rPr>
        <w:t>(A) = Administered</w:t>
      </w:r>
    </w:p>
    <w:p w:rsidR="00901F17" w:rsidRPr="00984A6C" w:rsidRDefault="00901F17" w:rsidP="00F625D0">
      <w:pPr>
        <w:spacing w:after="0" w:line="240" w:lineRule="auto"/>
        <w:jc w:val="left"/>
        <w:rPr>
          <w:rFonts w:ascii="Arial" w:hAnsi="Arial" w:cs="Arial"/>
          <w:sz w:val="15"/>
          <w:szCs w:val="15"/>
        </w:rPr>
      </w:pPr>
      <w:r w:rsidRPr="00984A6C">
        <w:rPr>
          <w:rFonts w:ascii="Arial" w:hAnsi="Arial" w:cs="Arial"/>
          <w:sz w:val="15"/>
          <w:szCs w:val="15"/>
        </w:rPr>
        <w:t>(D) = Departmental</w:t>
      </w:r>
    </w:p>
    <w:p w:rsidR="00901F17" w:rsidRPr="00F625D0" w:rsidRDefault="00901F17" w:rsidP="00F625D0">
      <w:pPr>
        <w:pStyle w:val="NoSpacing"/>
        <w:rPr>
          <w:sz w:val="16"/>
        </w:rPr>
      </w:pPr>
    </w:p>
    <w:p w:rsidR="00901F17" w:rsidRPr="00344E3B" w:rsidRDefault="00901F17" w:rsidP="00F625D0">
      <w:pPr>
        <w:pStyle w:val="ListParagraph"/>
        <w:numPr>
          <w:ilvl w:val="0"/>
          <w:numId w:val="51"/>
        </w:numPr>
        <w:spacing w:after="0" w:line="240" w:lineRule="auto"/>
        <w:ind w:left="425" w:hanging="425"/>
        <w:contextualSpacing w:val="0"/>
        <w:outlineLvl w:val="6"/>
        <w:rPr>
          <w:rFonts w:ascii="Arial" w:hAnsi="Arial" w:cs="Arial"/>
          <w:sz w:val="15"/>
          <w:szCs w:val="15"/>
        </w:rPr>
      </w:pPr>
      <w:r w:rsidRPr="00344E3B">
        <w:rPr>
          <w:rFonts w:ascii="Arial" w:hAnsi="Arial" w:cs="Arial"/>
          <w:sz w:val="15"/>
          <w:szCs w:val="15"/>
        </w:rPr>
        <w:t>Estimated adjusted balance carried forward from previous year</w:t>
      </w:r>
    </w:p>
    <w:p w:rsidR="00901F17" w:rsidRPr="00F625D0" w:rsidRDefault="00901F17" w:rsidP="00F625D0">
      <w:pPr>
        <w:pStyle w:val="NoSpacing"/>
        <w:rPr>
          <w:sz w:val="16"/>
        </w:rPr>
      </w:pPr>
    </w:p>
    <w:p w:rsidR="00901F17" w:rsidRPr="00344E3B" w:rsidRDefault="00901F17" w:rsidP="00901F17">
      <w:pPr>
        <w:spacing w:after="60" w:line="240" w:lineRule="auto"/>
        <w:outlineLvl w:val="6"/>
        <w:rPr>
          <w:rFonts w:ascii="Arial" w:hAnsi="Arial" w:cs="Arial"/>
          <w:sz w:val="15"/>
          <w:szCs w:val="15"/>
        </w:rPr>
      </w:pPr>
      <w:r w:rsidRPr="00344E3B">
        <w:rPr>
          <w:rFonts w:ascii="Arial" w:hAnsi="Arial" w:cs="Arial"/>
          <w:sz w:val="15"/>
          <w:szCs w:val="15"/>
        </w:rPr>
        <w:t>Reader note: All figures are GST exclusive.</w:t>
      </w:r>
    </w:p>
    <w:p w:rsidR="00901F17" w:rsidRDefault="00901F17" w:rsidP="00901F17">
      <w:pPr>
        <w:spacing w:after="0" w:line="240" w:lineRule="auto"/>
        <w:jc w:val="left"/>
        <w:rPr>
          <w:rFonts w:ascii="Arial" w:hAnsi="Arial" w:cs="Arial"/>
          <w:b/>
        </w:rPr>
      </w:pPr>
      <w:r>
        <w:rPr>
          <w:rFonts w:cs="Arial"/>
          <w:bCs/>
          <w:iCs/>
        </w:rPr>
        <w:br w:type="page"/>
      </w:r>
    </w:p>
    <w:p w:rsidR="00901F17" w:rsidRPr="00344E3B" w:rsidRDefault="00901F17" w:rsidP="00E453F8">
      <w:pPr>
        <w:pStyle w:val="Heading5"/>
      </w:pPr>
      <w:r w:rsidRPr="00344E3B">
        <w:lastRenderedPageBreak/>
        <w:t>Table 1.1:  Commonwealth Superannuation Corporation Resource Statement</w:t>
      </w:r>
      <w:r>
        <w:t xml:space="preserve"> </w:t>
      </w:r>
      <w:r w:rsidRPr="00344E3B">
        <w:t>Estimates for 2015-16 as at Budget May 2015</w:t>
      </w:r>
      <w:r>
        <w:t xml:space="preserve"> (continued)</w:t>
      </w:r>
    </w:p>
    <w:p w:rsidR="00901F17" w:rsidRPr="00344E3B" w:rsidRDefault="00901F17" w:rsidP="00E453F8">
      <w:pPr>
        <w:pStyle w:val="Heading5"/>
      </w:pPr>
      <w:r w:rsidRPr="00344E3B">
        <w:t>Third party payments from and on behalf of other entities</w:t>
      </w:r>
    </w:p>
    <w:tbl>
      <w:tblPr>
        <w:tblW w:w="8120" w:type="dxa"/>
        <w:tblInd w:w="93" w:type="dxa"/>
        <w:tblLook w:val="04A0"/>
      </w:tblPr>
      <w:tblGrid>
        <w:gridCol w:w="3020"/>
        <w:gridCol w:w="261"/>
        <w:gridCol w:w="1260"/>
        <w:gridCol w:w="261"/>
        <w:gridCol w:w="1180"/>
        <w:gridCol w:w="244"/>
        <w:gridCol w:w="1000"/>
        <w:gridCol w:w="261"/>
        <w:gridCol w:w="1000"/>
      </w:tblGrid>
      <w:tr w:rsidR="001B05E5" w:rsidRPr="001B05E5" w:rsidTr="001B05E5">
        <w:trPr>
          <w:trHeight w:val="225"/>
        </w:trPr>
        <w:tc>
          <w:tcPr>
            <w:tcW w:w="3020" w:type="dxa"/>
            <w:tcBorders>
              <w:top w:val="single" w:sz="4" w:space="0" w:color="auto"/>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c>
          <w:tcPr>
            <w:tcW w:w="180" w:type="dxa"/>
            <w:tcBorders>
              <w:top w:val="single" w:sz="4" w:space="0" w:color="auto"/>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r w:rsidRPr="001B05E5">
              <w:rPr>
                <w:rFonts w:ascii="Arial" w:hAnsi="Arial" w:cs="Arial"/>
                <w:sz w:val="16"/>
                <w:szCs w:val="16"/>
              </w:rPr>
              <w:t> </w:t>
            </w:r>
          </w:p>
        </w:tc>
        <w:tc>
          <w:tcPr>
            <w:tcW w:w="1260" w:type="dxa"/>
            <w:tcBorders>
              <w:top w:val="single" w:sz="4" w:space="0" w:color="auto"/>
              <w:left w:val="nil"/>
              <w:bottom w:val="nil"/>
              <w:right w:val="nil"/>
            </w:tcBorders>
            <w:shd w:val="clear" w:color="auto" w:fill="auto"/>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60" w:type="dxa"/>
            <w:tcBorders>
              <w:top w:val="single" w:sz="4" w:space="0" w:color="auto"/>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180" w:type="dxa"/>
            <w:tcBorders>
              <w:top w:val="single" w:sz="4" w:space="0" w:color="auto"/>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60" w:type="dxa"/>
            <w:tcBorders>
              <w:top w:val="single" w:sz="4" w:space="0" w:color="auto"/>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vertAlign w:val="superscript"/>
              </w:rPr>
              <w:t> </w:t>
            </w:r>
          </w:p>
        </w:tc>
        <w:tc>
          <w:tcPr>
            <w:tcW w:w="1000" w:type="dxa"/>
            <w:tcBorders>
              <w:top w:val="single" w:sz="4" w:space="0" w:color="auto"/>
              <w:left w:val="nil"/>
              <w:bottom w:val="nil"/>
              <w:right w:val="nil"/>
            </w:tcBorders>
            <w:shd w:val="clear" w:color="auto" w:fill="auto"/>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2014-15</w:t>
            </w:r>
          </w:p>
        </w:tc>
        <w:tc>
          <w:tcPr>
            <w:tcW w:w="160" w:type="dxa"/>
            <w:tcBorders>
              <w:top w:val="single" w:sz="4" w:space="0" w:color="auto"/>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000" w:type="dxa"/>
            <w:tcBorders>
              <w:top w:val="single" w:sz="4" w:space="0" w:color="auto"/>
              <w:left w:val="nil"/>
              <w:bottom w:val="nil"/>
              <w:right w:val="nil"/>
            </w:tcBorders>
            <w:shd w:val="clear" w:color="000000" w:fill="E6E6E6"/>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center"/>
              <w:rPr>
                <w:rFonts w:ascii="Arial" w:hAnsi="Arial" w:cs="Arial"/>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000" w:type="dxa"/>
            <w:tcBorders>
              <w:top w:val="nil"/>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Payments made on behalf of other entities</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5800" w:type="dxa"/>
            <w:gridSpan w:val="5"/>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Department of Finance - Superannuation Special Appropriations:</w:t>
            </w: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Superannuation Act 1922</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32,106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37,341</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Superannuation Act 1976</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3,060,701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3,510,316</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Superannuation Act 1990</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5,394,180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4,494,556</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Same-Sex Relationships (Equal Treatment in </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color w:val="000000"/>
                <w:sz w:val="16"/>
                <w:szCs w:val="16"/>
              </w:rPr>
            </w:pPr>
            <w:r w:rsidRPr="001B05E5">
              <w:rPr>
                <w:rFonts w:ascii="Arial" w:hAnsi="Arial" w:cs="Arial"/>
                <w:i/>
                <w:iCs/>
                <w:color w:val="000000"/>
                <w:sz w:val="16"/>
                <w:szCs w:val="16"/>
              </w:rPr>
              <w:t xml:space="preserve">        Commonwealth Laws - Superannuation) Act 2008 </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57</w:t>
            </w:r>
          </w:p>
        </w:tc>
      </w:tr>
      <w:tr w:rsidR="001B05E5" w:rsidRPr="001B05E5" w:rsidTr="001B05E5">
        <w:trPr>
          <w:trHeight w:val="225"/>
        </w:trPr>
        <w:tc>
          <w:tcPr>
            <w:tcW w:w="4620" w:type="dxa"/>
            <w:gridSpan w:val="4"/>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Governance of Australian Government Superannuation </w:t>
            </w: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300" w:firstLine="480"/>
              <w:jc w:val="left"/>
              <w:rPr>
                <w:rFonts w:ascii="Arial" w:hAnsi="Arial" w:cs="Arial"/>
                <w:i/>
                <w:iCs/>
                <w:sz w:val="16"/>
                <w:szCs w:val="16"/>
              </w:rPr>
            </w:pPr>
            <w:r w:rsidRPr="001B05E5">
              <w:rPr>
                <w:rFonts w:ascii="Arial" w:hAnsi="Arial" w:cs="Arial"/>
                <w:i/>
                <w:iCs/>
                <w:sz w:val="16"/>
                <w:szCs w:val="16"/>
              </w:rPr>
              <w:t xml:space="preserve">    Schemes Act 2011</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1,400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1,400</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5800" w:type="dxa"/>
            <w:gridSpan w:val="5"/>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Department of Defence - Superannuation Special Appropriations:</w:t>
            </w: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Defence Forces Retirement Benefits Act 1948</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50,046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47,982</w:t>
            </w:r>
          </w:p>
        </w:tc>
      </w:tr>
      <w:tr w:rsidR="001B05E5" w:rsidRPr="001B05E5" w:rsidTr="001B05E5">
        <w:trPr>
          <w:trHeight w:val="225"/>
        </w:trPr>
        <w:tc>
          <w:tcPr>
            <w:tcW w:w="4620" w:type="dxa"/>
            <w:gridSpan w:val="4"/>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Defence Force Retirement and Death Benefits Act 1973</w:t>
            </w: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1,520,643</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1,566,142</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i/>
                <w:iCs/>
                <w:sz w:val="16"/>
                <w:szCs w:val="16"/>
              </w:rPr>
            </w:pPr>
            <w:r w:rsidRPr="001B05E5">
              <w:rPr>
                <w:rFonts w:ascii="Arial" w:hAnsi="Arial" w:cs="Arial"/>
                <w:i/>
                <w:iCs/>
                <w:sz w:val="16"/>
                <w:szCs w:val="16"/>
              </w:rPr>
              <w:t xml:space="preserve">   Military Superannuation and Benefits Act 1991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446,416</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510,361</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620" w:type="dxa"/>
            <w:gridSpan w:val="4"/>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CSC draws on the following Finance Annual Appropriations</w:t>
            </w: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4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 xml:space="preserve">   Appropriation Act (No.1)</w:t>
            </w:r>
            <w:r w:rsidRPr="001B05E5">
              <w:rPr>
                <w:rFonts w:ascii="Arial" w:hAnsi="Arial" w:cs="Arial"/>
                <w:sz w:val="16"/>
                <w:szCs w:val="16"/>
                <w:vertAlign w:val="superscript"/>
              </w:rPr>
              <w:t xml:space="preserve"> 1</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500</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500</w:t>
            </w:r>
          </w:p>
        </w:tc>
      </w:tr>
      <w:tr w:rsidR="001B05E5" w:rsidRPr="001B05E5" w:rsidTr="001B05E5">
        <w:trPr>
          <w:trHeight w:val="24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 xml:space="preserve">   Appropriation Act (No.1) </w:t>
            </w:r>
            <w:r w:rsidRPr="001B05E5">
              <w:rPr>
                <w:rFonts w:ascii="Arial" w:hAnsi="Arial" w:cs="Arial"/>
                <w:sz w:val="16"/>
                <w:szCs w:val="16"/>
                <w:vertAlign w:val="superscript"/>
              </w:rPr>
              <w:t>2</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3,308</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546</w:t>
            </w:r>
          </w:p>
        </w:tc>
      </w:tr>
      <w:tr w:rsidR="001B05E5" w:rsidRPr="001B05E5" w:rsidTr="001B05E5">
        <w:trPr>
          <w:trHeight w:val="24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 xml:space="preserve">   Appropriation Act (No.2) </w:t>
            </w:r>
            <w:r w:rsidRPr="001B05E5">
              <w:rPr>
                <w:rFonts w:ascii="Arial" w:hAnsi="Arial" w:cs="Arial"/>
                <w:sz w:val="16"/>
                <w:szCs w:val="16"/>
                <w:vertAlign w:val="superscript"/>
              </w:rPr>
              <w:t>2</w:t>
            </w: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541</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592</w:t>
            </w:r>
          </w:p>
        </w:tc>
      </w:tr>
      <w:tr w:rsidR="001B05E5" w:rsidRPr="001B05E5" w:rsidTr="001B05E5">
        <w:trPr>
          <w:trHeight w:val="60"/>
        </w:trPr>
        <w:tc>
          <w:tcPr>
            <w:tcW w:w="302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8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p>
        </w:tc>
        <w:tc>
          <w:tcPr>
            <w:tcW w:w="12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460" w:type="dxa"/>
            <w:gridSpan w:val="3"/>
            <w:tcBorders>
              <w:top w:val="nil"/>
              <w:left w:val="nil"/>
              <w:bottom w:val="nil"/>
              <w:right w:val="nil"/>
            </w:tcBorders>
            <w:shd w:val="clear" w:color="auto" w:fill="auto"/>
            <w:noWrap/>
            <w:vAlign w:val="bottom"/>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Department of Foreign Affairs and Trade - PNG Scheme:</w:t>
            </w: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18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p>
        </w:tc>
        <w:tc>
          <w:tcPr>
            <w:tcW w:w="100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p>
        </w:tc>
        <w:tc>
          <w:tcPr>
            <w:tcW w:w="1000" w:type="dxa"/>
            <w:tcBorders>
              <w:top w:val="nil"/>
              <w:left w:val="nil"/>
              <w:bottom w:val="nil"/>
              <w:right w:val="nil"/>
            </w:tcBorders>
            <w:shd w:val="clear" w:color="000000" w:fill="E6E6E6"/>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302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 xml:space="preserve">   Administered Appropriation Act</w:t>
            </w:r>
          </w:p>
        </w:tc>
        <w:tc>
          <w:tcPr>
            <w:tcW w:w="180" w:type="dxa"/>
            <w:tcBorders>
              <w:top w:val="nil"/>
              <w:left w:val="nil"/>
              <w:bottom w:val="single" w:sz="4" w:space="0" w:color="auto"/>
              <w:right w:val="nil"/>
            </w:tcBorders>
            <w:shd w:val="clear" w:color="auto" w:fill="auto"/>
            <w:vAlign w:val="bottom"/>
            <w:hideMark/>
          </w:tcPr>
          <w:p w:rsidR="001B05E5" w:rsidRPr="001B05E5" w:rsidRDefault="001B05E5" w:rsidP="001B05E5">
            <w:pPr>
              <w:spacing w:after="0" w:line="240" w:lineRule="auto"/>
              <w:jc w:val="center"/>
              <w:rPr>
                <w:rFonts w:ascii="Arial" w:hAnsi="Arial" w:cs="Arial"/>
                <w:b/>
                <w:bCs/>
                <w:sz w:val="16"/>
                <w:szCs w:val="16"/>
              </w:rPr>
            </w:pPr>
            <w:r w:rsidRPr="001B05E5">
              <w:rPr>
                <w:rFonts w:ascii="Arial" w:hAnsi="Arial" w:cs="Arial"/>
                <w:b/>
                <w:bCs/>
                <w:sz w:val="16"/>
                <w:szCs w:val="16"/>
              </w:rPr>
              <w:t> </w:t>
            </w:r>
          </w:p>
        </w:tc>
        <w:tc>
          <w:tcPr>
            <w:tcW w:w="12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c>
          <w:tcPr>
            <w:tcW w:w="118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60" w:type="dxa"/>
            <w:tcBorders>
              <w:top w:val="nil"/>
              <w:left w:val="nil"/>
              <w:bottom w:val="single" w:sz="4" w:space="0" w:color="auto"/>
              <w:right w:val="nil"/>
            </w:tcBorders>
            <w:shd w:val="clear" w:color="auto" w:fill="auto"/>
            <w:vAlign w:val="bottom"/>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vertAlign w:val="superscript"/>
              </w:rPr>
              <w:t> </w:t>
            </w:r>
          </w:p>
        </w:tc>
        <w:tc>
          <w:tcPr>
            <w:tcW w:w="100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7,812</w:t>
            </w:r>
          </w:p>
        </w:tc>
        <w:tc>
          <w:tcPr>
            <w:tcW w:w="160" w:type="dxa"/>
            <w:tcBorders>
              <w:top w:val="nil"/>
              <w:left w:val="nil"/>
              <w:bottom w:val="single" w:sz="4" w:space="0" w:color="auto"/>
              <w:right w:val="nil"/>
            </w:tcBorders>
            <w:shd w:val="clear" w:color="auto" w:fill="auto"/>
            <w:noWrap/>
            <w:vAlign w:val="bottom"/>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vertAlign w:val="superscript"/>
              </w:rPr>
              <w:t> </w:t>
            </w:r>
          </w:p>
        </w:tc>
        <w:tc>
          <w:tcPr>
            <w:tcW w:w="1000" w:type="dxa"/>
            <w:tcBorders>
              <w:top w:val="nil"/>
              <w:left w:val="nil"/>
              <w:bottom w:val="single" w:sz="4" w:space="0" w:color="auto"/>
              <w:right w:val="nil"/>
            </w:tcBorders>
            <w:shd w:val="clear" w:color="000000" w:fill="E6E6E6"/>
            <w:noWrap/>
            <w:vAlign w:val="bottom"/>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7,656</w:t>
            </w:r>
          </w:p>
        </w:tc>
      </w:tr>
    </w:tbl>
    <w:p w:rsidR="00901F17" w:rsidRPr="004570A3" w:rsidRDefault="00901F17" w:rsidP="00901F17">
      <w:pPr>
        <w:spacing w:after="0" w:line="240" w:lineRule="auto"/>
        <w:rPr>
          <w:sz w:val="6"/>
          <w:szCs w:val="6"/>
        </w:rPr>
      </w:pPr>
    </w:p>
    <w:p w:rsidR="00901F17" w:rsidRDefault="00901F17" w:rsidP="0049416D">
      <w:pPr>
        <w:pStyle w:val="ListParagraph"/>
        <w:numPr>
          <w:ilvl w:val="0"/>
          <w:numId w:val="52"/>
        </w:numPr>
        <w:spacing w:after="60" w:line="240" w:lineRule="auto"/>
        <w:ind w:left="425" w:hanging="425"/>
        <w:contextualSpacing w:val="0"/>
        <w:outlineLvl w:val="6"/>
        <w:rPr>
          <w:rFonts w:ascii="Arial" w:hAnsi="Arial" w:cs="Arial"/>
          <w:sz w:val="15"/>
          <w:szCs w:val="15"/>
        </w:rPr>
      </w:pPr>
      <w:r>
        <w:rPr>
          <w:rFonts w:ascii="Arial" w:hAnsi="Arial" w:cs="Arial"/>
          <w:sz w:val="15"/>
          <w:szCs w:val="15"/>
        </w:rPr>
        <w:t>Compensation and Legal payments</w:t>
      </w:r>
    </w:p>
    <w:p w:rsidR="00901F17" w:rsidRPr="00344E3B" w:rsidRDefault="00901F17" w:rsidP="0049416D">
      <w:pPr>
        <w:pStyle w:val="ListParagraph"/>
        <w:numPr>
          <w:ilvl w:val="0"/>
          <w:numId w:val="52"/>
        </w:numPr>
        <w:spacing w:after="60" w:line="240" w:lineRule="auto"/>
        <w:ind w:left="425" w:hanging="425"/>
        <w:contextualSpacing w:val="0"/>
        <w:outlineLvl w:val="6"/>
        <w:rPr>
          <w:rFonts w:ascii="Arial" w:hAnsi="Arial" w:cs="Arial"/>
          <w:sz w:val="15"/>
          <w:szCs w:val="15"/>
        </w:rPr>
      </w:pPr>
      <w:r>
        <w:rPr>
          <w:rFonts w:ascii="Arial" w:hAnsi="Arial" w:cs="Arial"/>
          <w:sz w:val="15"/>
          <w:szCs w:val="15"/>
        </w:rPr>
        <w:t>Act of Grace payments</w:t>
      </w:r>
    </w:p>
    <w:p w:rsidR="00901F17" w:rsidRPr="00344E3B" w:rsidRDefault="00901F17" w:rsidP="00901F17">
      <w:pPr>
        <w:pStyle w:val="Exampletext"/>
        <w:spacing w:after="180"/>
        <w:rPr>
          <w:i w:val="0"/>
          <w:color w:val="auto"/>
        </w:rPr>
      </w:pPr>
    </w:p>
    <w:p w:rsidR="00901F17" w:rsidRPr="002F5C83" w:rsidRDefault="00901F17" w:rsidP="00901F17">
      <w:pPr>
        <w:pStyle w:val="Heading4"/>
      </w:pPr>
      <w:bookmarkStart w:id="8" w:name="_Toc418003426"/>
      <w:r w:rsidRPr="002F5C83">
        <w:t>1.3</w:t>
      </w:r>
      <w:r w:rsidRPr="002F5C83">
        <w:tab/>
        <w:t>Budget Measures</w:t>
      </w:r>
      <w:bookmarkEnd w:id="8"/>
    </w:p>
    <w:p w:rsidR="001648FA" w:rsidRDefault="001648FA" w:rsidP="00901F17">
      <w:r>
        <w:t>No budget measures have been announced since the 2014-15 Mid-Year Economic and Fiscal Outlook (MYEFO) that impact CSC.</w:t>
      </w:r>
    </w:p>
    <w:p w:rsidR="00901F17" w:rsidRDefault="001648FA" w:rsidP="001648FA">
      <w:r>
        <w:t>All budget measures have been previously reported in a portfolio statement.</w:t>
      </w:r>
    </w:p>
    <w:p w:rsidR="00901F17" w:rsidRPr="00901F17" w:rsidRDefault="00901F17" w:rsidP="00901F17">
      <w:pPr>
        <w:pStyle w:val="Heading3"/>
      </w:pPr>
      <w:r>
        <w:br w:type="page"/>
      </w:r>
      <w:bookmarkStart w:id="9" w:name="_Toc418003427"/>
      <w:r w:rsidRPr="00901F17">
        <w:lastRenderedPageBreak/>
        <w:t>Section 2: Outcomes and Planned Performance</w:t>
      </w:r>
      <w:bookmarkEnd w:id="9"/>
    </w:p>
    <w:p w:rsidR="00901F17" w:rsidRPr="002F5C83" w:rsidRDefault="00901F17" w:rsidP="00901F17">
      <w:pPr>
        <w:pStyle w:val="Heading4"/>
      </w:pPr>
      <w:bookmarkStart w:id="10" w:name="_Toc418003428"/>
      <w:r w:rsidRPr="002F5C83">
        <w:t>2.1</w:t>
      </w:r>
      <w:r w:rsidRPr="002F5C83">
        <w:tab/>
        <w:t>Outcomes and Performance Information</w:t>
      </w:r>
      <w:bookmarkEnd w:id="10"/>
    </w:p>
    <w:p w:rsidR="00901F17" w:rsidRDefault="00901F17" w:rsidP="00901F17">
      <w:r>
        <w:t xml:space="preserve">Government outcomes are the intended results, impacts or consequences of actions by the </w:t>
      </w:r>
      <w:r w:rsidR="00D87624">
        <w:t>g</w:t>
      </w:r>
      <w:r>
        <w:t xml:space="preserve">overnment on the Australian community. </w:t>
      </w:r>
      <w:r w:rsidRPr="00E95DB8">
        <w:t xml:space="preserve">Commonwealth </w:t>
      </w:r>
      <w:r>
        <w:t>programmes</w:t>
      </w:r>
      <w:r w:rsidRPr="00E95DB8">
        <w:t xml:space="preserve"> are the primary vehicle by which </w:t>
      </w:r>
      <w:r w:rsidR="00D87624">
        <w:t>g</w:t>
      </w:r>
      <w:r w:rsidRPr="00E95DB8">
        <w:t xml:space="preserve">overnment </w:t>
      </w:r>
      <w:r>
        <w:t xml:space="preserve">entities </w:t>
      </w:r>
      <w:r w:rsidRPr="00E95DB8">
        <w:t xml:space="preserve">achieve the intended results of their outcome statements. </w:t>
      </w:r>
      <w:r>
        <w:t xml:space="preserve">Entities </w:t>
      </w:r>
      <w:r w:rsidRPr="00E95DB8">
        <w:t xml:space="preserve">are required to identify the </w:t>
      </w:r>
      <w:r>
        <w:t xml:space="preserve">programmes which contribute to </w:t>
      </w:r>
      <w:r w:rsidR="00D87624">
        <w:t>g</w:t>
      </w:r>
      <w:r>
        <w:t>overnment outcomes over the Budget and forward years.</w:t>
      </w:r>
    </w:p>
    <w:p w:rsidR="00901F17" w:rsidRDefault="00901F17" w:rsidP="00901F17">
      <w:r>
        <w:t xml:space="preserve">Each outcome is described below together with its related programmes, specifying the performance indicators and targets used to assess and monitor the performance of </w:t>
      </w:r>
      <w:r w:rsidR="001A004D">
        <w:t>CSC</w:t>
      </w:r>
      <w:r w:rsidRPr="00DC3F63">
        <w:t xml:space="preserve"> in achieving</w:t>
      </w:r>
      <w:r>
        <w:t xml:space="preserve"> </w:t>
      </w:r>
      <w:r w:rsidR="00D87624">
        <w:t>g</w:t>
      </w:r>
      <w:r>
        <w:t>overnment outcomes.</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7713"/>
      </w:tblGrid>
      <w:tr w:rsidR="00901F17" w:rsidTr="003E110F">
        <w:tc>
          <w:tcPr>
            <w:tcW w:w="7713" w:type="dxa"/>
            <w:shd w:val="clear" w:color="auto" w:fill="E6E6E6"/>
          </w:tcPr>
          <w:p w:rsidR="00901F17" w:rsidRPr="00AF5179" w:rsidRDefault="00901F17" w:rsidP="003E110F">
            <w:pPr>
              <w:spacing w:before="120" w:after="120" w:line="240" w:lineRule="auto"/>
              <w:ind w:left="1559" w:hanging="1559"/>
              <w:rPr>
                <w:rFonts w:ascii="Arial" w:hAnsi="Arial" w:cs="Arial"/>
                <w:b/>
              </w:rPr>
            </w:pPr>
            <w:r w:rsidRPr="00AF5179">
              <w:rPr>
                <w:rFonts w:ascii="Arial" w:hAnsi="Arial" w:cs="Arial"/>
                <w:b/>
              </w:rPr>
              <w:t>Outcome 1</w:t>
            </w:r>
            <w:r w:rsidRPr="00AF5179">
              <w:rPr>
                <w:rFonts w:ascii="Arial" w:hAnsi="Arial" w:cs="Arial"/>
                <w:b/>
              </w:rPr>
              <w:tab/>
            </w:r>
            <w:r w:rsidRPr="0032723C">
              <w:rPr>
                <w:rFonts w:ascii="Arial" w:hAnsi="Arial" w:cs="Arial"/>
                <w:b/>
              </w:rPr>
              <w:t>Retirement benefits for past, present and future Australian Government employees and members of the Australian Defence Force through investment and administration of their superannuation funds and schemes.</w:t>
            </w:r>
          </w:p>
        </w:tc>
      </w:tr>
    </w:tbl>
    <w:p w:rsidR="00901F17" w:rsidRDefault="00901F17" w:rsidP="00901F17">
      <w:pPr>
        <w:pStyle w:val="NoSpacing"/>
      </w:pPr>
    </w:p>
    <w:p w:rsidR="00901F17" w:rsidRPr="00FD4739" w:rsidRDefault="00901F17" w:rsidP="00E453F8">
      <w:pPr>
        <w:pStyle w:val="Heading5"/>
      </w:pPr>
      <w:r w:rsidRPr="00FD4739">
        <w:t>Outcome 1 Strategy</w:t>
      </w:r>
    </w:p>
    <w:p w:rsidR="00901F17" w:rsidRDefault="00901F17" w:rsidP="00901F17">
      <w:pPr>
        <w:pStyle w:val="Exampletextbullet"/>
        <w:numPr>
          <w:ilvl w:val="0"/>
          <w:numId w:val="0"/>
        </w:numPr>
        <w:rPr>
          <w:i w:val="0"/>
          <w:color w:val="auto"/>
        </w:rPr>
      </w:pPr>
      <w:r w:rsidRPr="00C83A71">
        <w:rPr>
          <w:i w:val="0"/>
          <w:color w:val="auto"/>
        </w:rPr>
        <w:t>CSC contributes to the achievement of the outcome through the active investment of the schemes’ funds through a pooled superannuation trust, aiming for consistently competitive returns through disciplined and risk managed investment frameworks; proactively working with government bodies to improve the structure of the schemes and to meet statutory obligations; the pursuit of high standards of governance; meeting fiduciary responsibilities; and providing information and general advice to assist fund members develop the knowledge and skills to manage their superannuation.</w:t>
      </w:r>
    </w:p>
    <w:p w:rsidR="00901F17" w:rsidRDefault="00901F17" w:rsidP="00901F17">
      <w:pPr>
        <w:spacing w:after="0" w:line="240" w:lineRule="auto"/>
        <w:jc w:val="left"/>
        <w:rPr>
          <w:rFonts w:ascii="Arial" w:hAnsi="Arial"/>
          <w:b/>
          <w:bCs/>
          <w:iCs/>
          <w:szCs w:val="26"/>
        </w:rPr>
      </w:pPr>
      <w:r>
        <w:br w:type="page"/>
      </w:r>
    </w:p>
    <w:p w:rsidR="00901F17" w:rsidRPr="00FD4739" w:rsidRDefault="00901F17" w:rsidP="00E453F8">
      <w:pPr>
        <w:pStyle w:val="Heading5"/>
      </w:pPr>
      <w:r w:rsidRPr="00FD4739">
        <w:lastRenderedPageBreak/>
        <w:t>Outcome Expense Statement</w:t>
      </w:r>
    </w:p>
    <w:p w:rsidR="00901F17" w:rsidRDefault="00901F17" w:rsidP="00901F17">
      <w:r>
        <w:t xml:space="preserve">Table 2.1.1 provides an overview of the total expenses for </w:t>
      </w:r>
      <w:r w:rsidR="00081A28">
        <w:t>Outcome 1</w:t>
      </w:r>
      <w:r>
        <w:t>, by programme.</w:t>
      </w:r>
    </w:p>
    <w:p w:rsidR="00901F17" w:rsidRPr="00344E3B" w:rsidRDefault="00901F17" w:rsidP="00E453F8">
      <w:pPr>
        <w:pStyle w:val="Heading5"/>
      </w:pPr>
      <w:r w:rsidRPr="00344E3B">
        <w:t>Table 2.1.1: Budgeted Expenses for Outcome 1</w:t>
      </w:r>
    </w:p>
    <w:tbl>
      <w:tblPr>
        <w:tblW w:w="7160" w:type="dxa"/>
        <w:tblInd w:w="93" w:type="dxa"/>
        <w:tblLook w:val="04A0"/>
      </w:tblPr>
      <w:tblGrid>
        <w:gridCol w:w="4860"/>
        <w:gridCol w:w="1140"/>
        <w:gridCol w:w="1160"/>
      </w:tblGrid>
      <w:tr w:rsidR="001B05E5" w:rsidRPr="001B05E5" w:rsidTr="001B05E5">
        <w:trPr>
          <w:trHeight w:val="225"/>
        </w:trPr>
        <w:tc>
          <w:tcPr>
            <w:tcW w:w="4860" w:type="dxa"/>
            <w:tcBorders>
              <w:top w:val="single" w:sz="4" w:space="0" w:color="000000"/>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 xml:space="preserve">Outcome 1: </w:t>
            </w:r>
            <w:r w:rsidRPr="001B05E5">
              <w:rPr>
                <w:rFonts w:ascii="Arial" w:hAnsi="Arial" w:cs="Arial"/>
                <w:b/>
                <w:bCs/>
                <w:sz w:val="16"/>
                <w:szCs w:val="16"/>
              </w:rPr>
              <w:t>Retirement benefits for past, present</w:t>
            </w:r>
          </w:p>
        </w:tc>
        <w:tc>
          <w:tcPr>
            <w:tcW w:w="1140" w:type="dxa"/>
            <w:tcBorders>
              <w:top w:val="single" w:sz="4" w:space="0" w:color="000000"/>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2014-15</w:t>
            </w:r>
          </w:p>
        </w:tc>
        <w:tc>
          <w:tcPr>
            <w:tcW w:w="1160" w:type="dxa"/>
            <w:tcBorders>
              <w:top w:val="single" w:sz="4" w:space="0" w:color="000000"/>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r>
      <w:tr w:rsidR="001B05E5" w:rsidRPr="001B05E5" w:rsidTr="001B05E5">
        <w:trPr>
          <w:trHeight w:val="225"/>
        </w:trPr>
        <w:tc>
          <w:tcPr>
            <w:tcW w:w="4860" w:type="dxa"/>
            <w:tcBorders>
              <w:top w:val="nil"/>
              <w:left w:val="nil"/>
              <w:bottom w:val="nil"/>
              <w:right w:val="nil"/>
            </w:tcBorders>
            <w:shd w:val="clear" w:color="auto" w:fill="auto"/>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and future Australian Government employees and</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Estimated</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Estimated</w:t>
            </w:r>
          </w:p>
        </w:tc>
      </w:tr>
      <w:tr w:rsidR="001B05E5" w:rsidRPr="001B05E5" w:rsidTr="001B05E5">
        <w:trPr>
          <w:trHeight w:val="225"/>
        </w:trPr>
        <w:tc>
          <w:tcPr>
            <w:tcW w:w="4860" w:type="dxa"/>
            <w:tcBorders>
              <w:top w:val="nil"/>
              <w:left w:val="nil"/>
              <w:bottom w:val="nil"/>
              <w:right w:val="nil"/>
            </w:tcBorders>
            <w:shd w:val="clear" w:color="auto" w:fill="auto"/>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members of the Australian Defence Force through</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actual</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expenses</w:t>
            </w:r>
          </w:p>
        </w:tc>
      </w:tr>
      <w:tr w:rsidR="001B05E5" w:rsidRPr="001B05E5" w:rsidTr="001B05E5">
        <w:trPr>
          <w:trHeight w:val="225"/>
        </w:trPr>
        <w:tc>
          <w:tcPr>
            <w:tcW w:w="4860" w:type="dxa"/>
            <w:tcBorders>
              <w:top w:val="nil"/>
              <w:left w:val="nil"/>
              <w:bottom w:val="nil"/>
              <w:right w:val="nil"/>
            </w:tcBorders>
            <w:shd w:val="clear" w:color="auto" w:fill="auto"/>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investment and administration of their superannuation</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expenses</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funds and schemes.</w:t>
            </w:r>
          </w:p>
        </w:tc>
        <w:tc>
          <w:tcPr>
            <w:tcW w:w="1140" w:type="dxa"/>
            <w:tcBorders>
              <w:top w:val="nil"/>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c>
          <w:tcPr>
            <w:tcW w:w="1160" w:type="dxa"/>
            <w:tcBorders>
              <w:top w:val="nil"/>
              <w:left w:val="nil"/>
              <w:bottom w:val="single" w:sz="4" w:space="0" w:color="auto"/>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$'000</w:t>
            </w:r>
          </w:p>
        </w:tc>
      </w:tr>
      <w:tr w:rsidR="001B05E5" w:rsidRPr="001B05E5" w:rsidTr="001B05E5">
        <w:trPr>
          <w:trHeight w:val="60"/>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color w:val="000000"/>
                <w:sz w:val="16"/>
                <w:szCs w:val="16"/>
              </w:rPr>
            </w:pP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lef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Programme 1.1: Superannuation Scheme Governance</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Departmental expenses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Funded by payments from related entities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10,632</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Special accounts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5,343</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Funded by payments from non-related entities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2,766</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4,181</w:t>
            </w:r>
          </w:p>
        </w:tc>
      </w:tr>
      <w:tr w:rsidR="001B05E5" w:rsidRPr="001B05E5" w:rsidTr="001B05E5">
        <w:trPr>
          <w:trHeight w:val="60"/>
        </w:trPr>
        <w:tc>
          <w:tcPr>
            <w:tcW w:w="4860" w:type="dxa"/>
            <w:tcBorders>
              <w:top w:val="nil"/>
              <w:left w:val="nil"/>
              <w:bottom w:val="nil"/>
              <w:right w:val="nil"/>
            </w:tcBorders>
            <w:shd w:val="clear" w:color="auto" w:fill="auto"/>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Total for Programme 1.1</w:t>
            </w:r>
          </w:p>
        </w:tc>
        <w:tc>
          <w:tcPr>
            <w:tcW w:w="1140" w:type="dxa"/>
            <w:tcBorders>
              <w:top w:val="single" w:sz="4" w:space="0" w:color="auto"/>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13,398</w:t>
            </w:r>
          </w:p>
        </w:tc>
        <w:tc>
          <w:tcPr>
            <w:tcW w:w="1160" w:type="dxa"/>
            <w:tcBorders>
              <w:top w:val="single" w:sz="4" w:space="0" w:color="auto"/>
              <w:left w:val="nil"/>
              <w:bottom w:val="single" w:sz="4" w:space="0" w:color="auto"/>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9,524</w:t>
            </w:r>
          </w:p>
        </w:tc>
      </w:tr>
      <w:tr w:rsidR="001B05E5" w:rsidRPr="001B05E5" w:rsidTr="001B05E5">
        <w:trPr>
          <w:trHeight w:val="60"/>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sz w:val="16"/>
                <w:szCs w:val="16"/>
              </w:rPr>
            </w:pPr>
            <w:r w:rsidRPr="001B05E5">
              <w:rPr>
                <w:rFonts w:ascii="Arial" w:hAnsi="Arial" w:cs="Arial"/>
                <w:b/>
                <w:bCs/>
                <w:sz w:val="16"/>
                <w:szCs w:val="16"/>
              </w:rPr>
              <w:t>Outcome 1 Totals by resource type</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100" w:firstLine="160"/>
              <w:jc w:val="left"/>
              <w:rPr>
                <w:rFonts w:ascii="Arial" w:hAnsi="Arial" w:cs="Arial"/>
                <w:sz w:val="16"/>
                <w:szCs w:val="16"/>
              </w:rPr>
            </w:pPr>
            <w:r w:rsidRPr="001B05E5">
              <w:rPr>
                <w:rFonts w:ascii="Arial" w:hAnsi="Arial" w:cs="Arial"/>
                <w:sz w:val="16"/>
                <w:szCs w:val="16"/>
              </w:rPr>
              <w:t>Departmental expenses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Funded by payments from related entities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10,632</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Special accounts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5,343</w:t>
            </w:r>
          </w:p>
        </w:tc>
      </w:tr>
      <w:tr w:rsidR="001B05E5" w:rsidRPr="001B05E5" w:rsidTr="001B05E5">
        <w:trPr>
          <w:trHeight w:val="225"/>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ind w:firstLineChars="200" w:firstLine="320"/>
              <w:jc w:val="left"/>
              <w:rPr>
                <w:rFonts w:ascii="Arial" w:hAnsi="Arial" w:cs="Arial"/>
                <w:sz w:val="16"/>
                <w:szCs w:val="16"/>
              </w:rPr>
            </w:pPr>
            <w:r w:rsidRPr="001B05E5">
              <w:rPr>
                <w:rFonts w:ascii="Arial" w:hAnsi="Arial" w:cs="Arial"/>
                <w:sz w:val="16"/>
                <w:szCs w:val="16"/>
              </w:rPr>
              <w:t>Funded by payments from non-related entities</w:t>
            </w: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2,766</w:t>
            </w:r>
          </w:p>
        </w:tc>
        <w:tc>
          <w:tcPr>
            <w:tcW w:w="1160" w:type="dxa"/>
            <w:tcBorders>
              <w:top w:val="nil"/>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4,181</w:t>
            </w:r>
          </w:p>
        </w:tc>
      </w:tr>
      <w:tr w:rsidR="001B05E5" w:rsidRPr="001B05E5" w:rsidTr="001B05E5">
        <w:trPr>
          <w:trHeight w:val="60"/>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sz w:val="16"/>
                <w:szCs w:val="16"/>
              </w:rPr>
            </w:pPr>
          </w:p>
        </w:tc>
        <w:tc>
          <w:tcPr>
            <w:tcW w:w="1140" w:type="dxa"/>
            <w:tcBorders>
              <w:top w:val="nil"/>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c>
          <w:tcPr>
            <w:tcW w:w="1160" w:type="dxa"/>
            <w:tcBorders>
              <w:top w:val="nil"/>
              <w:left w:val="nil"/>
              <w:bottom w:val="single" w:sz="4" w:space="0" w:color="auto"/>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 </w:t>
            </w:r>
          </w:p>
        </w:tc>
      </w:tr>
      <w:tr w:rsidR="001B05E5" w:rsidRPr="001B05E5" w:rsidTr="001B05E5">
        <w:trPr>
          <w:trHeight w:val="225"/>
        </w:trPr>
        <w:tc>
          <w:tcPr>
            <w:tcW w:w="4860" w:type="dxa"/>
            <w:tcBorders>
              <w:top w:val="nil"/>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Total expenses for Outcome 1</w:t>
            </w:r>
          </w:p>
        </w:tc>
        <w:tc>
          <w:tcPr>
            <w:tcW w:w="1140" w:type="dxa"/>
            <w:tcBorders>
              <w:top w:val="nil"/>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13,398</w:t>
            </w:r>
          </w:p>
        </w:tc>
        <w:tc>
          <w:tcPr>
            <w:tcW w:w="1160" w:type="dxa"/>
            <w:tcBorders>
              <w:top w:val="nil"/>
              <w:left w:val="nil"/>
              <w:bottom w:val="single" w:sz="4" w:space="0" w:color="auto"/>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b/>
                <w:bCs/>
                <w:sz w:val="16"/>
                <w:szCs w:val="16"/>
              </w:rPr>
            </w:pPr>
            <w:r w:rsidRPr="001B05E5">
              <w:rPr>
                <w:rFonts w:ascii="Arial" w:hAnsi="Arial" w:cs="Arial"/>
                <w:b/>
                <w:bCs/>
                <w:sz w:val="16"/>
                <w:szCs w:val="16"/>
              </w:rPr>
              <w:t>9,524</w:t>
            </w:r>
          </w:p>
        </w:tc>
      </w:tr>
      <w:tr w:rsidR="001B05E5" w:rsidRPr="001B05E5" w:rsidTr="001B05E5">
        <w:trPr>
          <w:trHeight w:val="60"/>
        </w:trPr>
        <w:tc>
          <w:tcPr>
            <w:tcW w:w="48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4"/>
                <w:szCs w:val="14"/>
              </w:rPr>
            </w:pPr>
          </w:p>
        </w:tc>
      </w:tr>
      <w:tr w:rsidR="001B05E5" w:rsidRPr="001B05E5" w:rsidTr="001B05E5">
        <w:trPr>
          <w:trHeight w:val="225"/>
        </w:trPr>
        <w:tc>
          <w:tcPr>
            <w:tcW w:w="4860" w:type="dxa"/>
            <w:tcBorders>
              <w:top w:val="single" w:sz="4" w:space="0" w:color="000000"/>
              <w:left w:val="nil"/>
              <w:bottom w:val="nil"/>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color w:val="000000"/>
                <w:sz w:val="16"/>
                <w:szCs w:val="16"/>
              </w:rPr>
            </w:pPr>
            <w:r w:rsidRPr="001B05E5">
              <w:rPr>
                <w:rFonts w:ascii="Arial" w:hAnsi="Arial" w:cs="Arial"/>
                <w:color w:val="000000"/>
                <w:sz w:val="16"/>
                <w:szCs w:val="16"/>
              </w:rPr>
              <w:t> </w:t>
            </w:r>
          </w:p>
        </w:tc>
        <w:tc>
          <w:tcPr>
            <w:tcW w:w="1140" w:type="dxa"/>
            <w:tcBorders>
              <w:top w:val="single" w:sz="4" w:space="0" w:color="000000"/>
              <w:left w:val="nil"/>
              <w:bottom w:val="nil"/>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2014-15</w:t>
            </w:r>
          </w:p>
        </w:tc>
        <w:tc>
          <w:tcPr>
            <w:tcW w:w="1160" w:type="dxa"/>
            <w:tcBorders>
              <w:top w:val="single" w:sz="4" w:space="0" w:color="000000"/>
              <w:left w:val="nil"/>
              <w:bottom w:val="nil"/>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2015-16</w:t>
            </w:r>
          </w:p>
        </w:tc>
      </w:tr>
      <w:tr w:rsidR="001B05E5" w:rsidRPr="001B05E5" w:rsidTr="001B05E5">
        <w:trPr>
          <w:trHeight w:val="225"/>
        </w:trPr>
        <w:tc>
          <w:tcPr>
            <w:tcW w:w="4860" w:type="dxa"/>
            <w:tcBorders>
              <w:top w:val="nil"/>
              <w:left w:val="nil"/>
              <w:bottom w:val="single" w:sz="4" w:space="0" w:color="000000"/>
              <w:right w:val="nil"/>
            </w:tcBorders>
            <w:shd w:val="clear" w:color="auto" w:fill="auto"/>
            <w:noWrap/>
            <w:vAlign w:val="center"/>
            <w:hideMark/>
          </w:tcPr>
          <w:p w:rsidR="001B05E5" w:rsidRPr="001B05E5" w:rsidRDefault="001B05E5" w:rsidP="001B05E5">
            <w:pPr>
              <w:spacing w:after="0" w:line="240" w:lineRule="auto"/>
              <w:jc w:val="left"/>
              <w:rPr>
                <w:rFonts w:ascii="Arial" w:hAnsi="Arial" w:cs="Arial"/>
                <w:b/>
                <w:bCs/>
                <w:color w:val="000000"/>
                <w:sz w:val="16"/>
                <w:szCs w:val="16"/>
              </w:rPr>
            </w:pPr>
            <w:r w:rsidRPr="001B05E5">
              <w:rPr>
                <w:rFonts w:ascii="Arial" w:hAnsi="Arial" w:cs="Arial"/>
                <w:b/>
                <w:bCs/>
                <w:color w:val="000000"/>
                <w:sz w:val="16"/>
                <w:szCs w:val="16"/>
              </w:rPr>
              <w:t>Average Staffing Level (number)</w:t>
            </w:r>
          </w:p>
        </w:tc>
        <w:tc>
          <w:tcPr>
            <w:tcW w:w="1140" w:type="dxa"/>
            <w:tcBorders>
              <w:top w:val="single" w:sz="4" w:space="0" w:color="auto"/>
              <w:left w:val="nil"/>
              <w:bottom w:val="single" w:sz="4" w:space="0" w:color="auto"/>
              <w:right w:val="nil"/>
            </w:tcBorders>
            <w:shd w:val="clear" w:color="auto" w:fill="auto"/>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81</w:t>
            </w:r>
          </w:p>
        </w:tc>
        <w:tc>
          <w:tcPr>
            <w:tcW w:w="1160" w:type="dxa"/>
            <w:tcBorders>
              <w:top w:val="single" w:sz="4" w:space="0" w:color="auto"/>
              <w:left w:val="nil"/>
              <w:bottom w:val="single" w:sz="4" w:space="0" w:color="auto"/>
              <w:right w:val="nil"/>
            </w:tcBorders>
            <w:shd w:val="clear" w:color="000000" w:fill="E6E6E6"/>
            <w:noWrap/>
            <w:vAlign w:val="center"/>
            <w:hideMark/>
          </w:tcPr>
          <w:p w:rsidR="001B05E5" w:rsidRPr="001B05E5" w:rsidRDefault="001B05E5" w:rsidP="001B05E5">
            <w:pPr>
              <w:spacing w:after="0" w:line="240" w:lineRule="auto"/>
              <w:jc w:val="right"/>
              <w:rPr>
                <w:rFonts w:ascii="Arial" w:hAnsi="Arial" w:cs="Arial"/>
                <w:sz w:val="16"/>
                <w:szCs w:val="16"/>
              </w:rPr>
            </w:pPr>
            <w:r w:rsidRPr="001B05E5">
              <w:rPr>
                <w:rFonts w:ascii="Arial" w:hAnsi="Arial" w:cs="Arial"/>
                <w:sz w:val="16"/>
                <w:szCs w:val="16"/>
              </w:rPr>
              <w:t>85</w:t>
            </w:r>
          </w:p>
        </w:tc>
      </w:tr>
    </w:tbl>
    <w:p w:rsidR="00901F17" w:rsidRDefault="00901F17" w:rsidP="00901F17">
      <w:pPr>
        <w:spacing w:after="0" w:line="240" w:lineRule="auto"/>
      </w:pPr>
    </w:p>
    <w:p w:rsidR="00901F17" w:rsidRDefault="00901F17" w:rsidP="00901F17">
      <w:pPr>
        <w:spacing w:after="0" w:line="240" w:lineRule="auto"/>
      </w:pPr>
    </w:p>
    <w:p w:rsidR="00901F17" w:rsidRPr="00344E3B" w:rsidRDefault="00901F17" w:rsidP="00901F17">
      <w:pPr>
        <w:spacing w:before="240" w:line="240" w:lineRule="auto"/>
        <w:jc w:val="left"/>
        <w:rPr>
          <w:rFonts w:ascii="Arial Bold" w:hAnsi="Arial Bold" w:cs="Arial"/>
          <w:b/>
          <w:smallCaps/>
          <w:sz w:val="26"/>
          <w:szCs w:val="26"/>
        </w:rPr>
      </w:pPr>
      <w:r>
        <w:br w:type="page"/>
      </w:r>
      <w:r w:rsidRPr="00344E3B">
        <w:rPr>
          <w:rFonts w:ascii="Arial Bold" w:hAnsi="Arial Bold" w:cs="Arial"/>
          <w:b/>
          <w:smallCaps/>
          <w:sz w:val="26"/>
          <w:szCs w:val="26"/>
        </w:rPr>
        <w:lastRenderedPageBreak/>
        <w:t xml:space="preserve">Contributions to Outcome 1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tblBorders>
        <w:tblLook w:val="01E0"/>
      </w:tblPr>
      <w:tblGrid>
        <w:gridCol w:w="7713"/>
      </w:tblGrid>
      <w:tr w:rsidR="00901F17" w:rsidTr="003E110F">
        <w:tc>
          <w:tcPr>
            <w:tcW w:w="7713" w:type="dxa"/>
            <w:shd w:val="clear" w:color="auto" w:fill="E6E6E6"/>
          </w:tcPr>
          <w:p w:rsidR="00901F17" w:rsidRDefault="00901F17" w:rsidP="003E110F">
            <w:pPr>
              <w:pStyle w:val="TableColumnHeadingLeft"/>
            </w:pPr>
            <w:r>
              <w:t>Programme 1.1: Superannuation Scheme Governance</w:t>
            </w:r>
          </w:p>
        </w:tc>
      </w:tr>
    </w:tbl>
    <w:p w:rsidR="00901F17" w:rsidRDefault="00901F17" w:rsidP="00901F17">
      <w:pPr>
        <w:pStyle w:val="NoSpacing"/>
      </w:pPr>
    </w:p>
    <w:p w:rsidR="00901F17" w:rsidRPr="0032723C" w:rsidRDefault="00901F17" w:rsidP="00E453F8">
      <w:pPr>
        <w:pStyle w:val="Heading5"/>
      </w:pPr>
      <w:r w:rsidRPr="0032723C">
        <w:t>Programme 1.1 Objective</w:t>
      </w:r>
    </w:p>
    <w:p w:rsidR="00901F17" w:rsidRPr="00494152"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94152">
        <w:rPr>
          <w:rFonts w:ascii="Book Antiqua" w:hAnsi="Book Antiqua"/>
          <w:sz w:val="20"/>
          <w:szCs w:val="20"/>
        </w:rPr>
        <w:t>The key objective for CSC in achieving its outcome is to maximise members’ superannuation account balances.</w:t>
      </w:r>
    </w:p>
    <w:p w:rsidR="00901F17" w:rsidRPr="00494152"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494152">
        <w:rPr>
          <w:rFonts w:ascii="Book Antiqua" w:hAnsi="Book Antiqua"/>
          <w:sz w:val="20"/>
          <w:szCs w:val="20"/>
        </w:rPr>
        <w:t>CSC also contributes to its outcome by:</w:t>
      </w:r>
    </w:p>
    <w:p w:rsidR="00901F17" w:rsidRPr="00494152" w:rsidRDefault="00901F17" w:rsidP="00375F30">
      <w:pPr>
        <w:pStyle w:val="ListParagraph"/>
        <w:numPr>
          <w:ilvl w:val="1"/>
          <w:numId w:val="48"/>
        </w:numPr>
        <w:tabs>
          <w:tab w:val="clear" w:pos="1080"/>
        </w:tabs>
        <w:spacing w:after="80" w:line="240" w:lineRule="auto"/>
        <w:ind w:left="1077" w:hanging="357"/>
        <w:contextualSpacing w:val="0"/>
        <w:rPr>
          <w:rFonts w:ascii="Book Antiqua" w:hAnsi="Book Antiqua" w:cs="Arial"/>
          <w:sz w:val="20"/>
          <w:szCs w:val="20"/>
        </w:rPr>
      </w:pPr>
      <w:r w:rsidRPr="00494152">
        <w:rPr>
          <w:rFonts w:ascii="Book Antiqua" w:hAnsi="Book Antiqua" w:cs="Arial"/>
          <w:sz w:val="20"/>
          <w:szCs w:val="20"/>
        </w:rPr>
        <w:t>ensuring that members, beneficiaries and employers who deal with the PSSap, PSS, CSS and MSBS are well serviced according to their needs and their interaction with CSC is as satisfactory as the best of their experience as a customer elsewhere;</w:t>
      </w:r>
    </w:p>
    <w:p w:rsidR="00901F17" w:rsidRPr="00494152" w:rsidRDefault="00901F17" w:rsidP="00375F30">
      <w:pPr>
        <w:pStyle w:val="ListParagraph"/>
        <w:numPr>
          <w:ilvl w:val="1"/>
          <w:numId w:val="48"/>
        </w:numPr>
        <w:tabs>
          <w:tab w:val="clear" w:pos="1080"/>
        </w:tabs>
        <w:spacing w:after="80" w:line="240" w:lineRule="auto"/>
        <w:ind w:left="1077" w:hanging="357"/>
        <w:contextualSpacing w:val="0"/>
        <w:rPr>
          <w:rFonts w:ascii="Book Antiqua" w:hAnsi="Book Antiqua" w:cs="Arial"/>
          <w:sz w:val="20"/>
          <w:szCs w:val="20"/>
        </w:rPr>
      </w:pPr>
      <w:r w:rsidRPr="00494152">
        <w:rPr>
          <w:rFonts w:ascii="Book Antiqua" w:hAnsi="Book Antiqua" w:cs="Arial"/>
          <w:sz w:val="20"/>
          <w:szCs w:val="20"/>
        </w:rPr>
        <w:t xml:space="preserve">ensuring that the PSSap, PSS, CSS and MSBS comply with the requirements of their legislation and CSC maintains its licensed status under the </w:t>
      </w:r>
      <w:r w:rsidRPr="00494152">
        <w:rPr>
          <w:rFonts w:ascii="Book Antiqua" w:hAnsi="Book Antiqua" w:cs="Arial"/>
          <w:i/>
          <w:sz w:val="20"/>
          <w:szCs w:val="20"/>
        </w:rPr>
        <w:t>Superannuation Industry (Supervision) Act 1993</w:t>
      </w:r>
      <w:r w:rsidRPr="00494152">
        <w:rPr>
          <w:rFonts w:ascii="Book Antiqua" w:hAnsi="Book Antiqua" w:cs="Arial"/>
          <w:sz w:val="20"/>
          <w:szCs w:val="20"/>
        </w:rPr>
        <w:t xml:space="preserve"> and the </w:t>
      </w:r>
      <w:r w:rsidRPr="00494152">
        <w:rPr>
          <w:rFonts w:ascii="Book Antiqua" w:hAnsi="Book Antiqua" w:cs="Arial"/>
          <w:i/>
          <w:sz w:val="20"/>
          <w:szCs w:val="20"/>
        </w:rPr>
        <w:t>Corporations Act 2001</w:t>
      </w:r>
      <w:r w:rsidRPr="00494152">
        <w:rPr>
          <w:rFonts w:ascii="Book Antiqua" w:hAnsi="Book Antiqua" w:cs="Arial"/>
          <w:sz w:val="20"/>
          <w:szCs w:val="20"/>
        </w:rPr>
        <w:t>; and</w:t>
      </w:r>
    </w:p>
    <w:p w:rsidR="00901F17" w:rsidRPr="00494152" w:rsidRDefault="00901F17" w:rsidP="00375F30">
      <w:pPr>
        <w:pStyle w:val="ListParagraph"/>
        <w:numPr>
          <w:ilvl w:val="1"/>
          <w:numId w:val="48"/>
        </w:numPr>
        <w:tabs>
          <w:tab w:val="clear" w:pos="1080"/>
        </w:tabs>
        <w:spacing w:after="80" w:line="240" w:lineRule="auto"/>
        <w:ind w:left="1077" w:hanging="357"/>
        <w:contextualSpacing w:val="0"/>
        <w:rPr>
          <w:rFonts w:ascii="Book Antiqua" w:hAnsi="Book Antiqua" w:cs="Arial"/>
          <w:sz w:val="20"/>
          <w:szCs w:val="20"/>
        </w:rPr>
      </w:pPr>
      <w:r w:rsidRPr="00494152">
        <w:rPr>
          <w:rFonts w:ascii="Book Antiqua" w:hAnsi="Book Antiqua" w:cs="Arial"/>
          <w:sz w:val="20"/>
          <w:szCs w:val="20"/>
        </w:rPr>
        <w:t>ensuring that CSC’s responsibilities in relation to the DFRDB, DFRB, DFSPB, PNG and 1922 schemes are discharged properly and completely and in accordance with the needs of stakeholders.</w:t>
      </w:r>
    </w:p>
    <w:p w:rsidR="00901F17" w:rsidRDefault="00901F17" w:rsidP="00901F17">
      <w:pPr>
        <w:pStyle w:val="SingleParagraph"/>
      </w:pPr>
    </w:p>
    <w:p w:rsidR="00901F17" w:rsidRDefault="00901F17" w:rsidP="00E453F8">
      <w:pPr>
        <w:pStyle w:val="Heading5"/>
      </w:pPr>
      <w:r w:rsidRPr="0032723C">
        <w:t xml:space="preserve">Programme 1.1 </w:t>
      </w:r>
      <w:r>
        <w:t>Expenses</w:t>
      </w:r>
    </w:p>
    <w:tbl>
      <w:tblPr>
        <w:tblW w:w="7500" w:type="dxa"/>
        <w:tblInd w:w="93" w:type="dxa"/>
        <w:tblLook w:val="04A0"/>
      </w:tblPr>
      <w:tblGrid>
        <w:gridCol w:w="3400"/>
        <w:gridCol w:w="928"/>
        <w:gridCol w:w="820"/>
        <w:gridCol w:w="821"/>
        <w:gridCol w:w="821"/>
        <w:gridCol w:w="821"/>
      </w:tblGrid>
      <w:tr w:rsidR="00DA07D8" w:rsidRPr="00DA07D8" w:rsidTr="00DA07D8">
        <w:trPr>
          <w:trHeight w:val="225"/>
        </w:trPr>
        <w:tc>
          <w:tcPr>
            <w:tcW w:w="3400" w:type="dxa"/>
            <w:tcBorders>
              <w:top w:val="single" w:sz="4" w:space="0" w:color="auto"/>
              <w:left w:val="nil"/>
              <w:bottom w:val="nil"/>
              <w:right w:val="nil"/>
            </w:tcBorders>
            <w:shd w:val="clear" w:color="auto" w:fill="auto"/>
            <w:noWrap/>
            <w:hideMark/>
          </w:tcPr>
          <w:p w:rsidR="00DA07D8" w:rsidRPr="00DA07D8" w:rsidRDefault="00DA07D8" w:rsidP="00DA07D8">
            <w:pPr>
              <w:spacing w:after="0" w:line="240" w:lineRule="auto"/>
              <w:jc w:val="center"/>
              <w:rPr>
                <w:rFonts w:ascii="Arial" w:hAnsi="Arial" w:cs="Arial"/>
                <w:b/>
                <w:bCs/>
                <w:sz w:val="16"/>
                <w:szCs w:val="16"/>
              </w:rPr>
            </w:pPr>
            <w:r w:rsidRPr="00DA07D8">
              <w:rPr>
                <w:rFonts w:ascii="Arial" w:hAnsi="Arial" w:cs="Arial"/>
                <w:b/>
                <w:bCs/>
                <w:sz w:val="16"/>
                <w:szCs w:val="16"/>
              </w:rPr>
              <w:t> </w:t>
            </w:r>
          </w:p>
        </w:tc>
        <w:tc>
          <w:tcPr>
            <w:tcW w:w="82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820" w:type="dxa"/>
            <w:tcBorders>
              <w:top w:val="single" w:sz="4" w:space="0" w:color="auto"/>
              <w:left w:val="nil"/>
              <w:bottom w:val="nil"/>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c>
          <w:tcPr>
            <w:tcW w:w="820" w:type="dxa"/>
            <w:tcBorders>
              <w:top w:val="single" w:sz="4" w:space="0" w:color="auto"/>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2016-17</w:t>
            </w:r>
          </w:p>
        </w:tc>
        <w:tc>
          <w:tcPr>
            <w:tcW w:w="82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2017-18</w:t>
            </w:r>
          </w:p>
        </w:tc>
        <w:tc>
          <w:tcPr>
            <w:tcW w:w="82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2018-19</w:t>
            </w:r>
          </w:p>
        </w:tc>
      </w:tr>
      <w:tr w:rsidR="00DA07D8" w:rsidRPr="00DA07D8" w:rsidTr="00DA07D8">
        <w:trPr>
          <w:trHeight w:val="225"/>
        </w:trPr>
        <w:tc>
          <w:tcPr>
            <w:tcW w:w="3400" w:type="dxa"/>
            <w:tcBorders>
              <w:top w:val="nil"/>
              <w:left w:val="nil"/>
              <w:bottom w:val="nil"/>
              <w:right w:val="nil"/>
            </w:tcBorders>
            <w:shd w:val="clear" w:color="auto" w:fill="auto"/>
            <w:noWrap/>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Budget</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r>
      <w:tr w:rsidR="00DA07D8" w:rsidRPr="00DA07D8" w:rsidTr="00DA07D8">
        <w:trPr>
          <w:trHeight w:val="225"/>
        </w:trPr>
        <w:tc>
          <w:tcPr>
            <w:tcW w:w="3400" w:type="dxa"/>
            <w:tcBorders>
              <w:top w:val="nil"/>
              <w:left w:val="nil"/>
              <w:bottom w:val="nil"/>
              <w:right w:val="nil"/>
            </w:tcBorders>
            <w:shd w:val="clear" w:color="auto" w:fill="auto"/>
            <w:noWrap/>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actual</w:t>
            </w: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r>
      <w:tr w:rsidR="00DA07D8" w:rsidRPr="00DA07D8" w:rsidTr="00DA07D8">
        <w:trPr>
          <w:trHeight w:val="225"/>
        </w:trPr>
        <w:tc>
          <w:tcPr>
            <w:tcW w:w="3400" w:type="dxa"/>
            <w:tcBorders>
              <w:top w:val="nil"/>
              <w:left w:val="nil"/>
              <w:bottom w:val="nil"/>
              <w:right w:val="nil"/>
            </w:tcBorders>
            <w:shd w:val="clear" w:color="auto" w:fill="auto"/>
            <w:noWrap/>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820" w:type="dxa"/>
            <w:tcBorders>
              <w:top w:val="nil"/>
              <w:left w:val="nil"/>
              <w:bottom w:val="single" w:sz="4" w:space="0" w:color="auto"/>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82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82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82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r>
      <w:tr w:rsidR="00DA07D8" w:rsidRPr="00DA07D8" w:rsidTr="00DA07D8">
        <w:trPr>
          <w:trHeight w:val="225"/>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Special account expenses: </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r>
      <w:tr w:rsidR="00DA07D8" w:rsidRPr="00DA07D8" w:rsidTr="00DA07D8">
        <w:trPr>
          <w:trHeight w:val="240"/>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Comsuper Special Account </w:t>
            </w:r>
            <w:r w:rsidRPr="00DA07D8">
              <w:rPr>
                <w:rFonts w:ascii="Arial" w:hAnsi="Arial" w:cs="Arial"/>
                <w:sz w:val="16"/>
                <w:szCs w:val="16"/>
                <w:vertAlign w:val="superscript"/>
              </w:rPr>
              <w:t>1</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5,343</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5,318</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5,318</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5,321</w:t>
            </w:r>
          </w:p>
        </w:tc>
      </w:tr>
      <w:tr w:rsidR="00DA07D8" w:rsidRPr="00DA07D8" w:rsidTr="00DA07D8">
        <w:trPr>
          <w:trHeight w:val="225"/>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Annual departmental expenses:</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r>
      <w:tr w:rsidR="00DA07D8" w:rsidRPr="00DA07D8" w:rsidTr="00DA07D8">
        <w:trPr>
          <w:trHeight w:val="225"/>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Funded by payments from related entities</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10,632</w:t>
            </w: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82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r>
      <w:tr w:rsidR="00DA07D8" w:rsidRPr="00DA07D8" w:rsidTr="00DA07D8">
        <w:trPr>
          <w:trHeight w:val="225"/>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Funded by payments from</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r>
      <w:tr w:rsidR="00DA07D8" w:rsidRPr="00DA07D8" w:rsidTr="00DA07D8">
        <w:trPr>
          <w:trHeight w:val="225"/>
        </w:trPr>
        <w:tc>
          <w:tcPr>
            <w:tcW w:w="34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ind w:firstLineChars="200" w:firstLine="320"/>
              <w:jc w:val="left"/>
              <w:rPr>
                <w:rFonts w:ascii="Arial" w:hAnsi="Arial" w:cs="Arial"/>
                <w:sz w:val="16"/>
                <w:szCs w:val="16"/>
              </w:rPr>
            </w:pPr>
            <w:r w:rsidRPr="00DA07D8">
              <w:rPr>
                <w:rFonts w:ascii="Arial" w:hAnsi="Arial" w:cs="Arial"/>
                <w:sz w:val="16"/>
                <w:szCs w:val="16"/>
              </w:rPr>
              <w:t>non-related entities</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2,766</w:t>
            </w: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4,181</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4,192</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4,224</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4,267</w:t>
            </w:r>
          </w:p>
        </w:tc>
      </w:tr>
      <w:tr w:rsidR="00DA07D8" w:rsidRPr="00DA07D8" w:rsidTr="00DA07D8">
        <w:trPr>
          <w:trHeight w:val="60"/>
        </w:trPr>
        <w:tc>
          <w:tcPr>
            <w:tcW w:w="3400" w:type="dxa"/>
            <w:tcBorders>
              <w:top w:val="nil"/>
              <w:left w:val="nil"/>
              <w:bottom w:val="nil"/>
              <w:right w:val="nil"/>
            </w:tcBorders>
            <w:shd w:val="clear" w:color="auto" w:fill="auto"/>
            <w:vAlign w:val="bottom"/>
            <w:hideMark/>
          </w:tcPr>
          <w:p w:rsidR="00DA07D8" w:rsidRPr="00DA07D8" w:rsidRDefault="00DA07D8" w:rsidP="00DA07D8">
            <w:pPr>
              <w:spacing w:after="0" w:line="240" w:lineRule="auto"/>
              <w:ind w:firstLineChars="100" w:firstLine="160"/>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r>
      <w:tr w:rsidR="00DA07D8" w:rsidRPr="00DA07D8" w:rsidTr="00DA07D8">
        <w:trPr>
          <w:trHeight w:val="225"/>
        </w:trPr>
        <w:tc>
          <w:tcPr>
            <w:tcW w:w="3400" w:type="dxa"/>
            <w:tcBorders>
              <w:top w:val="nil"/>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xml:space="preserve">Total Programme expenses </w:t>
            </w:r>
          </w:p>
        </w:tc>
        <w:tc>
          <w:tcPr>
            <w:tcW w:w="82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13,398</w:t>
            </w:r>
          </w:p>
        </w:tc>
        <w:tc>
          <w:tcPr>
            <w:tcW w:w="820" w:type="dxa"/>
            <w:tcBorders>
              <w:top w:val="single" w:sz="4" w:space="0" w:color="auto"/>
              <w:left w:val="nil"/>
              <w:bottom w:val="single" w:sz="4" w:space="0" w:color="auto"/>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9,524</w:t>
            </w:r>
          </w:p>
        </w:tc>
        <w:tc>
          <w:tcPr>
            <w:tcW w:w="82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9,510</w:t>
            </w:r>
          </w:p>
        </w:tc>
        <w:tc>
          <w:tcPr>
            <w:tcW w:w="82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9,542</w:t>
            </w:r>
          </w:p>
        </w:tc>
        <w:tc>
          <w:tcPr>
            <w:tcW w:w="82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9,588</w:t>
            </w:r>
          </w:p>
        </w:tc>
      </w:tr>
    </w:tbl>
    <w:p w:rsidR="00322BC3" w:rsidRPr="004570A3" w:rsidRDefault="00322BC3" w:rsidP="00322BC3">
      <w:pPr>
        <w:spacing w:after="0" w:line="240" w:lineRule="auto"/>
        <w:rPr>
          <w:sz w:val="6"/>
          <w:szCs w:val="6"/>
        </w:rPr>
      </w:pPr>
    </w:p>
    <w:p w:rsidR="00322BC3" w:rsidRPr="00344E3B" w:rsidRDefault="00322BC3" w:rsidP="00322BC3">
      <w:pPr>
        <w:pStyle w:val="ListParagraph"/>
        <w:numPr>
          <w:ilvl w:val="0"/>
          <w:numId w:val="54"/>
        </w:numPr>
        <w:spacing w:after="60" w:line="240" w:lineRule="auto"/>
        <w:ind w:left="426" w:hanging="426"/>
        <w:contextualSpacing w:val="0"/>
        <w:outlineLvl w:val="6"/>
        <w:rPr>
          <w:rFonts w:ascii="Arial" w:eastAsia="Times New Roman" w:hAnsi="Arial" w:cs="Arial"/>
          <w:sz w:val="15"/>
          <w:szCs w:val="15"/>
          <w:lang w:val="en-AU" w:eastAsia="en-AU"/>
        </w:rPr>
      </w:pPr>
      <w:r>
        <w:rPr>
          <w:rFonts w:ascii="Arial" w:eastAsia="Times New Roman" w:hAnsi="Arial" w:cs="Arial"/>
          <w:sz w:val="15"/>
          <w:szCs w:val="15"/>
          <w:lang w:val="en-AU" w:eastAsia="en-AU"/>
        </w:rPr>
        <w:t>Reported under ComSuper for 2014</w:t>
      </w:r>
      <w:r w:rsidR="00332007">
        <w:rPr>
          <w:rFonts w:ascii="Arial" w:eastAsia="Times New Roman" w:hAnsi="Arial" w:cs="Arial"/>
          <w:sz w:val="15"/>
          <w:szCs w:val="15"/>
          <w:lang w:val="en-AU" w:eastAsia="en-AU"/>
        </w:rPr>
        <w:t>-</w:t>
      </w:r>
      <w:r>
        <w:rPr>
          <w:rFonts w:ascii="Arial" w:eastAsia="Times New Roman" w:hAnsi="Arial" w:cs="Arial"/>
          <w:sz w:val="15"/>
          <w:szCs w:val="15"/>
          <w:lang w:val="en-AU" w:eastAsia="en-AU"/>
        </w:rPr>
        <w:t xml:space="preserve">15. To be </w:t>
      </w:r>
      <w:r w:rsidR="00763D3B">
        <w:rPr>
          <w:rFonts w:ascii="Arial" w:eastAsia="Times New Roman" w:hAnsi="Arial" w:cs="Arial"/>
          <w:sz w:val="15"/>
          <w:szCs w:val="15"/>
          <w:lang w:val="en-AU" w:eastAsia="en-AU"/>
        </w:rPr>
        <w:t>replaced by the</w:t>
      </w:r>
      <w:r>
        <w:rPr>
          <w:rFonts w:ascii="Arial" w:eastAsia="Times New Roman" w:hAnsi="Arial" w:cs="Arial"/>
          <w:sz w:val="15"/>
          <w:szCs w:val="15"/>
          <w:lang w:val="en-AU" w:eastAsia="en-AU"/>
        </w:rPr>
        <w:t xml:space="preserve"> ‘CSC Special Account’ on 1 July 2015, subject to the passage of legislation.</w:t>
      </w:r>
    </w:p>
    <w:p w:rsidR="00901F17" w:rsidRDefault="00901F17" w:rsidP="00901F17">
      <w:pPr>
        <w:pStyle w:val="SingleParagraph"/>
      </w:pPr>
    </w:p>
    <w:p w:rsidR="00901F17" w:rsidRPr="00FD4739" w:rsidRDefault="00901F17" w:rsidP="00E453F8">
      <w:pPr>
        <w:pStyle w:val="Heading5"/>
      </w:pPr>
      <w:r w:rsidRPr="00FD4739">
        <w:t xml:space="preserve">Programme 1.1 Deliverables  </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Risk managed investment of members’ superannuation balances.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Compliance with relevant law.</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Meeting licence obligations set out by APRA and ASIC.</w:t>
      </w:r>
    </w:p>
    <w:p w:rsidR="00901F17" w:rsidRDefault="00901F17" w:rsidP="00901F17">
      <w:pPr>
        <w:pStyle w:val="ListParagraph"/>
        <w:numPr>
          <w:ilvl w:val="0"/>
          <w:numId w:val="9"/>
        </w:numPr>
        <w:autoSpaceDE w:val="0"/>
        <w:autoSpaceDN w:val="0"/>
        <w:spacing w:after="0" w:line="240" w:lineRule="auto"/>
        <w:ind w:left="567" w:hanging="357"/>
        <w:contextualSpacing w:val="0"/>
        <w:rPr>
          <w:rFonts w:ascii="Arial" w:hAnsi="Arial"/>
          <w:b/>
        </w:rPr>
      </w:pPr>
      <w:r w:rsidRPr="00E87966">
        <w:rPr>
          <w:rFonts w:ascii="Book Antiqua" w:hAnsi="Book Antiqua"/>
          <w:sz w:val="20"/>
          <w:szCs w:val="20"/>
        </w:rPr>
        <w:t>Development and implementation of industry standard administration services</w:t>
      </w:r>
      <w:r w:rsidR="00213CAF">
        <w:rPr>
          <w:rFonts w:ascii="Book Antiqua" w:hAnsi="Book Antiqua"/>
          <w:sz w:val="20"/>
          <w:szCs w:val="20"/>
        </w:rPr>
        <w:t>.</w:t>
      </w:r>
      <w:r w:rsidR="00DA07D8">
        <w:t xml:space="preserve"> </w:t>
      </w:r>
      <w:r w:rsidRPr="00DA07D8">
        <w:rPr>
          <w:rFonts w:ascii="Arial" w:hAnsi="Arial"/>
          <w:b/>
        </w:rPr>
        <w:br w:type="page"/>
      </w:r>
    </w:p>
    <w:p w:rsidR="00901F17" w:rsidRPr="00FD4739" w:rsidRDefault="00901F17" w:rsidP="00E453F8">
      <w:pPr>
        <w:pStyle w:val="Heading5"/>
      </w:pPr>
      <w:r w:rsidRPr="00FD4739">
        <w:lastRenderedPageBreak/>
        <w:t xml:space="preserve">Programme 1.1 Key Performance Indicators  </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CSC has a long term nominal investment performance target of a real return of 3.5% over a prospective rolling 3 year horizon, achieved within Board approved risk parameters.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Compliance with the relevant law</w:t>
      </w:r>
      <w:r w:rsidR="00BB19A7">
        <w:rPr>
          <w:rFonts w:ascii="Book Antiqua" w:hAnsi="Book Antiqua"/>
          <w:sz w:val="20"/>
          <w:szCs w:val="20"/>
        </w:rPr>
        <w:t>s</w:t>
      </w:r>
      <w:r w:rsidRPr="00E87966">
        <w:rPr>
          <w:rFonts w:ascii="Book Antiqua" w:hAnsi="Book Antiqua"/>
          <w:sz w:val="20"/>
          <w:szCs w:val="20"/>
        </w:rPr>
        <w:t>.</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Meet obligations as Registrable Superannuation Entity (RSE) licensee and Australian Financial Services (AFS) Licence holder.</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Administration quality as reflected in the satisfaction level of members, beneficiaries and employers with the service provided through its scheme administrators.</w:t>
      </w:r>
    </w:p>
    <w:p w:rsidR="00901F17" w:rsidRDefault="00901F17" w:rsidP="00901F17">
      <w:pPr>
        <w:spacing w:after="0" w:line="240" w:lineRule="auto"/>
        <w:jc w:val="left"/>
      </w:pPr>
      <w:r>
        <w:br w:type="page"/>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1E0"/>
      </w:tblPr>
      <w:tblGrid>
        <w:gridCol w:w="7713"/>
      </w:tblGrid>
      <w:tr w:rsidR="00901F17" w:rsidTr="003E110F">
        <w:tc>
          <w:tcPr>
            <w:tcW w:w="7713" w:type="dxa"/>
            <w:shd w:val="clear" w:color="auto" w:fill="E6E6E6"/>
          </w:tcPr>
          <w:p w:rsidR="00901F17" w:rsidRPr="00AF5179" w:rsidRDefault="00901F17" w:rsidP="003E110F">
            <w:pPr>
              <w:spacing w:before="120" w:after="120" w:line="240" w:lineRule="auto"/>
              <w:ind w:left="1559" w:hanging="1559"/>
              <w:rPr>
                <w:rFonts w:ascii="Arial" w:hAnsi="Arial" w:cs="Arial"/>
                <w:b/>
              </w:rPr>
            </w:pPr>
            <w:r w:rsidRPr="00AF5179">
              <w:rPr>
                <w:rFonts w:ascii="Arial" w:hAnsi="Arial" w:cs="Arial"/>
                <w:b/>
              </w:rPr>
              <w:lastRenderedPageBreak/>
              <w:t xml:space="preserve">Outcome </w:t>
            </w:r>
            <w:r>
              <w:rPr>
                <w:rFonts w:ascii="Arial" w:hAnsi="Arial" w:cs="Arial"/>
                <w:b/>
              </w:rPr>
              <w:t>2</w:t>
            </w:r>
            <w:r w:rsidRPr="00AF5179">
              <w:rPr>
                <w:rFonts w:ascii="Arial" w:hAnsi="Arial" w:cs="Arial"/>
                <w:b/>
              </w:rPr>
              <w:tab/>
            </w:r>
            <w:r w:rsidRPr="0032723C">
              <w:rPr>
                <w:rFonts w:ascii="Arial" w:hAnsi="Arial" w:cs="Arial"/>
                <w:b/>
              </w:rPr>
              <w:t>To provide access to Australian Government superannuation benefits and information, through developing members’ understanding of the schemes, processing contributions, supporting investment processes, paying benefits and managing member details, for current and former Australian Government employees and members of the Australian Defence Force.</w:t>
            </w:r>
          </w:p>
        </w:tc>
      </w:tr>
    </w:tbl>
    <w:p w:rsidR="00901F17" w:rsidRDefault="00901F17" w:rsidP="00901F17">
      <w:pPr>
        <w:pStyle w:val="NoSpacing"/>
      </w:pPr>
    </w:p>
    <w:p w:rsidR="00901F17" w:rsidRPr="00FD4739" w:rsidRDefault="00901F17" w:rsidP="00E453F8">
      <w:pPr>
        <w:pStyle w:val="Heading5"/>
      </w:pPr>
      <w:r w:rsidRPr="00FD4739">
        <w:t>Outcome 2 Strategy</w:t>
      </w:r>
    </w:p>
    <w:p w:rsidR="00901F17" w:rsidRPr="00E10F91" w:rsidRDefault="00901F17" w:rsidP="00901F17">
      <w:pPr>
        <w:pStyle w:val="Exampletextbullet"/>
        <w:numPr>
          <w:ilvl w:val="0"/>
          <w:numId w:val="0"/>
        </w:numPr>
        <w:rPr>
          <w:i w:val="0"/>
          <w:color w:val="auto"/>
        </w:rPr>
      </w:pPr>
      <w:r w:rsidRPr="00E10F91">
        <w:rPr>
          <w:i w:val="0"/>
          <w:color w:val="auto"/>
        </w:rPr>
        <w:t xml:space="preserve">To provide superannuation administration services </w:t>
      </w:r>
      <w:r>
        <w:rPr>
          <w:i w:val="0"/>
          <w:color w:val="auto"/>
        </w:rPr>
        <w:t>required</w:t>
      </w:r>
      <w:r w:rsidRPr="00E10F91">
        <w:rPr>
          <w:i w:val="0"/>
          <w:color w:val="auto"/>
        </w:rPr>
        <w:t xml:space="preserve"> to collect superannuation contributions, maintain accurate records, pay timely and correct benefits, </w:t>
      </w:r>
      <w:r>
        <w:rPr>
          <w:i w:val="0"/>
          <w:color w:val="auto"/>
        </w:rPr>
        <w:t>including pensions, and provide</w:t>
      </w:r>
      <w:r w:rsidRPr="00E10F91">
        <w:rPr>
          <w:i w:val="0"/>
          <w:color w:val="auto"/>
        </w:rPr>
        <w:t xml:space="preserve"> relevant information to members.  </w:t>
      </w:r>
    </w:p>
    <w:p w:rsidR="00901F17" w:rsidRPr="00FD4739" w:rsidRDefault="00901F17" w:rsidP="00E453F8">
      <w:pPr>
        <w:pStyle w:val="Heading5"/>
      </w:pPr>
      <w:r w:rsidRPr="00FD4739">
        <w:t>Outcome Expense Statement</w:t>
      </w:r>
    </w:p>
    <w:p w:rsidR="00901F17" w:rsidRDefault="00901F17" w:rsidP="00901F17">
      <w:r>
        <w:t xml:space="preserve">Table 2.1.2 provides an overview of the total expenses for </w:t>
      </w:r>
      <w:r w:rsidR="00081A28">
        <w:t>Outcome 2</w:t>
      </w:r>
      <w:r>
        <w:t>, by programme.</w:t>
      </w:r>
    </w:p>
    <w:p w:rsidR="00901F17" w:rsidRPr="00344E3B" w:rsidRDefault="00901F17" w:rsidP="00E453F8">
      <w:pPr>
        <w:pStyle w:val="Heading5"/>
      </w:pPr>
      <w:r w:rsidRPr="00344E3B">
        <w:t xml:space="preserve">Table 2.1.2:  Budgeted Expenses for Outcome 2  </w:t>
      </w:r>
    </w:p>
    <w:tbl>
      <w:tblPr>
        <w:tblW w:w="7380" w:type="dxa"/>
        <w:tblInd w:w="93" w:type="dxa"/>
        <w:tblLook w:val="04A0"/>
      </w:tblPr>
      <w:tblGrid>
        <w:gridCol w:w="5080"/>
        <w:gridCol w:w="1140"/>
        <w:gridCol w:w="1160"/>
      </w:tblGrid>
      <w:tr w:rsidR="00DA07D8" w:rsidRPr="00DA07D8" w:rsidTr="00DA07D8">
        <w:trPr>
          <w:trHeight w:val="225"/>
        </w:trPr>
        <w:tc>
          <w:tcPr>
            <w:tcW w:w="508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Outcome 2: </w:t>
            </w:r>
            <w:r w:rsidRPr="00DA07D8">
              <w:rPr>
                <w:rFonts w:ascii="Arial" w:hAnsi="Arial" w:cs="Arial"/>
                <w:b/>
                <w:bCs/>
                <w:sz w:val="16"/>
                <w:szCs w:val="16"/>
              </w:rPr>
              <w:t xml:space="preserve">Provide access to Australian Government </w:t>
            </w:r>
          </w:p>
        </w:tc>
        <w:tc>
          <w:tcPr>
            <w:tcW w:w="114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116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superannuation benefits and information, through </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developing members' understanding of the schemes, </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actual</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expenses</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processing contributions, supporting investment </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expenses</w:t>
            </w:r>
          </w:p>
        </w:tc>
        <w:tc>
          <w:tcPr>
            <w:tcW w:w="1160" w:type="dxa"/>
            <w:tcBorders>
              <w:top w:val="nil"/>
              <w:left w:val="nil"/>
              <w:bottom w:val="nil"/>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processes, paying benefits and managing member details, </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$'000</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$'000</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for current and former Australian Government </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r>
      <w:tr w:rsidR="00DA07D8" w:rsidRPr="00DA07D8" w:rsidTr="00DA07D8">
        <w:trPr>
          <w:trHeight w:val="240"/>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 xml:space="preserve">employees and members of the Australian Defence Force. </w:t>
            </w:r>
            <w:r w:rsidRPr="00DA07D8">
              <w:rPr>
                <w:rFonts w:ascii="Arial" w:hAnsi="Arial" w:cs="Arial"/>
                <w:b/>
                <w:bCs/>
                <w:color w:val="000000"/>
                <w:sz w:val="16"/>
                <w:szCs w:val="16"/>
                <w:vertAlign w:val="superscript"/>
              </w:rPr>
              <w:t>1</w:t>
            </w:r>
          </w:p>
        </w:tc>
        <w:tc>
          <w:tcPr>
            <w:tcW w:w="114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$'000</w:t>
            </w:r>
          </w:p>
        </w:tc>
        <w:tc>
          <w:tcPr>
            <w:tcW w:w="116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$'000</w:t>
            </w:r>
          </w:p>
        </w:tc>
      </w:tr>
      <w:tr w:rsidR="00DA07D8" w:rsidRPr="00DA07D8" w:rsidTr="00DA07D8">
        <w:trPr>
          <w:trHeight w:val="60"/>
        </w:trPr>
        <w:tc>
          <w:tcPr>
            <w:tcW w:w="5080" w:type="dxa"/>
            <w:tcBorders>
              <w:top w:val="nil"/>
              <w:left w:val="nil"/>
              <w:bottom w:val="nil"/>
              <w:right w:val="nil"/>
            </w:tcBorders>
            <w:shd w:val="clear" w:color="auto" w:fill="auto"/>
            <w:vAlign w:val="center"/>
            <w:hideMark/>
          </w:tcPr>
          <w:p w:rsidR="00DA07D8" w:rsidRPr="00DA07D8" w:rsidRDefault="00DA07D8" w:rsidP="00DA07D8">
            <w:pPr>
              <w:spacing w:after="0" w:line="240" w:lineRule="auto"/>
              <w:jc w:val="left"/>
              <w:rPr>
                <w:rFonts w:ascii="Arial" w:hAnsi="Arial" w:cs="Arial"/>
                <w:b/>
                <w:bCs/>
                <w:color w:val="000000"/>
                <w:sz w:val="16"/>
                <w:szCs w:val="16"/>
              </w:rPr>
            </w:pP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Programme 2.1: Superannuation Administration Services</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Departmental expenses</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200" w:firstLine="320"/>
              <w:jc w:val="left"/>
              <w:rPr>
                <w:rFonts w:ascii="Arial" w:hAnsi="Arial" w:cs="Arial"/>
                <w:sz w:val="16"/>
                <w:szCs w:val="16"/>
              </w:rPr>
            </w:pPr>
            <w:r w:rsidRPr="00DA07D8">
              <w:rPr>
                <w:rFonts w:ascii="Arial" w:hAnsi="Arial" w:cs="Arial"/>
                <w:sz w:val="16"/>
                <w:szCs w:val="16"/>
              </w:rPr>
              <w:t>Special accounts</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82,755</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64,301</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Expenses not requiring appropriation in the Budget Year </w:t>
            </w:r>
            <w:r w:rsidRPr="00DA07D8">
              <w:rPr>
                <w:rFonts w:ascii="Arial" w:hAnsi="Arial" w:cs="Arial"/>
                <w:sz w:val="16"/>
                <w:szCs w:val="16"/>
                <w:vertAlign w:val="superscript"/>
              </w:rPr>
              <w:t>2</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105</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r>
      <w:tr w:rsidR="00DA07D8" w:rsidRPr="00DA07D8" w:rsidTr="00DA07D8">
        <w:trPr>
          <w:trHeight w:val="60"/>
        </w:trPr>
        <w:tc>
          <w:tcPr>
            <w:tcW w:w="5080" w:type="dxa"/>
            <w:tcBorders>
              <w:top w:val="nil"/>
              <w:left w:val="nil"/>
              <w:bottom w:val="nil"/>
              <w:right w:val="nil"/>
            </w:tcBorders>
            <w:shd w:val="clear" w:color="auto" w:fill="auto"/>
            <w:vAlign w:val="center"/>
            <w:hideMark/>
          </w:tcPr>
          <w:p w:rsidR="00DA07D8" w:rsidRPr="00DA07D8" w:rsidRDefault="00DA07D8" w:rsidP="00DA07D8">
            <w:pPr>
              <w:spacing w:after="0" w:line="240" w:lineRule="auto"/>
              <w:ind w:firstLineChars="200" w:firstLine="320"/>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Total for Programme 2.1</w:t>
            </w:r>
          </w:p>
        </w:tc>
        <w:tc>
          <w:tcPr>
            <w:tcW w:w="114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color w:val="000000"/>
                <w:sz w:val="16"/>
                <w:szCs w:val="16"/>
              </w:rPr>
            </w:pPr>
            <w:r w:rsidRPr="00DA07D8">
              <w:rPr>
                <w:rFonts w:ascii="Arial" w:hAnsi="Arial" w:cs="Arial"/>
                <w:b/>
                <w:bCs/>
                <w:color w:val="000000"/>
                <w:sz w:val="16"/>
                <w:szCs w:val="16"/>
              </w:rPr>
              <w:t>82,860</w:t>
            </w:r>
          </w:p>
        </w:tc>
        <w:tc>
          <w:tcPr>
            <w:tcW w:w="116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color w:val="000000"/>
                <w:sz w:val="16"/>
                <w:szCs w:val="16"/>
              </w:rPr>
            </w:pPr>
            <w:r w:rsidRPr="00DA07D8">
              <w:rPr>
                <w:rFonts w:ascii="Arial" w:hAnsi="Arial" w:cs="Arial"/>
                <w:b/>
                <w:bCs/>
                <w:color w:val="000000"/>
                <w:sz w:val="16"/>
                <w:szCs w:val="16"/>
              </w:rPr>
              <w:t>64,301</w:t>
            </w:r>
          </w:p>
        </w:tc>
      </w:tr>
      <w:tr w:rsidR="00DA07D8" w:rsidRPr="00DA07D8" w:rsidTr="00DA07D8">
        <w:trPr>
          <w:trHeight w:val="60"/>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200" w:firstLine="320"/>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Outcome 2 Totals by resource type</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Departmental expenses</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200" w:firstLine="320"/>
              <w:jc w:val="left"/>
              <w:rPr>
                <w:rFonts w:ascii="Arial" w:hAnsi="Arial" w:cs="Arial"/>
                <w:sz w:val="16"/>
                <w:szCs w:val="16"/>
              </w:rPr>
            </w:pPr>
            <w:r w:rsidRPr="00DA07D8">
              <w:rPr>
                <w:rFonts w:ascii="Arial" w:hAnsi="Arial" w:cs="Arial"/>
                <w:sz w:val="16"/>
                <w:szCs w:val="16"/>
              </w:rPr>
              <w:t>Special accounts</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82,755</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64,301</w:t>
            </w:r>
          </w:p>
        </w:tc>
      </w:tr>
      <w:tr w:rsidR="00DA07D8" w:rsidRPr="00DA07D8" w:rsidTr="00DA07D8">
        <w:trPr>
          <w:trHeight w:val="225"/>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Expenses not requiring appropriation in the Budget Year </w:t>
            </w:r>
            <w:r w:rsidRPr="00DA07D8">
              <w:rPr>
                <w:rFonts w:ascii="Arial" w:hAnsi="Arial" w:cs="Arial"/>
                <w:sz w:val="16"/>
                <w:szCs w:val="16"/>
                <w:vertAlign w:val="superscript"/>
              </w:rPr>
              <w:t>2</w:t>
            </w: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105</w:t>
            </w:r>
          </w:p>
        </w:tc>
        <w:tc>
          <w:tcPr>
            <w:tcW w:w="116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r>
      <w:tr w:rsidR="00DA07D8" w:rsidRPr="00DA07D8" w:rsidTr="00DA07D8">
        <w:trPr>
          <w:trHeight w:val="60"/>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114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c>
          <w:tcPr>
            <w:tcW w:w="116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r>
      <w:tr w:rsidR="00DA07D8" w:rsidRPr="00DA07D8" w:rsidTr="00DA07D8">
        <w:trPr>
          <w:trHeight w:val="225"/>
        </w:trPr>
        <w:tc>
          <w:tcPr>
            <w:tcW w:w="50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Total expenses for Outcome 2</w:t>
            </w:r>
          </w:p>
        </w:tc>
        <w:tc>
          <w:tcPr>
            <w:tcW w:w="114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color w:val="000000"/>
                <w:sz w:val="16"/>
                <w:szCs w:val="16"/>
              </w:rPr>
            </w:pPr>
            <w:r w:rsidRPr="00DA07D8">
              <w:rPr>
                <w:rFonts w:ascii="Arial" w:hAnsi="Arial" w:cs="Arial"/>
                <w:b/>
                <w:bCs/>
                <w:color w:val="000000"/>
                <w:sz w:val="16"/>
                <w:szCs w:val="16"/>
              </w:rPr>
              <w:t>82,860</w:t>
            </w:r>
          </w:p>
        </w:tc>
        <w:tc>
          <w:tcPr>
            <w:tcW w:w="116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color w:val="000000"/>
                <w:sz w:val="16"/>
                <w:szCs w:val="16"/>
              </w:rPr>
            </w:pPr>
            <w:r w:rsidRPr="00DA07D8">
              <w:rPr>
                <w:rFonts w:ascii="Arial" w:hAnsi="Arial" w:cs="Arial"/>
                <w:b/>
                <w:bCs/>
                <w:color w:val="000000"/>
                <w:sz w:val="16"/>
                <w:szCs w:val="16"/>
              </w:rPr>
              <w:t>64,301</w:t>
            </w:r>
          </w:p>
        </w:tc>
      </w:tr>
      <w:tr w:rsidR="00DA07D8" w:rsidRPr="00DA07D8" w:rsidTr="00DA07D8">
        <w:trPr>
          <w:trHeight w:val="60"/>
        </w:trPr>
        <w:tc>
          <w:tcPr>
            <w:tcW w:w="50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11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p>
        </w:tc>
        <w:tc>
          <w:tcPr>
            <w:tcW w:w="116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4"/>
                <w:szCs w:val="14"/>
              </w:rPr>
            </w:pPr>
          </w:p>
        </w:tc>
      </w:tr>
      <w:tr w:rsidR="00DA07D8" w:rsidRPr="00DA07D8" w:rsidTr="00DA07D8">
        <w:trPr>
          <w:trHeight w:val="225"/>
        </w:trPr>
        <w:tc>
          <w:tcPr>
            <w:tcW w:w="508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r w:rsidRPr="00DA07D8">
              <w:rPr>
                <w:rFonts w:ascii="Arial" w:hAnsi="Arial" w:cs="Arial"/>
                <w:color w:val="000000"/>
                <w:sz w:val="16"/>
                <w:szCs w:val="16"/>
              </w:rPr>
              <w:t> </w:t>
            </w:r>
          </w:p>
        </w:tc>
        <w:tc>
          <w:tcPr>
            <w:tcW w:w="114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116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r>
      <w:tr w:rsidR="00DA07D8" w:rsidRPr="00DA07D8" w:rsidTr="00DA07D8">
        <w:trPr>
          <w:trHeight w:val="225"/>
        </w:trPr>
        <w:tc>
          <w:tcPr>
            <w:tcW w:w="5080" w:type="dxa"/>
            <w:tcBorders>
              <w:top w:val="nil"/>
              <w:left w:val="nil"/>
              <w:bottom w:val="single" w:sz="4" w:space="0" w:color="000000"/>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color w:val="000000"/>
                <w:sz w:val="16"/>
                <w:szCs w:val="16"/>
              </w:rPr>
            </w:pPr>
            <w:r w:rsidRPr="00DA07D8">
              <w:rPr>
                <w:rFonts w:ascii="Arial" w:hAnsi="Arial" w:cs="Arial"/>
                <w:b/>
                <w:bCs/>
                <w:color w:val="000000"/>
                <w:sz w:val="16"/>
                <w:szCs w:val="16"/>
              </w:rPr>
              <w:t>Average Staffing Level (number)</w:t>
            </w:r>
          </w:p>
        </w:tc>
        <w:tc>
          <w:tcPr>
            <w:tcW w:w="1140" w:type="dxa"/>
            <w:tcBorders>
              <w:top w:val="single" w:sz="4" w:space="0" w:color="000000"/>
              <w:left w:val="nil"/>
              <w:bottom w:val="single" w:sz="4" w:space="0" w:color="000000"/>
              <w:right w:val="nil"/>
            </w:tcBorders>
            <w:shd w:val="clear" w:color="000000" w:fill="FFFFFF"/>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410</w:t>
            </w:r>
          </w:p>
        </w:tc>
        <w:tc>
          <w:tcPr>
            <w:tcW w:w="116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391</w:t>
            </w:r>
          </w:p>
        </w:tc>
      </w:tr>
    </w:tbl>
    <w:p w:rsidR="00901F17" w:rsidRPr="004570A3" w:rsidRDefault="00901F17" w:rsidP="00901F17">
      <w:pPr>
        <w:spacing w:after="0" w:line="240" w:lineRule="auto"/>
        <w:rPr>
          <w:sz w:val="6"/>
          <w:szCs w:val="6"/>
        </w:rPr>
      </w:pPr>
    </w:p>
    <w:p w:rsidR="00901F17" w:rsidRPr="00344E3B" w:rsidRDefault="00901F17" w:rsidP="00901F17">
      <w:pPr>
        <w:pStyle w:val="ListParagraph"/>
        <w:numPr>
          <w:ilvl w:val="0"/>
          <w:numId w:val="50"/>
        </w:numPr>
        <w:spacing w:after="60" w:line="240" w:lineRule="auto"/>
        <w:ind w:left="426" w:hanging="426"/>
        <w:contextualSpacing w:val="0"/>
        <w:outlineLvl w:val="6"/>
        <w:rPr>
          <w:rFonts w:ascii="Arial" w:eastAsia="Times New Roman" w:hAnsi="Arial" w:cs="Arial"/>
          <w:sz w:val="15"/>
          <w:szCs w:val="15"/>
          <w:lang w:val="en-AU" w:eastAsia="en-AU"/>
        </w:rPr>
      </w:pPr>
      <w:r w:rsidRPr="00344E3B">
        <w:rPr>
          <w:rFonts w:ascii="Arial" w:eastAsia="Times New Roman" w:hAnsi="Arial" w:cs="Arial"/>
          <w:sz w:val="15"/>
          <w:szCs w:val="15"/>
          <w:lang w:val="en-AU" w:eastAsia="en-AU"/>
        </w:rPr>
        <w:t>Formerly reported under ComSuper</w:t>
      </w:r>
      <w:r w:rsidR="00BB19A7">
        <w:rPr>
          <w:rFonts w:ascii="Arial" w:eastAsia="Times New Roman" w:hAnsi="Arial" w:cs="Arial"/>
          <w:sz w:val="15"/>
          <w:szCs w:val="15"/>
          <w:lang w:val="en-AU" w:eastAsia="en-AU"/>
        </w:rPr>
        <w:t>.</w:t>
      </w:r>
    </w:p>
    <w:p w:rsidR="00901F17" w:rsidRPr="00344E3B" w:rsidRDefault="00901F17" w:rsidP="00901F17">
      <w:pPr>
        <w:pStyle w:val="ListParagraph"/>
        <w:numPr>
          <w:ilvl w:val="0"/>
          <w:numId w:val="50"/>
        </w:numPr>
        <w:spacing w:after="60" w:line="240" w:lineRule="auto"/>
        <w:ind w:left="426" w:hanging="426"/>
        <w:contextualSpacing w:val="0"/>
        <w:outlineLvl w:val="6"/>
        <w:rPr>
          <w:rFonts w:ascii="Arial" w:eastAsia="Times New Roman" w:hAnsi="Arial" w:cs="Arial"/>
          <w:sz w:val="15"/>
          <w:szCs w:val="15"/>
          <w:lang w:val="en-AU" w:eastAsia="en-AU"/>
        </w:rPr>
      </w:pPr>
      <w:r w:rsidRPr="00344E3B">
        <w:rPr>
          <w:rFonts w:ascii="Arial" w:eastAsia="Times New Roman" w:hAnsi="Arial" w:cs="Arial"/>
          <w:sz w:val="15"/>
          <w:szCs w:val="15"/>
          <w:lang w:val="en-AU" w:eastAsia="en-AU"/>
        </w:rPr>
        <w:t>Expenses not requiring appropriation in the Budget year is made up of resources received free of charge for a notional Audit Fee from the Australia National Audit Office.</w:t>
      </w:r>
    </w:p>
    <w:p w:rsidR="00901F17" w:rsidRPr="00E07FD9" w:rsidRDefault="00901F17" w:rsidP="00901F17">
      <w:pPr>
        <w:pStyle w:val="Exampletextbullet"/>
        <w:numPr>
          <w:ilvl w:val="0"/>
          <w:numId w:val="0"/>
        </w:numPr>
        <w:spacing w:after="0" w:line="240" w:lineRule="auto"/>
        <w:rPr>
          <w:rFonts w:ascii="Arial" w:hAnsi="Arial" w:cs="Arial"/>
          <w:i w:val="0"/>
          <w:color w:val="auto"/>
          <w:sz w:val="18"/>
          <w:szCs w:val="18"/>
        </w:rPr>
      </w:pPr>
    </w:p>
    <w:p w:rsidR="00901F17" w:rsidRPr="00344E3B" w:rsidRDefault="00901F17" w:rsidP="00901F17">
      <w:pPr>
        <w:spacing w:before="240" w:line="240" w:lineRule="auto"/>
        <w:jc w:val="left"/>
        <w:rPr>
          <w:rFonts w:ascii="Arial Bold" w:hAnsi="Arial Bold" w:cs="Arial"/>
          <w:b/>
          <w:smallCaps/>
          <w:sz w:val="26"/>
          <w:szCs w:val="26"/>
        </w:rPr>
      </w:pPr>
      <w:r w:rsidRPr="00E07FD9">
        <w:br w:type="page"/>
      </w:r>
      <w:r w:rsidRPr="00344E3B">
        <w:rPr>
          <w:rFonts w:ascii="Arial Bold" w:hAnsi="Arial Bold" w:cs="Arial"/>
          <w:b/>
          <w:smallCaps/>
          <w:sz w:val="26"/>
          <w:szCs w:val="26"/>
        </w:rPr>
        <w:lastRenderedPageBreak/>
        <w:t xml:space="preserve">Contributions to Outcome 2 </w:t>
      </w:r>
    </w:p>
    <w:tbl>
      <w:tblPr>
        <w:tblW w:w="0" w:type="auto"/>
        <w:tblInd w:w="108" w:type="dxa"/>
        <w:tblBorders>
          <w:top w:val="single" w:sz="2" w:space="0" w:color="auto"/>
          <w:left w:val="single" w:sz="2" w:space="0" w:color="auto"/>
          <w:bottom w:val="single" w:sz="2" w:space="0" w:color="auto"/>
          <w:right w:val="single" w:sz="2" w:space="0" w:color="auto"/>
          <w:insideH w:val="single" w:sz="2" w:space="0" w:color="auto"/>
        </w:tblBorders>
        <w:tblLook w:val="01E0"/>
      </w:tblPr>
      <w:tblGrid>
        <w:gridCol w:w="7713"/>
      </w:tblGrid>
      <w:tr w:rsidR="00901F17" w:rsidTr="003E110F">
        <w:tc>
          <w:tcPr>
            <w:tcW w:w="7713" w:type="dxa"/>
            <w:shd w:val="clear" w:color="auto" w:fill="E6E6E6"/>
          </w:tcPr>
          <w:p w:rsidR="00901F17" w:rsidRDefault="00901F17" w:rsidP="003E110F">
            <w:pPr>
              <w:pStyle w:val="TableColumnHeadingLeft"/>
            </w:pPr>
            <w:r>
              <w:t xml:space="preserve">Programme 2.1: </w:t>
            </w:r>
            <w:r w:rsidRPr="003B1933">
              <w:rPr>
                <w:rFonts w:cs="Arial"/>
                <w:bCs/>
                <w:sz w:val="19"/>
                <w:szCs w:val="19"/>
              </w:rPr>
              <w:t>Superannuation Administration Services</w:t>
            </w:r>
          </w:p>
        </w:tc>
      </w:tr>
    </w:tbl>
    <w:p w:rsidR="00901F17" w:rsidRDefault="00901F17" w:rsidP="00901F17">
      <w:pPr>
        <w:pStyle w:val="NoSpacing"/>
      </w:pPr>
    </w:p>
    <w:p w:rsidR="00901F17" w:rsidRPr="00FD4739" w:rsidRDefault="00901F17" w:rsidP="00E453F8">
      <w:pPr>
        <w:pStyle w:val="Heading5"/>
      </w:pPr>
      <w:r w:rsidRPr="00FD4739">
        <w:t>Programme 2.1 Objective</w:t>
      </w:r>
    </w:p>
    <w:p w:rsidR="00901F17" w:rsidRDefault="00901F17" w:rsidP="00901F17">
      <w:pPr>
        <w:pStyle w:val="NoSpacing"/>
      </w:pPr>
      <w:r w:rsidRPr="00E10F91">
        <w:rPr>
          <w:rFonts w:cs="BookAntiqua"/>
        </w:rPr>
        <w:t xml:space="preserve">To provide access to </w:t>
      </w:r>
      <w:r w:rsidR="00BB19A7">
        <w:rPr>
          <w:rFonts w:cs="BookAntiqua"/>
        </w:rPr>
        <w:t>g</w:t>
      </w:r>
      <w:r w:rsidRPr="00E10F91">
        <w:rPr>
          <w:rFonts w:cs="BookAntiqua"/>
        </w:rPr>
        <w:t xml:space="preserve">overnment superannuation benefits and information, through developing members’ understanding of the schemes, processing </w:t>
      </w:r>
      <w:r w:rsidRPr="00E10F91">
        <w:t>contributions</w:t>
      </w:r>
      <w:r w:rsidRPr="00E10F91">
        <w:rPr>
          <w:rFonts w:cs="BookAntiqua"/>
        </w:rPr>
        <w:t xml:space="preserve">, supporting investment processes, paying benefits and managing member details, for current and former </w:t>
      </w:r>
      <w:r w:rsidR="00BB19A7">
        <w:rPr>
          <w:rFonts w:cs="BookAntiqua"/>
        </w:rPr>
        <w:t>g</w:t>
      </w:r>
      <w:r>
        <w:rPr>
          <w:rFonts w:cs="BookAntiqua"/>
        </w:rPr>
        <w:t>overnment employees</w:t>
      </w:r>
      <w:r w:rsidRPr="00E10F91">
        <w:rPr>
          <w:rFonts w:cs="BookAntiqua"/>
        </w:rPr>
        <w:t xml:space="preserve"> and members of the Australian Defence Force</w:t>
      </w:r>
      <w:r>
        <w:rPr>
          <w:rFonts w:cs="BookAntiqua"/>
        </w:rPr>
        <w:t>.</w:t>
      </w:r>
    </w:p>
    <w:p w:rsidR="00901F17" w:rsidRDefault="00901F17" w:rsidP="00901F17">
      <w:pPr>
        <w:pStyle w:val="NoSpacing"/>
      </w:pPr>
    </w:p>
    <w:p w:rsidR="00901F17" w:rsidRDefault="00901F17" w:rsidP="00E453F8">
      <w:pPr>
        <w:pStyle w:val="Heading5"/>
      </w:pPr>
      <w:r w:rsidRPr="00FD4739">
        <w:t>Programme 2.1 Expenses</w:t>
      </w:r>
    </w:p>
    <w:p w:rsidR="006C5090" w:rsidRDefault="006C5090" w:rsidP="006C5090">
      <w:pPr>
        <w:pStyle w:val="NoSpacing"/>
        <w:spacing w:before="120" w:after="60"/>
      </w:pPr>
      <w:r w:rsidRPr="00E10F91">
        <w:rPr>
          <w:rFonts w:cs="BookAntiqua"/>
        </w:rPr>
        <w:t>As the closed defined benefits schemes gradually decrease in membership over time, there will be a corresponding decrease in revenue. This will require careful cost management and a strong focus on improving overall operational efficiency.</w:t>
      </w:r>
    </w:p>
    <w:tbl>
      <w:tblPr>
        <w:tblW w:w="7740" w:type="dxa"/>
        <w:tblInd w:w="93" w:type="dxa"/>
        <w:tblLook w:val="04A0"/>
      </w:tblPr>
      <w:tblGrid>
        <w:gridCol w:w="3240"/>
        <w:gridCol w:w="928"/>
        <w:gridCol w:w="900"/>
        <w:gridCol w:w="900"/>
        <w:gridCol w:w="900"/>
        <w:gridCol w:w="900"/>
      </w:tblGrid>
      <w:tr w:rsidR="00DA07D8" w:rsidRPr="00DA07D8" w:rsidTr="00DA07D8">
        <w:trPr>
          <w:trHeight w:val="225"/>
        </w:trPr>
        <w:tc>
          <w:tcPr>
            <w:tcW w:w="3240" w:type="dxa"/>
            <w:tcBorders>
              <w:top w:val="single" w:sz="4" w:space="0" w:color="auto"/>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b/>
                <w:bCs/>
                <w:sz w:val="16"/>
                <w:szCs w:val="16"/>
              </w:rPr>
            </w:pPr>
            <w:r w:rsidRPr="00DA07D8">
              <w:rPr>
                <w:rFonts w:ascii="Arial" w:hAnsi="Arial" w:cs="Arial"/>
                <w:b/>
                <w:bCs/>
                <w:sz w:val="16"/>
                <w:szCs w:val="16"/>
              </w:rPr>
              <w:t> </w:t>
            </w:r>
          </w:p>
        </w:tc>
        <w:tc>
          <w:tcPr>
            <w:tcW w:w="90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900" w:type="dxa"/>
            <w:tcBorders>
              <w:top w:val="single" w:sz="4" w:space="0" w:color="auto"/>
              <w:left w:val="nil"/>
              <w:bottom w:val="nil"/>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c>
          <w:tcPr>
            <w:tcW w:w="900" w:type="dxa"/>
            <w:tcBorders>
              <w:top w:val="single" w:sz="4" w:space="0" w:color="auto"/>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2016-17</w:t>
            </w:r>
          </w:p>
        </w:tc>
        <w:tc>
          <w:tcPr>
            <w:tcW w:w="90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2017-18</w:t>
            </w:r>
          </w:p>
        </w:tc>
        <w:tc>
          <w:tcPr>
            <w:tcW w:w="90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2018-19</w:t>
            </w:r>
          </w:p>
        </w:tc>
      </w:tr>
      <w:tr w:rsidR="00DA07D8" w:rsidRPr="00DA07D8" w:rsidTr="00DA07D8">
        <w:trPr>
          <w:trHeight w:val="225"/>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Budget</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r>
      <w:tr w:rsidR="00DA07D8" w:rsidRPr="00DA07D8" w:rsidTr="00DA07D8">
        <w:trPr>
          <w:trHeight w:val="225"/>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actual</w:t>
            </w: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r>
      <w:tr w:rsidR="00DA07D8" w:rsidRPr="00DA07D8" w:rsidTr="00DA07D8">
        <w:trPr>
          <w:trHeight w:val="225"/>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900" w:type="dxa"/>
            <w:tcBorders>
              <w:top w:val="nil"/>
              <w:left w:val="nil"/>
              <w:bottom w:val="single" w:sz="4" w:space="0" w:color="auto"/>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90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90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900" w:type="dxa"/>
            <w:tcBorders>
              <w:top w:val="nil"/>
              <w:left w:val="nil"/>
              <w:bottom w:val="single" w:sz="4" w:space="0" w:color="auto"/>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r>
      <w:tr w:rsidR="00DA07D8" w:rsidRPr="00DA07D8" w:rsidTr="00DA07D8">
        <w:trPr>
          <w:trHeight w:val="225"/>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Special account expenses: </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r>
      <w:tr w:rsidR="00DA07D8" w:rsidRPr="00DA07D8" w:rsidTr="00DA07D8">
        <w:trPr>
          <w:trHeight w:val="240"/>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Comsuper Special Account </w:t>
            </w:r>
            <w:r w:rsidRPr="00DA07D8">
              <w:rPr>
                <w:rFonts w:ascii="Arial" w:hAnsi="Arial" w:cs="Arial"/>
                <w:sz w:val="16"/>
                <w:szCs w:val="16"/>
                <w:vertAlign w:val="superscript"/>
              </w:rPr>
              <w:t>1</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82,755</w:t>
            </w: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64,301</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61,841</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62,242</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62,445</w:t>
            </w:r>
          </w:p>
        </w:tc>
      </w:tr>
      <w:tr w:rsidR="00DA07D8" w:rsidRPr="00DA07D8" w:rsidTr="00DA07D8">
        <w:trPr>
          <w:trHeight w:val="225"/>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Expenses not requiring appropriation in</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c>
          <w:tcPr>
            <w:tcW w:w="90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p>
        </w:tc>
      </w:tr>
      <w:tr w:rsidR="00DA07D8" w:rsidRPr="00DA07D8" w:rsidTr="00DA07D8">
        <w:trPr>
          <w:trHeight w:val="240"/>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the Budget year </w:t>
            </w:r>
            <w:r w:rsidRPr="00DA07D8">
              <w:rPr>
                <w:rFonts w:ascii="Arial" w:hAnsi="Arial" w:cs="Arial"/>
                <w:sz w:val="16"/>
                <w:szCs w:val="16"/>
                <w:vertAlign w:val="superscript"/>
              </w:rPr>
              <w:t>2</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105</w:t>
            </w: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r>
      <w:tr w:rsidR="00DA07D8" w:rsidRPr="00DA07D8" w:rsidTr="00DA07D8">
        <w:trPr>
          <w:trHeight w:val="60"/>
        </w:trPr>
        <w:tc>
          <w:tcPr>
            <w:tcW w:w="32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90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r>
      <w:tr w:rsidR="00DA07D8" w:rsidRPr="00DA07D8" w:rsidTr="00DA07D8">
        <w:trPr>
          <w:trHeight w:val="225"/>
        </w:trPr>
        <w:tc>
          <w:tcPr>
            <w:tcW w:w="324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xml:space="preserve">Total Programme expenses </w:t>
            </w:r>
          </w:p>
        </w:tc>
        <w:tc>
          <w:tcPr>
            <w:tcW w:w="90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82,860</w:t>
            </w:r>
          </w:p>
        </w:tc>
        <w:tc>
          <w:tcPr>
            <w:tcW w:w="900" w:type="dxa"/>
            <w:tcBorders>
              <w:top w:val="single" w:sz="4" w:space="0" w:color="auto"/>
              <w:left w:val="nil"/>
              <w:bottom w:val="single" w:sz="4" w:space="0" w:color="auto"/>
              <w:right w:val="nil"/>
            </w:tcBorders>
            <w:shd w:val="clear" w:color="000000" w:fill="E6E6E6"/>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64,301</w:t>
            </w:r>
          </w:p>
        </w:tc>
        <w:tc>
          <w:tcPr>
            <w:tcW w:w="90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61,841</w:t>
            </w:r>
          </w:p>
        </w:tc>
        <w:tc>
          <w:tcPr>
            <w:tcW w:w="90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62,242</w:t>
            </w:r>
          </w:p>
        </w:tc>
        <w:tc>
          <w:tcPr>
            <w:tcW w:w="900" w:type="dxa"/>
            <w:tcBorders>
              <w:top w:val="single" w:sz="4" w:space="0" w:color="auto"/>
              <w:left w:val="nil"/>
              <w:bottom w:val="single" w:sz="4" w:space="0" w:color="auto"/>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62,445</w:t>
            </w:r>
          </w:p>
        </w:tc>
      </w:tr>
    </w:tbl>
    <w:p w:rsidR="00901F17" w:rsidRPr="004570A3" w:rsidRDefault="00901F17" w:rsidP="00901F17">
      <w:pPr>
        <w:spacing w:after="0" w:line="240" w:lineRule="auto"/>
        <w:rPr>
          <w:sz w:val="6"/>
          <w:szCs w:val="6"/>
        </w:rPr>
      </w:pPr>
    </w:p>
    <w:p w:rsidR="00901F17" w:rsidRPr="00344E3B" w:rsidRDefault="005E1EF1" w:rsidP="00901F17">
      <w:pPr>
        <w:pStyle w:val="ListParagraph"/>
        <w:numPr>
          <w:ilvl w:val="0"/>
          <w:numId w:val="54"/>
        </w:numPr>
        <w:spacing w:after="60" w:line="240" w:lineRule="auto"/>
        <w:ind w:left="426" w:hanging="426"/>
        <w:contextualSpacing w:val="0"/>
        <w:outlineLvl w:val="6"/>
        <w:rPr>
          <w:rFonts w:ascii="Arial" w:eastAsia="Times New Roman" w:hAnsi="Arial" w:cs="Arial"/>
          <w:sz w:val="15"/>
          <w:szCs w:val="15"/>
          <w:lang w:val="en-AU" w:eastAsia="en-AU"/>
        </w:rPr>
      </w:pPr>
      <w:r>
        <w:rPr>
          <w:rFonts w:ascii="Arial" w:eastAsia="Times New Roman" w:hAnsi="Arial" w:cs="Arial"/>
          <w:sz w:val="15"/>
          <w:szCs w:val="15"/>
          <w:lang w:val="en-AU" w:eastAsia="en-AU"/>
        </w:rPr>
        <w:t>Reported under ComSuper for 2014</w:t>
      </w:r>
      <w:r w:rsidR="006636AA">
        <w:rPr>
          <w:rFonts w:ascii="Arial" w:eastAsia="Times New Roman" w:hAnsi="Arial" w:cs="Arial"/>
          <w:sz w:val="15"/>
          <w:szCs w:val="15"/>
          <w:lang w:val="en-AU" w:eastAsia="en-AU"/>
        </w:rPr>
        <w:t>-</w:t>
      </w:r>
      <w:r>
        <w:rPr>
          <w:rFonts w:ascii="Arial" w:eastAsia="Times New Roman" w:hAnsi="Arial" w:cs="Arial"/>
          <w:sz w:val="15"/>
          <w:szCs w:val="15"/>
          <w:lang w:val="en-AU" w:eastAsia="en-AU"/>
        </w:rPr>
        <w:t xml:space="preserve">15. To be </w:t>
      </w:r>
      <w:r w:rsidR="00763D3B">
        <w:rPr>
          <w:rFonts w:ascii="Arial" w:eastAsia="Times New Roman" w:hAnsi="Arial" w:cs="Arial"/>
          <w:sz w:val="15"/>
          <w:szCs w:val="15"/>
          <w:lang w:val="en-AU" w:eastAsia="en-AU"/>
        </w:rPr>
        <w:t>replaced by the</w:t>
      </w:r>
      <w:r>
        <w:rPr>
          <w:rFonts w:ascii="Arial" w:eastAsia="Times New Roman" w:hAnsi="Arial" w:cs="Arial"/>
          <w:sz w:val="15"/>
          <w:szCs w:val="15"/>
          <w:lang w:val="en-AU" w:eastAsia="en-AU"/>
        </w:rPr>
        <w:t xml:space="preserve"> ‘CSC Special Account’ on 1 July 2015, subject to the passage of legislation.</w:t>
      </w:r>
    </w:p>
    <w:p w:rsidR="00901F17" w:rsidRPr="00344E3B" w:rsidRDefault="00901F17" w:rsidP="00901F17">
      <w:pPr>
        <w:pStyle w:val="ListParagraph"/>
        <w:numPr>
          <w:ilvl w:val="0"/>
          <w:numId w:val="54"/>
        </w:numPr>
        <w:spacing w:after="60" w:line="240" w:lineRule="auto"/>
        <w:ind w:left="426" w:hanging="426"/>
        <w:contextualSpacing w:val="0"/>
        <w:outlineLvl w:val="6"/>
        <w:rPr>
          <w:rFonts w:ascii="Arial" w:eastAsia="Times New Roman" w:hAnsi="Arial" w:cs="Arial"/>
          <w:sz w:val="15"/>
          <w:szCs w:val="15"/>
          <w:lang w:val="en-AU" w:eastAsia="en-AU"/>
        </w:rPr>
      </w:pPr>
      <w:r w:rsidRPr="00344E3B">
        <w:rPr>
          <w:rFonts w:ascii="Arial" w:eastAsia="Times New Roman" w:hAnsi="Arial" w:cs="Arial"/>
          <w:sz w:val="15"/>
          <w:szCs w:val="15"/>
          <w:lang w:val="en-AU" w:eastAsia="en-AU"/>
        </w:rPr>
        <w:t>Expenses not requiring appropriation in the Budget year is made up of resources received free of charge for a notional Audit Fee from the Australia National Audit Office.</w:t>
      </w:r>
    </w:p>
    <w:p w:rsidR="00901F17" w:rsidRDefault="00901F17" w:rsidP="00901F17">
      <w:pPr>
        <w:pStyle w:val="NoSpacing"/>
        <w:rPr>
          <w:rFonts w:cs="BookAntiqua"/>
        </w:rPr>
      </w:pPr>
    </w:p>
    <w:p w:rsidR="00901F17" w:rsidRDefault="00901F17" w:rsidP="00901F17">
      <w:pPr>
        <w:pStyle w:val="SingleParagraph"/>
      </w:pPr>
      <w:r>
        <w:br w:type="page"/>
      </w:r>
    </w:p>
    <w:p w:rsidR="00901F17" w:rsidRPr="00FD4739" w:rsidRDefault="00901F17" w:rsidP="00E453F8">
      <w:pPr>
        <w:pStyle w:val="Heading5"/>
      </w:pPr>
      <w:r w:rsidRPr="00FD4739">
        <w:lastRenderedPageBreak/>
        <w:t xml:space="preserve">Programme 2.1 Deliverables  </w:t>
      </w:r>
    </w:p>
    <w:p w:rsidR="00901F17" w:rsidRPr="00867880" w:rsidRDefault="00901F17" w:rsidP="00375F30">
      <w:pPr>
        <w:spacing w:after="120"/>
      </w:pPr>
      <w:r>
        <w:t xml:space="preserve">CSC’s administration </w:t>
      </w:r>
      <w:r w:rsidRPr="00867880">
        <w:t>service delivery requirements are driven by:</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legislative change;</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 xml:space="preserve">demand associated with the numbers of scheme members and employing </w:t>
      </w:r>
      <w:r w:rsidR="00081A28">
        <w:rPr>
          <w:rFonts w:ascii="Book Antiqua" w:hAnsi="Book Antiqua"/>
          <w:sz w:val="20"/>
          <w:szCs w:val="20"/>
        </w:rPr>
        <w:t>entities</w:t>
      </w:r>
      <w:r w:rsidRPr="00E87966">
        <w:rPr>
          <w:rFonts w:ascii="Book Antiqua" w:hAnsi="Book Antiqua"/>
          <w:sz w:val="20"/>
          <w:szCs w:val="20"/>
        </w:rPr>
        <w:t>;</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regulators; and</w:t>
      </w:r>
    </w:p>
    <w:p w:rsidR="00901F17"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 xml:space="preserve">the portfolio </w:t>
      </w:r>
      <w:r w:rsidR="00081A28">
        <w:rPr>
          <w:rFonts w:ascii="Book Antiqua" w:hAnsi="Book Antiqua"/>
          <w:sz w:val="20"/>
          <w:szCs w:val="20"/>
        </w:rPr>
        <w:t>entities</w:t>
      </w:r>
      <w:r w:rsidRPr="00E87966">
        <w:rPr>
          <w:rFonts w:ascii="Book Antiqua" w:hAnsi="Book Antiqua"/>
          <w:sz w:val="20"/>
          <w:szCs w:val="20"/>
        </w:rPr>
        <w:t xml:space="preserve"> responsible for the schemes’ policies and framework.</w:t>
      </w:r>
    </w:p>
    <w:p w:rsidR="00901F17" w:rsidRPr="00E87966" w:rsidRDefault="00901F17" w:rsidP="00375F30">
      <w:pPr>
        <w:spacing w:after="120"/>
      </w:pPr>
    </w:p>
    <w:p w:rsidR="00901F17" w:rsidRPr="00375F30" w:rsidRDefault="00901F17" w:rsidP="00375F30">
      <w:pPr>
        <w:spacing w:after="120"/>
      </w:pPr>
      <w:r w:rsidRPr="00375F30">
        <w:t>The administrative services CSC provides include:</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managing the superannuation records and financial transactions, including investment switches, of members including contributor, preserved and pensioner members and ancillaries (e.g. ex-spouses);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calculating benefit estimates and paying superannuation benefits to members (e.g. fortnightly pensions and lump sum payments or transfers out to other schemes);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responding to member inquiries (e.g. inquiries received through the Customer Information Centre and via email, telephone and written correspondence);</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providing annual member statements to contributor and preserved members and payment summaries to pensioners;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providing legal, governance and compliance services;</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providing casework services, including eligibility determination, death and invalidity, early release, and review/reconsideration;</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implementing Family Law Court determinations for splitting superannuation benefits; and</w:t>
      </w:r>
    </w:p>
    <w:p w:rsidR="00901F17" w:rsidRPr="00E87966" w:rsidRDefault="00901F17" w:rsidP="00375F30">
      <w:pPr>
        <w:pStyle w:val="ListParagraph"/>
        <w:numPr>
          <w:ilvl w:val="0"/>
          <w:numId w:val="9"/>
        </w:numPr>
        <w:autoSpaceDE w:val="0"/>
        <w:autoSpaceDN w:val="0"/>
        <w:spacing w:after="120" w:line="240" w:lineRule="auto"/>
        <w:ind w:left="567" w:hanging="357"/>
        <w:contextualSpacing w:val="0"/>
        <w:jc w:val="both"/>
        <w:rPr>
          <w:rFonts w:ascii="Book Antiqua" w:hAnsi="Book Antiqua"/>
          <w:sz w:val="20"/>
          <w:szCs w:val="20"/>
        </w:rPr>
      </w:pPr>
      <w:r w:rsidRPr="00E87966">
        <w:rPr>
          <w:rFonts w:ascii="Book Antiqua" w:hAnsi="Book Antiqua"/>
          <w:sz w:val="20"/>
          <w:szCs w:val="20"/>
        </w:rPr>
        <w:t>provision of information products for scheme members including publications to provide member information through websites and annual reports.</w:t>
      </w:r>
    </w:p>
    <w:p w:rsidR="00901F17" w:rsidRDefault="00901F17" w:rsidP="00901F17">
      <w:pPr>
        <w:spacing w:after="0" w:line="240" w:lineRule="auto"/>
        <w:jc w:val="left"/>
        <w:rPr>
          <w:rFonts w:ascii="Arial" w:hAnsi="Arial" w:cs="Arial"/>
          <w:b/>
        </w:rPr>
      </w:pPr>
      <w:r>
        <w:rPr>
          <w:rFonts w:cs="Arial"/>
          <w:bCs/>
          <w:iCs/>
        </w:rPr>
        <w:br w:type="page"/>
      </w:r>
    </w:p>
    <w:p w:rsidR="00901F17" w:rsidRPr="00344E3B" w:rsidRDefault="00901F17" w:rsidP="00E453F8">
      <w:pPr>
        <w:pStyle w:val="Heading5"/>
      </w:pPr>
      <w:r w:rsidRPr="00344E3B">
        <w:lastRenderedPageBreak/>
        <w:t>Programme 2.1 Deliverables (continued)</w:t>
      </w:r>
    </w:p>
    <w:tbl>
      <w:tblPr>
        <w:tblW w:w="7240" w:type="dxa"/>
        <w:tblInd w:w="93" w:type="dxa"/>
        <w:tblLook w:val="04A0"/>
      </w:tblPr>
      <w:tblGrid>
        <w:gridCol w:w="2840"/>
        <w:gridCol w:w="928"/>
        <w:gridCol w:w="880"/>
        <w:gridCol w:w="880"/>
        <w:gridCol w:w="880"/>
        <w:gridCol w:w="880"/>
      </w:tblGrid>
      <w:tr w:rsidR="00DA07D8" w:rsidRPr="00DA07D8" w:rsidTr="00DA07D8">
        <w:trPr>
          <w:trHeight w:val="225"/>
        </w:trPr>
        <w:tc>
          <w:tcPr>
            <w:tcW w:w="2840" w:type="dxa"/>
            <w:tcBorders>
              <w:top w:val="single" w:sz="4" w:space="0" w:color="auto"/>
              <w:left w:val="nil"/>
              <w:bottom w:val="nil"/>
              <w:right w:val="nil"/>
            </w:tcBorders>
            <w:shd w:val="clear" w:color="auto" w:fill="auto"/>
            <w:hideMark/>
          </w:tcPr>
          <w:p w:rsidR="00DA07D8" w:rsidRPr="00DA07D8" w:rsidRDefault="00DA07D8" w:rsidP="00DA07D8">
            <w:pPr>
              <w:spacing w:after="0" w:line="240" w:lineRule="auto"/>
              <w:jc w:val="center"/>
              <w:rPr>
                <w:rFonts w:ascii="Arial" w:hAnsi="Arial" w:cs="Arial"/>
                <w:b/>
                <w:bCs/>
                <w:sz w:val="16"/>
                <w:szCs w:val="16"/>
              </w:rPr>
            </w:pPr>
            <w:r w:rsidRPr="00DA07D8">
              <w:rPr>
                <w:rFonts w:ascii="Arial" w:hAnsi="Arial" w:cs="Arial"/>
                <w:b/>
                <w:bCs/>
                <w:sz w:val="16"/>
                <w:szCs w:val="16"/>
              </w:rPr>
              <w:t> </w:t>
            </w:r>
          </w:p>
        </w:tc>
        <w:tc>
          <w:tcPr>
            <w:tcW w:w="88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880" w:type="dxa"/>
            <w:tcBorders>
              <w:top w:val="single" w:sz="4" w:space="0" w:color="auto"/>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c>
          <w:tcPr>
            <w:tcW w:w="880" w:type="dxa"/>
            <w:tcBorders>
              <w:top w:val="single" w:sz="4" w:space="0" w:color="auto"/>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2016-17</w:t>
            </w:r>
          </w:p>
        </w:tc>
        <w:tc>
          <w:tcPr>
            <w:tcW w:w="88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2017-18</w:t>
            </w:r>
          </w:p>
        </w:tc>
        <w:tc>
          <w:tcPr>
            <w:tcW w:w="880" w:type="dxa"/>
            <w:tcBorders>
              <w:top w:val="single" w:sz="4" w:space="0" w:color="auto"/>
              <w:left w:val="nil"/>
              <w:bottom w:val="nil"/>
              <w:right w:val="nil"/>
            </w:tcBorders>
            <w:shd w:val="clear" w:color="000000" w:fill="FFFFFF"/>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2018-19</w:t>
            </w:r>
          </w:p>
        </w:tc>
      </w:tr>
      <w:tr w:rsidR="00DA07D8" w:rsidRPr="00DA07D8" w:rsidTr="00DA07D8">
        <w:trPr>
          <w:trHeight w:val="240"/>
        </w:trPr>
        <w:tc>
          <w:tcPr>
            <w:tcW w:w="284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c>
          <w:tcPr>
            <w:tcW w:w="88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Budget</w:t>
            </w:r>
          </w:p>
        </w:tc>
        <w:tc>
          <w:tcPr>
            <w:tcW w:w="88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8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80" w:type="dxa"/>
            <w:tcBorders>
              <w:top w:val="nil"/>
              <w:left w:val="nil"/>
              <w:bottom w:val="nil"/>
              <w:right w:val="nil"/>
            </w:tcBorders>
            <w:shd w:val="clear" w:color="auto" w:fill="auto"/>
            <w:noWrap/>
            <w:vAlign w:val="bottom"/>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r>
      <w:tr w:rsidR="00DA07D8" w:rsidRPr="00DA07D8" w:rsidTr="00DA07D8">
        <w:trPr>
          <w:trHeight w:val="240"/>
        </w:trPr>
        <w:tc>
          <w:tcPr>
            <w:tcW w:w="2840" w:type="dxa"/>
            <w:tcBorders>
              <w:top w:val="nil"/>
              <w:left w:val="nil"/>
              <w:bottom w:val="nil"/>
              <w:right w:val="nil"/>
            </w:tcBorders>
            <w:shd w:val="clear" w:color="auto" w:fill="auto"/>
            <w:noWrap/>
            <w:hideMark/>
          </w:tcPr>
          <w:p w:rsidR="00DA07D8" w:rsidRPr="00DA07D8" w:rsidRDefault="00DA07D8" w:rsidP="00DA07D8">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actual</w:t>
            </w:r>
          </w:p>
        </w:tc>
        <w:tc>
          <w:tcPr>
            <w:tcW w:w="880" w:type="dxa"/>
            <w:tcBorders>
              <w:top w:val="nil"/>
              <w:left w:val="nil"/>
              <w:bottom w:val="nil"/>
              <w:right w:val="nil"/>
            </w:tcBorders>
            <w:shd w:val="clear" w:color="000000" w:fill="E6E6E6"/>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8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8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80" w:type="dxa"/>
            <w:tcBorders>
              <w:top w:val="nil"/>
              <w:left w:val="nil"/>
              <w:bottom w:val="nil"/>
              <w:right w:val="nil"/>
            </w:tcBorders>
            <w:shd w:val="clear" w:color="auto" w:fill="auto"/>
            <w:noWrap/>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r>
      <w:tr w:rsidR="00DA07D8" w:rsidRPr="00DA07D8" w:rsidTr="00DA07D8">
        <w:trPr>
          <w:trHeight w:val="1395"/>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Maintain records and financial transactions for the schemes’ membership </w:t>
            </w:r>
            <w:r w:rsidRPr="00DA07D8">
              <w:rPr>
                <w:rFonts w:ascii="Arial" w:hAnsi="Arial" w:cs="Arial"/>
                <w:sz w:val="16"/>
                <w:szCs w:val="16"/>
              </w:rPr>
              <w:br/>
              <w:t>(Total number of defined benefit contributor, preserver and pensioner members) </w:t>
            </w: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588,200</w:t>
            </w:r>
          </w:p>
        </w:tc>
        <w:tc>
          <w:tcPr>
            <w:tcW w:w="88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579,300</w:t>
            </w: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569,700</w:t>
            </w: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561,200</w:t>
            </w: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553,500</w:t>
            </w:r>
          </w:p>
        </w:tc>
      </w:tr>
      <w:tr w:rsidR="00DA07D8" w:rsidRPr="00DA07D8" w:rsidTr="00DA07D8">
        <w:trPr>
          <w:trHeight w:val="735"/>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Accurate and timely payment of benefits to scheme members</w:t>
            </w:r>
            <w:r w:rsidRPr="00DA07D8">
              <w:rPr>
                <w:rFonts w:ascii="Arial" w:hAnsi="Arial" w:cs="Arial"/>
                <w:sz w:val="16"/>
                <w:szCs w:val="16"/>
              </w:rPr>
              <w:br/>
              <w:t>(Benefit applications processed)</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23,300</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27,400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23,600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23,900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24,100</w:t>
            </w:r>
          </w:p>
        </w:tc>
      </w:tr>
      <w:tr w:rsidR="00DA07D8" w:rsidRPr="00DA07D8" w:rsidTr="00DA07D8">
        <w:trPr>
          <w:trHeight w:val="930"/>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Accurate and timely fortnightly pension payments </w:t>
            </w:r>
            <w:r w:rsidRPr="00DA07D8">
              <w:rPr>
                <w:rFonts w:ascii="Arial" w:hAnsi="Arial" w:cs="Arial"/>
                <w:sz w:val="16"/>
                <w:szCs w:val="16"/>
              </w:rPr>
              <w:br/>
              <w:t>(Number of defined benefit pensioners)</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218,600</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224,000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228,000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232,100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236,300</w:t>
            </w:r>
          </w:p>
        </w:tc>
      </w:tr>
      <w:tr w:rsidR="00DA07D8" w:rsidRPr="00DA07D8" w:rsidTr="00DA07D8">
        <w:trPr>
          <w:trHeight w:val="930"/>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Timely responses to inquiries by scheme members</w:t>
            </w:r>
            <w:r w:rsidRPr="00DA07D8">
              <w:rPr>
                <w:rFonts w:ascii="Arial" w:hAnsi="Arial" w:cs="Arial"/>
                <w:sz w:val="16"/>
                <w:szCs w:val="16"/>
              </w:rPr>
              <w:br/>
              <w:t>(Number of telephone, email and written inquiries through call centre)</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345,000</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355,100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360,400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36,500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370,500</w:t>
            </w:r>
          </w:p>
        </w:tc>
      </w:tr>
      <w:tr w:rsidR="00DA07D8" w:rsidRPr="00DA07D8" w:rsidTr="00DA07D8">
        <w:trPr>
          <w:trHeight w:val="720"/>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Provide annual member statements to contributor and preserved members</w:t>
            </w:r>
            <w:r w:rsidRPr="00DA07D8">
              <w:rPr>
                <w:rFonts w:ascii="Arial" w:hAnsi="Arial" w:cs="Arial"/>
                <w:sz w:val="16"/>
                <w:szCs w:val="16"/>
              </w:rPr>
              <w:br/>
              <w:t>(Number of annual statements issued)</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369,600</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355,300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341,700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329,100</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317,200</w:t>
            </w:r>
          </w:p>
        </w:tc>
      </w:tr>
      <w:tr w:rsidR="00DA07D8" w:rsidRPr="00DA07D8" w:rsidTr="00DA07D8">
        <w:trPr>
          <w:trHeight w:val="975"/>
        </w:trPr>
        <w:tc>
          <w:tcPr>
            <w:tcW w:w="28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CSC will seek to comply with all scheme and regulatory requirements </w:t>
            </w:r>
            <w:r w:rsidRPr="00DA07D8">
              <w:rPr>
                <w:rFonts w:ascii="Arial" w:hAnsi="Arial" w:cs="Arial"/>
                <w:sz w:val="16"/>
                <w:szCs w:val="16"/>
              </w:rPr>
              <w:br/>
              <w:t>(Number of main defined benefit schemes administered by CSC)</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w:t>
            </w:r>
          </w:p>
        </w:tc>
      </w:tr>
    </w:tbl>
    <w:p w:rsidR="00901F17" w:rsidRDefault="00901F17" w:rsidP="00901F17">
      <w:pPr>
        <w:pStyle w:val="TableGraphic"/>
        <w:rPr>
          <w:noProof/>
        </w:rPr>
      </w:pPr>
    </w:p>
    <w:p w:rsidR="00901F17" w:rsidRDefault="00901F17" w:rsidP="00901F17">
      <w:pPr>
        <w:spacing w:after="0" w:line="240" w:lineRule="auto"/>
      </w:pPr>
    </w:p>
    <w:p w:rsidR="00901F17" w:rsidRPr="00344E3B" w:rsidRDefault="00901F17" w:rsidP="00901F17">
      <w:pPr>
        <w:spacing w:after="0" w:line="240" w:lineRule="auto"/>
      </w:pPr>
    </w:p>
    <w:p w:rsidR="00901F17" w:rsidRDefault="00901F17" w:rsidP="00901F17">
      <w:pPr>
        <w:pStyle w:val="SingleParagraph"/>
      </w:pPr>
      <w:r>
        <w:br w:type="page"/>
      </w:r>
    </w:p>
    <w:p w:rsidR="00901F17" w:rsidRPr="00344E3B" w:rsidRDefault="00901F17" w:rsidP="00E453F8">
      <w:pPr>
        <w:pStyle w:val="Heading5"/>
      </w:pPr>
      <w:r w:rsidRPr="00344E3B">
        <w:lastRenderedPageBreak/>
        <w:t>Programme 2.1</w:t>
      </w:r>
      <w:r>
        <w:t xml:space="preserve"> Key Performance Indicators</w:t>
      </w:r>
    </w:p>
    <w:tbl>
      <w:tblPr>
        <w:tblW w:w="7140" w:type="dxa"/>
        <w:tblInd w:w="93" w:type="dxa"/>
        <w:tblLook w:val="04A0"/>
      </w:tblPr>
      <w:tblGrid>
        <w:gridCol w:w="2740"/>
        <w:gridCol w:w="928"/>
        <w:gridCol w:w="880"/>
        <w:gridCol w:w="880"/>
        <w:gridCol w:w="880"/>
        <w:gridCol w:w="880"/>
      </w:tblGrid>
      <w:tr w:rsidR="00DA07D8" w:rsidRPr="00DA07D8" w:rsidTr="00DA07D8">
        <w:trPr>
          <w:trHeight w:val="225"/>
        </w:trPr>
        <w:tc>
          <w:tcPr>
            <w:tcW w:w="2740" w:type="dxa"/>
            <w:tcBorders>
              <w:top w:val="single" w:sz="4" w:space="0" w:color="auto"/>
              <w:left w:val="nil"/>
              <w:bottom w:val="nil"/>
              <w:right w:val="nil"/>
            </w:tcBorders>
            <w:shd w:val="clear" w:color="auto" w:fill="auto"/>
            <w:vAlign w:val="center"/>
            <w:hideMark/>
          </w:tcPr>
          <w:p w:rsidR="00DA07D8" w:rsidRPr="00DA07D8" w:rsidRDefault="00DA07D8" w:rsidP="00DA07D8">
            <w:pPr>
              <w:spacing w:after="0" w:line="240" w:lineRule="auto"/>
              <w:jc w:val="center"/>
              <w:rPr>
                <w:rFonts w:ascii="Arial" w:hAnsi="Arial" w:cs="Arial"/>
                <w:b/>
                <w:bCs/>
                <w:sz w:val="16"/>
                <w:szCs w:val="16"/>
              </w:rPr>
            </w:pPr>
            <w:r w:rsidRPr="00DA07D8">
              <w:rPr>
                <w:rFonts w:ascii="Arial" w:hAnsi="Arial" w:cs="Arial"/>
                <w:b/>
                <w:bCs/>
                <w:sz w:val="16"/>
                <w:szCs w:val="16"/>
              </w:rPr>
              <w:t> </w:t>
            </w:r>
          </w:p>
        </w:tc>
        <w:tc>
          <w:tcPr>
            <w:tcW w:w="880" w:type="dxa"/>
            <w:tcBorders>
              <w:top w:val="single" w:sz="4" w:space="0" w:color="auto"/>
              <w:left w:val="nil"/>
              <w:bottom w:val="nil"/>
              <w:right w:val="nil"/>
            </w:tcBorders>
            <w:shd w:val="clear" w:color="000000" w:fill="FFFFFF"/>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2014-15</w:t>
            </w:r>
          </w:p>
        </w:tc>
        <w:tc>
          <w:tcPr>
            <w:tcW w:w="880" w:type="dxa"/>
            <w:tcBorders>
              <w:top w:val="single" w:sz="4" w:space="0" w:color="auto"/>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2015-16</w:t>
            </w:r>
          </w:p>
        </w:tc>
        <w:tc>
          <w:tcPr>
            <w:tcW w:w="880" w:type="dxa"/>
            <w:tcBorders>
              <w:top w:val="single" w:sz="4" w:space="0" w:color="auto"/>
              <w:left w:val="nil"/>
              <w:bottom w:val="nil"/>
              <w:right w:val="nil"/>
            </w:tcBorders>
            <w:shd w:val="clear" w:color="000000" w:fill="FFFFFF"/>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2016-17</w:t>
            </w:r>
          </w:p>
        </w:tc>
        <w:tc>
          <w:tcPr>
            <w:tcW w:w="880" w:type="dxa"/>
            <w:tcBorders>
              <w:top w:val="single" w:sz="4" w:space="0" w:color="auto"/>
              <w:left w:val="nil"/>
              <w:bottom w:val="nil"/>
              <w:right w:val="nil"/>
            </w:tcBorders>
            <w:shd w:val="clear" w:color="000000" w:fill="FFFFFF"/>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2017-18</w:t>
            </w:r>
          </w:p>
        </w:tc>
        <w:tc>
          <w:tcPr>
            <w:tcW w:w="880" w:type="dxa"/>
            <w:tcBorders>
              <w:top w:val="single" w:sz="4" w:space="0" w:color="auto"/>
              <w:left w:val="nil"/>
              <w:bottom w:val="nil"/>
              <w:right w:val="nil"/>
            </w:tcBorders>
            <w:shd w:val="clear" w:color="000000" w:fill="FFFFFF"/>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2018-19</w:t>
            </w:r>
          </w:p>
        </w:tc>
      </w:tr>
      <w:tr w:rsidR="00DA07D8" w:rsidRPr="00DA07D8" w:rsidTr="00DA07D8">
        <w:trPr>
          <w:trHeight w:val="225"/>
        </w:trPr>
        <w:tc>
          <w:tcPr>
            <w:tcW w:w="27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Estimated</w:t>
            </w:r>
          </w:p>
        </w:tc>
        <w:tc>
          <w:tcPr>
            <w:tcW w:w="8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Budget</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Forward</w:t>
            </w:r>
          </w:p>
        </w:tc>
      </w:tr>
      <w:tr w:rsidR="00DA07D8" w:rsidRPr="00DA07D8" w:rsidTr="00DA07D8">
        <w:trPr>
          <w:trHeight w:val="225"/>
        </w:trPr>
        <w:tc>
          <w:tcPr>
            <w:tcW w:w="274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actual</w:t>
            </w:r>
          </w:p>
        </w:tc>
        <w:tc>
          <w:tcPr>
            <w:tcW w:w="880" w:type="dxa"/>
            <w:tcBorders>
              <w:top w:val="nil"/>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c>
          <w:tcPr>
            <w:tcW w:w="880" w:type="dxa"/>
            <w:tcBorders>
              <w:top w:val="nil"/>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estimate</w:t>
            </w:r>
          </w:p>
        </w:tc>
      </w:tr>
      <w:tr w:rsidR="00DA07D8" w:rsidRPr="00DA07D8" w:rsidTr="00DA07D8">
        <w:trPr>
          <w:trHeight w:val="750"/>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Achievement of service standards</w:t>
            </w:r>
            <w:r w:rsidRPr="00DA07D8">
              <w:rPr>
                <w:rFonts w:ascii="Arial" w:hAnsi="Arial" w:cs="Arial"/>
                <w:sz w:val="16"/>
                <w:szCs w:val="16"/>
              </w:rPr>
              <w:br/>
              <w:t xml:space="preserve">(Proportion of standards achieved) </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w:t>
            </w:r>
          </w:p>
        </w:tc>
      </w:tr>
      <w:tr w:rsidR="00DA07D8" w:rsidRPr="00DA07D8" w:rsidTr="00DA07D8">
        <w:trPr>
          <w:trHeight w:val="825"/>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Periodic member client satisfaction survey </w:t>
            </w:r>
            <w:r w:rsidRPr="00DA07D8">
              <w:rPr>
                <w:rFonts w:ascii="Arial" w:hAnsi="Arial" w:cs="Arial"/>
                <w:sz w:val="16"/>
                <w:szCs w:val="16"/>
                <w:vertAlign w:val="superscript"/>
              </w:rPr>
              <w:t>1</w:t>
            </w:r>
            <w:r w:rsidRPr="00DA07D8">
              <w:rPr>
                <w:rFonts w:ascii="Arial" w:hAnsi="Arial" w:cs="Arial"/>
                <w:sz w:val="16"/>
                <w:szCs w:val="16"/>
              </w:rPr>
              <w:br/>
              <w:t xml:space="preserve">(Quality Service Index) </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 or Higher</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 or Higher</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 or Higher</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 or Higher</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80% or Higher</w:t>
            </w:r>
          </w:p>
        </w:tc>
      </w:tr>
      <w:tr w:rsidR="00DA07D8" w:rsidRPr="00DA07D8" w:rsidTr="00DA07D8">
        <w:trPr>
          <w:trHeight w:val="780"/>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Timeliness of member statements</w:t>
            </w:r>
            <w:r w:rsidRPr="00DA07D8">
              <w:rPr>
                <w:rFonts w:ascii="Arial" w:hAnsi="Arial" w:cs="Arial"/>
                <w:sz w:val="16"/>
                <w:szCs w:val="16"/>
              </w:rPr>
              <w:br/>
              <w:t xml:space="preserve">(Issued by the statutory deadline of </w:t>
            </w:r>
            <w:r w:rsidRPr="00DA07D8">
              <w:rPr>
                <w:rFonts w:ascii="Arial" w:hAnsi="Arial" w:cs="Arial"/>
                <w:sz w:val="16"/>
                <w:szCs w:val="16"/>
              </w:rPr>
              <w:br/>
              <w:t>31 December)</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r>
      <w:tr w:rsidR="00DA07D8" w:rsidRPr="00DA07D8" w:rsidTr="00DA07D8">
        <w:trPr>
          <w:trHeight w:val="990"/>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Timeliness of new benefits processed </w:t>
            </w:r>
            <w:r w:rsidRPr="00DA07D8">
              <w:rPr>
                <w:rFonts w:ascii="Arial" w:hAnsi="Arial" w:cs="Arial"/>
                <w:sz w:val="16"/>
                <w:szCs w:val="16"/>
                <w:vertAlign w:val="superscript"/>
              </w:rPr>
              <w:t>2</w:t>
            </w:r>
            <w:r w:rsidRPr="00DA07D8">
              <w:rPr>
                <w:rFonts w:ascii="Arial" w:hAnsi="Arial" w:cs="Arial"/>
                <w:sz w:val="16"/>
                <w:szCs w:val="16"/>
              </w:rPr>
              <w:br/>
              <w:t>(Routine Benefit Payments within 5 working days)</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85%</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85%</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85%</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85%</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85%</w:t>
            </w:r>
          </w:p>
        </w:tc>
      </w:tr>
      <w:tr w:rsidR="00DA07D8" w:rsidRPr="00DA07D8" w:rsidTr="00DA07D8">
        <w:trPr>
          <w:trHeight w:val="1050"/>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xml:space="preserve">Timeliness of fortnightly pension payroll </w:t>
            </w:r>
            <w:r w:rsidRPr="00DA07D8">
              <w:rPr>
                <w:rFonts w:ascii="Arial" w:hAnsi="Arial" w:cs="Arial"/>
                <w:sz w:val="16"/>
                <w:szCs w:val="16"/>
              </w:rPr>
              <w:br/>
              <w:t xml:space="preserve">(Pension payments in bank accounts on time) </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r>
      <w:tr w:rsidR="00DA07D8" w:rsidRPr="00DA07D8" w:rsidTr="00DA07D8">
        <w:trPr>
          <w:trHeight w:val="735"/>
        </w:trPr>
        <w:tc>
          <w:tcPr>
            <w:tcW w:w="274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Compliance issues appropriately reported and actively managed</w:t>
            </w:r>
            <w:r w:rsidRPr="00DA07D8">
              <w:rPr>
                <w:rFonts w:ascii="Arial" w:hAnsi="Arial" w:cs="Arial"/>
                <w:sz w:val="16"/>
                <w:szCs w:val="16"/>
              </w:rPr>
              <w:br/>
              <w:t>(Issues reported and managed)</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000000" w:fill="E6E6E6"/>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c>
          <w:tcPr>
            <w:tcW w:w="880" w:type="dxa"/>
            <w:tcBorders>
              <w:top w:val="nil"/>
              <w:left w:val="nil"/>
              <w:bottom w:val="single" w:sz="4" w:space="0" w:color="auto"/>
              <w:right w:val="nil"/>
            </w:tcBorders>
            <w:shd w:val="clear" w:color="auto" w:fill="auto"/>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100%</w:t>
            </w:r>
          </w:p>
        </w:tc>
      </w:tr>
    </w:tbl>
    <w:p w:rsidR="00901F17" w:rsidRPr="004570A3" w:rsidRDefault="00901F17" w:rsidP="00901F17">
      <w:pPr>
        <w:spacing w:after="0" w:line="240" w:lineRule="auto"/>
        <w:rPr>
          <w:sz w:val="6"/>
          <w:szCs w:val="6"/>
        </w:rPr>
      </w:pPr>
    </w:p>
    <w:p w:rsidR="00901F17" w:rsidRPr="0090706D" w:rsidRDefault="00901F17" w:rsidP="00901F17">
      <w:pPr>
        <w:pStyle w:val="ListParagraph"/>
        <w:numPr>
          <w:ilvl w:val="0"/>
          <w:numId w:val="55"/>
        </w:numPr>
        <w:spacing w:after="60" w:line="240" w:lineRule="auto"/>
        <w:ind w:left="426" w:hanging="426"/>
        <w:contextualSpacing w:val="0"/>
        <w:outlineLvl w:val="6"/>
        <w:rPr>
          <w:rFonts w:ascii="Arial" w:eastAsia="Times New Roman" w:hAnsi="Arial" w:cs="Arial"/>
          <w:sz w:val="15"/>
          <w:szCs w:val="15"/>
          <w:lang w:val="en-AU" w:eastAsia="en-AU"/>
        </w:rPr>
      </w:pPr>
      <w:r w:rsidRPr="0090706D">
        <w:rPr>
          <w:rFonts w:ascii="Arial" w:eastAsia="Times New Roman" w:hAnsi="Arial" w:cs="Arial"/>
          <w:sz w:val="15"/>
          <w:szCs w:val="15"/>
          <w:lang w:val="en-AU" w:eastAsia="en-AU"/>
        </w:rPr>
        <w:t>A Quality Service Index rating of 75% is equivalent to every respondent being ‘satisfied’ with the service, whereas a rating of 100% is equivalent to every respondent being ‘very satisfied’ with the service. Traditionally, members' satisfaction for administration services is linked to their perceived performance of their investments, particularly during times of market volatility. Members are currently being surveyed on a biennial basis.</w:t>
      </w:r>
    </w:p>
    <w:p w:rsidR="00901F17" w:rsidRPr="0090706D" w:rsidRDefault="00901F17" w:rsidP="00901F17">
      <w:pPr>
        <w:pStyle w:val="ListParagraph"/>
        <w:numPr>
          <w:ilvl w:val="0"/>
          <w:numId w:val="55"/>
        </w:numPr>
        <w:spacing w:after="60" w:line="240" w:lineRule="auto"/>
        <w:ind w:left="426" w:hanging="426"/>
        <w:contextualSpacing w:val="0"/>
        <w:outlineLvl w:val="6"/>
        <w:rPr>
          <w:rFonts w:ascii="Arial" w:eastAsia="Times New Roman" w:hAnsi="Arial" w:cs="Arial"/>
          <w:sz w:val="15"/>
          <w:szCs w:val="15"/>
          <w:lang w:val="en-AU" w:eastAsia="en-AU"/>
        </w:rPr>
      </w:pPr>
      <w:r w:rsidRPr="0090706D">
        <w:rPr>
          <w:rFonts w:ascii="Arial" w:eastAsia="Times New Roman" w:hAnsi="Arial" w:cs="Arial"/>
          <w:sz w:val="15"/>
          <w:szCs w:val="15"/>
          <w:lang w:val="en-AU" w:eastAsia="en-AU"/>
        </w:rPr>
        <w:t>The calculation method for the KPI, “Timeliness of new benefits processed”, refers to the processing of routine benefits, rather than the payment of all benefits. This reflects the fact that some benefits involve highly complex processes that are unable to be completed and paid within 5 working days. Routine benefits are processed within 5 working days of receipt of all necessary documentation.</w:t>
      </w:r>
    </w:p>
    <w:p w:rsidR="00901F17" w:rsidRPr="00901F17" w:rsidRDefault="00901F17" w:rsidP="00901F17">
      <w:pPr>
        <w:pStyle w:val="Heading3"/>
      </w:pPr>
      <w:r>
        <w:br w:type="page"/>
      </w:r>
      <w:bookmarkStart w:id="11" w:name="_Toc418003429"/>
      <w:r w:rsidRPr="00901F17">
        <w:lastRenderedPageBreak/>
        <w:t>Section 3: Explanatory Tables and Budgeted Financial Statements</w:t>
      </w:r>
      <w:bookmarkEnd w:id="11"/>
    </w:p>
    <w:p w:rsidR="00901F17" w:rsidRDefault="00901F17" w:rsidP="00901F17">
      <w:r>
        <w:t>Section 3 presents explanatory tables and budgeted financial statements which provide a comprehensive snapshot of entity finances for the 2015-16</w:t>
      </w:r>
      <w:r>
        <w:rPr>
          <w:color w:val="00B050"/>
        </w:rPr>
        <w:t xml:space="preserve"> </w:t>
      </w:r>
      <w:r>
        <w:t>budget year. It explains how budget plans are incorporated into the financial statements and provides further details of the reconciliation between appropriations and programme expenses, movements in administered funds, special accounts and government indigenous expenditure.</w:t>
      </w:r>
    </w:p>
    <w:p w:rsidR="00901F17" w:rsidRPr="00102650" w:rsidRDefault="00901F17" w:rsidP="00901F17">
      <w:pPr>
        <w:pStyle w:val="Heading4"/>
      </w:pPr>
      <w:bookmarkStart w:id="12" w:name="_Toc418003430"/>
      <w:r w:rsidRPr="00102650">
        <w:t>3.1</w:t>
      </w:r>
      <w:r w:rsidRPr="00102650">
        <w:tab/>
        <w:t>Explanatory Tables</w:t>
      </w:r>
      <w:bookmarkEnd w:id="12"/>
    </w:p>
    <w:p w:rsidR="00901F17" w:rsidRPr="00984A6C" w:rsidRDefault="00901F17" w:rsidP="00901F17">
      <w:pPr>
        <w:tabs>
          <w:tab w:val="left" w:pos="709"/>
        </w:tabs>
        <w:spacing w:before="240" w:line="240" w:lineRule="auto"/>
        <w:jc w:val="left"/>
        <w:rPr>
          <w:rFonts w:ascii="Arial Bold" w:hAnsi="Arial Bold" w:cs="Arial"/>
          <w:b/>
          <w:smallCaps/>
          <w:sz w:val="26"/>
          <w:szCs w:val="26"/>
        </w:rPr>
      </w:pPr>
      <w:r w:rsidRPr="00984A6C">
        <w:rPr>
          <w:rFonts w:ascii="Arial Bold" w:hAnsi="Arial Bold" w:cs="Arial"/>
          <w:b/>
          <w:smallCaps/>
          <w:sz w:val="26"/>
          <w:szCs w:val="26"/>
        </w:rPr>
        <w:t>3.1.1</w:t>
      </w:r>
      <w:r w:rsidRPr="00984A6C">
        <w:rPr>
          <w:rFonts w:ascii="Arial Bold" w:hAnsi="Arial Bold" w:cs="Arial"/>
          <w:b/>
          <w:smallCaps/>
          <w:sz w:val="26"/>
          <w:szCs w:val="26"/>
        </w:rPr>
        <w:tab/>
        <w:t>Movement of Administered Funds between years</w:t>
      </w:r>
    </w:p>
    <w:p w:rsidR="00901F17" w:rsidRPr="005C384A" w:rsidRDefault="00901F17" w:rsidP="00901F17">
      <w:pPr>
        <w:autoSpaceDE w:val="0"/>
        <w:autoSpaceDN w:val="0"/>
        <w:adjustRightInd w:val="0"/>
        <w:spacing w:after="0" w:line="240" w:lineRule="auto"/>
        <w:jc w:val="left"/>
        <w:rPr>
          <w:rFonts w:cs="BookAntiqua"/>
        </w:rPr>
      </w:pPr>
      <w:r w:rsidRPr="005C384A">
        <w:rPr>
          <w:rFonts w:cs="BookAntiqua"/>
        </w:rPr>
        <w:t xml:space="preserve">Table 3.1.1 is not included as there is no movement of administered funds between </w:t>
      </w:r>
      <w:r w:rsidRPr="005C384A">
        <w:t>years</w:t>
      </w:r>
      <w:r w:rsidRPr="005C384A">
        <w:rPr>
          <w:rFonts w:cs="BookAntiqua"/>
        </w:rPr>
        <w:t>.</w:t>
      </w:r>
    </w:p>
    <w:p w:rsidR="00901F17" w:rsidRPr="007D725B" w:rsidRDefault="00901F17" w:rsidP="00901F17">
      <w:pPr>
        <w:pStyle w:val="Heading4"/>
        <w:spacing w:before="0" w:after="0"/>
        <w:rPr>
          <w:b w:val="0"/>
        </w:rPr>
      </w:pPr>
    </w:p>
    <w:p w:rsidR="00901F17" w:rsidRPr="00984A6C" w:rsidRDefault="00901F17" w:rsidP="00901F17">
      <w:pPr>
        <w:tabs>
          <w:tab w:val="left" w:pos="709"/>
        </w:tabs>
        <w:spacing w:before="240" w:line="240" w:lineRule="auto"/>
        <w:jc w:val="left"/>
        <w:rPr>
          <w:rFonts w:ascii="Arial Bold" w:hAnsi="Arial Bold" w:cs="Arial"/>
          <w:b/>
          <w:smallCaps/>
          <w:sz w:val="26"/>
          <w:szCs w:val="26"/>
        </w:rPr>
      </w:pPr>
      <w:r w:rsidRPr="00984A6C">
        <w:rPr>
          <w:rFonts w:ascii="Arial Bold" w:hAnsi="Arial Bold" w:cs="Arial"/>
          <w:b/>
          <w:smallCaps/>
          <w:sz w:val="26"/>
          <w:szCs w:val="26"/>
        </w:rPr>
        <w:t>3.1.2</w:t>
      </w:r>
      <w:r w:rsidRPr="00984A6C">
        <w:rPr>
          <w:rFonts w:ascii="Arial Bold" w:hAnsi="Arial Bold" w:cs="Arial"/>
          <w:b/>
          <w:smallCaps/>
          <w:sz w:val="26"/>
          <w:szCs w:val="26"/>
        </w:rPr>
        <w:tab/>
        <w:t>Special Accounts</w:t>
      </w:r>
    </w:p>
    <w:p w:rsidR="00901F17" w:rsidRDefault="00901F17" w:rsidP="00901F17">
      <w:r>
        <w:t>Special Accounts provide a means to set aside and record amounts used for specified purposes. Special Accounts can be created by a Finance Minister’s Determination under section 78 of the PGPA</w:t>
      </w:r>
      <w:r w:rsidRPr="00DA28A8">
        <w:t xml:space="preserve"> Act</w:t>
      </w:r>
      <w:r>
        <w:rPr>
          <w:i/>
        </w:rPr>
        <w:t xml:space="preserve"> </w:t>
      </w:r>
      <w:r>
        <w:t>or under separate enabling legislation (section 80 of the PGPA Act refers). Table 3.1.2 shows the expected additions (receipts) and reductions (payments) for each account used by CSC.</w:t>
      </w:r>
    </w:p>
    <w:p w:rsidR="00901F17" w:rsidRPr="00344E3B" w:rsidRDefault="00901F17" w:rsidP="00E453F8">
      <w:pPr>
        <w:pStyle w:val="Heading5"/>
      </w:pPr>
      <w:r w:rsidRPr="00344E3B">
        <w:t>Table 3.1.2: Estimates of Special Account Flows and Balances</w:t>
      </w:r>
    </w:p>
    <w:tbl>
      <w:tblPr>
        <w:tblW w:w="8160" w:type="dxa"/>
        <w:tblInd w:w="87" w:type="dxa"/>
        <w:tblLook w:val="04A0"/>
      </w:tblPr>
      <w:tblGrid>
        <w:gridCol w:w="2420"/>
        <w:gridCol w:w="880"/>
        <w:gridCol w:w="880"/>
        <w:gridCol w:w="928"/>
        <w:gridCol w:w="1040"/>
        <w:gridCol w:w="1180"/>
        <w:gridCol w:w="840"/>
      </w:tblGrid>
      <w:tr w:rsidR="00DA07D8" w:rsidRPr="00DA07D8" w:rsidTr="00DA07D8">
        <w:trPr>
          <w:trHeight w:val="225"/>
        </w:trPr>
        <w:tc>
          <w:tcPr>
            <w:tcW w:w="242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r w:rsidRPr="00DA07D8">
              <w:rPr>
                <w:rFonts w:ascii="Arial" w:hAnsi="Arial" w:cs="Arial"/>
                <w:color w:val="000000"/>
                <w:sz w:val="16"/>
                <w:szCs w:val="16"/>
              </w:rPr>
              <w:t> </w:t>
            </w:r>
          </w:p>
        </w:tc>
        <w:tc>
          <w:tcPr>
            <w:tcW w:w="88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r w:rsidRPr="00DA07D8">
              <w:rPr>
                <w:rFonts w:ascii="Arial" w:hAnsi="Arial" w:cs="Arial"/>
                <w:color w:val="000000"/>
                <w:sz w:val="16"/>
                <w:szCs w:val="16"/>
              </w:rPr>
              <w:t> </w:t>
            </w:r>
          </w:p>
        </w:tc>
        <w:tc>
          <w:tcPr>
            <w:tcW w:w="880" w:type="dxa"/>
            <w:tcBorders>
              <w:top w:val="single" w:sz="4" w:space="0" w:color="000000"/>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Opening</w:t>
            </w:r>
          </w:p>
        </w:tc>
        <w:tc>
          <w:tcPr>
            <w:tcW w:w="92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104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118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 </w:t>
            </w:r>
          </w:p>
        </w:tc>
        <w:tc>
          <w:tcPr>
            <w:tcW w:w="840" w:type="dxa"/>
            <w:tcBorders>
              <w:top w:val="single" w:sz="4" w:space="0" w:color="000000"/>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Closing</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balance</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Receipts</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Payments</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Adjustments</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balance</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2015-16</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2015-16</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2015-16</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2015-16</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2015-16</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2014-15</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2014-15</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2014-15</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2014-15</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2014-15</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color w:val="000000"/>
                <w:sz w:val="16"/>
                <w:szCs w:val="16"/>
              </w:rPr>
            </w:pPr>
          </w:p>
        </w:tc>
        <w:tc>
          <w:tcPr>
            <w:tcW w:w="880" w:type="dxa"/>
            <w:tcBorders>
              <w:top w:val="nil"/>
              <w:left w:val="nil"/>
              <w:bottom w:val="single" w:sz="4" w:space="0" w:color="000000"/>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r w:rsidRPr="00DA07D8">
              <w:rPr>
                <w:rFonts w:ascii="Arial" w:hAnsi="Arial" w:cs="Arial"/>
                <w:color w:val="000000"/>
                <w:sz w:val="16"/>
                <w:szCs w:val="16"/>
              </w:rPr>
              <w:t>Outcome</w:t>
            </w:r>
          </w:p>
        </w:tc>
        <w:tc>
          <w:tcPr>
            <w:tcW w:w="880" w:type="dxa"/>
            <w:tcBorders>
              <w:top w:val="nil"/>
              <w:left w:val="nil"/>
              <w:bottom w:val="single" w:sz="4" w:space="0" w:color="000000"/>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920" w:type="dxa"/>
            <w:tcBorders>
              <w:top w:val="nil"/>
              <w:left w:val="nil"/>
              <w:bottom w:val="single" w:sz="4" w:space="0" w:color="000000"/>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1040" w:type="dxa"/>
            <w:tcBorders>
              <w:top w:val="nil"/>
              <w:left w:val="nil"/>
              <w:bottom w:val="single" w:sz="4" w:space="0" w:color="000000"/>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1180" w:type="dxa"/>
            <w:tcBorders>
              <w:top w:val="nil"/>
              <w:left w:val="nil"/>
              <w:bottom w:val="single" w:sz="4" w:space="0" w:color="000000"/>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c>
          <w:tcPr>
            <w:tcW w:w="840" w:type="dxa"/>
            <w:tcBorders>
              <w:top w:val="nil"/>
              <w:left w:val="nil"/>
              <w:bottom w:val="single" w:sz="4" w:space="0" w:color="000000"/>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$'000</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Services for Other Entities</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r w:rsidRPr="00DA07D8">
              <w:rPr>
                <w:rFonts w:ascii="Arial" w:hAnsi="Arial" w:cs="Arial"/>
                <w:color w:val="000000"/>
                <w:sz w:val="16"/>
                <w:szCs w:val="16"/>
              </w:rPr>
              <w:t>2</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26,009</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2,766,623</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(2,766,623)</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26,009</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and Trust Moneys (A)</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6,370</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2,766,623</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(2,746,984)</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26,009</w:t>
            </w:r>
          </w:p>
        </w:tc>
      </w:tr>
      <w:tr w:rsidR="00DA07D8" w:rsidRPr="00DA07D8" w:rsidTr="00DA07D8">
        <w:trPr>
          <w:trHeight w:val="240"/>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ComSuper Special</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r w:rsidRPr="00DA07D8">
              <w:rPr>
                <w:rFonts w:ascii="Arial" w:hAnsi="Arial" w:cs="Arial"/>
                <w:color w:val="000000"/>
                <w:sz w:val="16"/>
                <w:szCs w:val="16"/>
              </w:rPr>
              <w:t>2</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29,082</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72,705</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(72,523)</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29,264</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sz w:val="16"/>
                <w:szCs w:val="16"/>
              </w:rPr>
            </w:pPr>
            <w:r w:rsidRPr="00DA07D8">
              <w:rPr>
                <w:rFonts w:ascii="Arial" w:hAnsi="Arial" w:cs="Arial"/>
                <w:sz w:val="16"/>
                <w:szCs w:val="16"/>
              </w:rPr>
              <w:t xml:space="preserve">Account (D) </w:t>
            </w:r>
            <w:r w:rsidRPr="00DA07D8">
              <w:rPr>
                <w:rFonts w:ascii="Arial" w:hAnsi="Arial" w:cs="Arial"/>
                <w:sz w:val="16"/>
                <w:szCs w:val="16"/>
                <w:vertAlign w:val="superscript"/>
              </w:rPr>
              <w:t>1</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37,176</w:t>
            </w: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80,190</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(88,284)</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i/>
                <w:iCs/>
                <w:sz w:val="16"/>
                <w:szCs w:val="16"/>
              </w:rPr>
            </w:pPr>
            <w:r w:rsidRPr="00DA07D8">
              <w:rPr>
                <w:rFonts w:ascii="Arial" w:hAnsi="Arial" w:cs="Arial"/>
                <w:i/>
                <w:iCs/>
                <w:sz w:val="16"/>
                <w:szCs w:val="16"/>
              </w:rPr>
              <w:t>29,082</w:t>
            </w:r>
          </w:p>
        </w:tc>
      </w:tr>
      <w:tr w:rsidR="00DA07D8" w:rsidRPr="00DA07D8" w:rsidTr="00DA07D8">
        <w:trPr>
          <w:trHeight w:val="60"/>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i/>
                <w:iCs/>
                <w:sz w:val="16"/>
                <w:szCs w:val="16"/>
              </w:rPr>
            </w:pP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i/>
                <w:iCs/>
                <w:sz w:val="16"/>
                <w:szCs w:val="16"/>
              </w:rPr>
            </w:pPr>
            <w:r w:rsidRPr="00DA07D8">
              <w:rPr>
                <w:rFonts w:ascii="Arial" w:hAnsi="Arial" w:cs="Arial"/>
                <w:i/>
                <w:iCs/>
                <w:sz w:val="16"/>
                <w:szCs w:val="16"/>
              </w:rPr>
              <w:t> </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i/>
                <w:iCs/>
                <w:sz w:val="16"/>
                <w:szCs w:val="16"/>
              </w:rPr>
            </w:pPr>
            <w:r w:rsidRPr="00DA07D8">
              <w:rPr>
                <w:rFonts w:ascii="Arial" w:hAnsi="Arial" w:cs="Arial"/>
                <w:i/>
                <w:iCs/>
                <w:sz w:val="16"/>
                <w:szCs w:val="16"/>
              </w:rPr>
              <w:t> </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i/>
                <w:iCs/>
                <w:sz w:val="16"/>
                <w:szCs w:val="16"/>
              </w:rPr>
            </w:pPr>
            <w:r w:rsidRPr="00DA07D8">
              <w:rPr>
                <w:rFonts w:ascii="Arial" w:hAnsi="Arial" w:cs="Arial"/>
                <w:i/>
                <w:iCs/>
                <w:sz w:val="16"/>
                <w:szCs w:val="16"/>
              </w:rPr>
              <w:t> </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i/>
                <w:iCs/>
                <w:sz w:val="16"/>
                <w:szCs w:val="16"/>
              </w:rPr>
            </w:pPr>
            <w:r w:rsidRPr="00DA07D8">
              <w:rPr>
                <w:rFonts w:ascii="Arial" w:hAnsi="Arial" w:cs="Arial"/>
                <w:i/>
                <w:iCs/>
                <w:sz w:val="16"/>
                <w:szCs w:val="16"/>
              </w:rPr>
              <w:t> </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xml:space="preserve">Total special accounts </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1"/>
              <w:jc w:val="left"/>
              <w:rPr>
                <w:rFonts w:ascii="Arial" w:hAnsi="Arial" w:cs="Arial"/>
                <w:b/>
                <w:bCs/>
                <w:color w:val="000000"/>
                <w:sz w:val="16"/>
                <w:szCs w:val="16"/>
              </w:rPr>
            </w:pPr>
            <w:r w:rsidRPr="00DA07D8">
              <w:rPr>
                <w:rFonts w:ascii="Arial" w:hAnsi="Arial" w:cs="Arial"/>
                <w:b/>
                <w:bCs/>
                <w:color w:val="000000"/>
                <w:sz w:val="16"/>
                <w:szCs w:val="16"/>
              </w:rPr>
              <w:t>2015-16 Budget estimate</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b/>
                <w:bCs/>
                <w:color w:val="000000"/>
                <w:sz w:val="16"/>
                <w:szCs w:val="16"/>
              </w:rPr>
            </w:pP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55,091</w:t>
            </w:r>
          </w:p>
        </w:tc>
        <w:tc>
          <w:tcPr>
            <w:tcW w:w="92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2,839,328</w:t>
            </w:r>
          </w:p>
        </w:tc>
        <w:tc>
          <w:tcPr>
            <w:tcW w:w="104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(2,839,146)</w:t>
            </w:r>
          </w:p>
        </w:tc>
        <w:tc>
          <w:tcPr>
            <w:tcW w:w="118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w:t>
            </w:r>
          </w:p>
        </w:tc>
        <w:tc>
          <w:tcPr>
            <w:tcW w:w="84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b/>
                <w:bCs/>
                <w:sz w:val="16"/>
                <w:szCs w:val="16"/>
              </w:rPr>
            </w:pPr>
            <w:r w:rsidRPr="00DA07D8">
              <w:rPr>
                <w:rFonts w:ascii="Arial" w:hAnsi="Arial" w:cs="Arial"/>
                <w:b/>
                <w:bCs/>
                <w:sz w:val="16"/>
                <w:szCs w:val="16"/>
              </w:rPr>
              <w:t>55,273</w:t>
            </w:r>
          </w:p>
        </w:tc>
      </w:tr>
      <w:tr w:rsidR="00DA07D8" w:rsidRPr="00DA07D8" w:rsidTr="00DA07D8">
        <w:trPr>
          <w:trHeight w:val="60"/>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ind w:firstLineChars="100" w:firstLine="161"/>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b/>
                <w:bCs/>
                <w:sz w:val="16"/>
                <w:szCs w:val="16"/>
              </w:rPr>
            </w:pP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b/>
                <w:bCs/>
                <w:sz w:val="16"/>
                <w:szCs w:val="16"/>
              </w:rPr>
            </w:pPr>
            <w:r w:rsidRPr="00DA07D8">
              <w:rPr>
                <w:rFonts w:ascii="Arial" w:hAnsi="Arial" w:cs="Arial"/>
                <w:b/>
                <w:bCs/>
                <w:sz w:val="16"/>
                <w:szCs w:val="16"/>
              </w:rPr>
              <w:t> </w:t>
            </w:r>
          </w:p>
        </w:tc>
      </w:tr>
      <w:tr w:rsidR="00DA07D8" w:rsidRPr="00DA07D8" w:rsidTr="00DA07D8">
        <w:trPr>
          <w:trHeight w:val="225"/>
        </w:trPr>
        <w:tc>
          <w:tcPr>
            <w:tcW w:w="242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i/>
                <w:iCs/>
                <w:sz w:val="16"/>
                <w:szCs w:val="16"/>
              </w:rPr>
            </w:pPr>
            <w:r w:rsidRPr="00DA07D8">
              <w:rPr>
                <w:rFonts w:ascii="Arial" w:hAnsi="Arial" w:cs="Arial"/>
                <w:i/>
                <w:iCs/>
                <w:sz w:val="16"/>
                <w:szCs w:val="16"/>
              </w:rPr>
              <w:t>Total special accounts</w:t>
            </w: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DA07D8" w:rsidRPr="00DA07D8" w:rsidRDefault="00DA07D8" w:rsidP="00DA07D8">
            <w:pPr>
              <w:spacing w:after="0" w:line="240" w:lineRule="auto"/>
              <w:jc w:val="left"/>
              <w:rPr>
                <w:rFonts w:ascii="Arial" w:hAnsi="Arial" w:cs="Arial"/>
                <w:sz w:val="16"/>
                <w:szCs w:val="16"/>
              </w:rPr>
            </w:pPr>
          </w:p>
        </w:tc>
        <w:tc>
          <w:tcPr>
            <w:tcW w:w="92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w:t>
            </w:r>
          </w:p>
        </w:tc>
        <w:tc>
          <w:tcPr>
            <w:tcW w:w="10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w:t>
            </w:r>
          </w:p>
        </w:tc>
        <w:tc>
          <w:tcPr>
            <w:tcW w:w="118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w:t>
            </w:r>
          </w:p>
        </w:tc>
        <w:tc>
          <w:tcPr>
            <w:tcW w:w="840" w:type="dxa"/>
            <w:tcBorders>
              <w:top w:val="nil"/>
              <w:left w:val="nil"/>
              <w:bottom w:val="nil"/>
              <w:right w:val="nil"/>
            </w:tcBorders>
            <w:shd w:val="clear" w:color="000000" w:fill="E6E6E6"/>
            <w:noWrap/>
            <w:vAlign w:val="center"/>
            <w:hideMark/>
          </w:tcPr>
          <w:p w:rsidR="00DA07D8" w:rsidRPr="00DA07D8" w:rsidRDefault="00DA07D8" w:rsidP="00DA07D8">
            <w:pPr>
              <w:spacing w:after="0" w:line="240" w:lineRule="auto"/>
              <w:jc w:val="left"/>
              <w:rPr>
                <w:rFonts w:ascii="Arial" w:hAnsi="Arial" w:cs="Arial"/>
                <w:sz w:val="16"/>
                <w:szCs w:val="16"/>
              </w:rPr>
            </w:pPr>
            <w:r w:rsidRPr="00DA07D8">
              <w:rPr>
                <w:rFonts w:ascii="Arial" w:hAnsi="Arial" w:cs="Arial"/>
                <w:sz w:val="16"/>
                <w:szCs w:val="16"/>
              </w:rPr>
              <w:t> </w:t>
            </w:r>
          </w:p>
        </w:tc>
      </w:tr>
      <w:tr w:rsidR="00DA07D8" w:rsidRPr="00DA07D8" w:rsidTr="00DA07D8">
        <w:trPr>
          <w:trHeight w:val="225"/>
        </w:trPr>
        <w:tc>
          <w:tcPr>
            <w:tcW w:w="2420" w:type="dxa"/>
            <w:tcBorders>
              <w:top w:val="nil"/>
              <w:left w:val="nil"/>
              <w:bottom w:val="single" w:sz="4" w:space="0" w:color="000000"/>
              <w:right w:val="nil"/>
            </w:tcBorders>
            <w:shd w:val="clear" w:color="auto" w:fill="auto"/>
            <w:noWrap/>
            <w:vAlign w:val="center"/>
            <w:hideMark/>
          </w:tcPr>
          <w:p w:rsidR="00DA07D8" w:rsidRPr="00DA07D8" w:rsidRDefault="00DA07D8" w:rsidP="00DA07D8">
            <w:pPr>
              <w:spacing w:after="0" w:line="240" w:lineRule="auto"/>
              <w:ind w:firstLineChars="100" w:firstLine="160"/>
              <w:jc w:val="left"/>
              <w:rPr>
                <w:rFonts w:ascii="Arial" w:hAnsi="Arial" w:cs="Arial"/>
                <w:i/>
                <w:iCs/>
                <w:color w:val="000000"/>
                <w:sz w:val="16"/>
                <w:szCs w:val="16"/>
              </w:rPr>
            </w:pPr>
            <w:r w:rsidRPr="00DA07D8">
              <w:rPr>
                <w:rFonts w:ascii="Arial" w:hAnsi="Arial" w:cs="Arial"/>
                <w:i/>
                <w:iCs/>
                <w:color w:val="000000"/>
                <w:sz w:val="16"/>
                <w:szCs w:val="16"/>
              </w:rPr>
              <w:t>2014-15 estimated actual</w:t>
            </w:r>
          </w:p>
        </w:tc>
        <w:tc>
          <w:tcPr>
            <w:tcW w:w="880" w:type="dxa"/>
            <w:tcBorders>
              <w:top w:val="nil"/>
              <w:left w:val="nil"/>
              <w:bottom w:val="single" w:sz="4" w:space="0" w:color="000000"/>
              <w:right w:val="nil"/>
            </w:tcBorders>
            <w:shd w:val="clear" w:color="auto" w:fill="auto"/>
            <w:noWrap/>
            <w:vAlign w:val="center"/>
            <w:hideMark/>
          </w:tcPr>
          <w:p w:rsidR="00DA07D8" w:rsidRPr="00DA07D8" w:rsidRDefault="00DA07D8" w:rsidP="00DA07D8">
            <w:pPr>
              <w:spacing w:after="0" w:line="240" w:lineRule="auto"/>
              <w:jc w:val="center"/>
              <w:rPr>
                <w:rFonts w:ascii="Arial" w:hAnsi="Arial" w:cs="Arial"/>
                <w:color w:val="000000"/>
                <w:sz w:val="16"/>
                <w:szCs w:val="16"/>
              </w:rPr>
            </w:pPr>
            <w:r w:rsidRPr="00DA07D8">
              <w:rPr>
                <w:rFonts w:ascii="Arial" w:hAnsi="Arial" w:cs="Arial"/>
                <w:color w:val="000000"/>
                <w:sz w:val="16"/>
                <w:szCs w:val="16"/>
              </w:rPr>
              <w:t> </w:t>
            </w:r>
          </w:p>
        </w:tc>
        <w:tc>
          <w:tcPr>
            <w:tcW w:w="880" w:type="dxa"/>
            <w:tcBorders>
              <w:top w:val="single" w:sz="4" w:space="0" w:color="auto"/>
              <w:left w:val="nil"/>
              <w:bottom w:val="single" w:sz="4" w:space="0" w:color="auto"/>
              <w:right w:val="nil"/>
            </w:tcBorders>
            <w:shd w:val="clear" w:color="auto" w:fill="auto"/>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43,546</w:t>
            </w:r>
          </w:p>
        </w:tc>
        <w:tc>
          <w:tcPr>
            <w:tcW w:w="92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2,846,813</w:t>
            </w:r>
          </w:p>
        </w:tc>
        <w:tc>
          <w:tcPr>
            <w:tcW w:w="104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(2,835,268)</w:t>
            </w:r>
          </w:p>
        </w:tc>
        <w:tc>
          <w:tcPr>
            <w:tcW w:w="118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w:t>
            </w:r>
          </w:p>
        </w:tc>
        <w:tc>
          <w:tcPr>
            <w:tcW w:w="840" w:type="dxa"/>
            <w:tcBorders>
              <w:top w:val="single" w:sz="4" w:space="0" w:color="auto"/>
              <w:left w:val="nil"/>
              <w:bottom w:val="single" w:sz="4" w:space="0" w:color="auto"/>
              <w:right w:val="nil"/>
            </w:tcBorders>
            <w:shd w:val="clear" w:color="000000" w:fill="E6E6E6"/>
            <w:noWrap/>
            <w:vAlign w:val="center"/>
            <w:hideMark/>
          </w:tcPr>
          <w:p w:rsidR="00DA07D8" w:rsidRPr="00DA07D8" w:rsidRDefault="00DA07D8" w:rsidP="00DA07D8">
            <w:pPr>
              <w:spacing w:after="0" w:line="240" w:lineRule="auto"/>
              <w:jc w:val="right"/>
              <w:rPr>
                <w:rFonts w:ascii="Arial" w:hAnsi="Arial" w:cs="Arial"/>
                <w:sz w:val="16"/>
                <w:szCs w:val="16"/>
              </w:rPr>
            </w:pPr>
            <w:r w:rsidRPr="00DA07D8">
              <w:rPr>
                <w:rFonts w:ascii="Arial" w:hAnsi="Arial" w:cs="Arial"/>
                <w:sz w:val="16"/>
                <w:szCs w:val="16"/>
              </w:rPr>
              <w:t>55,091</w:t>
            </w:r>
          </w:p>
        </w:tc>
      </w:tr>
    </w:tbl>
    <w:p w:rsidR="00901F17" w:rsidRPr="00344E3B" w:rsidRDefault="00901F17" w:rsidP="00901F17">
      <w:pPr>
        <w:spacing w:after="0" w:line="240" w:lineRule="auto"/>
        <w:rPr>
          <w:sz w:val="6"/>
          <w:szCs w:val="6"/>
        </w:rPr>
      </w:pPr>
    </w:p>
    <w:p w:rsidR="00901F17" w:rsidRPr="00984A6C" w:rsidRDefault="00901F17" w:rsidP="00901F17">
      <w:pPr>
        <w:spacing w:after="60" w:line="240" w:lineRule="auto"/>
        <w:jc w:val="left"/>
        <w:rPr>
          <w:rFonts w:ascii="Arial" w:hAnsi="Arial" w:cs="Arial"/>
          <w:sz w:val="15"/>
          <w:szCs w:val="15"/>
        </w:rPr>
      </w:pPr>
      <w:r w:rsidRPr="00984A6C">
        <w:rPr>
          <w:rFonts w:ascii="Arial" w:hAnsi="Arial" w:cs="Arial"/>
          <w:sz w:val="15"/>
          <w:szCs w:val="15"/>
        </w:rPr>
        <w:t>(A) = Administered</w:t>
      </w:r>
    </w:p>
    <w:p w:rsidR="00901F17" w:rsidRPr="00984A6C" w:rsidRDefault="00901F17" w:rsidP="00763D3B">
      <w:pPr>
        <w:spacing w:after="0" w:line="240" w:lineRule="auto"/>
        <w:jc w:val="left"/>
        <w:rPr>
          <w:rFonts w:ascii="Arial" w:hAnsi="Arial" w:cs="Arial"/>
          <w:sz w:val="15"/>
          <w:szCs w:val="15"/>
        </w:rPr>
      </w:pPr>
      <w:r w:rsidRPr="00984A6C">
        <w:rPr>
          <w:rFonts w:ascii="Arial" w:hAnsi="Arial" w:cs="Arial"/>
          <w:sz w:val="15"/>
          <w:szCs w:val="15"/>
        </w:rPr>
        <w:t>(D) = Departmental</w:t>
      </w:r>
    </w:p>
    <w:p w:rsidR="005E1EF1" w:rsidRPr="005E1EF1" w:rsidRDefault="005E1EF1" w:rsidP="00901F17">
      <w:pPr>
        <w:spacing w:after="0" w:line="240" w:lineRule="auto"/>
        <w:jc w:val="left"/>
        <w:rPr>
          <w:rFonts w:ascii="Arial" w:hAnsi="Arial" w:cs="Arial"/>
          <w:smallCaps/>
          <w:sz w:val="15"/>
          <w:szCs w:val="15"/>
        </w:rPr>
      </w:pPr>
    </w:p>
    <w:p w:rsidR="00901F17" w:rsidRPr="00DA07D8" w:rsidRDefault="005E1EF1" w:rsidP="00DA07D8">
      <w:pPr>
        <w:pStyle w:val="ListParagraph"/>
        <w:numPr>
          <w:ilvl w:val="0"/>
          <w:numId w:val="63"/>
        </w:numPr>
        <w:spacing w:after="60" w:line="240" w:lineRule="auto"/>
        <w:ind w:left="426" w:hanging="426"/>
        <w:contextualSpacing w:val="0"/>
        <w:outlineLvl w:val="6"/>
        <w:rPr>
          <w:rFonts w:ascii="Arial" w:eastAsia="Times New Roman" w:hAnsi="Arial" w:cs="Arial"/>
          <w:sz w:val="15"/>
          <w:szCs w:val="15"/>
          <w:lang w:val="en-AU" w:eastAsia="en-AU"/>
        </w:rPr>
      </w:pPr>
      <w:r>
        <w:rPr>
          <w:rFonts w:ascii="Arial" w:eastAsia="Times New Roman" w:hAnsi="Arial" w:cs="Arial"/>
          <w:sz w:val="15"/>
          <w:szCs w:val="15"/>
          <w:lang w:val="en-AU" w:eastAsia="en-AU"/>
        </w:rPr>
        <w:t>Reported under ComSuper for 2014</w:t>
      </w:r>
      <w:r w:rsidR="00684545">
        <w:rPr>
          <w:rFonts w:ascii="Arial" w:eastAsia="Times New Roman" w:hAnsi="Arial" w:cs="Arial"/>
          <w:sz w:val="15"/>
          <w:szCs w:val="15"/>
          <w:lang w:val="en-AU" w:eastAsia="en-AU"/>
        </w:rPr>
        <w:t>-</w:t>
      </w:r>
      <w:r>
        <w:rPr>
          <w:rFonts w:ascii="Arial" w:eastAsia="Times New Roman" w:hAnsi="Arial" w:cs="Arial"/>
          <w:sz w:val="15"/>
          <w:szCs w:val="15"/>
          <w:lang w:val="en-AU" w:eastAsia="en-AU"/>
        </w:rPr>
        <w:t xml:space="preserve">15. To be </w:t>
      </w:r>
      <w:r w:rsidR="00763D3B">
        <w:rPr>
          <w:rFonts w:ascii="Arial" w:eastAsia="Times New Roman" w:hAnsi="Arial" w:cs="Arial"/>
          <w:sz w:val="15"/>
          <w:szCs w:val="15"/>
          <w:lang w:val="en-AU" w:eastAsia="en-AU"/>
        </w:rPr>
        <w:t>replaced by the</w:t>
      </w:r>
      <w:r>
        <w:rPr>
          <w:rFonts w:ascii="Arial" w:eastAsia="Times New Roman" w:hAnsi="Arial" w:cs="Arial"/>
          <w:sz w:val="15"/>
          <w:szCs w:val="15"/>
          <w:lang w:val="en-AU" w:eastAsia="en-AU"/>
        </w:rPr>
        <w:t xml:space="preserve"> ‘CSC Special Account’ on 1 July 2015, subject to the passage of legislation.</w:t>
      </w:r>
      <w:r w:rsidR="00901F17" w:rsidRPr="00DA07D8">
        <w:rPr>
          <w:rFonts w:ascii="Arial Bold" w:hAnsi="Arial Bold" w:cs="Arial"/>
          <w:b/>
          <w:smallCaps/>
          <w:sz w:val="26"/>
          <w:szCs w:val="26"/>
        </w:rPr>
        <w:br w:type="page"/>
      </w:r>
    </w:p>
    <w:p w:rsidR="00901F17" w:rsidRPr="00984A6C" w:rsidRDefault="00901F17" w:rsidP="00901F17">
      <w:pPr>
        <w:tabs>
          <w:tab w:val="left" w:pos="709"/>
        </w:tabs>
        <w:spacing w:before="240" w:line="240" w:lineRule="auto"/>
        <w:jc w:val="left"/>
        <w:rPr>
          <w:rFonts w:ascii="Arial Bold" w:hAnsi="Arial Bold" w:cs="Arial"/>
          <w:b/>
          <w:smallCaps/>
          <w:sz w:val="26"/>
          <w:szCs w:val="26"/>
        </w:rPr>
      </w:pPr>
      <w:r w:rsidRPr="00984A6C">
        <w:rPr>
          <w:rFonts w:ascii="Arial Bold" w:hAnsi="Arial Bold" w:cs="Arial"/>
          <w:b/>
          <w:smallCaps/>
          <w:sz w:val="26"/>
          <w:szCs w:val="26"/>
        </w:rPr>
        <w:lastRenderedPageBreak/>
        <w:t>3.1.3</w:t>
      </w:r>
      <w:r w:rsidRPr="00984A6C">
        <w:rPr>
          <w:rFonts w:ascii="Arial Bold" w:hAnsi="Arial Bold" w:cs="Arial"/>
          <w:b/>
          <w:smallCaps/>
          <w:sz w:val="26"/>
          <w:szCs w:val="26"/>
        </w:rPr>
        <w:tab/>
        <w:t>Australian Government Indigenous Expenditure</w:t>
      </w:r>
    </w:p>
    <w:p w:rsidR="00901F17" w:rsidRPr="00D360A2" w:rsidRDefault="00901F17" w:rsidP="00901F17">
      <w:r>
        <w:t>The 2015-16 Australian Government Indigenous Expenditure is not applicable because Commonwealth Superannuation Corporation has no indigenous</w:t>
      </w:r>
      <w:r w:rsidR="00684545">
        <w:t>-</w:t>
      </w:r>
      <w:r>
        <w:t>specific expenses.</w:t>
      </w:r>
    </w:p>
    <w:p w:rsidR="00901F17" w:rsidRPr="002F5C83" w:rsidRDefault="00901F17" w:rsidP="00901F17">
      <w:pPr>
        <w:pStyle w:val="Heading4"/>
      </w:pPr>
      <w:r>
        <w:br w:type="page"/>
      </w:r>
      <w:bookmarkStart w:id="13" w:name="_Toc417295174"/>
      <w:bookmarkStart w:id="14" w:name="_Toc418003431"/>
      <w:r w:rsidRPr="002F5C83">
        <w:lastRenderedPageBreak/>
        <w:t>3.2</w:t>
      </w:r>
      <w:r w:rsidRPr="002F5C83">
        <w:tab/>
        <w:t>Budgeted Financial Statements</w:t>
      </w:r>
      <w:bookmarkEnd w:id="13"/>
      <w:bookmarkEnd w:id="14"/>
    </w:p>
    <w:p w:rsidR="00901F17" w:rsidRPr="00984A6C" w:rsidRDefault="00901F17" w:rsidP="00901F17">
      <w:pPr>
        <w:tabs>
          <w:tab w:val="left" w:pos="709"/>
        </w:tabs>
        <w:spacing w:before="240" w:line="240" w:lineRule="auto"/>
        <w:jc w:val="left"/>
        <w:rPr>
          <w:rFonts w:ascii="Arial Bold" w:hAnsi="Arial Bold" w:cs="Arial"/>
          <w:b/>
          <w:smallCaps/>
          <w:sz w:val="26"/>
          <w:szCs w:val="26"/>
        </w:rPr>
      </w:pPr>
      <w:r w:rsidRPr="00984A6C">
        <w:rPr>
          <w:rFonts w:ascii="Arial Bold" w:hAnsi="Arial Bold" w:cs="Arial"/>
          <w:b/>
          <w:smallCaps/>
          <w:sz w:val="26"/>
          <w:szCs w:val="26"/>
        </w:rPr>
        <w:t>3.2.1</w:t>
      </w:r>
      <w:r w:rsidRPr="00984A6C">
        <w:rPr>
          <w:rFonts w:ascii="Arial Bold" w:hAnsi="Arial Bold" w:cs="Arial"/>
          <w:b/>
          <w:smallCaps/>
          <w:sz w:val="26"/>
          <w:szCs w:val="26"/>
        </w:rPr>
        <w:tab/>
        <w:t>Differences in Entity Resourcing and Financial Statements</w:t>
      </w:r>
    </w:p>
    <w:p w:rsidR="00901F17" w:rsidRPr="00A91FFE" w:rsidRDefault="00901F17" w:rsidP="00901F17">
      <w:r w:rsidRPr="00A91FFE">
        <w:t xml:space="preserve">No material differences exist between </w:t>
      </w:r>
      <w:r w:rsidR="00081A28">
        <w:t>entity</w:t>
      </w:r>
      <w:r w:rsidRPr="00A91FFE">
        <w:t xml:space="preserve"> resourcing and the financial statements.</w:t>
      </w:r>
    </w:p>
    <w:p w:rsidR="00901F17" w:rsidRPr="00984A6C" w:rsidRDefault="00901F17" w:rsidP="00901F17">
      <w:pPr>
        <w:tabs>
          <w:tab w:val="left" w:pos="709"/>
        </w:tabs>
        <w:spacing w:before="240" w:line="240" w:lineRule="auto"/>
        <w:jc w:val="left"/>
        <w:rPr>
          <w:rFonts w:ascii="Arial Bold" w:hAnsi="Arial Bold" w:cs="Arial"/>
          <w:b/>
          <w:smallCaps/>
          <w:sz w:val="26"/>
          <w:szCs w:val="26"/>
        </w:rPr>
      </w:pPr>
      <w:r w:rsidRPr="00984A6C">
        <w:rPr>
          <w:rFonts w:ascii="Arial Bold" w:hAnsi="Arial Bold" w:cs="Arial"/>
          <w:b/>
          <w:smallCaps/>
          <w:sz w:val="26"/>
          <w:szCs w:val="26"/>
        </w:rPr>
        <w:t>3.2.2</w:t>
      </w:r>
      <w:r w:rsidRPr="00984A6C">
        <w:rPr>
          <w:rFonts w:ascii="Arial Bold" w:hAnsi="Arial Bold" w:cs="Arial"/>
          <w:b/>
          <w:smallCaps/>
          <w:sz w:val="26"/>
          <w:szCs w:val="26"/>
        </w:rPr>
        <w:tab/>
        <w:t>Analysis of Budgeted Financial Statements</w:t>
      </w:r>
    </w:p>
    <w:p w:rsidR="00901F17" w:rsidRPr="00196D97" w:rsidRDefault="00901F17" w:rsidP="00901F17">
      <w:r w:rsidRPr="00196D97">
        <w:t xml:space="preserve">CSC is the trustee for the PSSap, PSS, CSS and MSBS </w:t>
      </w:r>
      <w:r>
        <w:t xml:space="preserve">regulated </w:t>
      </w:r>
      <w:r w:rsidRPr="00196D97">
        <w:t xml:space="preserve">superannuation schemes </w:t>
      </w:r>
      <w:r>
        <w:t>and five ‘unfunded’ superannuation schemes</w:t>
      </w:r>
      <w:r w:rsidRPr="00A74758">
        <w:t xml:space="preserve">. The governance arrangements of these schemes are set out in the </w:t>
      </w:r>
      <w:r w:rsidRPr="00A74758">
        <w:rPr>
          <w:i/>
        </w:rPr>
        <w:t>Governance of Australian Government Superannuation Schemes Act 2011</w:t>
      </w:r>
      <w:r w:rsidRPr="00A74758">
        <w:rPr>
          <w:rFonts w:cs="Arial"/>
          <w:i/>
          <w:lang w:val="en-US" w:eastAsia="en-US"/>
        </w:rPr>
        <w:t xml:space="preserve"> </w:t>
      </w:r>
      <w:r w:rsidRPr="00A74758">
        <w:rPr>
          <w:rFonts w:cs="Arial"/>
          <w:lang w:val="en-US" w:eastAsia="en-US"/>
        </w:rPr>
        <w:t xml:space="preserve">and </w:t>
      </w:r>
      <w:r>
        <w:rPr>
          <w:rFonts w:cs="Arial"/>
          <w:lang w:val="en-US" w:eastAsia="en-US"/>
        </w:rPr>
        <w:t xml:space="preserve">various </w:t>
      </w:r>
      <w:r w:rsidRPr="00A74758">
        <w:rPr>
          <w:rFonts w:cs="Arial"/>
          <w:lang w:val="en-US" w:eastAsia="en-US"/>
        </w:rPr>
        <w:t xml:space="preserve">scheme specific </w:t>
      </w:r>
      <w:r>
        <w:rPr>
          <w:rFonts w:cs="Arial"/>
          <w:lang w:val="en-US" w:eastAsia="en-US"/>
        </w:rPr>
        <w:t xml:space="preserve">Acts, Trust Deeds, </w:t>
      </w:r>
      <w:r w:rsidRPr="00A74758">
        <w:rPr>
          <w:rFonts w:cs="Arial"/>
          <w:lang w:val="en-US" w:eastAsia="en-US"/>
        </w:rPr>
        <w:t>legislation</w:t>
      </w:r>
      <w:r>
        <w:rPr>
          <w:i/>
        </w:rPr>
        <w:t xml:space="preserve">, </w:t>
      </w:r>
      <w:r w:rsidRPr="00196D97">
        <w:t>rules and determinations. Th</w:t>
      </w:r>
      <w:r>
        <w:t>ese</w:t>
      </w:r>
      <w:r w:rsidRPr="00196D97">
        <w:t xml:space="preserve"> </w:t>
      </w:r>
      <w:r>
        <w:t>requirements</w:t>
      </w:r>
      <w:r w:rsidRPr="00196D97">
        <w:t xml:space="preserve"> prescribe which costs are to be paid from scheme funds, and which costs are to be borne by the fees levied upon Commonwealth </w:t>
      </w:r>
      <w:r>
        <w:t>entities</w:t>
      </w:r>
      <w:r w:rsidRPr="00196D97">
        <w:t>.</w:t>
      </w:r>
    </w:p>
    <w:p w:rsidR="00901F17" w:rsidRPr="00B078BB" w:rsidRDefault="00901F17" w:rsidP="00901F17">
      <w:r>
        <w:t>CSC</w:t>
      </w:r>
      <w:r w:rsidRPr="003C2CB0">
        <w:t xml:space="preserve"> receives revenue through fees paid by </w:t>
      </w:r>
      <w:r>
        <w:t>Commonwealth entities</w:t>
      </w:r>
      <w:r w:rsidRPr="003C2CB0">
        <w:t xml:space="preserve">, including the Department of Defence and some </w:t>
      </w:r>
      <w:r w:rsidR="00081A28">
        <w:t>entities</w:t>
      </w:r>
      <w:r w:rsidRPr="003C2CB0">
        <w:t xml:space="preserve"> with residual</w:t>
      </w:r>
      <w:r>
        <w:t xml:space="preserve"> </w:t>
      </w:r>
      <w:r w:rsidRPr="003C2CB0">
        <w:t>membership in the schemes, such as the Northern Territory and Australian Capital</w:t>
      </w:r>
      <w:r>
        <w:t xml:space="preserve"> </w:t>
      </w:r>
      <w:r w:rsidRPr="003C2CB0">
        <w:t xml:space="preserve">Territory </w:t>
      </w:r>
      <w:r w:rsidRPr="00B078BB">
        <w:t>governments. All CSC fee revenue</w:t>
      </w:r>
      <w:r>
        <w:t xml:space="preserve"> from</w:t>
      </w:r>
      <w:r w:rsidRPr="00B078BB">
        <w:t xml:space="preserve"> </w:t>
      </w:r>
      <w:r>
        <w:t xml:space="preserve">Commonwealth entities </w:t>
      </w:r>
      <w:r w:rsidRPr="00B078BB">
        <w:t>is managed through a Special Account.</w:t>
      </w:r>
    </w:p>
    <w:p w:rsidR="00901F17" w:rsidRDefault="00901F17" w:rsidP="008B15C4">
      <w:pPr>
        <w:autoSpaceDE w:val="0"/>
        <w:autoSpaceDN w:val="0"/>
        <w:adjustRightInd w:val="0"/>
        <w:spacing w:line="240" w:lineRule="auto"/>
        <w:rPr>
          <w:rFonts w:cs="BookAntiqua"/>
        </w:rPr>
      </w:pPr>
      <w:r>
        <w:rPr>
          <w:rFonts w:cs="BookAntiqua"/>
        </w:rPr>
        <w:t>CSC’s budgeted departmental expenses shown in this document reflect only the costs paid, and income received, by CSC into its Special Account and does not reflect the total cost involved in the administration and management of the schemes.</w:t>
      </w:r>
    </w:p>
    <w:p w:rsidR="00901F17" w:rsidRPr="00B078BB" w:rsidRDefault="008B15C4" w:rsidP="00901F17">
      <w:pPr>
        <w:autoSpaceDE w:val="0"/>
        <w:autoSpaceDN w:val="0"/>
        <w:adjustRightInd w:val="0"/>
        <w:spacing w:after="0" w:line="240" w:lineRule="auto"/>
        <w:rPr>
          <w:rFonts w:cs="BookAntiqua"/>
        </w:rPr>
      </w:pPr>
      <w:r w:rsidRPr="008B15C4">
        <w:rPr>
          <w:rFonts w:cs="BookAntiqua"/>
        </w:rPr>
        <w:t xml:space="preserve">CSC is projecting a surplus of $3 million in 2015-16.  This surplus is due to savings measures announced in the 2009-10 Additional Estimates related to Superannuation Administration Reform Programme (SARP) savings. </w:t>
      </w:r>
      <w:r w:rsidR="00901F17" w:rsidRPr="00B078BB">
        <w:rPr>
          <w:rFonts w:cs="BookAntiqua"/>
        </w:rPr>
        <w:t xml:space="preserve">It is intended that </w:t>
      </w:r>
      <w:r w:rsidR="00901F17">
        <w:rPr>
          <w:rFonts w:cs="BookAntiqua"/>
        </w:rPr>
        <w:t>a</w:t>
      </w:r>
      <w:r w:rsidR="00901F17" w:rsidRPr="00B078BB">
        <w:rPr>
          <w:rFonts w:cs="BookAntiqua"/>
        </w:rPr>
        <w:t xml:space="preserve"> </w:t>
      </w:r>
      <w:r w:rsidR="00901F17">
        <w:rPr>
          <w:rFonts w:cs="BookAntiqua"/>
        </w:rPr>
        <w:t>$3 million surplus</w:t>
      </w:r>
      <w:r w:rsidR="00901F17" w:rsidRPr="00B078BB">
        <w:rPr>
          <w:rFonts w:cs="BookAntiqua"/>
        </w:rPr>
        <w:t xml:space="preserve"> will be returned to </w:t>
      </w:r>
      <w:r w:rsidR="00D87624">
        <w:rPr>
          <w:rFonts w:cs="BookAntiqua"/>
        </w:rPr>
        <w:t>government</w:t>
      </w:r>
      <w:r w:rsidR="00901F17" w:rsidRPr="00B078BB">
        <w:rPr>
          <w:rFonts w:cs="BookAntiqua"/>
        </w:rPr>
        <w:t xml:space="preserve"> in 2015-16 and </w:t>
      </w:r>
      <w:r w:rsidR="00901F17">
        <w:rPr>
          <w:rFonts w:cs="BookAntiqua"/>
        </w:rPr>
        <w:t>in</w:t>
      </w:r>
      <w:r w:rsidR="00901F17" w:rsidRPr="00B078BB">
        <w:rPr>
          <w:rFonts w:cs="BookAntiqua"/>
        </w:rPr>
        <w:t xml:space="preserve"> subsequent forward years.</w:t>
      </w:r>
    </w:p>
    <w:p w:rsidR="00901F17" w:rsidRPr="00984A6C" w:rsidRDefault="00901F17" w:rsidP="00901F17">
      <w:pPr>
        <w:tabs>
          <w:tab w:val="left" w:pos="709"/>
        </w:tabs>
        <w:spacing w:before="240" w:line="240" w:lineRule="auto"/>
        <w:jc w:val="left"/>
        <w:rPr>
          <w:rFonts w:ascii="Arial Bold" w:hAnsi="Arial Bold" w:cs="Arial"/>
          <w:b/>
          <w:smallCaps/>
          <w:sz w:val="26"/>
          <w:szCs w:val="26"/>
        </w:rPr>
      </w:pPr>
      <w:r>
        <w:br w:type="page"/>
      </w:r>
      <w:r w:rsidRPr="00984A6C">
        <w:rPr>
          <w:rFonts w:ascii="Arial Bold" w:hAnsi="Arial Bold" w:cs="Arial"/>
          <w:b/>
          <w:smallCaps/>
          <w:sz w:val="26"/>
          <w:szCs w:val="26"/>
        </w:rPr>
        <w:lastRenderedPageBreak/>
        <w:t>3.2.3</w:t>
      </w:r>
      <w:r w:rsidRPr="00984A6C">
        <w:rPr>
          <w:rFonts w:ascii="Arial Bold" w:hAnsi="Arial Bold" w:cs="Arial"/>
          <w:b/>
          <w:smallCaps/>
          <w:sz w:val="26"/>
          <w:szCs w:val="26"/>
        </w:rPr>
        <w:tab/>
        <w:t>Budgeted Financial Statements Tables</w:t>
      </w:r>
    </w:p>
    <w:p w:rsidR="00901F17" w:rsidRPr="00344E3B" w:rsidRDefault="003D3DE6" w:rsidP="00E453F8">
      <w:pPr>
        <w:pStyle w:val="Heading5"/>
      </w:pPr>
      <w:r w:rsidRPr="00793F50">
        <w:t xml:space="preserve">Table 3.2.1: </w:t>
      </w:r>
      <w:r>
        <w:t>Budgeted Comprehensive Income Statement – Departmental</w:t>
      </w:r>
      <w:r>
        <w:br/>
        <w:t>(showing Net Cost of Services)</w:t>
      </w:r>
      <w:r>
        <w:br/>
        <w:t>for the period ended 30 June</w:t>
      </w:r>
    </w:p>
    <w:tbl>
      <w:tblPr>
        <w:tblW w:w="7420" w:type="dxa"/>
        <w:tblInd w:w="87" w:type="dxa"/>
        <w:tblLook w:val="04A0"/>
      </w:tblPr>
      <w:tblGrid>
        <w:gridCol w:w="3160"/>
        <w:gridCol w:w="928"/>
        <w:gridCol w:w="272"/>
        <w:gridCol w:w="821"/>
        <w:gridCol w:w="821"/>
        <w:gridCol w:w="821"/>
        <w:gridCol w:w="821"/>
      </w:tblGrid>
      <w:tr w:rsidR="00321575" w:rsidRPr="00321575" w:rsidTr="00321575">
        <w:trPr>
          <w:trHeight w:val="225"/>
        </w:trPr>
        <w:tc>
          <w:tcPr>
            <w:tcW w:w="316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single" w:sz="4" w:space="0" w:color="auto"/>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Estimated</w:t>
            </w:r>
          </w:p>
        </w:tc>
        <w:tc>
          <w:tcPr>
            <w:tcW w:w="160" w:type="dxa"/>
            <w:tcBorders>
              <w:top w:val="single" w:sz="4" w:space="0" w:color="auto"/>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 </w:t>
            </w:r>
          </w:p>
        </w:tc>
        <w:tc>
          <w:tcPr>
            <w:tcW w:w="820" w:type="dxa"/>
            <w:tcBorders>
              <w:top w:val="single" w:sz="4" w:space="0" w:color="auto"/>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Budget</w:t>
            </w:r>
          </w:p>
        </w:tc>
        <w:tc>
          <w:tcPr>
            <w:tcW w:w="820" w:type="dxa"/>
            <w:tcBorders>
              <w:top w:val="single" w:sz="4" w:space="0" w:color="auto"/>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20" w:type="dxa"/>
            <w:tcBorders>
              <w:top w:val="single" w:sz="4" w:space="0" w:color="auto"/>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20" w:type="dxa"/>
            <w:tcBorders>
              <w:top w:val="single" w:sz="4" w:space="0" w:color="auto"/>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r>
      <w:tr w:rsidR="00321575" w:rsidRPr="00321575" w:rsidTr="00321575">
        <w:trPr>
          <w:trHeight w:val="24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2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actual</w:t>
            </w:r>
          </w:p>
        </w:tc>
        <w:tc>
          <w:tcPr>
            <w:tcW w:w="160" w:type="dxa"/>
            <w:tcBorders>
              <w:top w:val="nil"/>
              <w:left w:val="nil"/>
              <w:bottom w:val="nil"/>
              <w:right w:val="nil"/>
            </w:tcBorders>
            <w:shd w:val="clear" w:color="000000" w:fill="FFFFFF"/>
            <w:noWrap/>
            <w:vAlign w:val="center"/>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vertAlign w:val="superscript"/>
              </w:rPr>
              <w:t>1</w:t>
            </w:r>
          </w:p>
        </w:tc>
        <w:tc>
          <w:tcPr>
            <w:tcW w:w="82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2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2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2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r>
      <w:tr w:rsidR="00321575" w:rsidRPr="00321575" w:rsidTr="00321575">
        <w:trPr>
          <w:trHeight w:val="225"/>
        </w:trPr>
        <w:tc>
          <w:tcPr>
            <w:tcW w:w="3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2014-15</w:t>
            </w:r>
          </w:p>
        </w:tc>
        <w:tc>
          <w:tcPr>
            <w:tcW w:w="16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2015-16</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2016-17</w:t>
            </w:r>
          </w:p>
        </w:tc>
        <w:tc>
          <w:tcPr>
            <w:tcW w:w="82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2017-18</w:t>
            </w:r>
          </w:p>
        </w:tc>
        <w:tc>
          <w:tcPr>
            <w:tcW w:w="82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2018-19</w:t>
            </w:r>
          </w:p>
        </w:tc>
      </w:tr>
      <w:tr w:rsidR="00321575" w:rsidRPr="00321575" w:rsidTr="00321575">
        <w:trPr>
          <w:trHeight w:val="225"/>
        </w:trPr>
        <w:tc>
          <w:tcPr>
            <w:tcW w:w="3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16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2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2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2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r>
      <w:tr w:rsidR="00321575" w:rsidRPr="00321575" w:rsidTr="00321575">
        <w:trPr>
          <w:trHeight w:val="24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 xml:space="preserve">EXPENSES </w:t>
            </w:r>
            <w:r w:rsidRPr="00321575">
              <w:rPr>
                <w:rFonts w:ascii="Arial" w:hAnsi="Arial" w:cs="Arial"/>
                <w:b/>
                <w:bCs/>
                <w:sz w:val="16"/>
                <w:szCs w:val="16"/>
                <w:vertAlign w:val="superscript"/>
              </w:rPr>
              <w:t>2</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r>
      <w:tr w:rsidR="00321575" w:rsidRPr="00321575" w:rsidTr="00321575">
        <w:trPr>
          <w:trHeight w:val="24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 xml:space="preserve">Employee benefits </w:t>
            </w:r>
            <w:r w:rsidRPr="00321575">
              <w:rPr>
                <w:rFonts w:ascii="Arial" w:hAnsi="Arial" w:cs="Arial"/>
                <w:sz w:val="16"/>
                <w:szCs w:val="16"/>
                <w:vertAlign w:val="superscript"/>
              </w:rPr>
              <w:t>3</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44,270</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40,234</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40,331</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40,781</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41,171</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Suppliers</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35,612</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27,926</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26,242</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26,565</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26,424</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Depreciation and amortisation</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5,639</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5,665</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4,778</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Other expenses</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105</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Total expenses</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85,626</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73,825</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71,351</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71,784</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72,033</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 xml:space="preserve">LESS: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4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 xml:space="preserve">OWN-SOURCE INCOME </w:t>
            </w:r>
            <w:r w:rsidRPr="00321575">
              <w:rPr>
                <w:rFonts w:ascii="Arial" w:hAnsi="Arial" w:cs="Arial"/>
                <w:b/>
                <w:bCs/>
                <w:sz w:val="16"/>
                <w:szCs w:val="16"/>
                <w:vertAlign w:val="superscript"/>
              </w:rPr>
              <w:t>2</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Own-source revenue</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sz w:val="16"/>
                <w:szCs w:val="16"/>
              </w:rPr>
            </w:pPr>
            <w:r w:rsidRPr="00321575">
              <w:rPr>
                <w:rFonts w:ascii="Arial" w:hAnsi="Arial" w:cs="Arial"/>
                <w:sz w:val="16"/>
                <w:szCs w:val="16"/>
              </w:rPr>
              <w:t>Sale of goods and</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300" w:firstLine="480"/>
              <w:jc w:val="left"/>
              <w:rPr>
                <w:rFonts w:ascii="Arial" w:hAnsi="Arial" w:cs="Arial"/>
                <w:sz w:val="16"/>
                <w:szCs w:val="16"/>
              </w:rPr>
            </w:pPr>
            <w:r w:rsidRPr="00321575">
              <w:rPr>
                <w:rFonts w:ascii="Arial" w:hAnsi="Arial" w:cs="Arial"/>
                <w:sz w:val="16"/>
                <w:szCs w:val="16"/>
              </w:rPr>
              <w:t>rendering of services</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91,096</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76,825</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74,351</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74,784</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75,033</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sz w:val="16"/>
                <w:szCs w:val="16"/>
              </w:rPr>
            </w:pPr>
            <w:r w:rsidRPr="00321575">
              <w:rPr>
                <w:rFonts w:ascii="Arial" w:hAnsi="Arial" w:cs="Arial"/>
                <w:sz w:val="16"/>
                <w:szCs w:val="16"/>
              </w:rPr>
              <w:t>Interest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160</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Total own-source revenue</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91,256</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76,825</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74,351</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74,784</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75,033</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Gains</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sz w:val="16"/>
                <w:szCs w:val="16"/>
              </w:rPr>
            </w:pPr>
            <w:r w:rsidRPr="00321575">
              <w:rPr>
                <w:rFonts w:ascii="Arial" w:hAnsi="Arial" w:cs="Arial"/>
                <w:sz w:val="16"/>
                <w:szCs w:val="16"/>
              </w:rPr>
              <w:t>Other</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105</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Total gains</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105</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Total own-source income</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91,361</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76,825</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74,351</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74,784</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75,033</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Net cost of (contribution by)</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services</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(5,735)</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Revenue from government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Surplus (Deficit) attributable to</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4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 xml:space="preserve"> the Australian Government </w:t>
            </w:r>
            <w:r w:rsidRPr="00321575">
              <w:rPr>
                <w:rFonts w:ascii="Arial" w:hAnsi="Arial" w:cs="Arial"/>
                <w:b/>
                <w:bCs/>
                <w:sz w:val="16"/>
                <w:szCs w:val="16"/>
                <w:vertAlign w:val="superscript"/>
              </w:rPr>
              <w:t>4</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5,735</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r>
      <w:tr w:rsidR="00321575" w:rsidRPr="00321575" w:rsidTr="00321575">
        <w:trPr>
          <w:trHeight w:val="60"/>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Total comprehensive income (loss)</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 xml:space="preserve"> attributable to the Australian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16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p>
        </w:tc>
      </w:tr>
      <w:tr w:rsidR="00321575" w:rsidRPr="00321575" w:rsidTr="00321575">
        <w:trPr>
          <w:trHeight w:val="225"/>
        </w:trPr>
        <w:tc>
          <w:tcPr>
            <w:tcW w:w="316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Government</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5,735</w:t>
            </w:r>
          </w:p>
        </w:tc>
        <w:tc>
          <w:tcPr>
            <w:tcW w:w="16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 </w:t>
            </w:r>
          </w:p>
        </w:tc>
        <w:tc>
          <w:tcPr>
            <w:tcW w:w="820" w:type="dxa"/>
            <w:tcBorders>
              <w:top w:val="single" w:sz="4" w:space="0" w:color="auto"/>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c>
          <w:tcPr>
            <w:tcW w:w="820" w:type="dxa"/>
            <w:tcBorders>
              <w:top w:val="single" w:sz="4" w:space="0" w:color="auto"/>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3,000</w:t>
            </w:r>
          </w:p>
        </w:tc>
      </w:tr>
    </w:tbl>
    <w:p w:rsidR="00901F17" w:rsidRPr="0015261C" w:rsidRDefault="00901F17" w:rsidP="00901F17">
      <w:pPr>
        <w:spacing w:after="0" w:line="240" w:lineRule="auto"/>
        <w:rPr>
          <w:sz w:val="6"/>
          <w:szCs w:val="6"/>
        </w:rPr>
      </w:pPr>
    </w:p>
    <w:p w:rsidR="00901F17" w:rsidRPr="00843E96"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p w:rsidR="00901F17" w:rsidRPr="0049416D" w:rsidRDefault="00901F17" w:rsidP="00901F17">
      <w:pPr>
        <w:pStyle w:val="NoSpacing"/>
        <w:rPr>
          <w:sz w:val="15"/>
          <w:szCs w:val="15"/>
        </w:rPr>
      </w:pPr>
    </w:p>
    <w:p w:rsidR="00901F17" w:rsidRPr="0049416D" w:rsidRDefault="00901F17" w:rsidP="00494152">
      <w:pPr>
        <w:pStyle w:val="ListParagraph"/>
        <w:numPr>
          <w:ilvl w:val="0"/>
          <w:numId w:val="60"/>
        </w:numPr>
        <w:spacing w:after="60" w:line="240" w:lineRule="auto"/>
        <w:ind w:left="426" w:hanging="426"/>
        <w:contextualSpacing w:val="0"/>
        <w:outlineLvl w:val="6"/>
        <w:rPr>
          <w:rFonts w:ascii="Arial" w:hAnsi="Arial" w:cs="Arial"/>
          <w:sz w:val="15"/>
          <w:szCs w:val="15"/>
        </w:rPr>
      </w:pPr>
      <w:r w:rsidRPr="0049416D">
        <w:rPr>
          <w:rFonts w:ascii="Arial" w:hAnsi="Arial" w:cs="Arial"/>
          <w:sz w:val="15"/>
          <w:szCs w:val="15"/>
        </w:rPr>
        <w:t>Estimated Actuals for 2014-15 are combined from CSC and ComSuper prior to merger and are net of eliminations of inter-entity revenues and expenses that are shown gross in the tables for Outcomes 1 and 2.</w:t>
      </w:r>
    </w:p>
    <w:p w:rsidR="002F5C83" w:rsidRDefault="002F5C83" w:rsidP="00494152">
      <w:pPr>
        <w:pStyle w:val="ListParagraph"/>
        <w:numPr>
          <w:ilvl w:val="0"/>
          <w:numId w:val="60"/>
        </w:numPr>
        <w:spacing w:after="60" w:line="240" w:lineRule="auto"/>
        <w:ind w:left="426" w:hanging="426"/>
        <w:contextualSpacing w:val="0"/>
        <w:outlineLvl w:val="6"/>
        <w:rPr>
          <w:rFonts w:ascii="Arial" w:hAnsi="Arial" w:cs="Arial"/>
          <w:sz w:val="15"/>
          <w:szCs w:val="15"/>
        </w:rPr>
      </w:pPr>
      <w:r w:rsidRPr="0049416D">
        <w:rPr>
          <w:rFonts w:ascii="Arial" w:hAnsi="Arial" w:cs="Arial"/>
          <w:sz w:val="15"/>
          <w:szCs w:val="15"/>
        </w:rPr>
        <w:t>Expenses reflect only the costs paid, and income received, by CSC into its Special Account and do not reflect the total cost involved in the administration and management of the schemes.</w:t>
      </w:r>
    </w:p>
    <w:p w:rsidR="00901F17" w:rsidRPr="0049416D" w:rsidRDefault="002F5C83" w:rsidP="00494152">
      <w:pPr>
        <w:pStyle w:val="ListParagraph"/>
        <w:numPr>
          <w:ilvl w:val="0"/>
          <w:numId w:val="60"/>
        </w:numPr>
        <w:spacing w:after="60" w:line="240" w:lineRule="auto"/>
        <w:ind w:left="426" w:hanging="426"/>
        <w:contextualSpacing w:val="0"/>
        <w:outlineLvl w:val="6"/>
        <w:rPr>
          <w:rFonts w:ascii="Arial" w:hAnsi="Arial" w:cs="Arial"/>
          <w:sz w:val="15"/>
          <w:szCs w:val="15"/>
        </w:rPr>
      </w:pPr>
      <w:r w:rsidRPr="002F5C83">
        <w:rPr>
          <w:rFonts w:ascii="Arial" w:hAnsi="Arial" w:cs="Arial"/>
          <w:sz w:val="15"/>
          <w:szCs w:val="15"/>
        </w:rPr>
        <w:t>Employee benefits in 2014-15 include amounts for redundancy payments.</w:t>
      </w:r>
    </w:p>
    <w:p w:rsidR="00901F17" w:rsidRPr="0049416D" w:rsidRDefault="002F5C83" w:rsidP="00494152">
      <w:pPr>
        <w:pStyle w:val="ListParagraph"/>
        <w:numPr>
          <w:ilvl w:val="0"/>
          <w:numId w:val="60"/>
        </w:numPr>
        <w:spacing w:after="60" w:line="240" w:lineRule="auto"/>
        <w:ind w:left="426" w:hanging="426"/>
        <w:contextualSpacing w:val="0"/>
        <w:outlineLvl w:val="6"/>
        <w:rPr>
          <w:rFonts w:ascii="Arial" w:hAnsi="Arial" w:cs="Arial"/>
          <w:sz w:val="15"/>
          <w:szCs w:val="15"/>
        </w:rPr>
      </w:pPr>
      <w:r w:rsidRPr="002F5C83">
        <w:rPr>
          <w:rFonts w:ascii="Arial" w:hAnsi="Arial" w:cs="Arial"/>
          <w:sz w:val="15"/>
          <w:szCs w:val="15"/>
        </w:rPr>
        <w:t>The budgeted surpluses are required to meet the agreed return of capital to Government.</w:t>
      </w:r>
    </w:p>
    <w:p w:rsidR="00901F17" w:rsidRPr="00C2448C" w:rsidRDefault="00901F17" w:rsidP="00E453F8">
      <w:pPr>
        <w:pStyle w:val="Heading5"/>
      </w:pPr>
      <w:r>
        <w:br w:type="page"/>
      </w:r>
      <w:r w:rsidR="003D3DE6" w:rsidRPr="00793F50">
        <w:lastRenderedPageBreak/>
        <w:t xml:space="preserve">Table 3.2.2: </w:t>
      </w:r>
      <w:r w:rsidR="003D3DE6">
        <w:t>Budgeted Balance Sheet – Departmental</w:t>
      </w:r>
      <w:r w:rsidR="003D3DE6">
        <w:br/>
        <w:t>as at 30 June</w:t>
      </w:r>
    </w:p>
    <w:tbl>
      <w:tblPr>
        <w:tblW w:w="7200" w:type="dxa"/>
        <w:tblInd w:w="87" w:type="dxa"/>
        <w:tblLook w:val="04A0"/>
      </w:tblPr>
      <w:tblGrid>
        <w:gridCol w:w="2960"/>
        <w:gridCol w:w="928"/>
        <w:gridCol w:w="880"/>
        <w:gridCol w:w="840"/>
        <w:gridCol w:w="840"/>
        <w:gridCol w:w="840"/>
      </w:tblGrid>
      <w:tr w:rsidR="00321575" w:rsidRPr="00321575" w:rsidTr="00321575">
        <w:trPr>
          <w:trHeight w:val="225"/>
        </w:trPr>
        <w:tc>
          <w:tcPr>
            <w:tcW w:w="296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Estimated</w:t>
            </w:r>
          </w:p>
        </w:tc>
        <w:tc>
          <w:tcPr>
            <w:tcW w:w="880" w:type="dxa"/>
            <w:tcBorders>
              <w:top w:val="single" w:sz="4" w:space="0" w:color="000000"/>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Budget</w:t>
            </w:r>
          </w:p>
        </w:tc>
        <w:tc>
          <w:tcPr>
            <w:tcW w:w="8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actual</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2014-15</w:t>
            </w:r>
          </w:p>
        </w:tc>
        <w:tc>
          <w:tcPr>
            <w:tcW w:w="88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2015-16</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2016-17</w:t>
            </w:r>
          </w:p>
        </w:tc>
        <w:tc>
          <w:tcPr>
            <w:tcW w:w="8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2017-18</w:t>
            </w:r>
          </w:p>
        </w:tc>
        <w:tc>
          <w:tcPr>
            <w:tcW w:w="8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2018-19</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80" w:type="dxa"/>
            <w:tcBorders>
              <w:top w:val="nil"/>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ASSETS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Financial assets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 xml:space="preserve">Cash </w:t>
            </w:r>
            <w:r w:rsidRPr="00321575">
              <w:rPr>
                <w:rFonts w:ascii="Arial" w:hAnsi="Arial" w:cs="Arial"/>
                <w:sz w:val="16"/>
                <w:szCs w:val="16"/>
              </w:rPr>
              <w:t>and cash equivalents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9,159</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9,083</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9,016</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8,758</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8,434</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Trade and other receivables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29,519</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29,688</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29,787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29,787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29,787</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financial assets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38,678</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38,771</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38,803</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38,545</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38,221</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Non-financial assets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Leasehold improvements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3,555</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3,365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3,365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3,365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3,365</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Property, plant and equipment</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3,334</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3,334</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Intangibles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18,817</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19,007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19,007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19,007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19,007</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Other non-financial assets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1,564</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1,567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1,569</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1,572</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1,575</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non-financial assets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27,270</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27,273</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27,275</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27,278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27,281</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assets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65,948</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66,044</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66,078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65,823</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65,502</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LIABILITIES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Payables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Suppliers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14,959</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15,132</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15,178</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14,923</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14,602</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Accrued expenses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89</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12</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payables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15,048</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15,144</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15,178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14,923</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14,602</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Provisions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Employee provisions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14,334</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14,334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14,334</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provisions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14,334</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14,334</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14,334</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14,334</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14,334</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liabilities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29,382</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29,478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29,512</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29,257</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28,936</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Net assets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4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xml:space="preserve">EQUITY </w:t>
            </w:r>
            <w:r w:rsidRPr="00321575">
              <w:rPr>
                <w:rFonts w:ascii="Arial" w:hAnsi="Arial" w:cs="Arial"/>
                <w:b/>
                <w:bCs/>
                <w:color w:val="000000"/>
                <w:sz w:val="16"/>
                <w:szCs w:val="16"/>
                <w:vertAlign w:val="superscript"/>
              </w:rPr>
              <w:t>1</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Contributed equity</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Reserves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Retained surplus</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color w:val="000000"/>
                <w:sz w:val="16"/>
                <w:szCs w:val="16"/>
              </w:rPr>
            </w:pPr>
            <w:r w:rsidRPr="00321575">
              <w:rPr>
                <w:rFonts w:ascii="Arial" w:hAnsi="Arial" w:cs="Arial"/>
                <w:color w:val="000000"/>
                <w:sz w:val="16"/>
                <w:szCs w:val="16"/>
              </w:rPr>
              <w:t>(accumulated deficit)</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r>
      <w:tr w:rsidR="00321575" w:rsidRPr="00321575" w:rsidTr="00321575">
        <w:trPr>
          <w:trHeight w:val="60"/>
        </w:trPr>
        <w:tc>
          <w:tcPr>
            <w:tcW w:w="29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6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Total equity</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r>
    </w:tbl>
    <w:p w:rsidR="00901F17" w:rsidRPr="00AB77C4"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p w:rsidR="00901F17" w:rsidRDefault="00901F17" w:rsidP="008C73DE">
      <w:pPr>
        <w:pStyle w:val="Source"/>
      </w:pPr>
    </w:p>
    <w:p w:rsidR="00901F17" w:rsidRPr="003D3DE6" w:rsidRDefault="00901F17" w:rsidP="00901F17">
      <w:pPr>
        <w:pStyle w:val="ListParagraph"/>
        <w:numPr>
          <w:ilvl w:val="0"/>
          <w:numId w:val="57"/>
        </w:numPr>
        <w:spacing w:after="60" w:line="240" w:lineRule="auto"/>
        <w:ind w:left="426" w:hanging="426"/>
        <w:contextualSpacing w:val="0"/>
        <w:outlineLvl w:val="6"/>
        <w:rPr>
          <w:rFonts w:ascii="Arial" w:hAnsi="Arial" w:cs="Arial"/>
          <w:sz w:val="15"/>
          <w:szCs w:val="15"/>
        </w:rPr>
      </w:pPr>
      <w:r w:rsidRPr="003D3DE6">
        <w:rPr>
          <w:rFonts w:ascii="Arial" w:hAnsi="Arial" w:cs="Arial"/>
          <w:sz w:val="15"/>
          <w:szCs w:val="15"/>
        </w:rPr>
        <w:t>Equity is the residual interest in assets after deduction of liabilities.</w:t>
      </w:r>
    </w:p>
    <w:p w:rsidR="00901F17" w:rsidRPr="00344E3B" w:rsidRDefault="00901F17" w:rsidP="00E453F8">
      <w:pPr>
        <w:pStyle w:val="Heading5"/>
      </w:pPr>
      <w:r>
        <w:br w:type="page"/>
      </w:r>
      <w:r w:rsidR="003D3DE6" w:rsidRPr="00793F50">
        <w:lastRenderedPageBreak/>
        <w:t xml:space="preserve">Table 3.2.3: </w:t>
      </w:r>
      <w:r w:rsidR="003D3DE6">
        <w:t>Budgeted Statement of Changes in Equity – Summary of Movement – Departmental</w:t>
      </w:r>
      <w:r w:rsidR="003D3DE6">
        <w:br/>
        <w:t>for the period ended 30 June 2016</w:t>
      </w:r>
    </w:p>
    <w:tbl>
      <w:tblPr>
        <w:tblW w:w="6920" w:type="dxa"/>
        <w:tblInd w:w="93" w:type="dxa"/>
        <w:tblLook w:val="04A0"/>
      </w:tblPr>
      <w:tblGrid>
        <w:gridCol w:w="3280"/>
        <w:gridCol w:w="860"/>
        <w:gridCol w:w="999"/>
        <w:gridCol w:w="1060"/>
        <w:gridCol w:w="780"/>
      </w:tblGrid>
      <w:tr w:rsidR="00321575" w:rsidRPr="00321575" w:rsidTr="00321575">
        <w:trPr>
          <w:trHeight w:val="225"/>
        </w:trPr>
        <w:tc>
          <w:tcPr>
            <w:tcW w:w="32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6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Retained</w:t>
            </w:r>
          </w:p>
        </w:tc>
        <w:tc>
          <w:tcPr>
            <w:tcW w:w="9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Asset</w:t>
            </w:r>
          </w:p>
        </w:tc>
        <w:tc>
          <w:tcPr>
            <w:tcW w:w="106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Contributed</w:t>
            </w:r>
          </w:p>
        </w:tc>
        <w:tc>
          <w:tcPr>
            <w:tcW w:w="7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Total</w:t>
            </w: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earnings</w:t>
            </w: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revaluation</w:t>
            </w: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equity/</w:t>
            </w: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equity</w:t>
            </w: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reserve</w:t>
            </w: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capital</w:t>
            </w: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p>
        </w:tc>
        <w:tc>
          <w:tcPr>
            <w:tcW w:w="86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9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106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78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r>
      <w:tr w:rsidR="00321575" w:rsidRPr="00321575" w:rsidTr="00321575">
        <w:trPr>
          <w:trHeight w:val="225"/>
        </w:trPr>
        <w:tc>
          <w:tcPr>
            <w:tcW w:w="3280" w:type="dxa"/>
            <w:tcBorders>
              <w:top w:val="nil"/>
              <w:left w:val="nil"/>
              <w:bottom w:val="nil"/>
              <w:right w:val="nil"/>
            </w:tcBorders>
            <w:shd w:val="clear" w:color="auto" w:fill="auto"/>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Opening balance as at 1 July 2015</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Balance carried forward from</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color w:val="000000"/>
                <w:sz w:val="16"/>
                <w:szCs w:val="16"/>
              </w:rPr>
            </w:pPr>
            <w:r w:rsidRPr="00321575">
              <w:rPr>
                <w:rFonts w:ascii="Arial" w:hAnsi="Arial" w:cs="Arial"/>
                <w:color w:val="000000"/>
                <w:sz w:val="16"/>
                <w:szCs w:val="16"/>
              </w:rPr>
              <w:t>previous period</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19,994</w:t>
            </w: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2,215</w:t>
            </w: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14,357</w:t>
            </w: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36,566</w:t>
            </w:r>
          </w:p>
        </w:tc>
      </w:tr>
      <w:tr w:rsidR="00321575" w:rsidRPr="00321575" w:rsidTr="00321575">
        <w:trPr>
          <w:trHeight w:val="225"/>
        </w:trPr>
        <w:tc>
          <w:tcPr>
            <w:tcW w:w="3280" w:type="dxa"/>
            <w:tcBorders>
              <w:top w:val="nil"/>
              <w:left w:val="nil"/>
              <w:bottom w:val="nil"/>
              <w:right w:val="nil"/>
            </w:tcBorders>
            <w:shd w:val="clear" w:color="auto" w:fill="auto"/>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Adjusted opening balance</w:t>
            </w:r>
          </w:p>
        </w:tc>
        <w:tc>
          <w:tcPr>
            <w:tcW w:w="8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19,994</w:t>
            </w:r>
          </w:p>
        </w:tc>
        <w:tc>
          <w:tcPr>
            <w:tcW w:w="9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2,215</w:t>
            </w:r>
          </w:p>
        </w:tc>
        <w:tc>
          <w:tcPr>
            <w:tcW w:w="10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14,357</w:t>
            </w:r>
          </w:p>
        </w:tc>
        <w:tc>
          <w:tcPr>
            <w:tcW w:w="7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r>
      <w:tr w:rsidR="00321575" w:rsidRPr="00321575" w:rsidTr="00321575">
        <w:trPr>
          <w:trHeight w:val="60"/>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Comprehensive income</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Surplus (deficit) for the period</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r>
      <w:tr w:rsidR="00321575" w:rsidRPr="00321575" w:rsidTr="00321575">
        <w:trPr>
          <w:trHeight w:val="225"/>
        </w:trPr>
        <w:tc>
          <w:tcPr>
            <w:tcW w:w="3280" w:type="dxa"/>
            <w:tcBorders>
              <w:top w:val="nil"/>
              <w:left w:val="nil"/>
              <w:bottom w:val="nil"/>
              <w:right w:val="nil"/>
            </w:tcBorders>
            <w:shd w:val="clear" w:color="auto" w:fill="auto"/>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comprehensive income</w:t>
            </w:r>
          </w:p>
        </w:tc>
        <w:tc>
          <w:tcPr>
            <w:tcW w:w="8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9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w:t>
            </w:r>
          </w:p>
        </w:tc>
        <w:tc>
          <w:tcPr>
            <w:tcW w:w="10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w:t>
            </w:r>
          </w:p>
        </w:tc>
        <w:tc>
          <w:tcPr>
            <w:tcW w:w="7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r>
      <w:tr w:rsidR="00321575" w:rsidRPr="00321575" w:rsidTr="00321575">
        <w:trPr>
          <w:trHeight w:val="60"/>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Transactions with owners</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Distributions to owners</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color w:val="000000"/>
                <w:sz w:val="16"/>
                <w:szCs w:val="16"/>
              </w:rPr>
            </w:pPr>
            <w:r w:rsidRPr="00321575">
              <w:rPr>
                <w:rFonts w:ascii="Arial" w:hAnsi="Arial" w:cs="Arial"/>
                <w:color w:val="000000"/>
                <w:sz w:val="16"/>
                <w:szCs w:val="16"/>
              </w:rPr>
              <w:t>Returns on capital:</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300" w:firstLine="480"/>
              <w:jc w:val="left"/>
              <w:rPr>
                <w:rFonts w:ascii="Arial" w:hAnsi="Arial" w:cs="Arial"/>
                <w:color w:val="000000"/>
                <w:sz w:val="16"/>
                <w:szCs w:val="16"/>
              </w:rPr>
            </w:pPr>
            <w:r w:rsidRPr="00321575">
              <w:rPr>
                <w:rFonts w:ascii="Arial" w:hAnsi="Arial" w:cs="Arial"/>
                <w:color w:val="000000"/>
                <w:sz w:val="16"/>
                <w:szCs w:val="16"/>
              </w:rPr>
              <w:t>Dividends</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transactions with owners</w:t>
            </w:r>
          </w:p>
        </w:tc>
        <w:tc>
          <w:tcPr>
            <w:tcW w:w="8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9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w:t>
            </w:r>
          </w:p>
        </w:tc>
        <w:tc>
          <w:tcPr>
            <w:tcW w:w="106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w:t>
            </w:r>
          </w:p>
        </w:tc>
        <w:tc>
          <w:tcPr>
            <w:tcW w:w="7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r>
      <w:tr w:rsidR="00321575" w:rsidRPr="00321575" w:rsidTr="00321575">
        <w:trPr>
          <w:trHeight w:val="60"/>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Estimated closing balance</w:t>
            </w:r>
          </w:p>
        </w:tc>
        <w:tc>
          <w:tcPr>
            <w:tcW w:w="8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06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7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32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as at 30 June 2016</w:t>
            </w:r>
          </w:p>
        </w:tc>
        <w:tc>
          <w:tcPr>
            <w:tcW w:w="86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19,994</w:t>
            </w:r>
          </w:p>
        </w:tc>
        <w:tc>
          <w:tcPr>
            <w:tcW w:w="9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2,215</w:t>
            </w:r>
          </w:p>
        </w:tc>
        <w:tc>
          <w:tcPr>
            <w:tcW w:w="106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14,357</w:t>
            </w:r>
          </w:p>
        </w:tc>
        <w:tc>
          <w:tcPr>
            <w:tcW w:w="7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36,566</w:t>
            </w:r>
          </w:p>
        </w:tc>
      </w:tr>
    </w:tbl>
    <w:p w:rsidR="00901F17" w:rsidRPr="00AB77C4"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p w:rsidR="00901F17" w:rsidRDefault="00901F17" w:rsidP="00901F17">
      <w:pPr>
        <w:pStyle w:val="NoSpacing"/>
      </w:pPr>
    </w:p>
    <w:p w:rsidR="00901F17" w:rsidRPr="00344E3B" w:rsidRDefault="00901F17" w:rsidP="00E453F8">
      <w:pPr>
        <w:pStyle w:val="Heading5"/>
      </w:pPr>
      <w:r>
        <w:br w:type="page"/>
      </w:r>
      <w:r w:rsidR="003D3DE6" w:rsidRPr="00793F50">
        <w:lastRenderedPageBreak/>
        <w:t xml:space="preserve">Table 3.2.4: </w:t>
      </w:r>
      <w:r w:rsidR="003D3DE6">
        <w:t>Budgeted Statement of Cash Flows – Departmental</w:t>
      </w:r>
      <w:r w:rsidR="003D3DE6">
        <w:br/>
        <w:t>for the period ended 30 June</w:t>
      </w:r>
    </w:p>
    <w:tbl>
      <w:tblPr>
        <w:tblW w:w="7480" w:type="dxa"/>
        <w:tblInd w:w="93" w:type="dxa"/>
        <w:tblLook w:val="04A0"/>
      </w:tblPr>
      <w:tblGrid>
        <w:gridCol w:w="2940"/>
        <w:gridCol w:w="928"/>
        <w:gridCol w:w="272"/>
        <w:gridCol w:w="880"/>
        <w:gridCol w:w="880"/>
        <w:gridCol w:w="880"/>
        <w:gridCol w:w="880"/>
      </w:tblGrid>
      <w:tr w:rsidR="00321575" w:rsidRPr="00321575" w:rsidTr="00321575">
        <w:trPr>
          <w:trHeight w:val="225"/>
        </w:trPr>
        <w:tc>
          <w:tcPr>
            <w:tcW w:w="29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Estimated</w:t>
            </w:r>
          </w:p>
        </w:tc>
        <w:tc>
          <w:tcPr>
            <w:tcW w:w="14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 </w:t>
            </w:r>
          </w:p>
        </w:tc>
        <w:tc>
          <w:tcPr>
            <w:tcW w:w="880" w:type="dxa"/>
            <w:tcBorders>
              <w:top w:val="single" w:sz="4" w:space="0" w:color="000000"/>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Budget</w:t>
            </w:r>
          </w:p>
        </w:tc>
        <w:tc>
          <w:tcPr>
            <w:tcW w:w="8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c>
          <w:tcPr>
            <w:tcW w:w="880" w:type="dxa"/>
            <w:tcBorders>
              <w:top w:val="single" w:sz="4" w:space="0" w:color="000000"/>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Forward</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actual</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vertAlign w:val="superscript"/>
              </w:rPr>
              <w:t>1</w:t>
            </w: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estimate</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2014-15</w:t>
            </w:r>
          </w:p>
        </w:tc>
        <w:tc>
          <w:tcPr>
            <w:tcW w:w="1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 </w:t>
            </w:r>
          </w:p>
        </w:tc>
        <w:tc>
          <w:tcPr>
            <w:tcW w:w="88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2015-16</w:t>
            </w: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2016-17</w:t>
            </w:r>
          </w:p>
        </w:tc>
        <w:tc>
          <w:tcPr>
            <w:tcW w:w="88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2017-18</w:t>
            </w:r>
          </w:p>
        </w:tc>
        <w:tc>
          <w:tcPr>
            <w:tcW w:w="88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2018-19</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1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8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8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c>
          <w:tcPr>
            <w:tcW w:w="88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$'000</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OPERATING ACTIVITIES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Cash received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Transfers from the OPA</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88,284</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72,523</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70,127</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70,818</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71,090</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Sale of goods and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color w:val="000000"/>
                <w:sz w:val="16"/>
                <w:szCs w:val="16"/>
              </w:rPr>
            </w:pPr>
            <w:r w:rsidRPr="00321575">
              <w:rPr>
                <w:rFonts w:ascii="Arial" w:hAnsi="Arial" w:cs="Arial"/>
                <w:color w:val="000000"/>
                <w:sz w:val="16"/>
                <w:szCs w:val="16"/>
              </w:rPr>
              <w:t>rendering of services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89,025</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76,825</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74,351</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74,784</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75,033</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Interest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160</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cash received</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177,469</w:t>
            </w:r>
          </w:p>
        </w:tc>
        <w:tc>
          <w:tcPr>
            <w:tcW w:w="1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single" w:sz="4" w:space="0" w:color="000000"/>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149,348</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144,478</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145,602</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146,123</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Employees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44,270</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40,234</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40,331</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40,781</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41,171</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Suppliers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34,223</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27,536</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26,210</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26,823</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26,748</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Transfers to the OPA</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122,595</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72,720</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70,226</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70,818</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71,090</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837</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269</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201,925</w:t>
            </w:r>
          </w:p>
        </w:tc>
        <w:tc>
          <w:tcPr>
            <w:tcW w:w="1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single" w:sz="4" w:space="0" w:color="000000"/>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140,759</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136,767</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138,422</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139,009</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Net cash from (used by)</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operating activities</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(24,456)</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8,589</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7,711</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7,180</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7,114</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INVESTING ACTIVITIES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Purchase of non-financial assets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5,696</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5,665</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4,778</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4,438</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4,438</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5,696</w:t>
            </w:r>
          </w:p>
        </w:tc>
        <w:tc>
          <w:tcPr>
            <w:tcW w:w="1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single" w:sz="4" w:space="0" w:color="000000"/>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5,665</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4,778</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4,438</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4,438</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xml:space="preserve">Net cash from (used by)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investing activities</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(5,696)</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(5,665)</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(4,778)</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(4,438)</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(4,438)</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FINANCING ACTIVITIES</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Cash used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Other</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5,735</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3,000</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Total cash used</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5,735</w:t>
            </w:r>
          </w:p>
        </w:tc>
        <w:tc>
          <w:tcPr>
            <w:tcW w:w="14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single" w:sz="4" w:space="0" w:color="000000"/>
              <w:left w:val="nil"/>
              <w:bottom w:val="single" w:sz="4" w:space="0" w:color="000000"/>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single" w:sz="4" w:space="0" w:color="000000"/>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xml:space="preserve">Net cash from (used by)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financing activities</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(5,735)</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(3,000)</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Net increase (decrease)</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in cash held</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(35,887)</w:t>
            </w:r>
          </w:p>
        </w:tc>
        <w:tc>
          <w:tcPr>
            <w:tcW w:w="1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(76)</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(67)</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(258)</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(324)</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100" w:firstLine="160"/>
              <w:jc w:val="left"/>
              <w:rPr>
                <w:rFonts w:ascii="Arial" w:hAnsi="Arial" w:cs="Arial"/>
                <w:color w:val="000000"/>
                <w:sz w:val="16"/>
                <w:szCs w:val="16"/>
              </w:rPr>
            </w:pPr>
            <w:r w:rsidRPr="00321575">
              <w:rPr>
                <w:rFonts w:ascii="Arial" w:hAnsi="Arial" w:cs="Arial"/>
                <w:color w:val="000000"/>
                <w:sz w:val="16"/>
                <w:szCs w:val="16"/>
              </w:rPr>
              <w:t>Cash and cash equivalents at the</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ind w:firstLineChars="200" w:firstLine="320"/>
              <w:jc w:val="left"/>
              <w:rPr>
                <w:rFonts w:ascii="Arial" w:hAnsi="Arial" w:cs="Arial"/>
                <w:color w:val="000000"/>
                <w:sz w:val="16"/>
                <w:szCs w:val="16"/>
              </w:rPr>
            </w:pPr>
            <w:r w:rsidRPr="00321575">
              <w:rPr>
                <w:rFonts w:ascii="Arial" w:hAnsi="Arial" w:cs="Arial"/>
                <w:color w:val="000000"/>
                <w:sz w:val="16"/>
                <w:szCs w:val="16"/>
              </w:rPr>
              <w:t>beginning of the reporting period</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45,046</w:t>
            </w: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9,159</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9,083</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9,016</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color w:val="000000"/>
                <w:sz w:val="16"/>
                <w:szCs w:val="16"/>
              </w:rPr>
            </w:pPr>
            <w:r w:rsidRPr="00321575">
              <w:rPr>
                <w:rFonts w:ascii="Arial" w:hAnsi="Arial" w:cs="Arial"/>
                <w:color w:val="000000"/>
                <w:sz w:val="16"/>
                <w:szCs w:val="16"/>
              </w:rPr>
              <w:t>8,758</w:t>
            </w:r>
          </w:p>
        </w:tc>
      </w:tr>
      <w:tr w:rsidR="00321575" w:rsidRPr="00321575" w:rsidTr="00321575">
        <w:trPr>
          <w:trHeight w:val="60"/>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1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c>
          <w:tcPr>
            <w:tcW w:w="88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p>
        </w:tc>
      </w:tr>
      <w:tr w:rsidR="00321575" w:rsidRPr="00321575" w:rsidTr="00321575">
        <w:trPr>
          <w:trHeight w:val="225"/>
        </w:trPr>
        <w:tc>
          <w:tcPr>
            <w:tcW w:w="2940" w:type="dxa"/>
            <w:tcBorders>
              <w:top w:val="nil"/>
              <w:left w:val="nil"/>
              <w:bottom w:val="nil"/>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xml:space="preserve">Cash and cash equivalents at the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color w:val="000000"/>
                <w:sz w:val="16"/>
                <w:szCs w:val="16"/>
              </w:rPr>
            </w:pPr>
            <w:r w:rsidRPr="00321575">
              <w:rPr>
                <w:rFonts w:ascii="Arial" w:hAnsi="Arial" w:cs="Arial"/>
                <w:color w:val="000000"/>
                <w:sz w:val="16"/>
                <w:szCs w:val="16"/>
              </w:rPr>
              <w:t> </w:t>
            </w:r>
          </w:p>
        </w:tc>
      </w:tr>
      <w:tr w:rsidR="00321575" w:rsidRPr="00321575" w:rsidTr="00321575">
        <w:trPr>
          <w:trHeight w:val="225"/>
        </w:trPr>
        <w:tc>
          <w:tcPr>
            <w:tcW w:w="2940" w:type="dxa"/>
            <w:tcBorders>
              <w:top w:val="nil"/>
              <w:left w:val="nil"/>
              <w:bottom w:val="single" w:sz="4" w:space="0" w:color="000000"/>
              <w:right w:val="nil"/>
            </w:tcBorders>
            <w:shd w:val="clear" w:color="auto" w:fill="auto"/>
            <w:noWrap/>
            <w:vAlign w:val="center"/>
            <w:hideMark/>
          </w:tcPr>
          <w:p w:rsidR="00321575" w:rsidRPr="00321575" w:rsidRDefault="00321575" w:rsidP="00321575">
            <w:pPr>
              <w:spacing w:after="0" w:line="240" w:lineRule="auto"/>
              <w:ind w:firstLineChars="100" w:firstLine="161"/>
              <w:jc w:val="left"/>
              <w:rPr>
                <w:rFonts w:ascii="Arial" w:hAnsi="Arial" w:cs="Arial"/>
                <w:b/>
                <w:bCs/>
                <w:color w:val="000000"/>
                <w:sz w:val="16"/>
                <w:szCs w:val="16"/>
              </w:rPr>
            </w:pPr>
            <w:r w:rsidRPr="00321575">
              <w:rPr>
                <w:rFonts w:ascii="Arial" w:hAnsi="Arial" w:cs="Arial"/>
                <w:b/>
                <w:bCs/>
                <w:color w:val="000000"/>
                <w:sz w:val="16"/>
                <w:szCs w:val="16"/>
              </w:rPr>
              <w:t>end of the reporting period</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9,159</w:t>
            </w:r>
          </w:p>
        </w:tc>
        <w:tc>
          <w:tcPr>
            <w:tcW w:w="14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left"/>
              <w:rPr>
                <w:rFonts w:ascii="Arial" w:hAnsi="Arial" w:cs="Arial"/>
                <w:b/>
                <w:bCs/>
                <w:color w:val="000000"/>
                <w:sz w:val="16"/>
                <w:szCs w:val="16"/>
              </w:rPr>
            </w:pPr>
            <w:r w:rsidRPr="00321575">
              <w:rPr>
                <w:rFonts w:ascii="Arial" w:hAnsi="Arial" w:cs="Arial"/>
                <w:b/>
                <w:bCs/>
                <w:color w:val="000000"/>
                <w:sz w:val="16"/>
                <w:szCs w:val="16"/>
              </w:rPr>
              <w:t> </w:t>
            </w:r>
          </w:p>
        </w:tc>
        <w:tc>
          <w:tcPr>
            <w:tcW w:w="880" w:type="dxa"/>
            <w:tcBorders>
              <w:top w:val="nil"/>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9,083</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9,016</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8,758</w:t>
            </w:r>
          </w:p>
        </w:tc>
        <w:tc>
          <w:tcPr>
            <w:tcW w:w="880" w:type="dxa"/>
            <w:tcBorders>
              <w:top w:val="nil"/>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color w:val="000000"/>
                <w:sz w:val="16"/>
                <w:szCs w:val="16"/>
              </w:rPr>
            </w:pPr>
            <w:r w:rsidRPr="00321575">
              <w:rPr>
                <w:rFonts w:ascii="Arial" w:hAnsi="Arial" w:cs="Arial"/>
                <w:b/>
                <w:bCs/>
                <w:color w:val="000000"/>
                <w:sz w:val="16"/>
                <w:szCs w:val="16"/>
              </w:rPr>
              <w:t>8,434</w:t>
            </w:r>
          </w:p>
        </w:tc>
      </w:tr>
    </w:tbl>
    <w:p w:rsidR="00901F17" w:rsidRPr="00AB77C4"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p w:rsidR="00901F17" w:rsidRPr="003D3DE6" w:rsidRDefault="00901F17" w:rsidP="00901F17">
      <w:pPr>
        <w:pStyle w:val="NoSpacing"/>
        <w:rPr>
          <w:rFonts w:ascii="Arial" w:hAnsi="Arial" w:cs="Arial"/>
          <w:sz w:val="16"/>
          <w:szCs w:val="16"/>
        </w:rPr>
      </w:pPr>
    </w:p>
    <w:p w:rsidR="003D3DE6" w:rsidRPr="00321575" w:rsidRDefault="00901F17" w:rsidP="00321575">
      <w:pPr>
        <w:pStyle w:val="ListParagraph"/>
        <w:numPr>
          <w:ilvl w:val="0"/>
          <w:numId w:val="58"/>
        </w:numPr>
        <w:spacing w:after="60" w:line="240" w:lineRule="auto"/>
        <w:ind w:left="426" w:hanging="426"/>
        <w:contextualSpacing w:val="0"/>
        <w:outlineLvl w:val="6"/>
        <w:rPr>
          <w:rFonts w:ascii="Arial" w:hAnsi="Arial" w:cs="Arial"/>
          <w:sz w:val="15"/>
          <w:szCs w:val="15"/>
        </w:rPr>
      </w:pPr>
      <w:r w:rsidRPr="003D3DE6">
        <w:rPr>
          <w:rFonts w:ascii="Arial" w:hAnsi="Arial" w:cs="Arial"/>
          <w:sz w:val="15"/>
          <w:szCs w:val="15"/>
        </w:rPr>
        <w:t>Estimated Actuals for 2014-15 are combined from CSC and ComSuper prior to merger and are net of eliminations of inter-entity cash receipts and payments that are shown gross in the tables for Outcomes</w:t>
      </w:r>
      <w:r w:rsidR="003D3DE6">
        <w:rPr>
          <w:rFonts w:ascii="Arial" w:hAnsi="Arial" w:cs="Arial"/>
          <w:sz w:val="15"/>
          <w:szCs w:val="15"/>
        </w:rPr>
        <w:t> </w:t>
      </w:r>
      <w:r w:rsidRPr="003D3DE6">
        <w:rPr>
          <w:rFonts w:ascii="Arial" w:hAnsi="Arial" w:cs="Arial"/>
          <w:sz w:val="15"/>
          <w:szCs w:val="15"/>
        </w:rPr>
        <w:t>1</w:t>
      </w:r>
      <w:r w:rsidR="003D3DE6">
        <w:rPr>
          <w:rFonts w:ascii="Arial" w:hAnsi="Arial" w:cs="Arial"/>
          <w:sz w:val="15"/>
          <w:szCs w:val="15"/>
        </w:rPr>
        <w:t> </w:t>
      </w:r>
      <w:r w:rsidRPr="003D3DE6">
        <w:rPr>
          <w:rFonts w:ascii="Arial" w:hAnsi="Arial" w:cs="Arial"/>
          <w:sz w:val="15"/>
          <w:szCs w:val="15"/>
        </w:rPr>
        <w:t>and</w:t>
      </w:r>
      <w:r w:rsidR="003D3DE6">
        <w:rPr>
          <w:rFonts w:ascii="Arial" w:hAnsi="Arial" w:cs="Arial"/>
          <w:sz w:val="15"/>
          <w:szCs w:val="15"/>
        </w:rPr>
        <w:t> </w:t>
      </w:r>
      <w:r w:rsidRPr="003D3DE6">
        <w:rPr>
          <w:rFonts w:ascii="Arial" w:hAnsi="Arial" w:cs="Arial"/>
          <w:sz w:val="15"/>
          <w:szCs w:val="15"/>
        </w:rPr>
        <w:t>2.</w:t>
      </w:r>
      <w:r w:rsidR="003D3DE6">
        <w:br w:type="page"/>
      </w:r>
    </w:p>
    <w:p w:rsidR="00901F17" w:rsidRDefault="00321575" w:rsidP="00E453F8">
      <w:pPr>
        <w:pStyle w:val="Heading5"/>
      </w:pPr>
      <w:r w:rsidRPr="00793F50">
        <w:lastRenderedPageBreak/>
        <w:t xml:space="preserve">Table 3.2.5: </w:t>
      </w:r>
      <w:r>
        <w:t>Capital Budget Statement – Departmental</w:t>
      </w:r>
      <w:r w:rsidRPr="00793F50">
        <w:br/>
      </w:r>
      <w:r w:rsidR="003D3DE6" w:rsidRPr="00793F50">
        <w:t>for the period ended 30 June</w:t>
      </w:r>
    </w:p>
    <w:tbl>
      <w:tblPr>
        <w:tblW w:w="7280" w:type="dxa"/>
        <w:tblInd w:w="93" w:type="dxa"/>
        <w:tblLook w:val="04A0"/>
      </w:tblPr>
      <w:tblGrid>
        <w:gridCol w:w="3080"/>
        <w:gridCol w:w="928"/>
        <w:gridCol w:w="821"/>
        <w:gridCol w:w="821"/>
        <w:gridCol w:w="840"/>
        <w:gridCol w:w="880"/>
      </w:tblGrid>
      <w:tr w:rsidR="00321575" w:rsidRPr="00321575" w:rsidTr="00321575">
        <w:trPr>
          <w:trHeight w:val="225"/>
        </w:trPr>
        <w:tc>
          <w:tcPr>
            <w:tcW w:w="308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4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Estimated</w:t>
            </w:r>
          </w:p>
        </w:tc>
        <w:tc>
          <w:tcPr>
            <w:tcW w:w="820" w:type="dxa"/>
            <w:tcBorders>
              <w:top w:val="single" w:sz="4" w:space="0" w:color="auto"/>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Budget</w:t>
            </w:r>
          </w:p>
        </w:tc>
        <w:tc>
          <w:tcPr>
            <w:tcW w:w="82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Forward</w:t>
            </w:r>
          </w:p>
        </w:tc>
        <w:tc>
          <w:tcPr>
            <w:tcW w:w="84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Forward</w:t>
            </w:r>
          </w:p>
        </w:tc>
        <w:tc>
          <w:tcPr>
            <w:tcW w:w="880" w:type="dxa"/>
            <w:tcBorders>
              <w:top w:val="single" w:sz="4" w:space="0" w:color="auto"/>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Forward</w:t>
            </w: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actual</w:t>
            </w: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estimate</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estimate</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estimate</w:t>
            </w: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estimate</w:t>
            </w: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2014-15</w:t>
            </w: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2015-16</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2016-17</w:t>
            </w:r>
          </w:p>
        </w:tc>
        <w:tc>
          <w:tcPr>
            <w:tcW w:w="84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2017-18</w:t>
            </w:r>
          </w:p>
        </w:tc>
        <w:tc>
          <w:tcPr>
            <w:tcW w:w="880" w:type="dxa"/>
            <w:tcBorders>
              <w:top w:val="nil"/>
              <w:left w:val="nil"/>
              <w:bottom w:val="nil"/>
              <w:right w:val="nil"/>
            </w:tcBorders>
            <w:shd w:val="clear" w:color="000000" w:fill="FFFFFF"/>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2018-19</w:t>
            </w: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20" w:type="dxa"/>
            <w:tcBorders>
              <w:top w:val="nil"/>
              <w:left w:val="nil"/>
              <w:bottom w:val="single" w:sz="4" w:space="0" w:color="auto"/>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2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4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c>
          <w:tcPr>
            <w:tcW w:w="88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$'000</w:t>
            </w: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PURCHASE OF NON-FINANCIAL</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ASSETS</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100" w:firstLine="160"/>
              <w:jc w:val="left"/>
              <w:rPr>
                <w:rFonts w:ascii="Arial" w:hAnsi="Arial" w:cs="Arial"/>
                <w:sz w:val="16"/>
                <w:szCs w:val="16"/>
              </w:rPr>
            </w:pPr>
            <w:r w:rsidRPr="00321575">
              <w:rPr>
                <w:rFonts w:ascii="Arial" w:hAnsi="Arial" w:cs="Arial"/>
                <w:sz w:val="16"/>
                <w:szCs w:val="16"/>
              </w:rPr>
              <w:t>Funded internally from</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10"/>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200" w:firstLine="320"/>
              <w:jc w:val="left"/>
              <w:rPr>
                <w:rFonts w:ascii="Arial" w:hAnsi="Arial" w:cs="Arial"/>
                <w:sz w:val="16"/>
                <w:szCs w:val="16"/>
              </w:rPr>
            </w:pPr>
            <w:r w:rsidRPr="00321575">
              <w:rPr>
                <w:rFonts w:ascii="Arial" w:hAnsi="Arial" w:cs="Arial"/>
                <w:sz w:val="16"/>
                <w:szCs w:val="16"/>
              </w:rPr>
              <w:t xml:space="preserve">departmental resources </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5,696</w:t>
            </w: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5,665</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4,778</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TOTAL</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5,696</w:t>
            </w:r>
          </w:p>
        </w:tc>
        <w:tc>
          <w:tcPr>
            <w:tcW w:w="82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5,665</w:t>
            </w:r>
          </w:p>
        </w:tc>
        <w:tc>
          <w:tcPr>
            <w:tcW w:w="82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4,778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4,438</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4,438</w:t>
            </w:r>
          </w:p>
        </w:tc>
      </w:tr>
      <w:tr w:rsidR="00321575" w:rsidRPr="00321575" w:rsidTr="00321575">
        <w:trPr>
          <w:trHeight w:val="60"/>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r w:rsidRPr="00321575">
              <w:rPr>
                <w:rFonts w:ascii="Arial" w:hAnsi="Arial" w:cs="Arial"/>
                <w:b/>
                <w:bCs/>
                <w:sz w:val="16"/>
                <w:szCs w:val="16"/>
              </w:rPr>
              <w:t>RECONCILIATION OF CASH</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USED TO ACQUIRE ASSETS</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TO ASSET MOVEMENT TABLE</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Calibri" w:hAnsi="Calibri"/>
                <w:sz w:val="22"/>
                <w:szCs w:val="22"/>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Calibri" w:hAnsi="Calibri"/>
                <w:sz w:val="22"/>
                <w:szCs w:val="22"/>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Calibri" w:hAnsi="Calibri"/>
                <w:sz w:val="22"/>
                <w:szCs w:val="22"/>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Calibri" w:hAnsi="Calibri"/>
                <w:sz w:val="22"/>
                <w:szCs w:val="22"/>
              </w:rPr>
            </w:pPr>
          </w:p>
        </w:tc>
      </w:tr>
      <w:tr w:rsidR="00321575" w:rsidRPr="00321575" w:rsidTr="00321575">
        <w:trPr>
          <w:trHeight w:val="225"/>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Total purchases</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5,696</w:t>
            </w: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5,665</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4,778</w:t>
            </w: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right"/>
              <w:rPr>
                <w:rFonts w:ascii="Arial" w:hAnsi="Arial" w:cs="Arial"/>
                <w:sz w:val="16"/>
                <w:szCs w:val="16"/>
              </w:rPr>
            </w:pPr>
            <w:r w:rsidRPr="00321575">
              <w:rPr>
                <w:rFonts w:ascii="Arial" w:hAnsi="Arial" w:cs="Arial"/>
                <w:sz w:val="16"/>
                <w:szCs w:val="16"/>
              </w:rPr>
              <w:t>4,438</w:t>
            </w:r>
          </w:p>
        </w:tc>
      </w:tr>
      <w:tr w:rsidR="00321575" w:rsidRPr="00321575" w:rsidTr="00321575">
        <w:trPr>
          <w:trHeight w:val="60"/>
        </w:trPr>
        <w:tc>
          <w:tcPr>
            <w:tcW w:w="30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ind w:firstLineChars="100" w:firstLine="160"/>
              <w:jc w:val="left"/>
              <w:rPr>
                <w:rFonts w:ascii="Arial" w:hAnsi="Arial" w:cs="Arial"/>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p>
        </w:tc>
        <w:tc>
          <w:tcPr>
            <w:tcW w:w="820" w:type="dxa"/>
            <w:tcBorders>
              <w:top w:val="nil"/>
              <w:left w:val="nil"/>
              <w:bottom w:val="nil"/>
              <w:right w:val="nil"/>
            </w:tcBorders>
            <w:shd w:val="clear" w:color="000000" w:fill="E6E6E6"/>
            <w:noWrap/>
            <w:vAlign w:val="bottom"/>
            <w:hideMark/>
          </w:tcPr>
          <w:p w:rsidR="00321575" w:rsidRPr="00321575" w:rsidRDefault="00321575" w:rsidP="00321575">
            <w:pPr>
              <w:spacing w:after="0" w:line="240" w:lineRule="auto"/>
              <w:jc w:val="left"/>
              <w:rPr>
                <w:rFonts w:ascii="Arial" w:hAnsi="Arial" w:cs="Arial"/>
                <w:sz w:val="16"/>
                <w:szCs w:val="16"/>
              </w:rPr>
            </w:pPr>
            <w:r w:rsidRPr="00321575">
              <w:rPr>
                <w:rFonts w:ascii="Arial" w:hAnsi="Arial" w:cs="Arial"/>
                <w:sz w:val="16"/>
                <w:szCs w:val="16"/>
              </w:rPr>
              <w:t> </w:t>
            </w:r>
          </w:p>
        </w:tc>
        <w:tc>
          <w:tcPr>
            <w:tcW w:w="82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p>
        </w:tc>
        <w:tc>
          <w:tcPr>
            <w:tcW w:w="84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p>
        </w:tc>
        <w:tc>
          <w:tcPr>
            <w:tcW w:w="880" w:type="dxa"/>
            <w:tcBorders>
              <w:top w:val="nil"/>
              <w:left w:val="nil"/>
              <w:bottom w:val="nil"/>
              <w:right w:val="nil"/>
            </w:tcBorders>
            <w:shd w:val="clear" w:color="auto" w:fill="auto"/>
            <w:noWrap/>
            <w:vAlign w:val="bottom"/>
            <w:hideMark/>
          </w:tcPr>
          <w:p w:rsidR="00321575" w:rsidRPr="00321575" w:rsidRDefault="00321575" w:rsidP="00321575">
            <w:pPr>
              <w:spacing w:after="0" w:line="240" w:lineRule="auto"/>
              <w:jc w:val="left"/>
              <w:rPr>
                <w:rFonts w:ascii="Arial" w:hAnsi="Arial" w:cs="Arial"/>
                <w:b/>
                <w:bCs/>
                <w:sz w:val="16"/>
                <w:szCs w:val="16"/>
              </w:rPr>
            </w:pPr>
          </w:p>
        </w:tc>
      </w:tr>
      <w:tr w:rsidR="00321575" w:rsidRPr="00321575" w:rsidTr="00321575">
        <w:trPr>
          <w:trHeight w:val="225"/>
        </w:trPr>
        <w:tc>
          <w:tcPr>
            <w:tcW w:w="3080" w:type="dxa"/>
            <w:tcBorders>
              <w:top w:val="nil"/>
              <w:left w:val="nil"/>
              <w:bottom w:val="single" w:sz="4" w:space="0" w:color="auto"/>
              <w:right w:val="nil"/>
            </w:tcBorders>
            <w:shd w:val="clear" w:color="auto" w:fill="auto"/>
            <w:noWrap/>
            <w:vAlign w:val="bottom"/>
            <w:hideMark/>
          </w:tcPr>
          <w:p w:rsidR="00321575" w:rsidRPr="00321575" w:rsidRDefault="00321575" w:rsidP="00321575">
            <w:pPr>
              <w:spacing w:after="0" w:line="240" w:lineRule="auto"/>
              <w:ind w:firstLineChars="100" w:firstLine="161"/>
              <w:jc w:val="left"/>
              <w:rPr>
                <w:rFonts w:ascii="Arial" w:hAnsi="Arial" w:cs="Arial"/>
                <w:b/>
                <w:bCs/>
                <w:sz w:val="16"/>
                <w:szCs w:val="16"/>
              </w:rPr>
            </w:pPr>
            <w:r w:rsidRPr="00321575">
              <w:rPr>
                <w:rFonts w:ascii="Arial" w:hAnsi="Arial" w:cs="Arial"/>
                <w:b/>
                <w:bCs/>
                <w:sz w:val="16"/>
                <w:szCs w:val="16"/>
              </w:rPr>
              <w:t>Total cash used to acquire assets</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5,696</w:t>
            </w:r>
          </w:p>
        </w:tc>
        <w:tc>
          <w:tcPr>
            <w:tcW w:w="820" w:type="dxa"/>
            <w:tcBorders>
              <w:top w:val="single" w:sz="4" w:space="0" w:color="auto"/>
              <w:left w:val="nil"/>
              <w:bottom w:val="single" w:sz="4" w:space="0" w:color="auto"/>
              <w:right w:val="nil"/>
            </w:tcBorders>
            <w:shd w:val="clear" w:color="000000" w:fill="E6E6E6"/>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5,665</w:t>
            </w:r>
          </w:p>
        </w:tc>
        <w:tc>
          <w:tcPr>
            <w:tcW w:w="82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4,778</w:t>
            </w:r>
          </w:p>
        </w:tc>
        <w:tc>
          <w:tcPr>
            <w:tcW w:w="84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4,438</w:t>
            </w:r>
          </w:p>
        </w:tc>
        <w:tc>
          <w:tcPr>
            <w:tcW w:w="880" w:type="dxa"/>
            <w:tcBorders>
              <w:top w:val="single" w:sz="4" w:space="0" w:color="auto"/>
              <w:left w:val="nil"/>
              <w:bottom w:val="single" w:sz="4" w:space="0" w:color="auto"/>
              <w:right w:val="nil"/>
            </w:tcBorders>
            <w:shd w:val="clear" w:color="auto" w:fill="auto"/>
            <w:noWrap/>
            <w:vAlign w:val="center"/>
            <w:hideMark/>
          </w:tcPr>
          <w:p w:rsidR="00321575" w:rsidRPr="00321575" w:rsidRDefault="00321575" w:rsidP="00321575">
            <w:pPr>
              <w:spacing w:after="0" w:line="240" w:lineRule="auto"/>
              <w:jc w:val="right"/>
              <w:rPr>
                <w:rFonts w:ascii="Arial" w:hAnsi="Arial" w:cs="Arial"/>
                <w:b/>
                <w:bCs/>
                <w:sz w:val="16"/>
                <w:szCs w:val="16"/>
              </w:rPr>
            </w:pPr>
            <w:r w:rsidRPr="00321575">
              <w:rPr>
                <w:rFonts w:ascii="Arial" w:hAnsi="Arial" w:cs="Arial"/>
                <w:b/>
                <w:bCs/>
                <w:sz w:val="16"/>
                <w:szCs w:val="16"/>
              </w:rPr>
              <w:t>4,438</w:t>
            </w:r>
          </w:p>
        </w:tc>
      </w:tr>
    </w:tbl>
    <w:p w:rsidR="00901F17" w:rsidRPr="00AB77C4"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p w:rsidR="00901F17" w:rsidRDefault="00901F17" w:rsidP="00901F17">
      <w:pPr>
        <w:pStyle w:val="NoSpacing"/>
      </w:pPr>
    </w:p>
    <w:p w:rsidR="0040272D" w:rsidRDefault="0040272D" w:rsidP="00901F17">
      <w:pPr>
        <w:pStyle w:val="NoSpacing"/>
      </w:pPr>
    </w:p>
    <w:p w:rsidR="00901F17" w:rsidRDefault="00901F17" w:rsidP="00901F17">
      <w:pPr>
        <w:pStyle w:val="NoSpacing"/>
      </w:pPr>
    </w:p>
    <w:p w:rsidR="00901F17" w:rsidRDefault="003D3DE6" w:rsidP="00E453F8">
      <w:pPr>
        <w:pStyle w:val="Heading5"/>
      </w:pPr>
      <w:r w:rsidRPr="00793F50">
        <w:t xml:space="preserve">Table 3.2.6: </w:t>
      </w:r>
      <w:r>
        <w:t>Budgeted Statement of Asset Movements – Departmental</w:t>
      </w:r>
      <w:r>
        <w:br/>
        <w:t>for the period ended 30 June 2016</w:t>
      </w:r>
    </w:p>
    <w:tbl>
      <w:tblPr>
        <w:tblW w:w="7500" w:type="dxa"/>
        <w:tblInd w:w="87" w:type="dxa"/>
        <w:tblLook w:val="04A0"/>
      </w:tblPr>
      <w:tblGrid>
        <w:gridCol w:w="2880"/>
        <w:gridCol w:w="1293"/>
        <w:gridCol w:w="1371"/>
        <w:gridCol w:w="1175"/>
        <w:gridCol w:w="812"/>
      </w:tblGrid>
      <w:tr w:rsidR="0040272D" w:rsidRPr="0040272D" w:rsidTr="0040272D">
        <w:trPr>
          <w:trHeight w:val="225"/>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c>
          <w:tcPr>
            <w:tcW w:w="4620" w:type="dxa"/>
            <w:gridSpan w:val="4"/>
            <w:tcBorders>
              <w:top w:val="nil"/>
              <w:left w:val="nil"/>
              <w:bottom w:val="single" w:sz="4" w:space="0" w:color="auto"/>
              <w:right w:val="nil"/>
            </w:tcBorders>
            <w:shd w:val="clear" w:color="auto" w:fill="auto"/>
            <w:noWrap/>
            <w:vAlign w:val="center"/>
            <w:hideMark/>
          </w:tcPr>
          <w:p w:rsidR="0040272D" w:rsidRPr="0040272D" w:rsidRDefault="0040272D" w:rsidP="0040272D">
            <w:pPr>
              <w:spacing w:after="0" w:line="240" w:lineRule="auto"/>
              <w:jc w:val="center"/>
              <w:rPr>
                <w:rFonts w:ascii="Arial" w:hAnsi="Arial" w:cs="Arial"/>
                <w:b/>
                <w:bCs/>
                <w:sz w:val="16"/>
                <w:szCs w:val="16"/>
              </w:rPr>
            </w:pPr>
            <w:r w:rsidRPr="0040272D">
              <w:rPr>
                <w:rFonts w:ascii="Arial" w:hAnsi="Arial" w:cs="Arial"/>
                <w:b/>
                <w:bCs/>
                <w:sz w:val="16"/>
                <w:szCs w:val="16"/>
              </w:rPr>
              <w:t>Asset Category</w:t>
            </w:r>
          </w:p>
        </w:tc>
      </w:tr>
      <w:tr w:rsidR="0040272D" w:rsidRPr="0040272D" w:rsidTr="0040272D">
        <w:trPr>
          <w:trHeight w:val="210"/>
        </w:trPr>
        <w:tc>
          <w:tcPr>
            <w:tcW w:w="2880" w:type="dxa"/>
            <w:tcBorders>
              <w:top w:val="single" w:sz="4" w:space="0" w:color="auto"/>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r w:rsidRPr="0040272D">
              <w:rPr>
                <w:rFonts w:ascii="Arial" w:hAnsi="Arial" w:cs="Arial"/>
                <w:sz w:val="16"/>
                <w:szCs w:val="16"/>
              </w:rPr>
              <w:t> </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Leasehold</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Other property,</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Computer</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Total</w:t>
            </w: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Improvements</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plant and</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software and</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equipment</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intangibles</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293" w:type="dxa"/>
            <w:tcBorders>
              <w:top w:val="nil"/>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$'000</w:t>
            </w:r>
          </w:p>
        </w:tc>
        <w:tc>
          <w:tcPr>
            <w:tcW w:w="1371" w:type="dxa"/>
            <w:tcBorders>
              <w:top w:val="nil"/>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$'000</w:t>
            </w:r>
          </w:p>
        </w:tc>
        <w:tc>
          <w:tcPr>
            <w:tcW w:w="1175" w:type="dxa"/>
            <w:tcBorders>
              <w:top w:val="nil"/>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$'000</w:t>
            </w:r>
          </w:p>
        </w:tc>
        <w:tc>
          <w:tcPr>
            <w:tcW w:w="781" w:type="dxa"/>
            <w:tcBorders>
              <w:top w:val="nil"/>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$'000</w:t>
            </w: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As at 1 July 2015</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 xml:space="preserve">Gross book value </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4,771</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4,966</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58,588</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68,325</w:t>
            </w: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Accumulated depreciation /</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ind w:firstLineChars="200" w:firstLine="320"/>
              <w:jc w:val="left"/>
              <w:rPr>
                <w:rFonts w:ascii="Arial" w:hAnsi="Arial" w:cs="Arial"/>
                <w:sz w:val="16"/>
                <w:szCs w:val="16"/>
              </w:rPr>
            </w:pPr>
            <w:r w:rsidRPr="0040272D">
              <w:rPr>
                <w:rFonts w:ascii="Arial" w:hAnsi="Arial" w:cs="Arial"/>
                <w:sz w:val="16"/>
                <w:szCs w:val="16"/>
              </w:rPr>
              <w:t>amortisation and impairment</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(1,216)</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(1,632)</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(39,771)</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(42,619)</w:t>
            </w: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Opening net book balance</w:t>
            </w:r>
          </w:p>
        </w:tc>
        <w:tc>
          <w:tcPr>
            <w:tcW w:w="1293"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3,555</w:t>
            </w:r>
          </w:p>
        </w:tc>
        <w:tc>
          <w:tcPr>
            <w:tcW w:w="137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3,334</w:t>
            </w:r>
          </w:p>
        </w:tc>
        <w:tc>
          <w:tcPr>
            <w:tcW w:w="1175"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18,817</w:t>
            </w:r>
          </w:p>
        </w:tc>
        <w:tc>
          <w:tcPr>
            <w:tcW w:w="78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25,706</w:t>
            </w:r>
          </w:p>
        </w:tc>
      </w:tr>
      <w:tr w:rsidR="0040272D" w:rsidRPr="0040272D" w:rsidTr="0040272D">
        <w:trPr>
          <w:trHeight w:val="6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jc w:val="left"/>
              <w:rPr>
                <w:rFonts w:ascii="Arial" w:hAnsi="Arial" w:cs="Arial"/>
                <w:sz w:val="16"/>
                <w:szCs w:val="16"/>
              </w:rPr>
            </w:pP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CAPITAL ASSET ADDITIONS</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Estimated expenditure on</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new or replacement assets</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By purchase - other</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468</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1,125</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4,072</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5,665</w:t>
            </w: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Total additions</w:t>
            </w:r>
          </w:p>
        </w:tc>
        <w:tc>
          <w:tcPr>
            <w:tcW w:w="1293"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468</w:t>
            </w:r>
          </w:p>
        </w:tc>
        <w:tc>
          <w:tcPr>
            <w:tcW w:w="137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1,125</w:t>
            </w:r>
          </w:p>
        </w:tc>
        <w:tc>
          <w:tcPr>
            <w:tcW w:w="1175"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4,072</w:t>
            </w:r>
          </w:p>
        </w:tc>
        <w:tc>
          <w:tcPr>
            <w:tcW w:w="78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5,665</w:t>
            </w:r>
          </w:p>
        </w:tc>
      </w:tr>
      <w:tr w:rsidR="0040272D" w:rsidRPr="0040272D" w:rsidTr="0040272D">
        <w:trPr>
          <w:trHeight w:val="6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Other movements</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Depreciation /</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ind w:firstLineChars="200" w:firstLine="320"/>
              <w:jc w:val="left"/>
              <w:rPr>
                <w:rFonts w:ascii="Arial" w:hAnsi="Arial" w:cs="Arial"/>
                <w:sz w:val="16"/>
                <w:szCs w:val="16"/>
              </w:rPr>
            </w:pPr>
            <w:r w:rsidRPr="0040272D">
              <w:rPr>
                <w:rFonts w:ascii="Arial" w:hAnsi="Arial" w:cs="Arial"/>
                <w:sz w:val="16"/>
                <w:szCs w:val="16"/>
              </w:rPr>
              <w:t>amortisation expense</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(658)</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(1,125)</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(3,882)</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(5,665)</w:t>
            </w: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Total other movements</w:t>
            </w:r>
          </w:p>
        </w:tc>
        <w:tc>
          <w:tcPr>
            <w:tcW w:w="1293"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(658)</w:t>
            </w:r>
          </w:p>
        </w:tc>
        <w:tc>
          <w:tcPr>
            <w:tcW w:w="137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(1,125)</w:t>
            </w:r>
          </w:p>
        </w:tc>
        <w:tc>
          <w:tcPr>
            <w:tcW w:w="1175"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(3,882)</w:t>
            </w:r>
          </w:p>
        </w:tc>
        <w:tc>
          <w:tcPr>
            <w:tcW w:w="78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(5,665)</w:t>
            </w:r>
          </w:p>
        </w:tc>
      </w:tr>
      <w:tr w:rsidR="0040272D" w:rsidRPr="0040272D" w:rsidTr="0040272D">
        <w:trPr>
          <w:trHeight w:val="6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As at 30 June 2016</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Gross book value</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5,239</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6,091</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62,660</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73,990</w:t>
            </w: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ind w:firstLineChars="100" w:firstLine="160"/>
              <w:jc w:val="left"/>
              <w:rPr>
                <w:rFonts w:ascii="Arial" w:hAnsi="Arial" w:cs="Arial"/>
                <w:sz w:val="16"/>
                <w:szCs w:val="16"/>
              </w:rPr>
            </w:pPr>
            <w:r w:rsidRPr="0040272D">
              <w:rPr>
                <w:rFonts w:ascii="Arial" w:hAnsi="Arial" w:cs="Arial"/>
                <w:sz w:val="16"/>
                <w:szCs w:val="16"/>
              </w:rPr>
              <w:t>Accumulated depreciation /</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sz w:val="16"/>
                <w:szCs w:val="16"/>
              </w:rPr>
            </w:pPr>
          </w:p>
        </w:tc>
      </w:tr>
      <w:tr w:rsidR="0040272D" w:rsidRPr="0040272D" w:rsidTr="0040272D">
        <w:trPr>
          <w:trHeight w:val="210"/>
        </w:trPr>
        <w:tc>
          <w:tcPr>
            <w:tcW w:w="2880" w:type="dxa"/>
            <w:tcBorders>
              <w:top w:val="nil"/>
              <w:left w:val="nil"/>
              <w:bottom w:val="nil"/>
              <w:right w:val="nil"/>
            </w:tcBorders>
            <w:shd w:val="clear" w:color="auto" w:fill="auto"/>
            <w:noWrap/>
            <w:vAlign w:val="center"/>
            <w:hideMark/>
          </w:tcPr>
          <w:p w:rsidR="0040272D" w:rsidRPr="0040272D" w:rsidRDefault="0040272D" w:rsidP="0040272D">
            <w:pPr>
              <w:spacing w:after="0" w:line="240" w:lineRule="auto"/>
              <w:ind w:firstLineChars="200" w:firstLine="320"/>
              <w:jc w:val="left"/>
              <w:rPr>
                <w:rFonts w:ascii="Arial" w:hAnsi="Arial" w:cs="Arial"/>
                <w:sz w:val="16"/>
                <w:szCs w:val="16"/>
              </w:rPr>
            </w:pPr>
            <w:r w:rsidRPr="0040272D">
              <w:rPr>
                <w:rFonts w:ascii="Arial" w:hAnsi="Arial" w:cs="Arial"/>
                <w:sz w:val="16"/>
                <w:szCs w:val="16"/>
              </w:rPr>
              <w:t>amortisation and impairment</w:t>
            </w:r>
          </w:p>
        </w:tc>
        <w:tc>
          <w:tcPr>
            <w:tcW w:w="1293"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(1,874)</w:t>
            </w:r>
          </w:p>
        </w:tc>
        <w:tc>
          <w:tcPr>
            <w:tcW w:w="137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(2,757)</w:t>
            </w:r>
          </w:p>
        </w:tc>
        <w:tc>
          <w:tcPr>
            <w:tcW w:w="1175"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(43,653)</w:t>
            </w:r>
          </w:p>
        </w:tc>
        <w:tc>
          <w:tcPr>
            <w:tcW w:w="781" w:type="dxa"/>
            <w:tcBorders>
              <w:top w:val="nil"/>
              <w:left w:val="nil"/>
              <w:bottom w:val="nil"/>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sz w:val="16"/>
                <w:szCs w:val="16"/>
              </w:rPr>
            </w:pPr>
            <w:r w:rsidRPr="0040272D">
              <w:rPr>
                <w:rFonts w:ascii="Arial" w:hAnsi="Arial" w:cs="Arial"/>
                <w:sz w:val="16"/>
                <w:szCs w:val="16"/>
              </w:rPr>
              <w:t>(48,284)</w:t>
            </w:r>
          </w:p>
        </w:tc>
      </w:tr>
      <w:tr w:rsidR="0040272D" w:rsidRPr="0040272D" w:rsidTr="0040272D">
        <w:trPr>
          <w:trHeight w:val="210"/>
        </w:trPr>
        <w:tc>
          <w:tcPr>
            <w:tcW w:w="2880" w:type="dxa"/>
            <w:tcBorders>
              <w:top w:val="nil"/>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left"/>
              <w:rPr>
                <w:rFonts w:ascii="Arial" w:hAnsi="Arial" w:cs="Arial"/>
                <w:b/>
                <w:bCs/>
                <w:sz w:val="16"/>
                <w:szCs w:val="16"/>
              </w:rPr>
            </w:pPr>
            <w:r w:rsidRPr="0040272D">
              <w:rPr>
                <w:rFonts w:ascii="Arial" w:hAnsi="Arial" w:cs="Arial"/>
                <w:b/>
                <w:bCs/>
                <w:sz w:val="16"/>
                <w:szCs w:val="16"/>
              </w:rPr>
              <w:t>Closing net book balance</w:t>
            </w:r>
          </w:p>
        </w:tc>
        <w:tc>
          <w:tcPr>
            <w:tcW w:w="1293"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3,365</w:t>
            </w:r>
          </w:p>
        </w:tc>
        <w:tc>
          <w:tcPr>
            <w:tcW w:w="137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3,334</w:t>
            </w:r>
          </w:p>
        </w:tc>
        <w:tc>
          <w:tcPr>
            <w:tcW w:w="1175"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19,007</w:t>
            </w:r>
          </w:p>
        </w:tc>
        <w:tc>
          <w:tcPr>
            <w:tcW w:w="781" w:type="dxa"/>
            <w:tcBorders>
              <w:top w:val="single" w:sz="4" w:space="0" w:color="auto"/>
              <w:left w:val="nil"/>
              <w:bottom w:val="single" w:sz="4" w:space="0" w:color="auto"/>
              <w:right w:val="nil"/>
            </w:tcBorders>
            <w:shd w:val="clear" w:color="auto" w:fill="auto"/>
            <w:noWrap/>
            <w:vAlign w:val="bottom"/>
            <w:hideMark/>
          </w:tcPr>
          <w:p w:rsidR="0040272D" w:rsidRPr="0040272D" w:rsidRDefault="0040272D" w:rsidP="0040272D">
            <w:pPr>
              <w:spacing w:after="0" w:line="240" w:lineRule="auto"/>
              <w:jc w:val="right"/>
              <w:rPr>
                <w:rFonts w:ascii="Arial" w:hAnsi="Arial" w:cs="Arial"/>
                <w:b/>
                <w:bCs/>
                <w:sz w:val="16"/>
                <w:szCs w:val="16"/>
              </w:rPr>
            </w:pPr>
            <w:r w:rsidRPr="0040272D">
              <w:rPr>
                <w:rFonts w:ascii="Arial" w:hAnsi="Arial" w:cs="Arial"/>
                <w:b/>
                <w:bCs/>
                <w:sz w:val="16"/>
                <w:szCs w:val="16"/>
              </w:rPr>
              <w:t>25,706</w:t>
            </w:r>
          </w:p>
        </w:tc>
      </w:tr>
    </w:tbl>
    <w:p w:rsidR="00901F17" w:rsidRPr="00AB77C4" w:rsidRDefault="00901F17" w:rsidP="00901F17">
      <w:pPr>
        <w:spacing w:after="0" w:line="240" w:lineRule="auto"/>
        <w:rPr>
          <w:sz w:val="6"/>
          <w:szCs w:val="6"/>
        </w:rPr>
      </w:pPr>
    </w:p>
    <w:p w:rsidR="00901F17" w:rsidRDefault="00901F17" w:rsidP="00901F17">
      <w:pPr>
        <w:pStyle w:val="Source"/>
      </w:pPr>
      <w:r w:rsidRPr="00AB77C4">
        <w:t>Prepared on Australian Accounting Standards basis.</w:t>
      </w:r>
    </w:p>
    <w:sectPr w:rsidR="00901F17" w:rsidSect="00AA27AA">
      <w:headerReference w:type="even" r:id="rId14"/>
      <w:headerReference w:type="default" r:id="rId15"/>
      <w:headerReference w:type="first" r:id="rId16"/>
      <w:type w:val="oddPage"/>
      <w:pgSz w:w="11906" w:h="16838" w:code="9"/>
      <w:pgMar w:top="2466" w:right="2098" w:bottom="2466" w:left="2098" w:header="1899" w:footer="189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321575" w:rsidRDefault="00321575" w:rsidP="00C07DEC">
      <w:r>
        <w:separator/>
      </w:r>
    </w:p>
  </w:endnote>
  <w:endnote w:type="continuationSeparator" w:id="0">
    <w:p w:rsidR="00321575" w:rsidRDefault="00321575" w:rsidP="00C07DE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A00002EF" w:usb1="4000207B" w:usb2="00000000" w:usb3="00000000" w:csb0="0000009F" w:csb1="00000000"/>
  </w:font>
  <w:font w:name="9999999">
    <w:altName w:val="Times New Roman"/>
    <w:panose1 w:val="00000000000000000000"/>
    <w:charset w:val="00"/>
    <w:family w:val="roman"/>
    <w:notTrueType/>
    <w:pitch w:val="default"/>
    <w:sig w:usb0="00000003" w:usb1="00000000" w:usb2="00000000" w:usb3="00000000" w:csb0="00000001" w:csb1="00000000"/>
  </w:font>
  <w:font w:name="Book Antiqua">
    <w:altName w:val="Book Antiqua"/>
    <w:panose1 w:val="02040602050305030304"/>
    <w:charset w:val="00"/>
    <w:family w:val="roman"/>
    <w:pitch w:val="variable"/>
    <w:sig w:usb0="00000287" w:usb1="00000000" w:usb2="00000000" w:usb3="00000000" w:csb0="0000009F" w:csb1="00000000"/>
  </w:font>
  <w:font w:name="Arial Bold">
    <w:altName w:val="Times New Roman"/>
    <w:panose1 w:val="00000000000000000000"/>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Swiss 721 BT">
    <w:altName w:val="Swiss 721 BT"/>
    <w:panose1 w:val="00000000000000000000"/>
    <w:charset w:val="00"/>
    <w:family w:val="swiss"/>
    <w:notTrueType/>
    <w:pitch w:val="default"/>
    <w:sig w:usb0="00000003" w:usb1="00000000" w:usb2="00000000" w:usb3="00000000" w:csb0="00000001" w:csb1="00000000"/>
  </w:font>
  <w:font w:name="BookAntiqua">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9A" w:rsidRPr="001808A4" w:rsidRDefault="006F559A" w:rsidP="006F559A">
    <w:pPr>
      <w:pStyle w:val="Footer"/>
    </w:pPr>
    <w:fldSimple w:instr=" PAGE   \* MERGEFORMAT ">
      <w:r>
        <w:rPr>
          <w:noProof/>
        </w:rPr>
        <w:t>130</w:t>
      </w:r>
    </w:fldSimple>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F559A" w:rsidRPr="001808A4" w:rsidRDefault="006F559A" w:rsidP="006F559A">
    <w:pPr>
      <w:pStyle w:val="Footer"/>
    </w:pPr>
    <w:fldSimple w:instr=" PAGE   \* MERGEFORMAT ">
      <w:r>
        <w:rPr>
          <w:noProof/>
        </w:rPr>
        <w:t>131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Pr="001808A4" w:rsidRDefault="0071332F" w:rsidP="001808A4">
    <w:pPr>
      <w:pStyle w:val="Footer"/>
    </w:pPr>
    <w:fldSimple w:instr=" PAGE   \* MERGEFORMAT ">
      <w:r w:rsidR="006F559A">
        <w:rPr>
          <w:noProof/>
        </w:rPr>
        <w:t>111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321575" w:rsidRDefault="00321575" w:rsidP="00C07DEC">
      <w:r>
        <w:separator/>
      </w:r>
    </w:p>
  </w:footnote>
  <w:footnote w:type="continuationSeparator" w:id="0">
    <w:p w:rsidR="00321575" w:rsidRDefault="00321575" w:rsidP="00C07DE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6F559A" w:rsidP="00361259">
    <w:pPr>
      <w:pStyle w:val="HeaderEven"/>
    </w:pPr>
    <w:r>
      <w:t>CSC Budget Statements</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Default="006F559A" w:rsidP="00361259">
    <w:pPr>
      <w:pStyle w:val="HeaderOdd"/>
    </w:pPr>
    <w:r>
      <w:t>CSC Budget Statements</w: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21575" w:rsidRPr="00F10D71" w:rsidRDefault="00321575" w:rsidP="00F10D71">
    <w:pPr>
      <w:pStyle w:val="HeaderOdd"/>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2032A"/>
    <w:multiLevelType w:val="hybridMultilevel"/>
    <w:tmpl w:val="1554987C"/>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
    <w:nsid w:val="018F0871"/>
    <w:multiLevelType w:val="hybridMultilevel"/>
    <w:tmpl w:val="2F1A5AD4"/>
    <w:lvl w:ilvl="0" w:tplc="AB205F6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4420EA0"/>
    <w:multiLevelType w:val="singleLevel"/>
    <w:tmpl w:val="3982C1BE"/>
    <w:lvl w:ilvl="0">
      <w:start w:val="1"/>
      <w:numFmt w:val="bullet"/>
      <w:lvlRestart w:val="0"/>
      <w:lvlText w:val="•"/>
      <w:lvlJc w:val="left"/>
      <w:pPr>
        <w:tabs>
          <w:tab w:val="num" w:pos="284"/>
        </w:tabs>
        <w:ind w:left="284" w:hanging="284"/>
      </w:pPr>
      <w:rPr>
        <w:b w:val="0"/>
        <w:i w:val="0"/>
        <w:color w:val="000000"/>
      </w:rPr>
    </w:lvl>
  </w:abstractNum>
  <w:abstractNum w:abstractNumId="3">
    <w:nsid w:val="04862A55"/>
    <w:multiLevelType w:val="hybridMultilevel"/>
    <w:tmpl w:val="94C23C9A"/>
    <w:lvl w:ilvl="0" w:tplc="A0A085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
    <w:nsid w:val="07E16BE4"/>
    <w:multiLevelType w:val="hybridMultilevel"/>
    <w:tmpl w:val="A6AA4530"/>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
    <w:nsid w:val="0DA102D9"/>
    <w:multiLevelType w:val="hybridMultilevel"/>
    <w:tmpl w:val="C36C9B0E"/>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
    <w:nsid w:val="0E8B1916"/>
    <w:multiLevelType w:val="hybridMultilevel"/>
    <w:tmpl w:val="17346DF6"/>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7">
    <w:nsid w:val="0E934D57"/>
    <w:multiLevelType w:val="hybridMultilevel"/>
    <w:tmpl w:val="84D2EA4A"/>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8">
    <w:nsid w:val="0EC42909"/>
    <w:multiLevelType w:val="multilevel"/>
    <w:tmpl w:val="753AC1FE"/>
    <w:name w:val="StandardBulletedList_"/>
    <w:lvl w:ilvl="0">
      <w:start w:val="1"/>
      <w:numFmt w:val="bullet"/>
      <w:lvlRestart w:val="0"/>
      <w:pStyle w:val="Bullet"/>
      <w:lvlText w:val="•"/>
      <w:lvlJc w:val="left"/>
      <w:pPr>
        <w:tabs>
          <w:tab w:val="num" w:pos="283"/>
        </w:tabs>
        <w:ind w:left="283" w:hanging="283"/>
      </w:pPr>
      <w:rPr>
        <w:rFonts w:ascii="Times New Roman" w:hAnsi="Times New Roman" w:cs="Times New Roman"/>
        <w:b w:val="0"/>
        <w:i w:val="0"/>
      </w:rPr>
    </w:lvl>
    <w:lvl w:ilvl="1">
      <w:start w:val="1"/>
      <w:numFmt w:val="bullet"/>
      <w:pStyle w:val="Dash"/>
      <w:lvlText w:val="–"/>
      <w:lvlJc w:val="left"/>
      <w:pPr>
        <w:tabs>
          <w:tab w:val="num" w:pos="567"/>
        </w:tabs>
        <w:ind w:left="567" w:hanging="284"/>
      </w:pPr>
      <w:rPr>
        <w:rFonts w:ascii="Times New Roman" w:hAnsi="Times New Roman" w:cs="Times New Roman"/>
        <w:b w:val="0"/>
        <w:i w:val="0"/>
      </w:rPr>
    </w:lvl>
    <w:lvl w:ilvl="2">
      <w:start w:val="1"/>
      <w:numFmt w:val="bullet"/>
      <w:pStyle w:val="DoubleDot"/>
      <w:lvlText w:val=":"/>
      <w:lvlJc w:val="left"/>
      <w:pPr>
        <w:tabs>
          <w:tab w:val="num" w:pos="850"/>
        </w:tabs>
        <w:ind w:left="850" w:hanging="283"/>
      </w:pPr>
      <w:rPr>
        <w:rFonts w:ascii="Times New Roman" w:hAnsi="Times New Roman" w:cs="Times New Roman"/>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9">
    <w:nsid w:val="10757CBC"/>
    <w:multiLevelType w:val="singleLevel"/>
    <w:tmpl w:val="44528540"/>
    <w:name w:val="Box Bullet List"/>
    <w:lvl w:ilvl="0">
      <w:start w:val="1"/>
      <w:numFmt w:val="bullet"/>
      <w:lvlRestart w:val="0"/>
      <w:lvlText w:val="•"/>
      <w:lvlJc w:val="left"/>
      <w:pPr>
        <w:tabs>
          <w:tab w:val="num" w:pos="283"/>
        </w:tabs>
        <w:ind w:left="283" w:hanging="283"/>
      </w:pPr>
      <w:rPr>
        <w:rFonts w:ascii="Times New Roman" w:hAnsi="Times New Roman" w:cs="Times New Roman"/>
        <w:b w:val="0"/>
        <w:i w:val="0"/>
      </w:rPr>
    </w:lvl>
  </w:abstractNum>
  <w:abstractNum w:abstractNumId="10">
    <w:nsid w:val="10DD14C3"/>
    <w:multiLevelType w:val="hybridMultilevel"/>
    <w:tmpl w:val="48600C24"/>
    <w:lvl w:ilvl="0" w:tplc="40348D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1">
    <w:nsid w:val="17943BA1"/>
    <w:multiLevelType w:val="hybridMultilevel"/>
    <w:tmpl w:val="8A78BCBC"/>
    <w:lvl w:ilvl="0" w:tplc="FD0C50E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2">
    <w:nsid w:val="1A3F16A7"/>
    <w:multiLevelType w:val="hybridMultilevel"/>
    <w:tmpl w:val="7F5EDCBE"/>
    <w:lvl w:ilvl="0" w:tplc="0B4220B6">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3">
    <w:nsid w:val="20EB0CD5"/>
    <w:multiLevelType w:val="hybridMultilevel"/>
    <w:tmpl w:val="0FEC347A"/>
    <w:lvl w:ilvl="0" w:tplc="A5343F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4">
    <w:nsid w:val="21EB74B8"/>
    <w:multiLevelType w:val="hybridMultilevel"/>
    <w:tmpl w:val="350C8036"/>
    <w:lvl w:ilvl="0" w:tplc="3B4AFF14">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5">
    <w:nsid w:val="23BA4584"/>
    <w:multiLevelType w:val="hybridMultilevel"/>
    <w:tmpl w:val="1CD807EC"/>
    <w:lvl w:ilvl="0" w:tplc="7B54D7E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6">
    <w:nsid w:val="26247475"/>
    <w:multiLevelType w:val="hybridMultilevel"/>
    <w:tmpl w:val="DC8212C0"/>
    <w:name w:val="ExampleTextBullet22"/>
    <w:lvl w:ilvl="0" w:tplc="50B8065E">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7">
    <w:nsid w:val="2A746F3E"/>
    <w:multiLevelType w:val="hybridMultilevel"/>
    <w:tmpl w:val="C2A245AE"/>
    <w:lvl w:ilvl="0" w:tplc="F29C0392">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8">
    <w:nsid w:val="2AE957F0"/>
    <w:multiLevelType w:val="hybridMultilevel"/>
    <w:tmpl w:val="9C120D5E"/>
    <w:lvl w:ilvl="0" w:tplc="84CC249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19">
    <w:nsid w:val="2CEA4481"/>
    <w:multiLevelType w:val="multilevel"/>
    <w:tmpl w:val="0DFE1A6A"/>
    <w:name w:val="TableTextBullet"/>
    <w:lvl w:ilvl="0">
      <w:start w:val="1"/>
      <w:numFmt w:val="bullet"/>
      <w:lvlRestart w:val="0"/>
      <w:pStyle w:val="TableTextBullet"/>
      <w:lvlText w:val="•"/>
      <w:lvlJc w:val="left"/>
      <w:pPr>
        <w:tabs>
          <w:tab w:val="num" w:pos="284"/>
        </w:tabs>
        <w:ind w:left="284" w:hanging="284"/>
      </w:pPr>
      <w:rPr>
        <w:b w:val="0"/>
        <w:i w:val="0"/>
        <w:color w:val="000000"/>
      </w:rPr>
    </w:lvl>
    <w:lvl w:ilvl="1">
      <w:start w:val="1"/>
      <w:numFmt w:val="bullet"/>
      <w:pStyle w:val="TableTextDash"/>
      <w:lvlText w:val="–"/>
      <w:lvlJc w:val="left"/>
      <w:pPr>
        <w:tabs>
          <w:tab w:val="num" w:pos="851"/>
        </w:tabs>
        <w:ind w:left="851" w:hanging="284"/>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20">
    <w:nsid w:val="2F8E0765"/>
    <w:multiLevelType w:val="hybridMultilevel"/>
    <w:tmpl w:val="BE7E5F22"/>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1">
    <w:nsid w:val="302D74E7"/>
    <w:multiLevelType w:val="hybridMultilevel"/>
    <w:tmpl w:val="2DEACDAE"/>
    <w:lvl w:ilvl="0" w:tplc="1BF6F55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2">
    <w:nsid w:val="352A4314"/>
    <w:multiLevelType w:val="hybridMultilevel"/>
    <w:tmpl w:val="2B22443C"/>
    <w:lvl w:ilvl="0" w:tplc="ECECB1FA">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3">
    <w:nsid w:val="362906D9"/>
    <w:multiLevelType w:val="hybridMultilevel"/>
    <w:tmpl w:val="DAC2D4A0"/>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4">
    <w:nsid w:val="37014FF1"/>
    <w:multiLevelType w:val="hybridMultilevel"/>
    <w:tmpl w:val="D1E61152"/>
    <w:name w:val="ExampleTextBullet2"/>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5">
    <w:nsid w:val="370878E0"/>
    <w:multiLevelType w:val="hybridMultilevel"/>
    <w:tmpl w:val="0D420116"/>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6">
    <w:nsid w:val="3B2E19AC"/>
    <w:multiLevelType w:val="singleLevel"/>
    <w:tmpl w:val="07664886"/>
    <w:lvl w:ilvl="0">
      <w:start w:val="1"/>
      <w:numFmt w:val="lowerLetter"/>
      <w:lvlRestart w:val="0"/>
      <w:pStyle w:val="ChartandTableFootnoteAlpha"/>
      <w:lvlText w:val="(%1)"/>
      <w:lvlJc w:val="left"/>
      <w:pPr>
        <w:tabs>
          <w:tab w:val="num" w:pos="284"/>
        </w:tabs>
        <w:ind w:left="284" w:hanging="284"/>
      </w:pPr>
      <w:rPr>
        <w:rFonts w:ascii="Arial" w:hAnsi="Arial" w:cs="Arial"/>
        <w:b w:val="0"/>
        <w:i w:val="0"/>
        <w:color w:val="000000"/>
        <w:sz w:val="16"/>
      </w:rPr>
    </w:lvl>
  </w:abstractNum>
  <w:abstractNum w:abstractNumId="27">
    <w:nsid w:val="3C222161"/>
    <w:multiLevelType w:val="hybridMultilevel"/>
    <w:tmpl w:val="86ECB460"/>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28">
    <w:nsid w:val="3EDD6DF2"/>
    <w:multiLevelType w:val="hybridMultilevel"/>
    <w:tmpl w:val="45F09C68"/>
    <w:lvl w:ilvl="0" w:tplc="883870B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9">
    <w:nsid w:val="3F4B727F"/>
    <w:multiLevelType w:val="hybridMultilevel"/>
    <w:tmpl w:val="954C28A0"/>
    <w:lvl w:ilvl="0" w:tplc="95D488B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0">
    <w:nsid w:val="43FB49B7"/>
    <w:multiLevelType w:val="singleLevel"/>
    <w:tmpl w:val="9EDE5682"/>
    <w:name w:val="Alpha Paragraph"/>
    <w:lvl w:ilvl="0">
      <w:start w:val="1"/>
      <w:numFmt w:val="lowerLetter"/>
      <w:lvlRestart w:val="0"/>
      <w:pStyle w:val="AlphaParagraph"/>
      <w:lvlText w:val="(%1)"/>
      <w:lvlJc w:val="left"/>
      <w:pPr>
        <w:tabs>
          <w:tab w:val="num" w:pos="567"/>
        </w:tabs>
        <w:ind w:left="567" w:hanging="567"/>
      </w:pPr>
      <w:rPr>
        <w:b w:val="0"/>
        <w:i w:val="0"/>
        <w:color w:val="000000"/>
      </w:rPr>
    </w:lvl>
  </w:abstractNum>
  <w:abstractNum w:abstractNumId="31">
    <w:nsid w:val="45CC754B"/>
    <w:multiLevelType w:val="hybridMultilevel"/>
    <w:tmpl w:val="079EB120"/>
    <w:lvl w:ilvl="0" w:tplc="0C090001">
      <w:start w:val="1"/>
      <w:numFmt w:val="bullet"/>
      <w:lvlText w:val=""/>
      <w:lvlJc w:val="left"/>
      <w:pPr>
        <w:ind w:left="720" w:hanging="360"/>
      </w:pPr>
      <w:rPr>
        <w:rFonts w:ascii="Symbol" w:hAnsi="Symbol" w:hint="default"/>
      </w:rPr>
    </w:lvl>
    <w:lvl w:ilvl="1" w:tplc="578E5778">
      <w:start w:val="1"/>
      <w:numFmt w:val="bullet"/>
      <w:lvlText w:val="–"/>
      <w:lvlJc w:val="left"/>
      <w:pPr>
        <w:ind w:left="1440" w:hanging="360"/>
      </w:pPr>
      <w:rPr>
        <w:rFonts w:ascii="Calibri" w:hAnsi="Calibri"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2">
    <w:nsid w:val="48564150"/>
    <w:multiLevelType w:val="hybridMultilevel"/>
    <w:tmpl w:val="C6900AF8"/>
    <w:lvl w:ilvl="0" w:tplc="9DDA58C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3">
    <w:nsid w:val="49C24F51"/>
    <w:multiLevelType w:val="hybridMultilevel"/>
    <w:tmpl w:val="262A807C"/>
    <w:lvl w:ilvl="0" w:tplc="EFB240A2">
      <w:start w:val="1"/>
      <w:numFmt w:val="decimal"/>
      <w:lvlText w:val="%1."/>
      <w:lvlJc w:val="left"/>
      <w:pPr>
        <w:ind w:left="644" w:hanging="360"/>
      </w:pPr>
      <w:rPr>
        <w:rFonts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34">
    <w:nsid w:val="4B7054EE"/>
    <w:multiLevelType w:val="hybridMultilevel"/>
    <w:tmpl w:val="D980A9E0"/>
    <w:lvl w:ilvl="0" w:tplc="0C090001">
      <w:start w:val="1"/>
      <w:numFmt w:val="bullet"/>
      <w:lvlText w:val=""/>
      <w:lvlJc w:val="left"/>
      <w:pPr>
        <w:ind w:left="360" w:hanging="360"/>
      </w:pPr>
      <w:rPr>
        <w:rFonts w:ascii="Symbol" w:hAnsi="Symbol" w:hint="default"/>
      </w:rPr>
    </w:lvl>
    <w:lvl w:ilvl="1" w:tplc="578E5778">
      <w:start w:val="1"/>
      <w:numFmt w:val="bullet"/>
      <w:lvlText w:val="–"/>
      <w:lvlJc w:val="left"/>
      <w:pPr>
        <w:ind w:left="1080" w:hanging="360"/>
      </w:pPr>
      <w:rPr>
        <w:rFonts w:ascii="Calibri" w:hAnsi="Calibri" w:hint="default"/>
      </w:r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35">
    <w:nsid w:val="4BFB18B6"/>
    <w:multiLevelType w:val="hybridMultilevel"/>
    <w:tmpl w:val="6ECE2E7C"/>
    <w:lvl w:ilvl="0" w:tplc="AEB6F9B0">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6">
    <w:nsid w:val="4E6D6539"/>
    <w:multiLevelType w:val="hybridMultilevel"/>
    <w:tmpl w:val="0F6ADBCA"/>
    <w:lvl w:ilvl="0" w:tplc="D056F14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7">
    <w:nsid w:val="4ED91490"/>
    <w:multiLevelType w:val="hybridMultilevel"/>
    <w:tmpl w:val="097ADF56"/>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38">
    <w:nsid w:val="4F1523DD"/>
    <w:multiLevelType w:val="hybridMultilevel"/>
    <w:tmpl w:val="1414B70E"/>
    <w:lvl w:ilvl="0" w:tplc="1F94FB3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39">
    <w:nsid w:val="4F397C02"/>
    <w:multiLevelType w:val="hybridMultilevel"/>
    <w:tmpl w:val="48BA5450"/>
    <w:lvl w:ilvl="0" w:tplc="578E5778">
      <w:start w:val="1"/>
      <w:numFmt w:val="bullet"/>
      <w:lvlText w:val="–"/>
      <w:lvlJc w:val="left"/>
      <w:pPr>
        <w:ind w:left="1080" w:hanging="360"/>
      </w:pPr>
      <w:rPr>
        <w:rFonts w:ascii="Calibri" w:hAnsi="Calibri" w:hint="default"/>
      </w:rPr>
    </w:lvl>
    <w:lvl w:ilvl="1" w:tplc="0C090003">
      <w:start w:val="1"/>
      <w:numFmt w:val="decimal"/>
      <w:lvlText w:val="%2."/>
      <w:lvlJc w:val="left"/>
      <w:pPr>
        <w:tabs>
          <w:tab w:val="num" w:pos="1440"/>
        </w:tabs>
        <w:ind w:left="1440" w:hanging="360"/>
      </w:pPr>
    </w:lvl>
    <w:lvl w:ilvl="2" w:tplc="0C090005">
      <w:start w:val="1"/>
      <w:numFmt w:val="decimal"/>
      <w:lvlText w:val="%3."/>
      <w:lvlJc w:val="left"/>
      <w:pPr>
        <w:tabs>
          <w:tab w:val="num" w:pos="2160"/>
        </w:tabs>
        <w:ind w:left="2160" w:hanging="360"/>
      </w:pPr>
    </w:lvl>
    <w:lvl w:ilvl="3" w:tplc="0C090001">
      <w:start w:val="1"/>
      <w:numFmt w:val="decimal"/>
      <w:lvlText w:val="%4."/>
      <w:lvlJc w:val="left"/>
      <w:pPr>
        <w:tabs>
          <w:tab w:val="num" w:pos="2880"/>
        </w:tabs>
        <w:ind w:left="2880" w:hanging="360"/>
      </w:pPr>
    </w:lvl>
    <w:lvl w:ilvl="4" w:tplc="0C090003">
      <w:start w:val="1"/>
      <w:numFmt w:val="decimal"/>
      <w:lvlText w:val="%5."/>
      <w:lvlJc w:val="left"/>
      <w:pPr>
        <w:tabs>
          <w:tab w:val="num" w:pos="3600"/>
        </w:tabs>
        <w:ind w:left="3600" w:hanging="360"/>
      </w:pPr>
    </w:lvl>
    <w:lvl w:ilvl="5" w:tplc="0C090005">
      <w:start w:val="1"/>
      <w:numFmt w:val="decimal"/>
      <w:lvlText w:val="%6."/>
      <w:lvlJc w:val="left"/>
      <w:pPr>
        <w:tabs>
          <w:tab w:val="num" w:pos="4320"/>
        </w:tabs>
        <w:ind w:left="4320" w:hanging="360"/>
      </w:pPr>
    </w:lvl>
    <w:lvl w:ilvl="6" w:tplc="0C090001">
      <w:start w:val="1"/>
      <w:numFmt w:val="decimal"/>
      <w:lvlText w:val="%7."/>
      <w:lvlJc w:val="left"/>
      <w:pPr>
        <w:tabs>
          <w:tab w:val="num" w:pos="5040"/>
        </w:tabs>
        <w:ind w:left="5040" w:hanging="360"/>
      </w:pPr>
    </w:lvl>
    <w:lvl w:ilvl="7" w:tplc="0C090003">
      <w:start w:val="1"/>
      <w:numFmt w:val="decimal"/>
      <w:lvlText w:val="%8."/>
      <w:lvlJc w:val="left"/>
      <w:pPr>
        <w:tabs>
          <w:tab w:val="num" w:pos="5760"/>
        </w:tabs>
        <w:ind w:left="5760" w:hanging="360"/>
      </w:pPr>
    </w:lvl>
    <w:lvl w:ilvl="8" w:tplc="0C090005">
      <w:start w:val="1"/>
      <w:numFmt w:val="decimal"/>
      <w:lvlText w:val="%9."/>
      <w:lvlJc w:val="left"/>
      <w:pPr>
        <w:tabs>
          <w:tab w:val="num" w:pos="6480"/>
        </w:tabs>
        <w:ind w:left="6480" w:hanging="360"/>
      </w:pPr>
    </w:lvl>
  </w:abstractNum>
  <w:abstractNum w:abstractNumId="40">
    <w:nsid w:val="4FCE6513"/>
    <w:multiLevelType w:val="hybridMultilevel"/>
    <w:tmpl w:val="9A9E0BA0"/>
    <w:lvl w:ilvl="0" w:tplc="0C09000F">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1">
    <w:nsid w:val="51E57F69"/>
    <w:multiLevelType w:val="hybridMultilevel"/>
    <w:tmpl w:val="8B4420C4"/>
    <w:lvl w:ilvl="0" w:tplc="6B3C3A26">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2">
    <w:nsid w:val="539A0997"/>
    <w:multiLevelType w:val="hybridMultilevel"/>
    <w:tmpl w:val="4C98DB40"/>
    <w:lvl w:ilvl="0" w:tplc="D2D84FF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3">
    <w:nsid w:val="54BF626B"/>
    <w:multiLevelType w:val="hybridMultilevel"/>
    <w:tmpl w:val="FDD0A484"/>
    <w:lvl w:ilvl="0" w:tplc="01E2762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4">
    <w:nsid w:val="566766B5"/>
    <w:multiLevelType w:val="hybridMultilevel"/>
    <w:tmpl w:val="02C6CCEC"/>
    <w:lvl w:ilvl="0" w:tplc="ECECB1FA">
      <w:start w:val="1"/>
      <w:numFmt w:val="bullet"/>
      <w:lvlText w:val=""/>
      <w:lvlJc w:val="left"/>
      <w:pPr>
        <w:ind w:left="720" w:hanging="360"/>
      </w:pPr>
      <w:rPr>
        <w:rFonts w:ascii="Symbol" w:hAnsi="Symbol" w:hint="default"/>
      </w:rPr>
    </w:lvl>
    <w:lvl w:ilvl="1" w:tplc="0C090019">
      <w:start w:val="1"/>
      <w:numFmt w:val="decimal"/>
      <w:lvlText w:val="%2."/>
      <w:lvlJc w:val="left"/>
      <w:pPr>
        <w:tabs>
          <w:tab w:val="num" w:pos="1440"/>
        </w:tabs>
        <w:ind w:left="1440" w:hanging="360"/>
      </w:pPr>
    </w:lvl>
    <w:lvl w:ilvl="2" w:tplc="0C09001B">
      <w:start w:val="1"/>
      <w:numFmt w:val="decimal"/>
      <w:lvlText w:val="%3."/>
      <w:lvlJc w:val="left"/>
      <w:pPr>
        <w:tabs>
          <w:tab w:val="num" w:pos="2160"/>
        </w:tabs>
        <w:ind w:left="2160" w:hanging="360"/>
      </w:pPr>
    </w:lvl>
    <w:lvl w:ilvl="3" w:tplc="0C09000F">
      <w:start w:val="1"/>
      <w:numFmt w:val="decimal"/>
      <w:lvlText w:val="%4."/>
      <w:lvlJc w:val="left"/>
      <w:pPr>
        <w:tabs>
          <w:tab w:val="num" w:pos="2880"/>
        </w:tabs>
        <w:ind w:left="2880" w:hanging="360"/>
      </w:pPr>
    </w:lvl>
    <w:lvl w:ilvl="4" w:tplc="0C090019">
      <w:start w:val="1"/>
      <w:numFmt w:val="decimal"/>
      <w:lvlText w:val="%5."/>
      <w:lvlJc w:val="left"/>
      <w:pPr>
        <w:tabs>
          <w:tab w:val="num" w:pos="3600"/>
        </w:tabs>
        <w:ind w:left="3600" w:hanging="360"/>
      </w:pPr>
    </w:lvl>
    <w:lvl w:ilvl="5" w:tplc="0C09001B">
      <w:start w:val="1"/>
      <w:numFmt w:val="decimal"/>
      <w:lvlText w:val="%6."/>
      <w:lvlJc w:val="left"/>
      <w:pPr>
        <w:tabs>
          <w:tab w:val="num" w:pos="4320"/>
        </w:tabs>
        <w:ind w:left="4320" w:hanging="360"/>
      </w:pPr>
    </w:lvl>
    <w:lvl w:ilvl="6" w:tplc="0C09000F">
      <w:start w:val="1"/>
      <w:numFmt w:val="decimal"/>
      <w:lvlText w:val="%7."/>
      <w:lvlJc w:val="left"/>
      <w:pPr>
        <w:tabs>
          <w:tab w:val="num" w:pos="5040"/>
        </w:tabs>
        <w:ind w:left="5040" w:hanging="360"/>
      </w:pPr>
    </w:lvl>
    <w:lvl w:ilvl="7" w:tplc="0C090019">
      <w:start w:val="1"/>
      <w:numFmt w:val="decimal"/>
      <w:lvlText w:val="%8."/>
      <w:lvlJc w:val="left"/>
      <w:pPr>
        <w:tabs>
          <w:tab w:val="num" w:pos="5760"/>
        </w:tabs>
        <w:ind w:left="5760" w:hanging="360"/>
      </w:pPr>
    </w:lvl>
    <w:lvl w:ilvl="8" w:tplc="0C09001B">
      <w:start w:val="1"/>
      <w:numFmt w:val="decimal"/>
      <w:lvlText w:val="%9."/>
      <w:lvlJc w:val="left"/>
      <w:pPr>
        <w:tabs>
          <w:tab w:val="num" w:pos="6480"/>
        </w:tabs>
        <w:ind w:left="6480" w:hanging="360"/>
      </w:pPr>
    </w:lvl>
  </w:abstractNum>
  <w:abstractNum w:abstractNumId="45">
    <w:nsid w:val="56D87015"/>
    <w:multiLevelType w:val="hybridMultilevel"/>
    <w:tmpl w:val="46B85734"/>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6">
    <w:nsid w:val="58101827"/>
    <w:multiLevelType w:val="multilevel"/>
    <w:tmpl w:val="072C6E52"/>
    <w:lvl w:ilvl="0">
      <w:start w:val="1"/>
      <w:numFmt w:val="bullet"/>
      <w:lvlRestart w:val="0"/>
      <w:pStyle w:val="BoxBullet"/>
      <w:lvlText w:val="•"/>
      <w:lvlJc w:val="left"/>
      <w:pPr>
        <w:tabs>
          <w:tab w:val="num" w:pos="283"/>
        </w:tabs>
        <w:ind w:left="283" w:hanging="283"/>
      </w:pPr>
      <w:rPr>
        <w:rFonts w:ascii="Times New Roman" w:hAnsi="Times New Roman" w:cs="Times New Roman"/>
        <w:b w:val="0"/>
        <w:i w:val="0"/>
        <w:sz w:val="20"/>
      </w:rPr>
    </w:lvl>
    <w:lvl w:ilvl="1">
      <w:start w:val="1"/>
      <w:numFmt w:val="bullet"/>
      <w:pStyle w:val="BoxDash"/>
      <w:lvlText w:val="–"/>
      <w:lvlJc w:val="left"/>
      <w:pPr>
        <w:tabs>
          <w:tab w:val="num" w:pos="567"/>
        </w:tabs>
        <w:ind w:left="567" w:hanging="284"/>
      </w:pPr>
      <w:rPr>
        <w:b w:val="0"/>
        <w:i w:val="0"/>
      </w:rPr>
    </w:lvl>
    <w:lvl w:ilvl="2">
      <w:start w:val="1"/>
      <w:numFmt w:val="bullet"/>
      <w:pStyle w:val="BoxDoubleDot"/>
      <w:lvlText w:val=":"/>
      <w:lvlJc w:val="left"/>
      <w:pPr>
        <w:tabs>
          <w:tab w:val="num" w:pos="850"/>
        </w:tabs>
        <w:ind w:left="850" w:hanging="283"/>
      </w:pPr>
      <w:rPr>
        <w:b w:val="0"/>
        <w:i w:val="0"/>
      </w:rPr>
    </w:lvl>
    <w:lvl w:ilvl="3">
      <w:start w:val="1"/>
      <w:numFmt w:val="decimal"/>
      <w:lvlText w:val="(%4)"/>
      <w:lvlJc w:val="left"/>
      <w:pPr>
        <w:tabs>
          <w:tab w:val="num" w:pos="1440"/>
        </w:tabs>
        <w:ind w:left="1440" w:hanging="360"/>
      </w:pPr>
      <w:rPr>
        <w:b w:val="0"/>
        <w:i w:val="0"/>
      </w:rPr>
    </w:lvl>
    <w:lvl w:ilvl="4">
      <w:start w:val="1"/>
      <w:numFmt w:val="lowerLetter"/>
      <w:lvlText w:val="(%5)"/>
      <w:lvlJc w:val="left"/>
      <w:pPr>
        <w:tabs>
          <w:tab w:val="num" w:pos="1800"/>
        </w:tabs>
        <w:ind w:left="1800" w:hanging="360"/>
      </w:pPr>
      <w:rPr>
        <w:b w:val="0"/>
        <w:i w:val="0"/>
      </w:rPr>
    </w:lvl>
    <w:lvl w:ilvl="5">
      <w:start w:val="1"/>
      <w:numFmt w:val="lowerRoman"/>
      <w:lvlText w:val="(%6)"/>
      <w:lvlJc w:val="left"/>
      <w:pPr>
        <w:tabs>
          <w:tab w:val="num" w:pos="2160"/>
        </w:tabs>
        <w:ind w:left="2160" w:hanging="360"/>
      </w:pPr>
      <w:rPr>
        <w:b w:val="0"/>
        <w:i w:val="0"/>
      </w:rPr>
    </w:lvl>
    <w:lvl w:ilvl="6">
      <w:start w:val="1"/>
      <w:numFmt w:val="decimal"/>
      <w:lvlText w:val="%7."/>
      <w:lvlJc w:val="left"/>
      <w:pPr>
        <w:tabs>
          <w:tab w:val="num" w:pos="2520"/>
        </w:tabs>
        <w:ind w:left="2520" w:hanging="360"/>
      </w:pPr>
      <w:rPr>
        <w:b w:val="0"/>
        <w:i w:val="0"/>
      </w:rPr>
    </w:lvl>
    <w:lvl w:ilvl="7">
      <w:start w:val="1"/>
      <w:numFmt w:val="lowerLetter"/>
      <w:lvlText w:val="%8."/>
      <w:lvlJc w:val="left"/>
      <w:pPr>
        <w:tabs>
          <w:tab w:val="num" w:pos="2880"/>
        </w:tabs>
        <w:ind w:left="2880" w:hanging="360"/>
      </w:pPr>
      <w:rPr>
        <w:b w:val="0"/>
        <w:i w:val="0"/>
      </w:rPr>
    </w:lvl>
    <w:lvl w:ilvl="8">
      <w:start w:val="1"/>
      <w:numFmt w:val="lowerRoman"/>
      <w:lvlText w:val="%9."/>
      <w:lvlJc w:val="left"/>
      <w:pPr>
        <w:tabs>
          <w:tab w:val="num" w:pos="3240"/>
        </w:tabs>
        <w:ind w:left="3240" w:hanging="360"/>
      </w:pPr>
      <w:rPr>
        <w:b w:val="0"/>
        <w:i w:val="0"/>
      </w:rPr>
    </w:lvl>
  </w:abstractNum>
  <w:abstractNum w:abstractNumId="47">
    <w:nsid w:val="5A467DDE"/>
    <w:multiLevelType w:val="hybridMultilevel"/>
    <w:tmpl w:val="65E680EE"/>
    <w:lvl w:ilvl="0" w:tplc="ECECB1FA">
      <w:start w:val="1"/>
      <w:numFmt w:val="bullet"/>
      <w:lvlText w:val=""/>
      <w:lvlJc w:val="left"/>
      <w:pPr>
        <w:tabs>
          <w:tab w:val="num" w:pos="360"/>
        </w:tabs>
        <w:ind w:left="360" w:hanging="360"/>
      </w:pPr>
      <w:rPr>
        <w:rFonts w:ascii="Symbol" w:hAnsi="Symbol" w:hint="default"/>
      </w:rPr>
    </w:lvl>
    <w:lvl w:ilvl="1" w:tplc="0C090019">
      <w:start w:val="8250"/>
      <w:numFmt w:val="bullet"/>
      <w:lvlText w:val="-"/>
      <w:lvlJc w:val="left"/>
      <w:pPr>
        <w:tabs>
          <w:tab w:val="num" w:pos="1080"/>
        </w:tabs>
        <w:ind w:left="1080" w:hanging="360"/>
      </w:pPr>
      <w:rPr>
        <w:rFonts w:ascii="Arial" w:eastAsia="Times New Roman" w:hAnsi="Arial" w:hint="default"/>
      </w:rPr>
    </w:lvl>
    <w:lvl w:ilvl="2" w:tplc="0C09001B" w:tentative="1">
      <w:start w:val="1"/>
      <w:numFmt w:val="bullet"/>
      <w:lvlText w:val=""/>
      <w:lvlJc w:val="left"/>
      <w:pPr>
        <w:tabs>
          <w:tab w:val="num" w:pos="1800"/>
        </w:tabs>
        <w:ind w:left="1800" w:hanging="360"/>
      </w:pPr>
      <w:rPr>
        <w:rFonts w:ascii="Wingdings" w:hAnsi="Wingdings" w:hint="default"/>
      </w:rPr>
    </w:lvl>
    <w:lvl w:ilvl="3" w:tplc="0C09000F" w:tentative="1">
      <w:start w:val="1"/>
      <w:numFmt w:val="bullet"/>
      <w:lvlText w:val=""/>
      <w:lvlJc w:val="left"/>
      <w:pPr>
        <w:tabs>
          <w:tab w:val="num" w:pos="2520"/>
        </w:tabs>
        <w:ind w:left="2520" w:hanging="360"/>
      </w:pPr>
      <w:rPr>
        <w:rFonts w:ascii="Symbol" w:hAnsi="Symbol" w:hint="default"/>
      </w:rPr>
    </w:lvl>
    <w:lvl w:ilvl="4" w:tplc="0C090019" w:tentative="1">
      <w:start w:val="1"/>
      <w:numFmt w:val="bullet"/>
      <w:lvlText w:val="o"/>
      <w:lvlJc w:val="left"/>
      <w:pPr>
        <w:tabs>
          <w:tab w:val="num" w:pos="3240"/>
        </w:tabs>
        <w:ind w:left="3240" w:hanging="360"/>
      </w:pPr>
      <w:rPr>
        <w:rFonts w:ascii="Courier New" w:hAnsi="Courier New" w:hint="default"/>
      </w:rPr>
    </w:lvl>
    <w:lvl w:ilvl="5" w:tplc="0C09001B" w:tentative="1">
      <w:start w:val="1"/>
      <w:numFmt w:val="bullet"/>
      <w:lvlText w:val=""/>
      <w:lvlJc w:val="left"/>
      <w:pPr>
        <w:tabs>
          <w:tab w:val="num" w:pos="3960"/>
        </w:tabs>
        <w:ind w:left="3960" w:hanging="360"/>
      </w:pPr>
      <w:rPr>
        <w:rFonts w:ascii="Wingdings" w:hAnsi="Wingdings" w:hint="default"/>
      </w:rPr>
    </w:lvl>
    <w:lvl w:ilvl="6" w:tplc="0C09000F" w:tentative="1">
      <w:start w:val="1"/>
      <w:numFmt w:val="bullet"/>
      <w:lvlText w:val=""/>
      <w:lvlJc w:val="left"/>
      <w:pPr>
        <w:tabs>
          <w:tab w:val="num" w:pos="4680"/>
        </w:tabs>
        <w:ind w:left="4680" w:hanging="360"/>
      </w:pPr>
      <w:rPr>
        <w:rFonts w:ascii="Symbol" w:hAnsi="Symbol" w:hint="default"/>
      </w:rPr>
    </w:lvl>
    <w:lvl w:ilvl="7" w:tplc="0C090019" w:tentative="1">
      <w:start w:val="1"/>
      <w:numFmt w:val="bullet"/>
      <w:lvlText w:val="o"/>
      <w:lvlJc w:val="left"/>
      <w:pPr>
        <w:tabs>
          <w:tab w:val="num" w:pos="5400"/>
        </w:tabs>
        <w:ind w:left="5400" w:hanging="360"/>
      </w:pPr>
      <w:rPr>
        <w:rFonts w:ascii="Courier New" w:hAnsi="Courier New" w:hint="default"/>
      </w:rPr>
    </w:lvl>
    <w:lvl w:ilvl="8" w:tplc="0C09001B" w:tentative="1">
      <w:start w:val="1"/>
      <w:numFmt w:val="bullet"/>
      <w:lvlText w:val=""/>
      <w:lvlJc w:val="left"/>
      <w:pPr>
        <w:tabs>
          <w:tab w:val="num" w:pos="6120"/>
        </w:tabs>
        <w:ind w:left="6120" w:hanging="360"/>
      </w:pPr>
      <w:rPr>
        <w:rFonts w:ascii="Wingdings" w:hAnsi="Wingdings" w:hint="default"/>
      </w:rPr>
    </w:lvl>
  </w:abstractNum>
  <w:abstractNum w:abstractNumId="48">
    <w:nsid w:val="638B1F33"/>
    <w:multiLevelType w:val="hybridMultilevel"/>
    <w:tmpl w:val="F91EBB54"/>
    <w:lvl w:ilvl="0" w:tplc="A1C8137C">
      <w:start w:val="1"/>
      <w:numFmt w:val="decimal"/>
      <w:lvlText w:val="%1."/>
      <w:lvlJc w:val="left"/>
      <w:pPr>
        <w:ind w:left="720" w:hanging="360"/>
      </w:pPr>
      <w:rPr>
        <w:rFonts w:hint="default"/>
      </w:rPr>
    </w:lvl>
    <w:lvl w:ilvl="1" w:tplc="0C090019">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49">
    <w:nsid w:val="659E325D"/>
    <w:multiLevelType w:val="hybridMultilevel"/>
    <w:tmpl w:val="CFD0DCA4"/>
    <w:lvl w:ilvl="0" w:tplc="8F7C1108">
      <w:start w:val="1"/>
      <w:numFmt w:val="decimal"/>
      <w:lvlText w:val="%1."/>
      <w:lvlJc w:val="left"/>
      <w:pPr>
        <w:ind w:left="763" w:hanging="360"/>
      </w:pPr>
      <w:rPr>
        <w:rFonts w:hint="default"/>
      </w:rPr>
    </w:lvl>
    <w:lvl w:ilvl="1" w:tplc="0C090019" w:tentative="1">
      <w:start w:val="1"/>
      <w:numFmt w:val="lowerLetter"/>
      <w:lvlText w:val="%2."/>
      <w:lvlJc w:val="left"/>
      <w:pPr>
        <w:ind w:left="1483" w:hanging="360"/>
      </w:pPr>
    </w:lvl>
    <w:lvl w:ilvl="2" w:tplc="0C09001B" w:tentative="1">
      <w:start w:val="1"/>
      <w:numFmt w:val="lowerRoman"/>
      <w:lvlText w:val="%3."/>
      <w:lvlJc w:val="right"/>
      <w:pPr>
        <w:ind w:left="2203" w:hanging="180"/>
      </w:pPr>
    </w:lvl>
    <w:lvl w:ilvl="3" w:tplc="0C09000F" w:tentative="1">
      <w:start w:val="1"/>
      <w:numFmt w:val="decimal"/>
      <w:lvlText w:val="%4."/>
      <w:lvlJc w:val="left"/>
      <w:pPr>
        <w:ind w:left="2923" w:hanging="360"/>
      </w:pPr>
    </w:lvl>
    <w:lvl w:ilvl="4" w:tplc="0C090019" w:tentative="1">
      <w:start w:val="1"/>
      <w:numFmt w:val="lowerLetter"/>
      <w:lvlText w:val="%5."/>
      <w:lvlJc w:val="left"/>
      <w:pPr>
        <w:ind w:left="3643" w:hanging="360"/>
      </w:pPr>
    </w:lvl>
    <w:lvl w:ilvl="5" w:tplc="0C09001B" w:tentative="1">
      <w:start w:val="1"/>
      <w:numFmt w:val="lowerRoman"/>
      <w:lvlText w:val="%6."/>
      <w:lvlJc w:val="right"/>
      <w:pPr>
        <w:ind w:left="4363" w:hanging="180"/>
      </w:pPr>
    </w:lvl>
    <w:lvl w:ilvl="6" w:tplc="0C09000F" w:tentative="1">
      <w:start w:val="1"/>
      <w:numFmt w:val="decimal"/>
      <w:lvlText w:val="%7."/>
      <w:lvlJc w:val="left"/>
      <w:pPr>
        <w:ind w:left="5083" w:hanging="360"/>
      </w:pPr>
    </w:lvl>
    <w:lvl w:ilvl="7" w:tplc="0C090019" w:tentative="1">
      <w:start w:val="1"/>
      <w:numFmt w:val="lowerLetter"/>
      <w:lvlText w:val="%8."/>
      <w:lvlJc w:val="left"/>
      <w:pPr>
        <w:ind w:left="5803" w:hanging="360"/>
      </w:pPr>
    </w:lvl>
    <w:lvl w:ilvl="8" w:tplc="0C09001B" w:tentative="1">
      <w:start w:val="1"/>
      <w:numFmt w:val="lowerRoman"/>
      <w:lvlText w:val="%9."/>
      <w:lvlJc w:val="right"/>
      <w:pPr>
        <w:ind w:left="6523" w:hanging="180"/>
      </w:pPr>
    </w:lvl>
  </w:abstractNum>
  <w:abstractNum w:abstractNumId="50">
    <w:nsid w:val="661B73FA"/>
    <w:multiLevelType w:val="hybridMultilevel"/>
    <w:tmpl w:val="F4F883B2"/>
    <w:lvl w:ilvl="0" w:tplc="B94C22A8">
      <w:start w:val="4"/>
      <w:numFmt w:val="bullet"/>
      <w:lvlText w:val="-"/>
      <w:lvlJc w:val="left"/>
      <w:pPr>
        <w:ind w:left="1080" w:hanging="360"/>
      </w:pPr>
      <w:rPr>
        <w:rFonts w:ascii="Arial" w:eastAsia="Times New Roman" w:hAnsi="Arial" w:cs="Aria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51">
    <w:nsid w:val="674A4487"/>
    <w:multiLevelType w:val="hybridMultilevel"/>
    <w:tmpl w:val="5E02F696"/>
    <w:lvl w:ilvl="0" w:tplc="AC70D39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2">
    <w:nsid w:val="68EA3959"/>
    <w:multiLevelType w:val="multilevel"/>
    <w:tmpl w:val="5C2C9654"/>
    <w:name w:val="Chart and Table Footnote Alpha Small"/>
    <w:lvl w:ilvl="0">
      <w:start w:val="1"/>
      <w:numFmt w:val="lowerLetter"/>
      <w:lvlRestart w:val="0"/>
      <w:pStyle w:val="ChartandTableFootnoteAlphaSmall"/>
      <w:lvlText w:val="(%1)"/>
      <w:lvlJc w:val="left"/>
      <w:pPr>
        <w:tabs>
          <w:tab w:val="num" w:pos="284"/>
        </w:tabs>
        <w:ind w:left="284" w:hanging="284"/>
      </w:pPr>
      <w:rPr>
        <w:rFonts w:ascii="Arial" w:hAnsi="Arial" w:cs="Arial"/>
        <w:b w:val="0"/>
        <w:i w:val="0"/>
        <w:color w:val="000000"/>
        <w:sz w:val="10"/>
      </w:rPr>
    </w:lvl>
    <w:lvl w:ilvl="1">
      <w:start w:val="1"/>
      <w:numFmt w:val="decimal"/>
      <w:lvlText w:val="%2"/>
      <w:lvlJc w:val="left"/>
      <w:pPr>
        <w:tabs>
          <w:tab w:val="num" w:pos="1134"/>
        </w:tabs>
        <w:ind w:left="1134" w:hanging="567"/>
      </w:pPr>
      <w:rPr>
        <w:b w:val="0"/>
        <w:i w:val="0"/>
        <w:color w:val="00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53">
    <w:nsid w:val="6B6957C0"/>
    <w:multiLevelType w:val="hybridMultilevel"/>
    <w:tmpl w:val="359E4496"/>
    <w:lvl w:ilvl="0" w:tplc="0C090001">
      <w:start w:val="1"/>
      <w:numFmt w:val="bullet"/>
      <w:lvlText w:val=""/>
      <w:lvlJc w:val="left"/>
      <w:pPr>
        <w:ind w:left="927" w:hanging="360"/>
      </w:pPr>
      <w:rPr>
        <w:rFonts w:ascii="Symbol" w:hAnsi="Symbol" w:hint="default"/>
      </w:rPr>
    </w:lvl>
    <w:lvl w:ilvl="1" w:tplc="0C090003">
      <w:start w:val="1"/>
      <w:numFmt w:val="bullet"/>
      <w:lvlText w:val="o"/>
      <w:lvlJc w:val="left"/>
      <w:pPr>
        <w:ind w:left="1647" w:hanging="360"/>
      </w:pPr>
      <w:rPr>
        <w:rFonts w:ascii="Courier New" w:hAnsi="Courier New" w:cs="Courier New" w:hint="default"/>
      </w:rPr>
    </w:lvl>
    <w:lvl w:ilvl="2" w:tplc="0C090005" w:tentative="1">
      <w:start w:val="1"/>
      <w:numFmt w:val="bullet"/>
      <w:lvlText w:val=""/>
      <w:lvlJc w:val="left"/>
      <w:pPr>
        <w:ind w:left="2367" w:hanging="360"/>
      </w:pPr>
      <w:rPr>
        <w:rFonts w:ascii="Wingdings" w:hAnsi="Wingdings" w:hint="default"/>
      </w:rPr>
    </w:lvl>
    <w:lvl w:ilvl="3" w:tplc="0C090001" w:tentative="1">
      <w:start w:val="1"/>
      <w:numFmt w:val="bullet"/>
      <w:lvlText w:val=""/>
      <w:lvlJc w:val="left"/>
      <w:pPr>
        <w:ind w:left="3087" w:hanging="360"/>
      </w:pPr>
      <w:rPr>
        <w:rFonts w:ascii="Symbol" w:hAnsi="Symbol" w:hint="default"/>
      </w:rPr>
    </w:lvl>
    <w:lvl w:ilvl="4" w:tplc="0C090003" w:tentative="1">
      <w:start w:val="1"/>
      <w:numFmt w:val="bullet"/>
      <w:lvlText w:val="o"/>
      <w:lvlJc w:val="left"/>
      <w:pPr>
        <w:ind w:left="3807" w:hanging="360"/>
      </w:pPr>
      <w:rPr>
        <w:rFonts w:ascii="Courier New" w:hAnsi="Courier New" w:cs="Courier New" w:hint="default"/>
      </w:rPr>
    </w:lvl>
    <w:lvl w:ilvl="5" w:tplc="0C090005" w:tentative="1">
      <w:start w:val="1"/>
      <w:numFmt w:val="bullet"/>
      <w:lvlText w:val=""/>
      <w:lvlJc w:val="left"/>
      <w:pPr>
        <w:ind w:left="4527" w:hanging="360"/>
      </w:pPr>
      <w:rPr>
        <w:rFonts w:ascii="Wingdings" w:hAnsi="Wingdings" w:hint="default"/>
      </w:rPr>
    </w:lvl>
    <w:lvl w:ilvl="6" w:tplc="0C090001" w:tentative="1">
      <w:start w:val="1"/>
      <w:numFmt w:val="bullet"/>
      <w:lvlText w:val=""/>
      <w:lvlJc w:val="left"/>
      <w:pPr>
        <w:ind w:left="5247" w:hanging="360"/>
      </w:pPr>
      <w:rPr>
        <w:rFonts w:ascii="Symbol" w:hAnsi="Symbol" w:hint="default"/>
      </w:rPr>
    </w:lvl>
    <w:lvl w:ilvl="7" w:tplc="0C090003" w:tentative="1">
      <w:start w:val="1"/>
      <w:numFmt w:val="bullet"/>
      <w:lvlText w:val="o"/>
      <w:lvlJc w:val="left"/>
      <w:pPr>
        <w:ind w:left="5967" w:hanging="360"/>
      </w:pPr>
      <w:rPr>
        <w:rFonts w:ascii="Courier New" w:hAnsi="Courier New" w:cs="Courier New" w:hint="default"/>
      </w:rPr>
    </w:lvl>
    <w:lvl w:ilvl="8" w:tplc="0C090005" w:tentative="1">
      <w:start w:val="1"/>
      <w:numFmt w:val="bullet"/>
      <w:lvlText w:val=""/>
      <w:lvlJc w:val="left"/>
      <w:pPr>
        <w:ind w:left="6687" w:hanging="360"/>
      </w:pPr>
      <w:rPr>
        <w:rFonts w:ascii="Wingdings" w:hAnsi="Wingdings" w:hint="default"/>
      </w:rPr>
    </w:lvl>
  </w:abstractNum>
  <w:abstractNum w:abstractNumId="54">
    <w:nsid w:val="6BBD6F4D"/>
    <w:multiLevelType w:val="hybridMultilevel"/>
    <w:tmpl w:val="121622A2"/>
    <w:lvl w:ilvl="0" w:tplc="C6A89C14">
      <w:start w:val="2"/>
      <w:numFmt w:val="bullet"/>
      <w:lvlText w:val="-"/>
      <w:lvlJc w:val="left"/>
      <w:pPr>
        <w:ind w:left="720" w:hanging="360"/>
      </w:pPr>
      <w:rPr>
        <w:rFonts w:ascii="Arial" w:eastAsia="Times New Roman" w:hAnsi="Arial" w:cs="Aria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5">
    <w:nsid w:val="6CA23F04"/>
    <w:multiLevelType w:val="hybridMultilevel"/>
    <w:tmpl w:val="554233E0"/>
    <w:lvl w:ilvl="0" w:tplc="0C090001">
      <w:start w:val="1"/>
      <w:numFmt w:val="bullet"/>
      <w:lvlText w:val=""/>
      <w:lvlJc w:val="left"/>
      <w:pPr>
        <w:ind w:left="644" w:hanging="360"/>
      </w:pPr>
      <w:rPr>
        <w:rFonts w:ascii="Symbol" w:hAnsi="Symbol" w:hint="default"/>
      </w:rPr>
    </w:lvl>
    <w:lvl w:ilvl="1" w:tplc="0C090003" w:tentative="1">
      <w:start w:val="1"/>
      <w:numFmt w:val="bullet"/>
      <w:lvlText w:val="o"/>
      <w:lvlJc w:val="left"/>
      <w:pPr>
        <w:ind w:left="1364" w:hanging="360"/>
      </w:pPr>
      <w:rPr>
        <w:rFonts w:ascii="Courier New" w:hAnsi="Courier New" w:cs="Courier New" w:hint="default"/>
      </w:rPr>
    </w:lvl>
    <w:lvl w:ilvl="2" w:tplc="0C090005" w:tentative="1">
      <w:start w:val="1"/>
      <w:numFmt w:val="bullet"/>
      <w:lvlText w:val=""/>
      <w:lvlJc w:val="left"/>
      <w:pPr>
        <w:ind w:left="2084" w:hanging="360"/>
      </w:pPr>
      <w:rPr>
        <w:rFonts w:ascii="Wingdings" w:hAnsi="Wingdings" w:hint="default"/>
      </w:rPr>
    </w:lvl>
    <w:lvl w:ilvl="3" w:tplc="0C090001" w:tentative="1">
      <w:start w:val="1"/>
      <w:numFmt w:val="bullet"/>
      <w:lvlText w:val=""/>
      <w:lvlJc w:val="left"/>
      <w:pPr>
        <w:ind w:left="2804" w:hanging="360"/>
      </w:pPr>
      <w:rPr>
        <w:rFonts w:ascii="Symbol" w:hAnsi="Symbol" w:hint="default"/>
      </w:rPr>
    </w:lvl>
    <w:lvl w:ilvl="4" w:tplc="0C090003" w:tentative="1">
      <w:start w:val="1"/>
      <w:numFmt w:val="bullet"/>
      <w:lvlText w:val="o"/>
      <w:lvlJc w:val="left"/>
      <w:pPr>
        <w:ind w:left="3524" w:hanging="360"/>
      </w:pPr>
      <w:rPr>
        <w:rFonts w:ascii="Courier New" w:hAnsi="Courier New" w:cs="Courier New" w:hint="default"/>
      </w:rPr>
    </w:lvl>
    <w:lvl w:ilvl="5" w:tplc="0C090005" w:tentative="1">
      <w:start w:val="1"/>
      <w:numFmt w:val="bullet"/>
      <w:lvlText w:val=""/>
      <w:lvlJc w:val="left"/>
      <w:pPr>
        <w:ind w:left="4244" w:hanging="360"/>
      </w:pPr>
      <w:rPr>
        <w:rFonts w:ascii="Wingdings" w:hAnsi="Wingdings" w:hint="default"/>
      </w:rPr>
    </w:lvl>
    <w:lvl w:ilvl="6" w:tplc="0C090001" w:tentative="1">
      <w:start w:val="1"/>
      <w:numFmt w:val="bullet"/>
      <w:lvlText w:val=""/>
      <w:lvlJc w:val="left"/>
      <w:pPr>
        <w:ind w:left="4964" w:hanging="360"/>
      </w:pPr>
      <w:rPr>
        <w:rFonts w:ascii="Symbol" w:hAnsi="Symbol" w:hint="default"/>
      </w:rPr>
    </w:lvl>
    <w:lvl w:ilvl="7" w:tplc="0C090003" w:tentative="1">
      <w:start w:val="1"/>
      <w:numFmt w:val="bullet"/>
      <w:lvlText w:val="o"/>
      <w:lvlJc w:val="left"/>
      <w:pPr>
        <w:ind w:left="5684" w:hanging="360"/>
      </w:pPr>
      <w:rPr>
        <w:rFonts w:ascii="Courier New" w:hAnsi="Courier New" w:cs="Courier New" w:hint="default"/>
      </w:rPr>
    </w:lvl>
    <w:lvl w:ilvl="8" w:tplc="0C090005" w:tentative="1">
      <w:start w:val="1"/>
      <w:numFmt w:val="bullet"/>
      <w:lvlText w:val=""/>
      <w:lvlJc w:val="left"/>
      <w:pPr>
        <w:ind w:left="6404" w:hanging="360"/>
      </w:pPr>
      <w:rPr>
        <w:rFonts w:ascii="Wingdings" w:hAnsi="Wingdings" w:hint="default"/>
      </w:rPr>
    </w:lvl>
  </w:abstractNum>
  <w:abstractNum w:abstractNumId="56">
    <w:nsid w:val="700422E7"/>
    <w:multiLevelType w:val="hybridMultilevel"/>
    <w:tmpl w:val="426CA626"/>
    <w:lvl w:ilvl="0" w:tplc="F926E2F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7">
    <w:nsid w:val="70A77720"/>
    <w:multiLevelType w:val="hybridMultilevel"/>
    <w:tmpl w:val="B7604D42"/>
    <w:lvl w:ilvl="0" w:tplc="F2B6BAB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8">
    <w:nsid w:val="714E01C1"/>
    <w:multiLevelType w:val="hybridMultilevel"/>
    <w:tmpl w:val="0C2A1A7A"/>
    <w:lvl w:ilvl="0" w:tplc="5874F15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59">
    <w:nsid w:val="73A85323"/>
    <w:multiLevelType w:val="hybridMultilevel"/>
    <w:tmpl w:val="3626DD48"/>
    <w:lvl w:ilvl="0" w:tplc="05249044">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0">
    <w:nsid w:val="745707A6"/>
    <w:multiLevelType w:val="hybridMultilevel"/>
    <w:tmpl w:val="32787790"/>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1">
    <w:nsid w:val="74CD2EB1"/>
    <w:multiLevelType w:val="multilevel"/>
    <w:tmpl w:val="34589BAE"/>
    <w:lvl w:ilvl="0">
      <w:start w:val="1"/>
      <w:numFmt w:val="decimal"/>
      <w:lvlRestart w:val="0"/>
      <w:pStyle w:val="Exampletextbullet"/>
      <w:lvlText w:val="•"/>
      <w:lvlJc w:val="left"/>
      <w:pPr>
        <w:tabs>
          <w:tab w:val="num" w:pos="284"/>
        </w:tabs>
        <w:ind w:left="284" w:hanging="284"/>
      </w:pPr>
      <w:rPr>
        <w:rFonts w:ascii="9999999" w:hAnsi="9999999"/>
        <w:b w:val="0"/>
        <w:i w:val="0"/>
        <w:color w:val="FF0000"/>
      </w:rPr>
    </w:lvl>
    <w:lvl w:ilvl="1">
      <w:start w:val="1"/>
      <w:numFmt w:val="decimal"/>
      <w:pStyle w:val="Exampletextdash"/>
      <w:lvlText w:val="–"/>
      <w:lvlJc w:val="left"/>
      <w:pPr>
        <w:tabs>
          <w:tab w:val="num" w:pos="567"/>
        </w:tabs>
        <w:ind w:left="567" w:hanging="283"/>
      </w:pPr>
      <w:rPr>
        <w:rFonts w:ascii="9999999" w:hAnsi="9999999"/>
        <w:b w:val="0"/>
        <w:i w:val="0"/>
        <w:color w:val="FF0000"/>
      </w:rPr>
    </w:lvl>
    <w:lvl w:ilvl="2">
      <w:start w:val="1"/>
      <w:numFmt w:val="decimal"/>
      <w:lvlText w:val="%3"/>
      <w:lvlJc w:val="left"/>
      <w:pPr>
        <w:tabs>
          <w:tab w:val="num" w:pos="1701"/>
        </w:tabs>
        <w:ind w:left="1701" w:hanging="567"/>
      </w:pPr>
      <w:rPr>
        <w:b w:val="0"/>
        <w:i w:val="0"/>
        <w:color w:val="000000"/>
      </w:rPr>
    </w:lvl>
    <w:lvl w:ilvl="3">
      <w:start w:val="1"/>
      <w:numFmt w:val="decimal"/>
      <w:lvlText w:val="%4"/>
      <w:lvlJc w:val="left"/>
      <w:pPr>
        <w:tabs>
          <w:tab w:val="num" w:pos="2268"/>
        </w:tabs>
        <w:ind w:left="2268" w:hanging="567"/>
      </w:pPr>
      <w:rPr>
        <w:b w:val="0"/>
        <w:i w:val="0"/>
        <w:color w:val="000000"/>
      </w:rPr>
    </w:lvl>
    <w:lvl w:ilvl="4">
      <w:start w:val="1"/>
      <w:numFmt w:val="decimal"/>
      <w:lvlText w:val="%5"/>
      <w:lvlJc w:val="left"/>
      <w:pPr>
        <w:tabs>
          <w:tab w:val="num" w:pos="2835"/>
        </w:tabs>
        <w:ind w:left="2835" w:hanging="567"/>
      </w:pPr>
      <w:rPr>
        <w:b w:val="0"/>
        <w:i w:val="0"/>
        <w:color w:val="000000"/>
      </w:rPr>
    </w:lvl>
    <w:lvl w:ilvl="5">
      <w:start w:val="1"/>
      <w:numFmt w:val="decimal"/>
      <w:lvlText w:val="%6"/>
      <w:lvlJc w:val="left"/>
      <w:pPr>
        <w:tabs>
          <w:tab w:val="num" w:pos="3402"/>
        </w:tabs>
        <w:ind w:left="3402" w:hanging="567"/>
      </w:pPr>
      <w:rPr>
        <w:b w:val="0"/>
        <w:i w:val="0"/>
        <w:color w:val="000000"/>
      </w:rPr>
    </w:lvl>
    <w:lvl w:ilvl="6">
      <w:start w:val="1"/>
      <w:numFmt w:val="decimal"/>
      <w:lvlText w:val="%7"/>
      <w:lvlJc w:val="left"/>
      <w:pPr>
        <w:tabs>
          <w:tab w:val="num" w:pos="3969"/>
        </w:tabs>
        <w:ind w:left="3969" w:hanging="567"/>
      </w:pPr>
      <w:rPr>
        <w:b w:val="0"/>
        <w:i w:val="0"/>
        <w:color w:val="000000"/>
      </w:rPr>
    </w:lvl>
    <w:lvl w:ilvl="7">
      <w:start w:val="1"/>
      <w:numFmt w:val="decimal"/>
      <w:lvlText w:val="%8"/>
      <w:lvlJc w:val="left"/>
      <w:pPr>
        <w:tabs>
          <w:tab w:val="num" w:pos="4536"/>
        </w:tabs>
        <w:ind w:left="4536" w:hanging="567"/>
      </w:pPr>
      <w:rPr>
        <w:b w:val="0"/>
        <w:i w:val="0"/>
        <w:color w:val="000000"/>
      </w:rPr>
    </w:lvl>
    <w:lvl w:ilvl="8">
      <w:start w:val="1"/>
      <w:numFmt w:val="decimal"/>
      <w:lvlText w:val="%9"/>
      <w:lvlJc w:val="left"/>
      <w:pPr>
        <w:tabs>
          <w:tab w:val="num" w:pos="5103"/>
        </w:tabs>
        <w:ind w:left="5103" w:hanging="567"/>
      </w:pPr>
      <w:rPr>
        <w:b w:val="0"/>
        <w:i w:val="0"/>
        <w:color w:val="000000"/>
      </w:rPr>
    </w:lvl>
  </w:abstractNum>
  <w:abstractNum w:abstractNumId="62">
    <w:nsid w:val="756E4F5B"/>
    <w:multiLevelType w:val="hybridMultilevel"/>
    <w:tmpl w:val="529C952E"/>
    <w:lvl w:ilvl="0" w:tplc="9D38DF7A">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3">
    <w:nsid w:val="7653321C"/>
    <w:multiLevelType w:val="hybridMultilevel"/>
    <w:tmpl w:val="1EFC2FCA"/>
    <w:lvl w:ilvl="0" w:tplc="0C090001">
      <w:start w:val="1"/>
      <w:numFmt w:val="bullet"/>
      <w:lvlText w:val=""/>
      <w:lvlJc w:val="left"/>
      <w:pPr>
        <w:ind w:left="720" w:hanging="360"/>
      </w:pPr>
      <w:rPr>
        <w:rFonts w:ascii="Symbol" w:hAnsi="Symbol"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4">
    <w:nsid w:val="78343153"/>
    <w:multiLevelType w:val="hybridMultilevel"/>
    <w:tmpl w:val="0FA80DFC"/>
    <w:lvl w:ilvl="0" w:tplc="68A63822">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5">
    <w:nsid w:val="79712557"/>
    <w:multiLevelType w:val="hybridMultilevel"/>
    <w:tmpl w:val="6D2C8C94"/>
    <w:lvl w:ilvl="0" w:tplc="0C09000F">
      <w:start w:val="1"/>
      <w:numFmt w:val="decimal"/>
      <w:lvlText w:val="%1."/>
      <w:lvlJc w:val="left"/>
      <w:pPr>
        <w:ind w:left="720" w:hanging="360"/>
      </w:pPr>
      <w:rPr>
        <w:rFonts w:hint="default"/>
      </w:rPr>
    </w:lvl>
    <w:lvl w:ilvl="1" w:tplc="0C090019" w:tentative="1">
      <w:start w:val="1"/>
      <w:numFmt w:val="bullet"/>
      <w:lvlText w:val="o"/>
      <w:lvlJc w:val="left"/>
      <w:pPr>
        <w:ind w:left="1440" w:hanging="360"/>
      </w:pPr>
      <w:rPr>
        <w:rFonts w:ascii="Courier New" w:hAnsi="Courier New" w:cs="Courier New" w:hint="default"/>
      </w:rPr>
    </w:lvl>
    <w:lvl w:ilvl="2" w:tplc="0C09001B" w:tentative="1">
      <w:start w:val="1"/>
      <w:numFmt w:val="bullet"/>
      <w:lvlText w:val=""/>
      <w:lvlJc w:val="left"/>
      <w:pPr>
        <w:ind w:left="2160" w:hanging="360"/>
      </w:pPr>
      <w:rPr>
        <w:rFonts w:ascii="Wingdings" w:hAnsi="Wingdings" w:hint="default"/>
      </w:rPr>
    </w:lvl>
    <w:lvl w:ilvl="3" w:tplc="0C09000F" w:tentative="1">
      <w:start w:val="1"/>
      <w:numFmt w:val="bullet"/>
      <w:lvlText w:val=""/>
      <w:lvlJc w:val="left"/>
      <w:pPr>
        <w:ind w:left="2880" w:hanging="360"/>
      </w:pPr>
      <w:rPr>
        <w:rFonts w:ascii="Symbol" w:hAnsi="Symbol" w:hint="default"/>
      </w:rPr>
    </w:lvl>
    <w:lvl w:ilvl="4" w:tplc="0C090019" w:tentative="1">
      <w:start w:val="1"/>
      <w:numFmt w:val="bullet"/>
      <w:lvlText w:val="o"/>
      <w:lvlJc w:val="left"/>
      <w:pPr>
        <w:ind w:left="3600" w:hanging="360"/>
      </w:pPr>
      <w:rPr>
        <w:rFonts w:ascii="Courier New" w:hAnsi="Courier New" w:cs="Courier New" w:hint="default"/>
      </w:rPr>
    </w:lvl>
    <w:lvl w:ilvl="5" w:tplc="0C09001B" w:tentative="1">
      <w:start w:val="1"/>
      <w:numFmt w:val="bullet"/>
      <w:lvlText w:val=""/>
      <w:lvlJc w:val="left"/>
      <w:pPr>
        <w:ind w:left="4320" w:hanging="360"/>
      </w:pPr>
      <w:rPr>
        <w:rFonts w:ascii="Wingdings" w:hAnsi="Wingdings" w:hint="default"/>
      </w:rPr>
    </w:lvl>
    <w:lvl w:ilvl="6" w:tplc="0C09000F" w:tentative="1">
      <w:start w:val="1"/>
      <w:numFmt w:val="bullet"/>
      <w:lvlText w:val=""/>
      <w:lvlJc w:val="left"/>
      <w:pPr>
        <w:ind w:left="5040" w:hanging="360"/>
      </w:pPr>
      <w:rPr>
        <w:rFonts w:ascii="Symbol" w:hAnsi="Symbol" w:hint="default"/>
      </w:rPr>
    </w:lvl>
    <w:lvl w:ilvl="7" w:tplc="0C090019" w:tentative="1">
      <w:start w:val="1"/>
      <w:numFmt w:val="bullet"/>
      <w:lvlText w:val="o"/>
      <w:lvlJc w:val="left"/>
      <w:pPr>
        <w:ind w:left="5760" w:hanging="360"/>
      </w:pPr>
      <w:rPr>
        <w:rFonts w:ascii="Courier New" w:hAnsi="Courier New" w:cs="Courier New" w:hint="default"/>
      </w:rPr>
    </w:lvl>
    <w:lvl w:ilvl="8" w:tplc="0C09001B" w:tentative="1">
      <w:start w:val="1"/>
      <w:numFmt w:val="bullet"/>
      <w:lvlText w:val=""/>
      <w:lvlJc w:val="left"/>
      <w:pPr>
        <w:ind w:left="6480" w:hanging="360"/>
      </w:pPr>
      <w:rPr>
        <w:rFonts w:ascii="Wingdings" w:hAnsi="Wingdings" w:hint="default"/>
      </w:rPr>
    </w:lvl>
  </w:abstractNum>
  <w:abstractNum w:abstractNumId="66">
    <w:nsid w:val="7E042717"/>
    <w:multiLevelType w:val="hybridMultilevel"/>
    <w:tmpl w:val="AEC06842"/>
    <w:lvl w:ilvl="0" w:tplc="5A84F3DC">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7">
    <w:nsid w:val="7E1B1954"/>
    <w:multiLevelType w:val="hybridMultilevel"/>
    <w:tmpl w:val="E362C9AE"/>
    <w:lvl w:ilvl="0" w:tplc="BCEC27A8">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68">
    <w:nsid w:val="7F61056A"/>
    <w:multiLevelType w:val="hybridMultilevel"/>
    <w:tmpl w:val="AF783F22"/>
    <w:lvl w:ilvl="0" w:tplc="4C664470">
      <w:start w:val="1"/>
      <w:numFmt w:val="decimal"/>
      <w:lvlText w:val="%1."/>
      <w:lvlJc w:val="left"/>
      <w:pPr>
        <w:ind w:left="720" w:hanging="360"/>
      </w:pPr>
      <w:rPr>
        <w:rFonts w:hint="default"/>
      </w:r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num w:numId="1">
    <w:abstractNumId w:val="30"/>
  </w:num>
  <w:num w:numId="2">
    <w:abstractNumId w:val="8"/>
  </w:num>
  <w:num w:numId="3">
    <w:abstractNumId w:val="52"/>
  </w:num>
  <w:num w:numId="4">
    <w:abstractNumId w:val="26"/>
    <w:lvlOverride w:ilvl="0">
      <w:startOverride w:val="1"/>
    </w:lvlOverride>
  </w:num>
  <w:num w:numId="5">
    <w:abstractNumId w:val="61"/>
  </w:num>
  <w:num w:numId="6">
    <w:abstractNumId w:val="19"/>
  </w:num>
  <w:num w:numId="7">
    <w:abstractNumId w:val="46"/>
  </w:num>
  <w:num w:numId="8">
    <w:abstractNumId w:val="6"/>
  </w:num>
  <w:num w:numId="9">
    <w:abstractNumId w:val="53"/>
  </w:num>
  <w:num w:numId="10">
    <w:abstractNumId w:val="34"/>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4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39"/>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abstractNumId w:val="14"/>
  </w:num>
  <w:num w:numId="14">
    <w:abstractNumId w:val="35"/>
  </w:num>
  <w:num w:numId="15">
    <w:abstractNumId w:val="50"/>
  </w:num>
  <w:num w:numId="16">
    <w:abstractNumId w:val="17"/>
  </w:num>
  <w:num w:numId="17">
    <w:abstractNumId w:val="45"/>
  </w:num>
  <w:num w:numId="18">
    <w:abstractNumId w:val="21"/>
  </w:num>
  <w:num w:numId="19">
    <w:abstractNumId w:val="64"/>
  </w:num>
  <w:num w:numId="20">
    <w:abstractNumId w:val="4"/>
  </w:num>
  <w:num w:numId="21">
    <w:abstractNumId w:val="12"/>
  </w:num>
  <w:num w:numId="22">
    <w:abstractNumId w:val="32"/>
  </w:num>
  <w:num w:numId="23">
    <w:abstractNumId w:val="33"/>
  </w:num>
  <w:num w:numId="24">
    <w:abstractNumId w:val="3"/>
  </w:num>
  <w:num w:numId="25">
    <w:abstractNumId w:val="49"/>
  </w:num>
  <w:num w:numId="26">
    <w:abstractNumId w:val="10"/>
  </w:num>
  <w:num w:numId="27">
    <w:abstractNumId w:val="11"/>
  </w:num>
  <w:num w:numId="28">
    <w:abstractNumId w:val="48"/>
  </w:num>
  <w:num w:numId="29">
    <w:abstractNumId w:val="68"/>
  </w:num>
  <w:num w:numId="30">
    <w:abstractNumId w:val="67"/>
  </w:num>
  <w:num w:numId="31">
    <w:abstractNumId w:val="15"/>
  </w:num>
  <w:num w:numId="32">
    <w:abstractNumId w:val="28"/>
  </w:num>
  <w:num w:numId="33">
    <w:abstractNumId w:val="36"/>
  </w:num>
  <w:num w:numId="34">
    <w:abstractNumId w:val="59"/>
  </w:num>
  <w:num w:numId="35">
    <w:abstractNumId w:val="56"/>
  </w:num>
  <w:num w:numId="36">
    <w:abstractNumId w:val="7"/>
  </w:num>
  <w:num w:numId="37">
    <w:abstractNumId w:val="41"/>
  </w:num>
  <w:num w:numId="38">
    <w:abstractNumId w:val="25"/>
  </w:num>
  <w:num w:numId="39">
    <w:abstractNumId w:val="5"/>
  </w:num>
  <w:num w:numId="40">
    <w:abstractNumId w:val="44"/>
  </w:num>
  <w:num w:numId="41">
    <w:abstractNumId w:val="2"/>
  </w:num>
  <w:num w:numId="42">
    <w:abstractNumId w:val="37"/>
  </w:num>
  <w:num w:numId="43">
    <w:abstractNumId w:val="23"/>
  </w:num>
  <w:num w:numId="44">
    <w:abstractNumId w:val="27"/>
  </w:num>
  <w:num w:numId="45">
    <w:abstractNumId w:val="20"/>
  </w:num>
  <w:num w:numId="46">
    <w:abstractNumId w:val="65"/>
  </w:num>
  <w:num w:numId="47">
    <w:abstractNumId w:val="54"/>
  </w:num>
  <w:num w:numId="48">
    <w:abstractNumId w:val="47"/>
  </w:num>
  <w:num w:numId="49">
    <w:abstractNumId w:val="60"/>
  </w:num>
  <w:num w:numId="50">
    <w:abstractNumId w:val="40"/>
  </w:num>
  <w:num w:numId="51">
    <w:abstractNumId w:val="42"/>
  </w:num>
  <w:num w:numId="52">
    <w:abstractNumId w:val="38"/>
  </w:num>
  <w:num w:numId="53">
    <w:abstractNumId w:val="22"/>
  </w:num>
  <w:num w:numId="54">
    <w:abstractNumId w:val="51"/>
  </w:num>
  <w:num w:numId="55">
    <w:abstractNumId w:val="0"/>
  </w:num>
  <w:num w:numId="56">
    <w:abstractNumId w:val="18"/>
  </w:num>
  <w:num w:numId="57">
    <w:abstractNumId w:val="57"/>
  </w:num>
  <w:num w:numId="58">
    <w:abstractNumId w:val="43"/>
  </w:num>
  <w:num w:numId="59">
    <w:abstractNumId w:val="63"/>
  </w:num>
  <w:num w:numId="60">
    <w:abstractNumId w:val="66"/>
  </w:num>
  <w:num w:numId="61">
    <w:abstractNumId w:val="62"/>
  </w:num>
  <w:num w:numId="62">
    <w:abstractNumId w:val="29"/>
  </w:num>
  <w:num w:numId="63">
    <w:abstractNumId w:val="13"/>
  </w:num>
  <w:num w:numId="64">
    <w:abstractNumId w:val="31"/>
  </w:num>
  <w:num w:numId="65">
    <w:abstractNumId w:val="1"/>
  </w:num>
  <w:num w:numId="66">
    <w:abstractNumId w:val="58"/>
  </w:num>
  <w:num w:numId="67">
    <w:abstractNumId w:val="55"/>
  </w:num>
  <w:numIdMacAtCleanup w:val="58"/>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2"/>
  <w:attachedTemplate r:id="rId1"/>
  <w:stylePaneFormatFilter w:val="3001"/>
  <w:defaultTabStop w:val="567"/>
  <w:evenAndOddHeaders/>
  <w:drawingGridHorizontalSpacing w:val="100"/>
  <w:displayHorizontalDrawingGridEvery w:val="2"/>
  <w:noPunctuationKerning/>
  <w:characterSpacingControl w:val="doNotCompress"/>
  <w:hdrShapeDefaults>
    <o:shapedefaults v:ext="edit" spidmax="126977"/>
  </w:hdrShapeDefaults>
  <w:footnotePr>
    <w:footnote w:id="-1"/>
    <w:footnote w:id="0"/>
  </w:footnotePr>
  <w:endnotePr>
    <w:endnote w:id="-1"/>
    <w:endnote w:id="0"/>
  </w:endnotePr>
  <w:compat/>
  <w:rsids>
    <w:rsidRoot w:val="0010657F"/>
    <w:rsid w:val="000000C3"/>
    <w:rsid w:val="00003AC4"/>
    <w:rsid w:val="00006AE4"/>
    <w:rsid w:val="0000711B"/>
    <w:rsid w:val="00007ECB"/>
    <w:rsid w:val="00012BB0"/>
    <w:rsid w:val="00013D25"/>
    <w:rsid w:val="0001438C"/>
    <w:rsid w:val="00016D95"/>
    <w:rsid w:val="00017619"/>
    <w:rsid w:val="000212E6"/>
    <w:rsid w:val="0002139C"/>
    <w:rsid w:val="000216A7"/>
    <w:rsid w:val="00021DA6"/>
    <w:rsid w:val="000220B0"/>
    <w:rsid w:val="000260CB"/>
    <w:rsid w:val="000300D7"/>
    <w:rsid w:val="00030FDA"/>
    <w:rsid w:val="00031C46"/>
    <w:rsid w:val="0003235D"/>
    <w:rsid w:val="00032AAF"/>
    <w:rsid w:val="00036095"/>
    <w:rsid w:val="000364F3"/>
    <w:rsid w:val="000369AC"/>
    <w:rsid w:val="0003724F"/>
    <w:rsid w:val="000373CB"/>
    <w:rsid w:val="000400ED"/>
    <w:rsid w:val="000413D4"/>
    <w:rsid w:val="00042FDD"/>
    <w:rsid w:val="00043832"/>
    <w:rsid w:val="00044568"/>
    <w:rsid w:val="00045667"/>
    <w:rsid w:val="00050182"/>
    <w:rsid w:val="00050630"/>
    <w:rsid w:val="00052423"/>
    <w:rsid w:val="00054A04"/>
    <w:rsid w:val="00054CC3"/>
    <w:rsid w:val="0005600E"/>
    <w:rsid w:val="00056260"/>
    <w:rsid w:val="0005722F"/>
    <w:rsid w:val="00060890"/>
    <w:rsid w:val="00063C44"/>
    <w:rsid w:val="00063CE1"/>
    <w:rsid w:val="00065053"/>
    <w:rsid w:val="000655E4"/>
    <w:rsid w:val="000656AD"/>
    <w:rsid w:val="00065C71"/>
    <w:rsid w:val="00065EBA"/>
    <w:rsid w:val="00067B6F"/>
    <w:rsid w:val="00067E1D"/>
    <w:rsid w:val="0007064C"/>
    <w:rsid w:val="000712EE"/>
    <w:rsid w:val="000725C0"/>
    <w:rsid w:val="00072EB6"/>
    <w:rsid w:val="00074CE6"/>
    <w:rsid w:val="0007657B"/>
    <w:rsid w:val="00077277"/>
    <w:rsid w:val="0007743A"/>
    <w:rsid w:val="00077BAC"/>
    <w:rsid w:val="00080069"/>
    <w:rsid w:val="00080D8B"/>
    <w:rsid w:val="00080F4F"/>
    <w:rsid w:val="00081A28"/>
    <w:rsid w:val="00082159"/>
    <w:rsid w:val="0008449F"/>
    <w:rsid w:val="00085732"/>
    <w:rsid w:val="00085A71"/>
    <w:rsid w:val="0009050F"/>
    <w:rsid w:val="000924A7"/>
    <w:rsid w:val="00094B28"/>
    <w:rsid w:val="00096DEE"/>
    <w:rsid w:val="00097063"/>
    <w:rsid w:val="000A08A5"/>
    <w:rsid w:val="000A10F5"/>
    <w:rsid w:val="000A1558"/>
    <w:rsid w:val="000A19AA"/>
    <w:rsid w:val="000A1A89"/>
    <w:rsid w:val="000A1C91"/>
    <w:rsid w:val="000A24C4"/>
    <w:rsid w:val="000A345B"/>
    <w:rsid w:val="000A372A"/>
    <w:rsid w:val="000A395D"/>
    <w:rsid w:val="000A56A5"/>
    <w:rsid w:val="000A5C86"/>
    <w:rsid w:val="000A6897"/>
    <w:rsid w:val="000A6DBE"/>
    <w:rsid w:val="000B0302"/>
    <w:rsid w:val="000B1FC4"/>
    <w:rsid w:val="000B2404"/>
    <w:rsid w:val="000B2C78"/>
    <w:rsid w:val="000B36D8"/>
    <w:rsid w:val="000B3B7D"/>
    <w:rsid w:val="000B6F18"/>
    <w:rsid w:val="000C19EF"/>
    <w:rsid w:val="000C1AC9"/>
    <w:rsid w:val="000C2D7D"/>
    <w:rsid w:val="000C3B86"/>
    <w:rsid w:val="000C6FB8"/>
    <w:rsid w:val="000C7C76"/>
    <w:rsid w:val="000D084B"/>
    <w:rsid w:val="000D13E5"/>
    <w:rsid w:val="000D1617"/>
    <w:rsid w:val="000D2B76"/>
    <w:rsid w:val="000D2E3D"/>
    <w:rsid w:val="000D43DE"/>
    <w:rsid w:val="000D58A1"/>
    <w:rsid w:val="000D644C"/>
    <w:rsid w:val="000D6EDF"/>
    <w:rsid w:val="000E0A85"/>
    <w:rsid w:val="000E212B"/>
    <w:rsid w:val="000E68E3"/>
    <w:rsid w:val="000E6DDB"/>
    <w:rsid w:val="000E74A6"/>
    <w:rsid w:val="000E7A66"/>
    <w:rsid w:val="000F03B1"/>
    <w:rsid w:val="000F08AE"/>
    <w:rsid w:val="000F2D33"/>
    <w:rsid w:val="000F43F4"/>
    <w:rsid w:val="000F440E"/>
    <w:rsid w:val="000F5468"/>
    <w:rsid w:val="000F6647"/>
    <w:rsid w:val="000F73B7"/>
    <w:rsid w:val="000F7E7B"/>
    <w:rsid w:val="001002F8"/>
    <w:rsid w:val="00102650"/>
    <w:rsid w:val="00102654"/>
    <w:rsid w:val="001028CC"/>
    <w:rsid w:val="001045F9"/>
    <w:rsid w:val="0010472B"/>
    <w:rsid w:val="0010657F"/>
    <w:rsid w:val="00112D0F"/>
    <w:rsid w:val="00112D24"/>
    <w:rsid w:val="001133E0"/>
    <w:rsid w:val="00115DE5"/>
    <w:rsid w:val="001163D6"/>
    <w:rsid w:val="0011726A"/>
    <w:rsid w:val="0012022D"/>
    <w:rsid w:val="00120B5E"/>
    <w:rsid w:val="00121EB0"/>
    <w:rsid w:val="0012228D"/>
    <w:rsid w:val="00123514"/>
    <w:rsid w:val="00123925"/>
    <w:rsid w:val="00126187"/>
    <w:rsid w:val="00126641"/>
    <w:rsid w:val="001270E3"/>
    <w:rsid w:val="00130BB7"/>
    <w:rsid w:val="00133D3A"/>
    <w:rsid w:val="001352EE"/>
    <w:rsid w:val="00135505"/>
    <w:rsid w:val="00136827"/>
    <w:rsid w:val="001375D4"/>
    <w:rsid w:val="0014131A"/>
    <w:rsid w:val="001433DB"/>
    <w:rsid w:val="00143E88"/>
    <w:rsid w:val="001455D8"/>
    <w:rsid w:val="00147347"/>
    <w:rsid w:val="0014790A"/>
    <w:rsid w:val="00151A81"/>
    <w:rsid w:val="00151ABB"/>
    <w:rsid w:val="00151ADA"/>
    <w:rsid w:val="0015261C"/>
    <w:rsid w:val="00153C7F"/>
    <w:rsid w:val="00154447"/>
    <w:rsid w:val="00154F5B"/>
    <w:rsid w:val="00155DA6"/>
    <w:rsid w:val="00160CDF"/>
    <w:rsid w:val="00161DAC"/>
    <w:rsid w:val="00162B55"/>
    <w:rsid w:val="00162D8B"/>
    <w:rsid w:val="0016371C"/>
    <w:rsid w:val="001638E9"/>
    <w:rsid w:val="001648FA"/>
    <w:rsid w:val="00165824"/>
    <w:rsid w:val="00167749"/>
    <w:rsid w:val="001677A5"/>
    <w:rsid w:val="00171A85"/>
    <w:rsid w:val="00174565"/>
    <w:rsid w:val="00175BB3"/>
    <w:rsid w:val="00177A9A"/>
    <w:rsid w:val="001808A4"/>
    <w:rsid w:val="00180CBF"/>
    <w:rsid w:val="001815A5"/>
    <w:rsid w:val="00186850"/>
    <w:rsid w:val="0018704C"/>
    <w:rsid w:val="001904A5"/>
    <w:rsid w:val="0019199B"/>
    <w:rsid w:val="001923C8"/>
    <w:rsid w:val="001939FF"/>
    <w:rsid w:val="00194DE8"/>
    <w:rsid w:val="00197990"/>
    <w:rsid w:val="001A004D"/>
    <w:rsid w:val="001A0106"/>
    <w:rsid w:val="001A02CB"/>
    <w:rsid w:val="001A11DB"/>
    <w:rsid w:val="001A2458"/>
    <w:rsid w:val="001A33F4"/>
    <w:rsid w:val="001A4F7C"/>
    <w:rsid w:val="001A6256"/>
    <w:rsid w:val="001A789B"/>
    <w:rsid w:val="001B03CC"/>
    <w:rsid w:val="001B05E5"/>
    <w:rsid w:val="001B0C75"/>
    <w:rsid w:val="001B44C2"/>
    <w:rsid w:val="001B659F"/>
    <w:rsid w:val="001B712D"/>
    <w:rsid w:val="001B7399"/>
    <w:rsid w:val="001B7655"/>
    <w:rsid w:val="001B7F09"/>
    <w:rsid w:val="001C1166"/>
    <w:rsid w:val="001C261E"/>
    <w:rsid w:val="001C3AC7"/>
    <w:rsid w:val="001C67C2"/>
    <w:rsid w:val="001C7B78"/>
    <w:rsid w:val="001D0BA6"/>
    <w:rsid w:val="001D1942"/>
    <w:rsid w:val="001D1DDB"/>
    <w:rsid w:val="001D53EA"/>
    <w:rsid w:val="001D5C5B"/>
    <w:rsid w:val="001D6BD6"/>
    <w:rsid w:val="001D6F7C"/>
    <w:rsid w:val="001E12A5"/>
    <w:rsid w:val="001E1EDB"/>
    <w:rsid w:val="001E31A4"/>
    <w:rsid w:val="001E3A18"/>
    <w:rsid w:val="001E717D"/>
    <w:rsid w:val="001E71F5"/>
    <w:rsid w:val="001E7D86"/>
    <w:rsid w:val="001F25B8"/>
    <w:rsid w:val="001F377B"/>
    <w:rsid w:val="001F3CF9"/>
    <w:rsid w:val="001F55E5"/>
    <w:rsid w:val="001F5CB9"/>
    <w:rsid w:val="00200DC3"/>
    <w:rsid w:val="002039FE"/>
    <w:rsid w:val="002050B0"/>
    <w:rsid w:val="0020514C"/>
    <w:rsid w:val="00205D80"/>
    <w:rsid w:val="0021093F"/>
    <w:rsid w:val="00211FFE"/>
    <w:rsid w:val="002133CA"/>
    <w:rsid w:val="00213CAF"/>
    <w:rsid w:val="00213E2E"/>
    <w:rsid w:val="00215783"/>
    <w:rsid w:val="00215932"/>
    <w:rsid w:val="0021644B"/>
    <w:rsid w:val="00216DC9"/>
    <w:rsid w:val="00217BAC"/>
    <w:rsid w:val="00217CA0"/>
    <w:rsid w:val="002202EB"/>
    <w:rsid w:val="00220FCF"/>
    <w:rsid w:val="002213AD"/>
    <w:rsid w:val="00221705"/>
    <w:rsid w:val="002329C3"/>
    <w:rsid w:val="002332AE"/>
    <w:rsid w:val="002333C2"/>
    <w:rsid w:val="00233676"/>
    <w:rsid w:val="00234040"/>
    <w:rsid w:val="00241245"/>
    <w:rsid w:val="00244D22"/>
    <w:rsid w:val="00246C09"/>
    <w:rsid w:val="00247262"/>
    <w:rsid w:val="002535FB"/>
    <w:rsid w:val="00255DCB"/>
    <w:rsid w:val="0025616B"/>
    <w:rsid w:val="00257FF4"/>
    <w:rsid w:val="002608CE"/>
    <w:rsid w:val="00260E55"/>
    <w:rsid w:val="0026279C"/>
    <w:rsid w:val="00262CD3"/>
    <w:rsid w:val="00265289"/>
    <w:rsid w:val="00266613"/>
    <w:rsid w:val="00266FE9"/>
    <w:rsid w:val="00272396"/>
    <w:rsid w:val="00274835"/>
    <w:rsid w:val="0027614D"/>
    <w:rsid w:val="00276DA6"/>
    <w:rsid w:val="00281CF6"/>
    <w:rsid w:val="00282943"/>
    <w:rsid w:val="0028359B"/>
    <w:rsid w:val="00285622"/>
    <w:rsid w:val="002857FE"/>
    <w:rsid w:val="00292D6A"/>
    <w:rsid w:val="0029312A"/>
    <w:rsid w:val="0029325C"/>
    <w:rsid w:val="00293B2D"/>
    <w:rsid w:val="002960B7"/>
    <w:rsid w:val="00297824"/>
    <w:rsid w:val="002A153F"/>
    <w:rsid w:val="002A40DC"/>
    <w:rsid w:val="002A5329"/>
    <w:rsid w:val="002A59CE"/>
    <w:rsid w:val="002A5C2D"/>
    <w:rsid w:val="002A61E5"/>
    <w:rsid w:val="002A7ECF"/>
    <w:rsid w:val="002A7FC8"/>
    <w:rsid w:val="002B0A81"/>
    <w:rsid w:val="002B1CE7"/>
    <w:rsid w:val="002B2687"/>
    <w:rsid w:val="002B2F0F"/>
    <w:rsid w:val="002B595D"/>
    <w:rsid w:val="002B5B7B"/>
    <w:rsid w:val="002B5F6A"/>
    <w:rsid w:val="002B6962"/>
    <w:rsid w:val="002B779E"/>
    <w:rsid w:val="002B7D6F"/>
    <w:rsid w:val="002B7D78"/>
    <w:rsid w:val="002C0552"/>
    <w:rsid w:val="002C1787"/>
    <w:rsid w:val="002C22ED"/>
    <w:rsid w:val="002C25D0"/>
    <w:rsid w:val="002C280B"/>
    <w:rsid w:val="002C2DB0"/>
    <w:rsid w:val="002C5D97"/>
    <w:rsid w:val="002C7455"/>
    <w:rsid w:val="002C75B0"/>
    <w:rsid w:val="002C7703"/>
    <w:rsid w:val="002C7A63"/>
    <w:rsid w:val="002C7E06"/>
    <w:rsid w:val="002D0153"/>
    <w:rsid w:val="002D26C3"/>
    <w:rsid w:val="002D2D6B"/>
    <w:rsid w:val="002D403A"/>
    <w:rsid w:val="002D4262"/>
    <w:rsid w:val="002E005F"/>
    <w:rsid w:val="002E043C"/>
    <w:rsid w:val="002E1064"/>
    <w:rsid w:val="002E323F"/>
    <w:rsid w:val="002E63D2"/>
    <w:rsid w:val="002E661C"/>
    <w:rsid w:val="002E7E5B"/>
    <w:rsid w:val="002E7F19"/>
    <w:rsid w:val="002F1B12"/>
    <w:rsid w:val="002F1F60"/>
    <w:rsid w:val="002F591B"/>
    <w:rsid w:val="002F5C83"/>
    <w:rsid w:val="002F6F14"/>
    <w:rsid w:val="00300013"/>
    <w:rsid w:val="003006F8"/>
    <w:rsid w:val="00300BF2"/>
    <w:rsid w:val="003027C1"/>
    <w:rsid w:val="00305718"/>
    <w:rsid w:val="00305EC5"/>
    <w:rsid w:val="003077B8"/>
    <w:rsid w:val="003111F8"/>
    <w:rsid w:val="0031204A"/>
    <w:rsid w:val="0031272B"/>
    <w:rsid w:val="00314C5F"/>
    <w:rsid w:val="00315435"/>
    <w:rsid w:val="00317218"/>
    <w:rsid w:val="0032038C"/>
    <w:rsid w:val="00321575"/>
    <w:rsid w:val="0032228A"/>
    <w:rsid w:val="00322BC3"/>
    <w:rsid w:val="00325C5E"/>
    <w:rsid w:val="00325FAE"/>
    <w:rsid w:val="0032738E"/>
    <w:rsid w:val="00331C5F"/>
    <w:rsid w:val="00332007"/>
    <w:rsid w:val="00333074"/>
    <w:rsid w:val="00333223"/>
    <w:rsid w:val="00337F82"/>
    <w:rsid w:val="00340640"/>
    <w:rsid w:val="003435D6"/>
    <w:rsid w:val="003458E0"/>
    <w:rsid w:val="00345CCD"/>
    <w:rsid w:val="003511CE"/>
    <w:rsid w:val="00351283"/>
    <w:rsid w:val="00351909"/>
    <w:rsid w:val="00352BE0"/>
    <w:rsid w:val="0035333E"/>
    <w:rsid w:val="003538F0"/>
    <w:rsid w:val="00353A8E"/>
    <w:rsid w:val="003553DE"/>
    <w:rsid w:val="00356E4B"/>
    <w:rsid w:val="00357DAE"/>
    <w:rsid w:val="00361259"/>
    <w:rsid w:val="00361429"/>
    <w:rsid w:val="003705BF"/>
    <w:rsid w:val="00370935"/>
    <w:rsid w:val="00375E52"/>
    <w:rsid w:val="00375F30"/>
    <w:rsid w:val="00382234"/>
    <w:rsid w:val="00386352"/>
    <w:rsid w:val="0038672F"/>
    <w:rsid w:val="00386BC9"/>
    <w:rsid w:val="00386F24"/>
    <w:rsid w:val="0039053D"/>
    <w:rsid w:val="00391152"/>
    <w:rsid w:val="00392767"/>
    <w:rsid w:val="003932E3"/>
    <w:rsid w:val="0039449C"/>
    <w:rsid w:val="003A0290"/>
    <w:rsid w:val="003A165B"/>
    <w:rsid w:val="003A43F4"/>
    <w:rsid w:val="003A4EAC"/>
    <w:rsid w:val="003B0D03"/>
    <w:rsid w:val="003B1F0A"/>
    <w:rsid w:val="003B1FE6"/>
    <w:rsid w:val="003B2C1F"/>
    <w:rsid w:val="003B5533"/>
    <w:rsid w:val="003B57DC"/>
    <w:rsid w:val="003B5A85"/>
    <w:rsid w:val="003B6D75"/>
    <w:rsid w:val="003B71EE"/>
    <w:rsid w:val="003B7621"/>
    <w:rsid w:val="003C13A6"/>
    <w:rsid w:val="003C1EB4"/>
    <w:rsid w:val="003C279A"/>
    <w:rsid w:val="003C2C1E"/>
    <w:rsid w:val="003C54F5"/>
    <w:rsid w:val="003D032D"/>
    <w:rsid w:val="003D0CBF"/>
    <w:rsid w:val="003D0E0D"/>
    <w:rsid w:val="003D1E47"/>
    <w:rsid w:val="003D22AE"/>
    <w:rsid w:val="003D2716"/>
    <w:rsid w:val="003D3C14"/>
    <w:rsid w:val="003D3DE6"/>
    <w:rsid w:val="003D4557"/>
    <w:rsid w:val="003D543D"/>
    <w:rsid w:val="003D59FD"/>
    <w:rsid w:val="003E08CF"/>
    <w:rsid w:val="003E0A7E"/>
    <w:rsid w:val="003E10B8"/>
    <w:rsid w:val="003E110F"/>
    <w:rsid w:val="003E122D"/>
    <w:rsid w:val="003E13F5"/>
    <w:rsid w:val="003E36EE"/>
    <w:rsid w:val="003E4ACA"/>
    <w:rsid w:val="003E4E15"/>
    <w:rsid w:val="003E5AE8"/>
    <w:rsid w:val="003E5DDA"/>
    <w:rsid w:val="003F07EE"/>
    <w:rsid w:val="003F09A6"/>
    <w:rsid w:val="003F29F2"/>
    <w:rsid w:val="003F3BFC"/>
    <w:rsid w:val="003F47DF"/>
    <w:rsid w:val="003F4F9F"/>
    <w:rsid w:val="00400B2A"/>
    <w:rsid w:val="0040272D"/>
    <w:rsid w:val="00405E90"/>
    <w:rsid w:val="004065CE"/>
    <w:rsid w:val="004105DD"/>
    <w:rsid w:val="00410DCE"/>
    <w:rsid w:val="0041429D"/>
    <w:rsid w:val="00414E1F"/>
    <w:rsid w:val="00415543"/>
    <w:rsid w:val="0041765C"/>
    <w:rsid w:val="00420837"/>
    <w:rsid w:val="00420AAC"/>
    <w:rsid w:val="00421EEC"/>
    <w:rsid w:val="00422933"/>
    <w:rsid w:val="00422F4B"/>
    <w:rsid w:val="004248B4"/>
    <w:rsid w:val="00424C66"/>
    <w:rsid w:val="00424DC1"/>
    <w:rsid w:val="0042526D"/>
    <w:rsid w:val="004254A2"/>
    <w:rsid w:val="00425D9F"/>
    <w:rsid w:val="00426D71"/>
    <w:rsid w:val="00430256"/>
    <w:rsid w:val="00431BF1"/>
    <w:rsid w:val="004342F8"/>
    <w:rsid w:val="0043440D"/>
    <w:rsid w:val="00434A2F"/>
    <w:rsid w:val="00436F7B"/>
    <w:rsid w:val="00437283"/>
    <w:rsid w:val="004372D6"/>
    <w:rsid w:val="0044083A"/>
    <w:rsid w:val="004408FA"/>
    <w:rsid w:val="004413CA"/>
    <w:rsid w:val="004414FB"/>
    <w:rsid w:val="0044245C"/>
    <w:rsid w:val="00444D99"/>
    <w:rsid w:val="00451501"/>
    <w:rsid w:val="004528D0"/>
    <w:rsid w:val="00454564"/>
    <w:rsid w:val="0045480C"/>
    <w:rsid w:val="004562E5"/>
    <w:rsid w:val="00457BC3"/>
    <w:rsid w:val="0046034D"/>
    <w:rsid w:val="00462272"/>
    <w:rsid w:val="004637B1"/>
    <w:rsid w:val="0046390C"/>
    <w:rsid w:val="00463944"/>
    <w:rsid w:val="00465D4E"/>
    <w:rsid w:val="004669C1"/>
    <w:rsid w:val="00467BDD"/>
    <w:rsid w:val="00467EB6"/>
    <w:rsid w:val="004717F6"/>
    <w:rsid w:val="0047481E"/>
    <w:rsid w:val="00474918"/>
    <w:rsid w:val="00475EAF"/>
    <w:rsid w:val="004815F8"/>
    <w:rsid w:val="00481E32"/>
    <w:rsid w:val="004831ED"/>
    <w:rsid w:val="00483228"/>
    <w:rsid w:val="004836A7"/>
    <w:rsid w:val="004847B4"/>
    <w:rsid w:val="00484921"/>
    <w:rsid w:val="00486614"/>
    <w:rsid w:val="00487E11"/>
    <w:rsid w:val="00487FB8"/>
    <w:rsid w:val="004919D4"/>
    <w:rsid w:val="00491D42"/>
    <w:rsid w:val="00491FB2"/>
    <w:rsid w:val="0049212C"/>
    <w:rsid w:val="00494152"/>
    <w:rsid w:val="0049416D"/>
    <w:rsid w:val="00495C39"/>
    <w:rsid w:val="004A0301"/>
    <w:rsid w:val="004A1224"/>
    <w:rsid w:val="004A247B"/>
    <w:rsid w:val="004A28C5"/>
    <w:rsid w:val="004A4284"/>
    <w:rsid w:val="004A4F0B"/>
    <w:rsid w:val="004A660C"/>
    <w:rsid w:val="004A6B44"/>
    <w:rsid w:val="004B0B19"/>
    <w:rsid w:val="004B0CF6"/>
    <w:rsid w:val="004B247D"/>
    <w:rsid w:val="004B37A7"/>
    <w:rsid w:val="004B4426"/>
    <w:rsid w:val="004B5F2A"/>
    <w:rsid w:val="004B66F1"/>
    <w:rsid w:val="004B74B2"/>
    <w:rsid w:val="004C07FE"/>
    <w:rsid w:val="004C1399"/>
    <w:rsid w:val="004C2A17"/>
    <w:rsid w:val="004C2C7A"/>
    <w:rsid w:val="004C4DBD"/>
    <w:rsid w:val="004C5507"/>
    <w:rsid w:val="004D134B"/>
    <w:rsid w:val="004D1E1A"/>
    <w:rsid w:val="004D23A9"/>
    <w:rsid w:val="004D29F5"/>
    <w:rsid w:val="004D2F90"/>
    <w:rsid w:val="004D657B"/>
    <w:rsid w:val="004D7804"/>
    <w:rsid w:val="004E1701"/>
    <w:rsid w:val="004E2825"/>
    <w:rsid w:val="004E3079"/>
    <w:rsid w:val="004E36EF"/>
    <w:rsid w:val="004E62E4"/>
    <w:rsid w:val="004E6716"/>
    <w:rsid w:val="004F0E90"/>
    <w:rsid w:val="004F0F5B"/>
    <w:rsid w:val="004F1756"/>
    <w:rsid w:val="004F19AC"/>
    <w:rsid w:val="004F22B8"/>
    <w:rsid w:val="004F2437"/>
    <w:rsid w:val="004F4624"/>
    <w:rsid w:val="004F5303"/>
    <w:rsid w:val="004F5573"/>
    <w:rsid w:val="004F634F"/>
    <w:rsid w:val="0050141B"/>
    <w:rsid w:val="005018E0"/>
    <w:rsid w:val="00502638"/>
    <w:rsid w:val="005029BC"/>
    <w:rsid w:val="005041F8"/>
    <w:rsid w:val="005048E3"/>
    <w:rsid w:val="00505A77"/>
    <w:rsid w:val="00505CB3"/>
    <w:rsid w:val="00506EB0"/>
    <w:rsid w:val="0050798C"/>
    <w:rsid w:val="00511EBF"/>
    <w:rsid w:val="00512143"/>
    <w:rsid w:val="00512B95"/>
    <w:rsid w:val="005136CD"/>
    <w:rsid w:val="00514F30"/>
    <w:rsid w:val="00521860"/>
    <w:rsid w:val="00521898"/>
    <w:rsid w:val="005222CC"/>
    <w:rsid w:val="00522379"/>
    <w:rsid w:val="00522622"/>
    <w:rsid w:val="00525AB1"/>
    <w:rsid w:val="00527492"/>
    <w:rsid w:val="005277F5"/>
    <w:rsid w:val="005310C1"/>
    <w:rsid w:val="00532994"/>
    <w:rsid w:val="005329BE"/>
    <w:rsid w:val="00533515"/>
    <w:rsid w:val="00534AC0"/>
    <w:rsid w:val="00535557"/>
    <w:rsid w:val="00536008"/>
    <w:rsid w:val="0053606A"/>
    <w:rsid w:val="005369C0"/>
    <w:rsid w:val="005401D5"/>
    <w:rsid w:val="00540D82"/>
    <w:rsid w:val="00541254"/>
    <w:rsid w:val="00541723"/>
    <w:rsid w:val="00542BA5"/>
    <w:rsid w:val="00547EB8"/>
    <w:rsid w:val="00552FC2"/>
    <w:rsid w:val="00553C63"/>
    <w:rsid w:val="00553DA2"/>
    <w:rsid w:val="00554D88"/>
    <w:rsid w:val="00555623"/>
    <w:rsid w:val="005562DC"/>
    <w:rsid w:val="00556725"/>
    <w:rsid w:val="00557A85"/>
    <w:rsid w:val="005606B5"/>
    <w:rsid w:val="00562BAD"/>
    <w:rsid w:val="00564D41"/>
    <w:rsid w:val="00565C86"/>
    <w:rsid w:val="00566181"/>
    <w:rsid w:val="005708BD"/>
    <w:rsid w:val="00574906"/>
    <w:rsid w:val="00574E9E"/>
    <w:rsid w:val="005752BC"/>
    <w:rsid w:val="0057622F"/>
    <w:rsid w:val="00576693"/>
    <w:rsid w:val="00577958"/>
    <w:rsid w:val="00577977"/>
    <w:rsid w:val="00581821"/>
    <w:rsid w:val="00581D30"/>
    <w:rsid w:val="005835E9"/>
    <w:rsid w:val="00584245"/>
    <w:rsid w:val="00584D80"/>
    <w:rsid w:val="00586535"/>
    <w:rsid w:val="00586BB5"/>
    <w:rsid w:val="00586DFB"/>
    <w:rsid w:val="005905BC"/>
    <w:rsid w:val="00590B75"/>
    <w:rsid w:val="00590DAA"/>
    <w:rsid w:val="00592349"/>
    <w:rsid w:val="00595E46"/>
    <w:rsid w:val="00596F3F"/>
    <w:rsid w:val="00597EEF"/>
    <w:rsid w:val="005A0A02"/>
    <w:rsid w:val="005A1C4E"/>
    <w:rsid w:val="005A3678"/>
    <w:rsid w:val="005A4A1A"/>
    <w:rsid w:val="005A61D3"/>
    <w:rsid w:val="005A7E70"/>
    <w:rsid w:val="005B1B3E"/>
    <w:rsid w:val="005B40E8"/>
    <w:rsid w:val="005B4B12"/>
    <w:rsid w:val="005B6DAA"/>
    <w:rsid w:val="005B70AB"/>
    <w:rsid w:val="005B7314"/>
    <w:rsid w:val="005B7D8B"/>
    <w:rsid w:val="005B7E9B"/>
    <w:rsid w:val="005C03F6"/>
    <w:rsid w:val="005C0475"/>
    <w:rsid w:val="005C04F7"/>
    <w:rsid w:val="005C1569"/>
    <w:rsid w:val="005C25DC"/>
    <w:rsid w:val="005C4604"/>
    <w:rsid w:val="005C4BEE"/>
    <w:rsid w:val="005C6E74"/>
    <w:rsid w:val="005C781C"/>
    <w:rsid w:val="005C7B76"/>
    <w:rsid w:val="005D079F"/>
    <w:rsid w:val="005D2646"/>
    <w:rsid w:val="005D7A35"/>
    <w:rsid w:val="005E034F"/>
    <w:rsid w:val="005E09A7"/>
    <w:rsid w:val="005E11DF"/>
    <w:rsid w:val="005E198B"/>
    <w:rsid w:val="005E19D9"/>
    <w:rsid w:val="005E1D35"/>
    <w:rsid w:val="005E1EF1"/>
    <w:rsid w:val="005E2A31"/>
    <w:rsid w:val="005E442F"/>
    <w:rsid w:val="005E483D"/>
    <w:rsid w:val="005E490E"/>
    <w:rsid w:val="005E61D8"/>
    <w:rsid w:val="005E7E2C"/>
    <w:rsid w:val="005F0FCC"/>
    <w:rsid w:val="005F18F5"/>
    <w:rsid w:val="005F29CD"/>
    <w:rsid w:val="005F3175"/>
    <w:rsid w:val="005F3436"/>
    <w:rsid w:val="005F4471"/>
    <w:rsid w:val="005F4730"/>
    <w:rsid w:val="005F57D8"/>
    <w:rsid w:val="005F5AD5"/>
    <w:rsid w:val="005F642B"/>
    <w:rsid w:val="005F67FC"/>
    <w:rsid w:val="005F7877"/>
    <w:rsid w:val="006026E1"/>
    <w:rsid w:val="00603A90"/>
    <w:rsid w:val="00605DEB"/>
    <w:rsid w:val="006065BF"/>
    <w:rsid w:val="006070EA"/>
    <w:rsid w:val="0060749D"/>
    <w:rsid w:val="00607ABE"/>
    <w:rsid w:val="00607F53"/>
    <w:rsid w:val="00610267"/>
    <w:rsid w:val="006103D0"/>
    <w:rsid w:val="00611EAE"/>
    <w:rsid w:val="0061364A"/>
    <w:rsid w:val="00613BEA"/>
    <w:rsid w:val="0061402C"/>
    <w:rsid w:val="0061595F"/>
    <w:rsid w:val="00616179"/>
    <w:rsid w:val="0061675B"/>
    <w:rsid w:val="0062052B"/>
    <w:rsid w:val="00621A86"/>
    <w:rsid w:val="00622990"/>
    <w:rsid w:val="00623401"/>
    <w:rsid w:val="00623629"/>
    <w:rsid w:val="00625C40"/>
    <w:rsid w:val="00627E7C"/>
    <w:rsid w:val="00631369"/>
    <w:rsid w:val="006315B3"/>
    <w:rsid w:val="00632481"/>
    <w:rsid w:val="0063262D"/>
    <w:rsid w:val="00633500"/>
    <w:rsid w:val="00637BBD"/>
    <w:rsid w:val="00640D17"/>
    <w:rsid w:val="00642768"/>
    <w:rsid w:val="00642C8C"/>
    <w:rsid w:val="00643BA4"/>
    <w:rsid w:val="00646ACE"/>
    <w:rsid w:val="006474C0"/>
    <w:rsid w:val="00647927"/>
    <w:rsid w:val="00652B9B"/>
    <w:rsid w:val="00652C4A"/>
    <w:rsid w:val="00653743"/>
    <w:rsid w:val="00653DD9"/>
    <w:rsid w:val="00654E6A"/>
    <w:rsid w:val="006562A1"/>
    <w:rsid w:val="006575F3"/>
    <w:rsid w:val="006602B5"/>
    <w:rsid w:val="00660871"/>
    <w:rsid w:val="00662AF4"/>
    <w:rsid w:val="006636AA"/>
    <w:rsid w:val="00664E08"/>
    <w:rsid w:val="00665B4C"/>
    <w:rsid w:val="0066774D"/>
    <w:rsid w:val="00667F42"/>
    <w:rsid w:val="0067020F"/>
    <w:rsid w:val="00670296"/>
    <w:rsid w:val="00671284"/>
    <w:rsid w:val="00671734"/>
    <w:rsid w:val="006727FC"/>
    <w:rsid w:val="00673906"/>
    <w:rsid w:val="00676E5B"/>
    <w:rsid w:val="00677D6B"/>
    <w:rsid w:val="00680795"/>
    <w:rsid w:val="00681733"/>
    <w:rsid w:val="00682713"/>
    <w:rsid w:val="0068277F"/>
    <w:rsid w:val="00683005"/>
    <w:rsid w:val="00683579"/>
    <w:rsid w:val="00684545"/>
    <w:rsid w:val="0068522C"/>
    <w:rsid w:val="006854CE"/>
    <w:rsid w:val="00686315"/>
    <w:rsid w:val="00686B72"/>
    <w:rsid w:val="0068790B"/>
    <w:rsid w:val="00691689"/>
    <w:rsid w:val="00692DAB"/>
    <w:rsid w:val="00694104"/>
    <w:rsid w:val="006941DD"/>
    <w:rsid w:val="0069466B"/>
    <w:rsid w:val="00697CAE"/>
    <w:rsid w:val="006A2615"/>
    <w:rsid w:val="006A5866"/>
    <w:rsid w:val="006A5CE2"/>
    <w:rsid w:val="006A5E77"/>
    <w:rsid w:val="006B0F54"/>
    <w:rsid w:val="006B415B"/>
    <w:rsid w:val="006B4C95"/>
    <w:rsid w:val="006B4CBA"/>
    <w:rsid w:val="006C0FA2"/>
    <w:rsid w:val="006C2E46"/>
    <w:rsid w:val="006C4E45"/>
    <w:rsid w:val="006C5090"/>
    <w:rsid w:val="006C5EE1"/>
    <w:rsid w:val="006C61B1"/>
    <w:rsid w:val="006C74D9"/>
    <w:rsid w:val="006C7DA9"/>
    <w:rsid w:val="006D0669"/>
    <w:rsid w:val="006D2660"/>
    <w:rsid w:val="006D3771"/>
    <w:rsid w:val="006D440A"/>
    <w:rsid w:val="006D5647"/>
    <w:rsid w:val="006D592F"/>
    <w:rsid w:val="006D62BE"/>
    <w:rsid w:val="006D774D"/>
    <w:rsid w:val="006D77F0"/>
    <w:rsid w:val="006D7B71"/>
    <w:rsid w:val="006E0006"/>
    <w:rsid w:val="006E04BB"/>
    <w:rsid w:val="006E0DF6"/>
    <w:rsid w:val="006E1BDE"/>
    <w:rsid w:val="006E336C"/>
    <w:rsid w:val="006E3B9E"/>
    <w:rsid w:val="006E4366"/>
    <w:rsid w:val="006E4A27"/>
    <w:rsid w:val="006E5384"/>
    <w:rsid w:val="006E5828"/>
    <w:rsid w:val="006E628D"/>
    <w:rsid w:val="006E66F8"/>
    <w:rsid w:val="006E6BB9"/>
    <w:rsid w:val="006E784F"/>
    <w:rsid w:val="006F0B4F"/>
    <w:rsid w:val="006F2DF3"/>
    <w:rsid w:val="006F2DF9"/>
    <w:rsid w:val="006F3C6F"/>
    <w:rsid w:val="006F41C6"/>
    <w:rsid w:val="006F559A"/>
    <w:rsid w:val="006F5ADE"/>
    <w:rsid w:val="006F5DD9"/>
    <w:rsid w:val="006F6FA2"/>
    <w:rsid w:val="007001D0"/>
    <w:rsid w:val="00700CE3"/>
    <w:rsid w:val="00701397"/>
    <w:rsid w:val="00701498"/>
    <w:rsid w:val="00701E70"/>
    <w:rsid w:val="00702A49"/>
    <w:rsid w:val="00704F47"/>
    <w:rsid w:val="00706479"/>
    <w:rsid w:val="00706879"/>
    <w:rsid w:val="007070B6"/>
    <w:rsid w:val="007072C2"/>
    <w:rsid w:val="0070746B"/>
    <w:rsid w:val="007075CA"/>
    <w:rsid w:val="00707FA4"/>
    <w:rsid w:val="007108C4"/>
    <w:rsid w:val="0071151E"/>
    <w:rsid w:val="0071332F"/>
    <w:rsid w:val="0071482B"/>
    <w:rsid w:val="00714B5C"/>
    <w:rsid w:val="00714C8F"/>
    <w:rsid w:val="00715A32"/>
    <w:rsid w:val="00716A45"/>
    <w:rsid w:val="00716F57"/>
    <w:rsid w:val="00721409"/>
    <w:rsid w:val="007221A2"/>
    <w:rsid w:val="00722928"/>
    <w:rsid w:val="00722935"/>
    <w:rsid w:val="0072335F"/>
    <w:rsid w:val="00726933"/>
    <w:rsid w:val="007273D5"/>
    <w:rsid w:val="00727815"/>
    <w:rsid w:val="00730E31"/>
    <w:rsid w:val="00731EA2"/>
    <w:rsid w:val="00734E06"/>
    <w:rsid w:val="00735CE3"/>
    <w:rsid w:val="00736E9D"/>
    <w:rsid w:val="007373FA"/>
    <w:rsid w:val="007377B7"/>
    <w:rsid w:val="0074063F"/>
    <w:rsid w:val="00740EF1"/>
    <w:rsid w:val="00744256"/>
    <w:rsid w:val="00744DBD"/>
    <w:rsid w:val="00745398"/>
    <w:rsid w:val="00747C87"/>
    <w:rsid w:val="007561F0"/>
    <w:rsid w:val="007565C3"/>
    <w:rsid w:val="00756632"/>
    <w:rsid w:val="0075754A"/>
    <w:rsid w:val="00760554"/>
    <w:rsid w:val="0076083D"/>
    <w:rsid w:val="00761DC2"/>
    <w:rsid w:val="00762B1E"/>
    <w:rsid w:val="00763D3B"/>
    <w:rsid w:val="00764742"/>
    <w:rsid w:val="007651E7"/>
    <w:rsid w:val="00766434"/>
    <w:rsid w:val="00770E10"/>
    <w:rsid w:val="00771E5C"/>
    <w:rsid w:val="00772107"/>
    <w:rsid w:val="00774A83"/>
    <w:rsid w:val="00775146"/>
    <w:rsid w:val="0077566D"/>
    <w:rsid w:val="00776097"/>
    <w:rsid w:val="007766A5"/>
    <w:rsid w:val="00776CA1"/>
    <w:rsid w:val="00776E39"/>
    <w:rsid w:val="0078016D"/>
    <w:rsid w:val="00781A4A"/>
    <w:rsid w:val="00782098"/>
    <w:rsid w:val="0078297B"/>
    <w:rsid w:val="00782A6D"/>
    <w:rsid w:val="00784161"/>
    <w:rsid w:val="00786D0B"/>
    <w:rsid w:val="00790033"/>
    <w:rsid w:val="00790E9B"/>
    <w:rsid w:val="007917E7"/>
    <w:rsid w:val="00791C4A"/>
    <w:rsid w:val="007927C6"/>
    <w:rsid w:val="00792BB2"/>
    <w:rsid w:val="0079348E"/>
    <w:rsid w:val="00793F50"/>
    <w:rsid w:val="0079405B"/>
    <w:rsid w:val="00795822"/>
    <w:rsid w:val="00795D94"/>
    <w:rsid w:val="007978DB"/>
    <w:rsid w:val="007A00A5"/>
    <w:rsid w:val="007A03ED"/>
    <w:rsid w:val="007A05F4"/>
    <w:rsid w:val="007A0BB9"/>
    <w:rsid w:val="007A0F02"/>
    <w:rsid w:val="007A1D73"/>
    <w:rsid w:val="007A3DAA"/>
    <w:rsid w:val="007A4023"/>
    <w:rsid w:val="007A5A94"/>
    <w:rsid w:val="007A6C47"/>
    <w:rsid w:val="007A7333"/>
    <w:rsid w:val="007B347F"/>
    <w:rsid w:val="007B5A98"/>
    <w:rsid w:val="007B5E30"/>
    <w:rsid w:val="007C2270"/>
    <w:rsid w:val="007C27D4"/>
    <w:rsid w:val="007C31AE"/>
    <w:rsid w:val="007C32E0"/>
    <w:rsid w:val="007C4CCE"/>
    <w:rsid w:val="007C570A"/>
    <w:rsid w:val="007C7D49"/>
    <w:rsid w:val="007D1630"/>
    <w:rsid w:val="007D1D99"/>
    <w:rsid w:val="007D4D2A"/>
    <w:rsid w:val="007D763D"/>
    <w:rsid w:val="007E00B1"/>
    <w:rsid w:val="007E0749"/>
    <w:rsid w:val="007E2F87"/>
    <w:rsid w:val="007E334F"/>
    <w:rsid w:val="007E3CB0"/>
    <w:rsid w:val="007E5D39"/>
    <w:rsid w:val="007E66C8"/>
    <w:rsid w:val="007E67BD"/>
    <w:rsid w:val="007E6BBD"/>
    <w:rsid w:val="007F06E1"/>
    <w:rsid w:val="007F517F"/>
    <w:rsid w:val="007F6391"/>
    <w:rsid w:val="007F6FB8"/>
    <w:rsid w:val="007F76FF"/>
    <w:rsid w:val="00801491"/>
    <w:rsid w:val="008015A7"/>
    <w:rsid w:val="00803099"/>
    <w:rsid w:val="00806E4B"/>
    <w:rsid w:val="0081066B"/>
    <w:rsid w:val="00810809"/>
    <w:rsid w:val="00812350"/>
    <w:rsid w:val="00812741"/>
    <w:rsid w:val="008128E3"/>
    <w:rsid w:val="00815871"/>
    <w:rsid w:val="00821789"/>
    <w:rsid w:val="0082180B"/>
    <w:rsid w:val="00824C6B"/>
    <w:rsid w:val="00825D4F"/>
    <w:rsid w:val="008260ED"/>
    <w:rsid w:val="00830017"/>
    <w:rsid w:val="00830DC9"/>
    <w:rsid w:val="00831A3F"/>
    <w:rsid w:val="00833A6A"/>
    <w:rsid w:val="00833E2F"/>
    <w:rsid w:val="008368F3"/>
    <w:rsid w:val="008400A8"/>
    <w:rsid w:val="0084156A"/>
    <w:rsid w:val="00841A85"/>
    <w:rsid w:val="00842297"/>
    <w:rsid w:val="008427B1"/>
    <w:rsid w:val="00842B06"/>
    <w:rsid w:val="008444ED"/>
    <w:rsid w:val="008449FF"/>
    <w:rsid w:val="0084601D"/>
    <w:rsid w:val="00846C73"/>
    <w:rsid w:val="00847B16"/>
    <w:rsid w:val="00847E0C"/>
    <w:rsid w:val="00850C6E"/>
    <w:rsid w:val="0085161D"/>
    <w:rsid w:val="0085349F"/>
    <w:rsid w:val="00855597"/>
    <w:rsid w:val="00855780"/>
    <w:rsid w:val="00856178"/>
    <w:rsid w:val="00856C69"/>
    <w:rsid w:val="008570AB"/>
    <w:rsid w:val="008606A2"/>
    <w:rsid w:val="00861C8E"/>
    <w:rsid w:val="00862545"/>
    <w:rsid w:val="0086273D"/>
    <w:rsid w:val="0086444C"/>
    <w:rsid w:val="00865A76"/>
    <w:rsid w:val="008667E8"/>
    <w:rsid w:val="0086730B"/>
    <w:rsid w:val="008679E6"/>
    <w:rsid w:val="00867A0F"/>
    <w:rsid w:val="00871811"/>
    <w:rsid w:val="00872C20"/>
    <w:rsid w:val="00872E1F"/>
    <w:rsid w:val="00873942"/>
    <w:rsid w:val="00873D79"/>
    <w:rsid w:val="00880558"/>
    <w:rsid w:val="00883DAF"/>
    <w:rsid w:val="00885B83"/>
    <w:rsid w:val="00885DA2"/>
    <w:rsid w:val="00886342"/>
    <w:rsid w:val="008875DE"/>
    <w:rsid w:val="00887C08"/>
    <w:rsid w:val="0089092F"/>
    <w:rsid w:val="00896FF4"/>
    <w:rsid w:val="008972BD"/>
    <w:rsid w:val="008A0E85"/>
    <w:rsid w:val="008A1DDE"/>
    <w:rsid w:val="008A1EDC"/>
    <w:rsid w:val="008A2E5A"/>
    <w:rsid w:val="008A371D"/>
    <w:rsid w:val="008A4FE2"/>
    <w:rsid w:val="008A5443"/>
    <w:rsid w:val="008A55A8"/>
    <w:rsid w:val="008A5F01"/>
    <w:rsid w:val="008A6B66"/>
    <w:rsid w:val="008B0969"/>
    <w:rsid w:val="008B11D0"/>
    <w:rsid w:val="008B15C4"/>
    <w:rsid w:val="008B4464"/>
    <w:rsid w:val="008B4692"/>
    <w:rsid w:val="008B4A0F"/>
    <w:rsid w:val="008B4BF2"/>
    <w:rsid w:val="008B56E5"/>
    <w:rsid w:val="008B5AFD"/>
    <w:rsid w:val="008B6650"/>
    <w:rsid w:val="008B7A4E"/>
    <w:rsid w:val="008C1506"/>
    <w:rsid w:val="008C2495"/>
    <w:rsid w:val="008C2D30"/>
    <w:rsid w:val="008C2E11"/>
    <w:rsid w:val="008C73DE"/>
    <w:rsid w:val="008C77F7"/>
    <w:rsid w:val="008D0AE4"/>
    <w:rsid w:val="008D1916"/>
    <w:rsid w:val="008D1B0D"/>
    <w:rsid w:val="008D2DD0"/>
    <w:rsid w:val="008D2F52"/>
    <w:rsid w:val="008D6B57"/>
    <w:rsid w:val="008D74C3"/>
    <w:rsid w:val="008D7DFC"/>
    <w:rsid w:val="008E00FD"/>
    <w:rsid w:val="008E09AC"/>
    <w:rsid w:val="008E16E7"/>
    <w:rsid w:val="008E33EA"/>
    <w:rsid w:val="008E4180"/>
    <w:rsid w:val="008E5722"/>
    <w:rsid w:val="008E5F84"/>
    <w:rsid w:val="008E6A1B"/>
    <w:rsid w:val="008F0EA9"/>
    <w:rsid w:val="008F1B1E"/>
    <w:rsid w:val="008F411D"/>
    <w:rsid w:val="008F4D31"/>
    <w:rsid w:val="008F5FF0"/>
    <w:rsid w:val="008F61F2"/>
    <w:rsid w:val="008F63BC"/>
    <w:rsid w:val="008F7F78"/>
    <w:rsid w:val="00900316"/>
    <w:rsid w:val="0090122A"/>
    <w:rsid w:val="00901F17"/>
    <w:rsid w:val="0090394F"/>
    <w:rsid w:val="00904728"/>
    <w:rsid w:val="009054D3"/>
    <w:rsid w:val="00907B9D"/>
    <w:rsid w:val="00910CFA"/>
    <w:rsid w:val="009125D2"/>
    <w:rsid w:val="00915E3F"/>
    <w:rsid w:val="00916C8B"/>
    <w:rsid w:val="00922344"/>
    <w:rsid w:val="0092273F"/>
    <w:rsid w:val="009238F1"/>
    <w:rsid w:val="009249B4"/>
    <w:rsid w:val="00926D0F"/>
    <w:rsid w:val="009279E1"/>
    <w:rsid w:val="00933783"/>
    <w:rsid w:val="00934A5A"/>
    <w:rsid w:val="00935E14"/>
    <w:rsid w:val="009410E0"/>
    <w:rsid w:val="00942454"/>
    <w:rsid w:val="009444B1"/>
    <w:rsid w:val="009467C6"/>
    <w:rsid w:val="00946DA9"/>
    <w:rsid w:val="00951035"/>
    <w:rsid w:val="00951BD3"/>
    <w:rsid w:val="00957310"/>
    <w:rsid w:val="0095750D"/>
    <w:rsid w:val="00962B8F"/>
    <w:rsid w:val="00964464"/>
    <w:rsid w:val="009654CB"/>
    <w:rsid w:val="00965665"/>
    <w:rsid w:val="00966D4F"/>
    <w:rsid w:val="0097192E"/>
    <w:rsid w:val="00971F52"/>
    <w:rsid w:val="0097202E"/>
    <w:rsid w:val="00972E0B"/>
    <w:rsid w:val="009748F0"/>
    <w:rsid w:val="00974A7C"/>
    <w:rsid w:val="0097587B"/>
    <w:rsid w:val="009766FE"/>
    <w:rsid w:val="00977715"/>
    <w:rsid w:val="00980439"/>
    <w:rsid w:val="00982444"/>
    <w:rsid w:val="00982BA7"/>
    <w:rsid w:val="00982D92"/>
    <w:rsid w:val="00982F10"/>
    <w:rsid w:val="00983267"/>
    <w:rsid w:val="009834A0"/>
    <w:rsid w:val="009843A8"/>
    <w:rsid w:val="00984993"/>
    <w:rsid w:val="00992500"/>
    <w:rsid w:val="00992F61"/>
    <w:rsid w:val="0099496C"/>
    <w:rsid w:val="00995831"/>
    <w:rsid w:val="00996569"/>
    <w:rsid w:val="00997EC1"/>
    <w:rsid w:val="009A057B"/>
    <w:rsid w:val="009A06F0"/>
    <w:rsid w:val="009A14DE"/>
    <w:rsid w:val="009A2105"/>
    <w:rsid w:val="009A5B8E"/>
    <w:rsid w:val="009A7BC2"/>
    <w:rsid w:val="009B1897"/>
    <w:rsid w:val="009B1965"/>
    <w:rsid w:val="009B1BB7"/>
    <w:rsid w:val="009B48D4"/>
    <w:rsid w:val="009C0992"/>
    <w:rsid w:val="009C0C48"/>
    <w:rsid w:val="009C1830"/>
    <w:rsid w:val="009C23DA"/>
    <w:rsid w:val="009C24B3"/>
    <w:rsid w:val="009C2C09"/>
    <w:rsid w:val="009C2E5A"/>
    <w:rsid w:val="009C347A"/>
    <w:rsid w:val="009C6214"/>
    <w:rsid w:val="009C7B18"/>
    <w:rsid w:val="009C7D55"/>
    <w:rsid w:val="009C7F52"/>
    <w:rsid w:val="009D07F2"/>
    <w:rsid w:val="009D1884"/>
    <w:rsid w:val="009D24A3"/>
    <w:rsid w:val="009D3312"/>
    <w:rsid w:val="009D3665"/>
    <w:rsid w:val="009D3C84"/>
    <w:rsid w:val="009D4B65"/>
    <w:rsid w:val="009D6969"/>
    <w:rsid w:val="009D7470"/>
    <w:rsid w:val="009D7A58"/>
    <w:rsid w:val="009E0CED"/>
    <w:rsid w:val="009E17A2"/>
    <w:rsid w:val="009E2D23"/>
    <w:rsid w:val="009E3E96"/>
    <w:rsid w:val="009E4043"/>
    <w:rsid w:val="009E43C1"/>
    <w:rsid w:val="009E4CB8"/>
    <w:rsid w:val="009E5BF2"/>
    <w:rsid w:val="009F3BA0"/>
    <w:rsid w:val="009F3F5D"/>
    <w:rsid w:val="009F4CB9"/>
    <w:rsid w:val="009F573D"/>
    <w:rsid w:val="00A00CD4"/>
    <w:rsid w:val="00A00FC6"/>
    <w:rsid w:val="00A01C02"/>
    <w:rsid w:val="00A0324F"/>
    <w:rsid w:val="00A038D1"/>
    <w:rsid w:val="00A05113"/>
    <w:rsid w:val="00A054DC"/>
    <w:rsid w:val="00A05A73"/>
    <w:rsid w:val="00A0659C"/>
    <w:rsid w:val="00A069AE"/>
    <w:rsid w:val="00A06F13"/>
    <w:rsid w:val="00A07DF7"/>
    <w:rsid w:val="00A10389"/>
    <w:rsid w:val="00A1133E"/>
    <w:rsid w:val="00A11888"/>
    <w:rsid w:val="00A11E62"/>
    <w:rsid w:val="00A11E8F"/>
    <w:rsid w:val="00A12369"/>
    <w:rsid w:val="00A14357"/>
    <w:rsid w:val="00A147BF"/>
    <w:rsid w:val="00A1524F"/>
    <w:rsid w:val="00A15E63"/>
    <w:rsid w:val="00A16646"/>
    <w:rsid w:val="00A17672"/>
    <w:rsid w:val="00A20E56"/>
    <w:rsid w:val="00A23BC2"/>
    <w:rsid w:val="00A27727"/>
    <w:rsid w:val="00A279AC"/>
    <w:rsid w:val="00A27EF3"/>
    <w:rsid w:val="00A30C5D"/>
    <w:rsid w:val="00A310F1"/>
    <w:rsid w:val="00A31D1D"/>
    <w:rsid w:val="00A35FAA"/>
    <w:rsid w:val="00A37DF9"/>
    <w:rsid w:val="00A40163"/>
    <w:rsid w:val="00A409BC"/>
    <w:rsid w:val="00A42F6D"/>
    <w:rsid w:val="00A442CD"/>
    <w:rsid w:val="00A44612"/>
    <w:rsid w:val="00A44720"/>
    <w:rsid w:val="00A51337"/>
    <w:rsid w:val="00A540A5"/>
    <w:rsid w:val="00A54248"/>
    <w:rsid w:val="00A55B6F"/>
    <w:rsid w:val="00A61F1C"/>
    <w:rsid w:val="00A6388E"/>
    <w:rsid w:val="00A675CB"/>
    <w:rsid w:val="00A70398"/>
    <w:rsid w:val="00A709AD"/>
    <w:rsid w:val="00A733CB"/>
    <w:rsid w:val="00A73816"/>
    <w:rsid w:val="00A751AD"/>
    <w:rsid w:val="00A775CF"/>
    <w:rsid w:val="00A77853"/>
    <w:rsid w:val="00A77A5F"/>
    <w:rsid w:val="00A77FAF"/>
    <w:rsid w:val="00A8009B"/>
    <w:rsid w:val="00A80C87"/>
    <w:rsid w:val="00A8425B"/>
    <w:rsid w:val="00A84503"/>
    <w:rsid w:val="00A861B9"/>
    <w:rsid w:val="00A8653B"/>
    <w:rsid w:val="00A86CDB"/>
    <w:rsid w:val="00A8782F"/>
    <w:rsid w:val="00A9167D"/>
    <w:rsid w:val="00A92D25"/>
    <w:rsid w:val="00A94689"/>
    <w:rsid w:val="00A94DDB"/>
    <w:rsid w:val="00A96FFE"/>
    <w:rsid w:val="00AA27AA"/>
    <w:rsid w:val="00AA2DF3"/>
    <w:rsid w:val="00AA50BC"/>
    <w:rsid w:val="00AB07F2"/>
    <w:rsid w:val="00AB24E7"/>
    <w:rsid w:val="00AB3237"/>
    <w:rsid w:val="00AB3A2D"/>
    <w:rsid w:val="00AB5C7E"/>
    <w:rsid w:val="00AB75AE"/>
    <w:rsid w:val="00AB76EC"/>
    <w:rsid w:val="00AB77C4"/>
    <w:rsid w:val="00AB7933"/>
    <w:rsid w:val="00AC13C9"/>
    <w:rsid w:val="00AC2792"/>
    <w:rsid w:val="00AC3CF0"/>
    <w:rsid w:val="00AC3D18"/>
    <w:rsid w:val="00AD10CF"/>
    <w:rsid w:val="00AD35EA"/>
    <w:rsid w:val="00AD3BC7"/>
    <w:rsid w:val="00AD562E"/>
    <w:rsid w:val="00AD5B1B"/>
    <w:rsid w:val="00AD6259"/>
    <w:rsid w:val="00AE1674"/>
    <w:rsid w:val="00AE1D75"/>
    <w:rsid w:val="00AE2459"/>
    <w:rsid w:val="00AE29C2"/>
    <w:rsid w:val="00AE3D23"/>
    <w:rsid w:val="00AE41BB"/>
    <w:rsid w:val="00AE4EC8"/>
    <w:rsid w:val="00AE563A"/>
    <w:rsid w:val="00AE5D9F"/>
    <w:rsid w:val="00AE5F15"/>
    <w:rsid w:val="00AE61C0"/>
    <w:rsid w:val="00AE76C9"/>
    <w:rsid w:val="00AF0C7E"/>
    <w:rsid w:val="00AF0EB2"/>
    <w:rsid w:val="00AF2791"/>
    <w:rsid w:val="00AF32F0"/>
    <w:rsid w:val="00AF3811"/>
    <w:rsid w:val="00AF418D"/>
    <w:rsid w:val="00AF5179"/>
    <w:rsid w:val="00AF560E"/>
    <w:rsid w:val="00AF6220"/>
    <w:rsid w:val="00AF70EE"/>
    <w:rsid w:val="00AF7618"/>
    <w:rsid w:val="00B00AF9"/>
    <w:rsid w:val="00B00B01"/>
    <w:rsid w:val="00B04550"/>
    <w:rsid w:val="00B04964"/>
    <w:rsid w:val="00B06F40"/>
    <w:rsid w:val="00B10605"/>
    <w:rsid w:val="00B10F95"/>
    <w:rsid w:val="00B10FCF"/>
    <w:rsid w:val="00B12331"/>
    <w:rsid w:val="00B1274F"/>
    <w:rsid w:val="00B15B71"/>
    <w:rsid w:val="00B2087D"/>
    <w:rsid w:val="00B21941"/>
    <w:rsid w:val="00B21EB4"/>
    <w:rsid w:val="00B22202"/>
    <w:rsid w:val="00B240AA"/>
    <w:rsid w:val="00B26C44"/>
    <w:rsid w:val="00B27820"/>
    <w:rsid w:val="00B30944"/>
    <w:rsid w:val="00B323BD"/>
    <w:rsid w:val="00B33F4D"/>
    <w:rsid w:val="00B37148"/>
    <w:rsid w:val="00B42B56"/>
    <w:rsid w:val="00B455C0"/>
    <w:rsid w:val="00B460B5"/>
    <w:rsid w:val="00B47240"/>
    <w:rsid w:val="00B47F4C"/>
    <w:rsid w:val="00B51526"/>
    <w:rsid w:val="00B523E2"/>
    <w:rsid w:val="00B5762D"/>
    <w:rsid w:val="00B60F6F"/>
    <w:rsid w:val="00B61A52"/>
    <w:rsid w:val="00B6230B"/>
    <w:rsid w:val="00B6389E"/>
    <w:rsid w:val="00B64DE4"/>
    <w:rsid w:val="00B66467"/>
    <w:rsid w:val="00B71222"/>
    <w:rsid w:val="00B7262F"/>
    <w:rsid w:val="00B7358B"/>
    <w:rsid w:val="00B7388C"/>
    <w:rsid w:val="00B73E0D"/>
    <w:rsid w:val="00B77593"/>
    <w:rsid w:val="00B830A1"/>
    <w:rsid w:val="00B83705"/>
    <w:rsid w:val="00B83CA0"/>
    <w:rsid w:val="00B84243"/>
    <w:rsid w:val="00B85C34"/>
    <w:rsid w:val="00B8742F"/>
    <w:rsid w:val="00B876C0"/>
    <w:rsid w:val="00B93884"/>
    <w:rsid w:val="00B94A65"/>
    <w:rsid w:val="00B94ADF"/>
    <w:rsid w:val="00B94FB4"/>
    <w:rsid w:val="00B95D2D"/>
    <w:rsid w:val="00B9676C"/>
    <w:rsid w:val="00BA0966"/>
    <w:rsid w:val="00BA0F2F"/>
    <w:rsid w:val="00BA379F"/>
    <w:rsid w:val="00BA4411"/>
    <w:rsid w:val="00BA6777"/>
    <w:rsid w:val="00BA6813"/>
    <w:rsid w:val="00BB19A7"/>
    <w:rsid w:val="00BB2A98"/>
    <w:rsid w:val="00BB3AB5"/>
    <w:rsid w:val="00BB3DA8"/>
    <w:rsid w:val="00BB498B"/>
    <w:rsid w:val="00BB6D23"/>
    <w:rsid w:val="00BB721D"/>
    <w:rsid w:val="00BB7455"/>
    <w:rsid w:val="00BC17FB"/>
    <w:rsid w:val="00BC2C65"/>
    <w:rsid w:val="00BC3CAB"/>
    <w:rsid w:val="00BC42CE"/>
    <w:rsid w:val="00BC6702"/>
    <w:rsid w:val="00BD210E"/>
    <w:rsid w:val="00BD304D"/>
    <w:rsid w:val="00BE70B3"/>
    <w:rsid w:val="00BE7D58"/>
    <w:rsid w:val="00BF0270"/>
    <w:rsid w:val="00BF0E14"/>
    <w:rsid w:val="00BF11BF"/>
    <w:rsid w:val="00BF164E"/>
    <w:rsid w:val="00BF2148"/>
    <w:rsid w:val="00BF23C3"/>
    <w:rsid w:val="00BF263F"/>
    <w:rsid w:val="00BF3E50"/>
    <w:rsid w:val="00BF6570"/>
    <w:rsid w:val="00BF6D42"/>
    <w:rsid w:val="00BF7ED9"/>
    <w:rsid w:val="00C00AA5"/>
    <w:rsid w:val="00C07DEC"/>
    <w:rsid w:val="00C1005F"/>
    <w:rsid w:val="00C107D2"/>
    <w:rsid w:val="00C11F05"/>
    <w:rsid w:val="00C11F2F"/>
    <w:rsid w:val="00C12D0A"/>
    <w:rsid w:val="00C12DE9"/>
    <w:rsid w:val="00C15DEF"/>
    <w:rsid w:val="00C17158"/>
    <w:rsid w:val="00C17A51"/>
    <w:rsid w:val="00C20E76"/>
    <w:rsid w:val="00C23647"/>
    <w:rsid w:val="00C24021"/>
    <w:rsid w:val="00C2476F"/>
    <w:rsid w:val="00C2641F"/>
    <w:rsid w:val="00C273A1"/>
    <w:rsid w:val="00C3009E"/>
    <w:rsid w:val="00C31E81"/>
    <w:rsid w:val="00C3239B"/>
    <w:rsid w:val="00C3324A"/>
    <w:rsid w:val="00C336DD"/>
    <w:rsid w:val="00C34390"/>
    <w:rsid w:val="00C34C59"/>
    <w:rsid w:val="00C359BA"/>
    <w:rsid w:val="00C35E53"/>
    <w:rsid w:val="00C3662D"/>
    <w:rsid w:val="00C36775"/>
    <w:rsid w:val="00C406CE"/>
    <w:rsid w:val="00C41219"/>
    <w:rsid w:val="00C41D55"/>
    <w:rsid w:val="00C420C5"/>
    <w:rsid w:val="00C428E6"/>
    <w:rsid w:val="00C42D37"/>
    <w:rsid w:val="00C431A3"/>
    <w:rsid w:val="00C43756"/>
    <w:rsid w:val="00C44BE3"/>
    <w:rsid w:val="00C44C1D"/>
    <w:rsid w:val="00C5028C"/>
    <w:rsid w:val="00C51C07"/>
    <w:rsid w:val="00C53EF2"/>
    <w:rsid w:val="00C5570B"/>
    <w:rsid w:val="00C55846"/>
    <w:rsid w:val="00C57082"/>
    <w:rsid w:val="00C605F4"/>
    <w:rsid w:val="00C615E5"/>
    <w:rsid w:val="00C619FE"/>
    <w:rsid w:val="00C62A49"/>
    <w:rsid w:val="00C6305B"/>
    <w:rsid w:val="00C63C1F"/>
    <w:rsid w:val="00C63ED7"/>
    <w:rsid w:val="00C706DE"/>
    <w:rsid w:val="00C74126"/>
    <w:rsid w:val="00C74C39"/>
    <w:rsid w:val="00C74DA9"/>
    <w:rsid w:val="00C7638D"/>
    <w:rsid w:val="00C763EA"/>
    <w:rsid w:val="00C771EB"/>
    <w:rsid w:val="00C8049D"/>
    <w:rsid w:val="00C81254"/>
    <w:rsid w:val="00C85E77"/>
    <w:rsid w:val="00C8748F"/>
    <w:rsid w:val="00C87FB8"/>
    <w:rsid w:val="00C91CF4"/>
    <w:rsid w:val="00C92123"/>
    <w:rsid w:val="00C94229"/>
    <w:rsid w:val="00C95596"/>
    <w:rsid w:val="00C95850"/>
    <w:rsid w:val="00C95B85"/>
    <w:rsid w:val="00C97F24"/>
    <w:rsid w:val="00CA0B5E"/>
    <w:rsid w:val="00CA0F4F"/>
    <w:rsid w:val="00CA17B1"/>
    <w:rsid w:val="00CA2A47"/>
    <w:rsid w:val="00CA3214"/>
    <w:rsid w:val="00CA450E"/>
    <w:rsid w:val="00CA4819"/>
    <w:rsid w:val="00CA600B"/>
    <w:rsid w:val="00CA709C"/>
    <w:rsid w:val="00CB00D4"/>
    <w:rsid w:val="00CB1F59"/>
    <w:rsid w:val="00CB54F0"/>
    <w:rsid w:val="00CB5C31"/>
    <w:rsid w:val="00CB62C0"/>
    <w:rsid w:val="00CB795F"/>
    <w:rsid w:val="00CC0486"/>
    <w:rsid w:val="00CC0B67"/>
    <w:rsid w:val="00CC3220"/>
    <w:rsid w:val="00CC453E"/>
    <w:rsid w:val="00CC4867"/>
    <w:rsid w:val="00CC5AB0"/>
    <w:rsid w:val="00CC63D5"/>
    <w:rsid w:val="00CC7C89"/>
    <w:rsid w:val="00CC7ED8"/>
    <w:rsid w:val="00CC7F08"/>
    <w:rsid w:val="00CD1BF3"/>
    <w:rsid w:val="00CD2C4A"/>
    <w:rsid w:val="00CD3382"/>
    <w:rsid w:val="00CD7118"/>
    <w:rsid w:val="00CE0085"/>
    <w:rsid w:val="00CE0472"/>
    <w:rsid w:val="00CE2C1A"/>
    <w:rsid w:val="00CE3F53"/>
    <w:rsid w:val="00CE4134"/>
    <w:rsid w:val="00CE4FC8"/>
    <w:rsid w:val="00CE558E"/>
    <w:rsid w:val="00CE5EC0"/>
    <w:rsid w:val="00CE645E"/>
    <w:rsid w:val="00CE7933"/>
    <w:rsid w:val="00CF2C6F"/>
    <w:rsid w:val="00CF4131"/>
    <w:rsid w:val="00CF5085"/>
    <w:rsid w:val="00CF5391"/>
    <w:rsid w:val="00CF6028"/>
    <w:rsid w:val="00CF6796"/>
    <w:rsid w:val="00D00382"/>
    <w:rsid w:val="00D0086A"/>
    <w:rsid w:val="00D02C37"/>
    <w:rsid w:val="00D02EF1"/>
    <w:rsid w:val="00D05719"/>
    <w:rsid w:val="00D076E9"/>
    <w:rsid w:val="00D07A8D"/>
    <w:rsid w:val="00D1024D"/>
    <w:rsid w:val="00D120BF"/>
    <w:rsid w:val="00D13536"/>
    <w:rsid w:val="00D13659"/>
    <w:rsid w:val="00D143EC"/>
    <w:rsid w:val="00D1515D"/>
    <w:rsid w:val="00D1545C"/>
    <w:rsid w:val="00D15ACB"/>
    <w:rsid w:val="00D1741D"/>
    <w:rsid w:val="00D174C3"/>
    <w:rsid w:val="00D17D15"/>
    <w:rsid w:val="00D17E55"/>
    <w:rsid w:val="00D2179B"/>
    <w:rsid w:val="00D22699"/>
    <w:rsid w:val="00D2316C"/>
    <w:rsid w:val="00D23FB7"/>
    <w:rsid w:val="00D24FF4"/>
    <w:rsid w:val="00D30A84"/>
    <w:rsid w:val="00D30CBA"/>
    <w:rsid w:val="00D31052"/>
    <w:rsid w:val="00D323B5"/>
    <w:rsid w:val="00D327B7"/>
    <w:rsid w:val="00D36333"/>
    <w:rsid w:val="00D37C36"/>
    <w:rsid w:val="00D42454"/>
    <w:rsid w:val="00D428B3"/>
    <w:rsid w:val="00D44D21"/>
    <w:rsid w:val="00D46A7B"/>
    <w:rsid w:val="00D503B7"/>
    <w:rsid w:val="00D50C9B"/>
    <w:rsid w:val="00D52FA6"/>
    <w:rsid w:val="00D5385C"/>
    <w:rsid w:val="00D5491C"/>
    <w:rsid w:val="00D549BF"/>
    <w:rsid w:val="00D551E1"/>
    <w:rsid w:val="00D55763"/>
    <w:rsid w:val="00D55F66"/>
    <w:rsid w:val="00D5708A"/>
    <w:rsid w:val="00D576B5"/>
    <w:rsid w:val="00D57849"/>
    <w:rsid w:val="00D60439"/>
    <w:rsid w:val="00D6199A"/>
    <w:rsid w:val="00D64BE6"/>
    <w:rsid w:val="00D6661E"/>
    <w:rsid w:val="00D66692"/>
    <w:rsid w:val="00D7026C"/>
    <w:rsid w:val="00D70EB2"/>
    <w:rsid w:val="00D715EF"/>
    <w:rsid w:val="00D75924"/>
    <w:rsid w:val="00D75DD0"/>
    <w:rsid w:val="00D7602E"/>
    <w:rsid w:val="00D76996"/>
    <w:rsid w:val="00D83B82"/>
    <w:rsid w:val="00D846C2"/>
    <w:rsid w:val="00D85D3F"/>
    <w:rsid w:val="00D87479"/>
    <w:rsid w:val="00D87624"/>
    <w:rsid w:val="00D9150D"/>
    <w:rsid w:val="00D91854"/>
    <w:rsid w:val="00D92B42"/>
    <w:rsid w:val="00D951E1"/>
    <w:rsid w:val="00D961F2"/>
    <w:rsid w:val="00D97687"/>
    <w:rsid w:val="00D9775E"/>
    <w:rsid w:val="00DA07D8"/>
    <w:rsid w:val="00DA1610"/>
    <w:rsid w:val="00DA1A11"/>
    <w:rsid w:val="00DA1BEF"/>
    <w:rsid w:val="00DA28A8"/>
    <w:rsid w:val="00DA3143"/>
    <w:rsid w:val="00DA4EAE"/>
    <w:rsid w:val="00DA6854"/>
    <w:rsid w:val="00DA6D4F"/>
    <w:rsid w:val="00DA6FB4"/>
    <w:rsid w:val="00DA7AC3"/>
    <w:rsid w:val="00DB10A8"/>
    <w:rsid w:val="00DB4C98"/>
    <w:rsid w:val="00DB4F1B"/>
    <w:rsid w:val="00DB50EA"/>
    <w:rsid w:val="00DB584E"/>
    <w:rsid w:val="00DB69D9"/>
    <w:rsid w:val="00DC235D"/>
    <w:rsid w:val="00DC32EC"/>
    <w:rsid w:val="00DC39E1"/>
    <w:rsid w:val="00DC4099"/>
    <w:rsid w:val="00DC4790"/>
    <w:rsid w:val="00DC6737"/>
    <w:rsid w:val="00DD06D6"/>
    <w:rsid w:val="00DD0BA0"/>
    <w:rsid w:val="00DD7648"/>
    <w:rsid w:val="00DD7B40"/>
    <w:rsid w:val="00DE117E"/>
    <w:rsid w:val="00DE1987"/>
    <w:rsid w:val="00DE25CC"/>
    <w:rsid w:val="00DE36CF"/>
    <w:rsid w:val="00DE42BA"/>
    <w:rsid w:val="00DE50C2"/>
    <w:rsid w:val="00DE566F"/>
    <w:rsid w:val="00DE5DF9"/>
    <w:rsid w:val="00DE5E0C"/>
    <w:rsid w:val="00DE60EA"/>
    <w:rsid w:val="00DF0728"/>
    <w:rsid w:val="00DF1ADC"/>
    <w:rsid w:val="00DF2249"/>
    <w:rsid w:val="00DF2CE5"/>
    <w:rsid w:val="00DF30D5"/>
    <w:rsid w:val="00DF363A"/>
    <w:rsid w:val="00DF4173"/>
    <w:rsid w:val="00DF61C8"/>
    <w:rsid w:val="00DF6323"/>
    <w:rsid w:val="00DF6B26"/>
    <w:rsid w:val="00DF744E"/>
    <w:rsid w:val="00E00258"/>
    <w:rsid w:val="00E01B7C"/>
    <w:rsid w:val="00E01F36"/>
    <w:rsid w:val="00E054BA"/>
    <w:rsid w:val="00E05967"/>
    <w:rsid w:val="00E06F9F"/>
    <w:rsid w:val="00E07E24"/>
    <w:rsid w:val="00E10D3F"/>
    <w:rsid w:val="00E11210"/>
    <w:rsid w:val="00E121DD"/>
    <w:rsid w:val="00E1675C"/>
    <w:rsid w:val="00E16977"/>
    <w:rsid w:val="00E16BE1"/>
    <w:rsid w:val="00E17DAB"/>
    <w:rsid w:val="00E20628"/>
    <w:rsid w:val="00E2103B"/>
    <w:rsid w:val="00E22A07"/>
    <w:rsid w:val="00E26003"/>
    <w:rsid w:val="00E27319"/>
    <w:rsid w:val="00E273FF"/>
    <w:rsid w:val="00E27B91"/>
    <w:rsid w:val="00E30FE2"/>
    <w:rsid w:val="00E37BA9"/>
    <w:rsid w:val="00E4238F"/>
    <w:rsid w:val="00E42411"/>
    <w:rsid w:val="00E42C8A"/>
    <w:rsid w:val="00E43965"/>
    <w:rsid w:val="00E43E3B"/>
    <w:rsid w:val="00E4452C"/>
    <w:rsid w:val="00E453F8"/>
    <w:rsid w:val="00E4582E"/>
    <w:rsid w:val="00E46611"/>
    <w:rsid w:val="00E46AB8"/>
    <w:rsid w:val="00E473B3"/>
    <w:rsid w:val="00E5330F"/>
    <w:rsid w:val="00E54185"/>
    <w:rsid w:val="00E55ABA"/>
    <w:rsid w:val="00E5728A"/>
    <w:rsid w:val="00E60751"/>
    <w:rsid w:val="00E6169B"/>
    <w:rsid w:val="00E62B36"/>
    <w:rsid w:val="00E62DF5"/>
    <w:rsid w:val="00E62F69"/>
    <w:rsid w:val="00E6369F"/>
    <w:rsid w:val="00E647C8"/>
    <w:rsid w:val="00E672CB"/>
    <w:rsid w:val="00E70F0A"/>
    <w:rsid w:val="00E715E7"/>
    <w:rsid w:val="00E71F0F"/>
    <w:rsid w:val="00E731D7"/>
    <w:rsid w:val="00E74ACE"/>
    <w:rsid w:val="00E77C06"/>
    <w:rsid w:val="00E81A64"/>
    <w:rsid w:val="00E831F7"/>
    <w:rsid w:val="00E835D7"/>
    <w:rsid w:val="00E855E0"/>
    <w:rsid w:val="00E860B7"/>
    <w:rsid w:val="00E86259"/>
    <w:rsid w:val="00E8780D"/>
    <w:rsid w:val="00E9358B"/>
    <w:rsid w:val="00E95103"/>
    <w:rsid w:val="00E956B3"/>
    <w:rsid w:val="00E95DB8"/>
    <w:rsid w:val="00E95E3B"/>
    <w:rsid w:val="00E971BB"/>
    <w:rsid w:val="00E97527"/>
    <w:rsid w:val="00EA2442"/>
    <w:rsid w:val="00EA5A9E"/>
    <w:rsid w:val="00EA6556"/>
    <w:rsid w:val="00EA6842"/>
    <w:rsid w:val="00EB063E"/>
    <w:rsid w:val="00EB068F"/>
    <w:rsid w:val="00EB4C26"/>
    <w:rsid w:val="00EB5127"/>
    <w:rsid w:val="00EB53F2"/>
    <w:rsid w:val="00EB7803"/>
    <w:rsid w:val="00EC0295"/>
    <w:rsid w:val="00EC0454"/>
    <w:rsid w:val="00EC19FA"/>
    <w:rsid w:val="00EC5F86"/>
    <w:rsid w:val="00ED0940"/>
    <w:rsid w:val="00ED25CE"/>
    <w:rsid w:val="00ED3A55"/>
    <w:rsid w:val="00ED402C"/>
    <w:rsid w:val="00ED468F"/>
    <w:rsid w:val="00ED6D9F"/>
    <w:rsid w:val="00EE0ACF"/>
    <w:rsid w:val="00EE37DE"/>
    <w:rsid w:val="00EE3E7F"/>
    <w:rsid w:val="00EE455E"/>
    <w:rsid w:val="00EE67C5"/>
    <w:rsid w:val="00EE788D"/>
    <w:rsid w:val="00EF18EF"/>
    <w:rsid w:val="00EF2A15"/>
    <w:rsid w:val="00EF3070"/>
    <w:rsid w:val="00EF4031"/>
    <w:rsid w:val="00EF6BDC"/>
    <w:rsid w:val="00F00728"/>
    <w:rsid w:val="00F01FF7"/>
    <w:rsid w:val="00F05784"/>
    <w:rsid w:val="00F05908"/>
    <w:rsid w:val="00F1076B"/>
    <w:rsid w:val="00F10D71"/>
    <w:rsid w:val="00F11B9B"/>
    <w:rsid w:val="00F11D20"/>
    <w:rsid w:val="00F120D0"/>
    <w:rsid w:val="00F13E0D"/>
    <w:rsid w:val="00F14467"/>
    <w:rsid w:val="00F20B6E"/>
    <w:rsid w:val="00F20FF5"/>
    <w:rsid w:val="00F248EC"/>
    <w:rsid w:val="00F24BCF"/>
    <w:rsid w:val="00F24C64"/>
    <w:rsid w:val="00F2639B"/>
    <w:rsid w:val="00F26509"/>
    <w:rsid w:val="00F276EE"/>
    <w:rsid w:val="00F31355"/>
    <w:rsid w:val="00F3255F"/>
    <w:rsid w:val="00F3374F"/>
    <w:rsid w:val="00F3510E"/>
    <w:rsid w:val="00F357F3"/>
    <w:rsid w:val="00F35B8D"/>
    <w:rsid w:val="00F373DC"/>
    <w:rsid w:val="00F37EF3"/>
    <w:rsid w:val="00F402E8"/>
    <w:rsid w:val="00F403D6"/>
    <w:rsid w:val="00F40782"/>
    <w:rsid w:val="00F42204"/>
    <w:rsid w:val="00F422EF"/>
    <w:rsid w:val="00F42894"/>
    <w:rsid w:val="00F45CF2"/>
    <w:rsid w:val="00F4743F"/>
    <w:rsid w:val="00F47B25"/>
    <w:rsid w:val="00F5077E"/>
    <w:rsid w:val="00F51346"/>
    <w:rsid w:val="00F5199A"/>
    <w:rsid w:val="00F5235B"/>
    <w:rsid w:val="00F54947"/>
    <w:rsid w:val="00F5495A"/>
    <w:rsid w:val="00F54F7B"/>
    <w:rsid w:val="00F560DC"/>
    <w:rsid w:val="00F56916"/>
    <w:rsid w:val="00F56AD0"/>
    <w:rsid w:val="00F56CB1"/>
    <w:rsid w:val="00F613E9"/>
    <w:rsid w:val="00F625D0"/>
    <w:rsid w:val="00F63F85"/>
    <w:rsid w:val="00F65819"/>
    <w:rsid w:val="00F66863"/>
    <w:rsid w:val="00F66DAA"/>
    <w:rsid w:val="00F71182"/>
    <w:rsid w:val="00F72D23"/>
    <w:rsid w:val="00F73E47"/>
    <w:rsid w:val="00F7451D"/>
    <w:rsid w:val="00F74CB0"/>
    <w:rsid w:val="00F75495"/>
    <w:rsid w:val="00F765EB"/>
    <w:rsid w:val="00F81CE4"/>
    <w:rsid w:val="00F82354"/>
    <w:rsid w:val="00F8498C"/>
    <w:rsid w:val="00F8673B"/>
    <w:rsid w:val="00F868E5"/>
    <w:rsid w:val="00F90159"/>
    <w:rsid w:val="00F908F8"/>
    <w:rsid w:val="00F91491"/>
    <w:rsid w:val="00F92442"/>
    <w:rsid w:val="00F926C8"/>
    <w:rsid w:val="00F97C22"/>
    <w:rsid w:val="00F97D2D"/>
    <w:rsid w:val="00FA05A4"/>
    <w:rsid w:val="00FA0BA3"/>
    <w:rsid w:val="00FA0C92"/>
    <w:rsid w:val="00FA30C2"/>
    <w:rsid w:val="00FA4191"/>
    <w:rsid w:val="00FA63B6"/>
    <w:rsid w:val="00FA7135"/>
    <w:rsid w:val="00FA784C"/>
    <w:rsid w:val="00FB06E1"/>
    <w:rsid w:val="00FB0CA2"/>
    <w:rsid w:val="00FB3095"/>
    <w:rsid w:val="00FB6912"/>
    <w:rsid w:val="00FC00DD"/>
    <w:rsid w:val="00FC1247"/>
    <w:rsid w:val="00FC1C66"/>
    <w:rsid w:val="00FC3CD4"/>
    <w:rsid w:val="00FC5E1E"/>
    <w:rsid w:val="00FC68BF"/>
    <w:rsid w:val="00FC7CAC"/>
    <w:rsid w:val="00FD14D0"/>
    <w:rsid w:val="00FD1B30"/>
    <w:rsid w:val="00FD284B"/>
    <w:rsid w:val="00FD295C"/>
    <w:rsid w:val="00FD3D3E"/>
    <w:rsid w:val="00FD5051"/>
    <w:rsid w:val="00FD5438"/>
    <w:rsid w:val="00FD5958"/>
    <w:rsid w:val="00FD5A0F"/>
    <w:rsid w:val="00FD756D"/>
    <w:rsid w:val="00FD7972"/>
    <w:rsid w:val="00FE059A"/>
    <w:rsid w:val="00FE0781"/>
    <w:rsid w:val="00FE29AF"/>
    <w:rsid w:val="00FE3181"/>
    <w:rsid w:val="00FE54AE"/>
    <w:rsid w:val="00FF2339"/>
    <w:rsid w:val="00FF2430"/>
    <w:rsid w:val="00FF26B9"/>
    <w:rsid w:val="00FF33AA"/>
    <w:rsid w:val="00FF371D"/>
    <w:rsid w:val="00FF637D"/>
    <w:rsid w:val="00FF64CF"/>
    <w:rsid w:val="00FF6B5D"/>
    <w:rsid w:val="00FF76AC"/>
    <w:rsid w:val="00FF7C33"/>
  </w:rsids>
  <m:mathPr>
    <m:mathFont m:val="Cambria Math"/>
    <m:brkBin m:val="before"/>
    <m:brkBinSub m:val="--"/>
    <m:smallFrac m:val="off"/>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6977"/>
    <o:shapelayout v:ext="edit">
      <o:idmap v:ext="edit" data="1"/>
      <o:rules v:ext="edit">
        <o:r id="V:Rule5" type="connector" idref="#_x0000_s1228"/>
        <o:r id="V:Rule6" type="connector" idref="#_x0000_s1117"/>
        <o:r id="V:Rule7" type="connector" idref="#_x0000_s1114"/>
        <o:r id="V:Rule8" type="connector" idref="#_x0000_s1113"/>
      </o:rules>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AU" w:eastAsia="en-AU"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semiHidden="1" w:unhideWhenUsed="1" w:qFormat="1"/>
    <w:lsdException w:name="toc 1" w:uiPriority="39"/>
    <w:lsdException w:name="toc 2" w:uiPriority="39"/>
    <w:lsdException w:name="annotation text" w:uiPriority="99"/>
    <w:lsdException w:name="header" w:uiPriority="99"/>
    <w:lsdException w:name="caption" w:qFormat="1"/>
    <w:lsdException w:name="annotation reference" w:uiPriority="99"/>
    <w:lsdException w:name="Title" w:qFormat="1"/>
    <w:lsdException w:name="Body Text" w:uiPriority="99"/>
    <w:lsdException w:name="Subtitle" w:qFormat="1"/>
    <w:lsdException w:name="Hyperlink" w:uiPriority="99"/>
    <w:lsdException w:name="Strong" w:qFormat="1"/>
    <w:lsdException w:name="Emphasis" w:uiPriority="20"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EC5F86"/>
    <w:pPr>
      <w:spacing w:after="240" w:line="260" w:lineRule="exact"/>
      <w:jc w:val="both"/>
    </w:pPr>
    <w:rPr>
      <w:rFonts w:ascii="Book Antiqua" w:hAnsi="Book Antiqua"/>
    </w:rPr>
  </w:style>
  <w:style w:type="paragraph" w:styleId="Heading1">
    <w:name w:val="heading 1"/>
    <w:basedOn w:val="HeadingBase"/>
    <w:next w:val="Normal"/>
    <w:qFormat/>
    <w:rsid w:val="00B1274F"/>
    <w:pPr>
      <w:keepNext w:val="0"/>
      <w:jc w:val="center"/>
      <w:outlineLvl w:val="0"/>
    </w:pPr>
    <w:rPr>
      <w:b/>
      <w:smallCaps/>
      <w:kern w:val="28"/>
      <w:sz w:val="52"/>
    </w:rPr>
  </w:style>
  <w:style w:type="paragraph" w:styleId="Heading2">
    <w:name w:val="heading 2"/>
    <w:basedOn w:val="HeadingBase"/>
    <w:next w:val="Normal"/>
    <w:qFormat/>
    <w:rsid w:val="004F1756"/>
    <w:pPr>
      <w:keepNext w:val="0"/>
      <w:spacing w:after="360"/>
      <w:jc w:val="center"/>
      <w:outlineLvl w:val="1"/>
    </w:pPr>
    <w:rPr>
      <w:rFonts w:ascii="Arial Bold" w:hAnsi="Arial Bold" w:cs="Arial"/>
      <w:b/>
      <w:smallCaps/>
      <w:sz w:val="34"/>
      <w:szCs w:val="34"/>
    </w:rPr>
  </w:style>
  <w:style w:type="paragraph" w:styleId="Heading3">
    <w:name w:val="heading 3"/>
    <w:basedOn w:val="HeadingBase"/>
    <w:next w:val="Normal"/>
    <w:link w:val="Heading3Char"/>
    <w:qFormat/>
    <w:rsid w:val="008D2DD0"/>
    <w:pPr>
      <w:keepNext w:val="0"/>
      <w:tabs>
        <w:tab w:val="left" w:pos="709"/>
      </w:tabs>
      <w:spacing w:after="240"/>
      <w:outlineLvl w:val="2"/>
    </w:pPr>
    <w:rPr>
      <w:rFonts w:cs="Arial"/>
      <w:sz w:val="30"/>
      <w:szCs w:val="30"/>
    </w:rPr>
  </w:style>
  <w:style w:type="paragraph" w:styleId="Heading4">
    <w:name w:val="heading 4"/>
    <w:basedOn w:val="HeadingBase"/>
    <w:next w:val="Normal"/>
    <w:qFormat/>
    <w:rsid w:val="008D2DD0"/>
    <w:pPr>
      <w:keepNext w:val="0"/>
      <w:tabs>
        <w:tab w:val="left" w:pos="709"/>
      </w:tabs>
      <w:spacing w:before="240" w:after="240"/>
      <w:outlineLvl w:val="3"/>
    </w:pPr>
    <w:rPr>
      <w:rFonts w:cs="Arial"/>
      <w:b/>
      <w:smallCaps/>
      <w:sz w:val="26"/>
    </w:rPr>
  </w:style>
  <w:style w:type="paragraph" w:styleId="Heading5">
    <w:name w:val="heading 5"/>
    <w:basedOn w:val="HeadingBase"/>
    <w:next w:val="Normal"/>
    <w:link w:val="Heading5Char"/>
    <w:qFormat/>
    <w:rsid w:val="00E453F8"/>
    <w:pPr>
      <w:keepNext w:val="0"/>
      <w:spacing w:before="120" w:after="60"/>
      <w:outlineLvl w:val="4"/>
    </w:pPr>
    <w:rPr>
      <w:rFonts w:cs="Arial"/>
      <w:b/>
      <w:sz w:val="20"/>
    </w:rPr>
  </w:style>
  <w:style w:type="paragraph" w:styleId="Heading6">
    <w:name w:val="heading 6"/>
    <w:basedOn w:val="HeadingBase"/>
    <w:next w:val="Normal"/>
    <w:qFormat/>
    <w:rsid w:val="00EC5F86"/>
    <w:pPr>
      <w:spacing w:after="120"/>
      <w:outlineLvl w:val="5"/>
    </w:pPr>
    <w:rPr>
      <w:bCs/>
      <w:sz w:val="20"/>
      <w:szCs w:val="22"/>
    </w:rPr>
  </w:style>
  <w:style w:type="paragraph" w:styleId="Heading7">
    <w:name w:val="heading 7"/>
    <w:basedOn w:val="Heading6"/>
    <w:next w:val="Normal"/>
    <w:qFormat/>
    <w:rsid w:val="00A37DF9"/>
    <w:pPr>
      <w:keepNext w:val="0"/>
      <w:outlineLvl w:val="6"/>
    </w:pPr>
    <w:rPr>
      <w:b/>
      <w:bCs w:val="0"/>
      <w:sz w:val="22"/>
      <w:szCs w:val="20"/>
    </w:rPr>
  </w:style>
  <w:style w:type="paragraph" w:styleId="Heading8">
    <w:name w:val="heading 8"/>
    <w:basedOn w:val="HeadingBase"/>
    <w:next w:val="Normal"/>
    <w:qFormat/>
    <w:rsid w:val="00EC5F86"/>
    <w:pPr>
      <w:spacing w:before="240" w:after="60"/>
      <w:outlineLvl w:val="7"/>
    </w:pPr>
    <w:rPr>
      <w:rFonts w:ascii="Times New Roman" w:hAnsi="Times New Roman"/>
      <w:i/>
      <w:iCs/>
      <w:sz w:val="16"/>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Paragraph">
    <w:name w:val="Single Paragraph"/>
    <w:basedOn w:val="Normal"/>
    <w:rsid w:val="00EC5F86"/>
    <w:pPr>
      <w:spacing w:after="0"/>
    </w:pPr>
  </w:style>
  <w:style w:type="paragraph" w:customStyle="1" w:styleId="Exampletext">
    <w:name w:val="Example text"/>
    <w:basedOn w:val="Normal"/>
    <w:link w:val="ExampletextCharChar"/>
    <w:rsid w:val="00EC5F86"/>
    <w:rPr>
      <w:i/>
      <w:color w:val="FF0000"/>
    </w:rPr>
  </w:style>
  <w:style w:type="paragraph" w:customStyle="1" w:styleId="ChartSecondHeading">
    <w:name w:val="Chart Second Heading"/>
    <w:basedOn w:val="HeadingBase"/>
    <w:next w:val="ChartGraphic"/>
    <w:rsid w:val="00EC5F86"/>
    <w:pPr>
      <w:spacing w:before="60"/>
      <w:jc w:val="center"/>
    </w:pPr>
    <w:rPr>
      <w:sz w:val="20"/>
    </w:rPr>
  </w:style>
  <w:style w:type="paragraph" w:customStyle="1" w:styleId="TableHeading">
    <w:name w:val="Table Heading"/>
    <w:basedOn w:val="HeadingBase"/>
    <w:next w:val="TableGraphic"/>
    <w:link w:val="TableHeadingChar"/>
    <w:rsid w:val="00EC5F86"/>
    <w:pPr>
      <w:spacing w:before="120" w:after="20"/>
    </w:pPr>
    <w:rPr>
      <w:b/>
    </w:rPr>
  </w:style>
  <w:style w:type="paragraph" w:customStyle="1" w:styleId="HeadingBase">
    <w:name w:val="Heading Base"/>
    <w:link w:val="HeadingBaseChar"/>
    <w:rsid w:val="00EC5F86"/>
    <w:pPr>
      <w:keepNext/>
    </w:pPr>
    <w:rPr>
      <w:rFonts w:ascii="Arial" w:hAnsi="Arial"/>
      <w:sz w:val="24"/>
    </w:rPr>
  </w:style>
  <w:style w:type="paragraph" w:customStyle="1" w:styleId="AlphaParagraph">
    <w:name w:val="Alpha Paragraph"/>
    <w:basedOn w:val="Normal"/>
    <w:rsid w:val="00EC5F86"/>
    <w:pPr>
      <w:numPr>
        <w:numId w:val="1"/>
      </w:numPr>
    </w:pPr>
  </w:style>
  <w:style w:type="paragraph" w:customStyle="1" w:styleId="Bullet">
    <w:name w:val="Bullet"/>
    <w:basedOn w:val="Normal"/>
    <w:link w:val="BulletChar"/>
    <w:rsid w:val="00EC5F86"/>
    <w:pPr>
      <w:numPr>
        <w:numId w:val="2"/>
      </w:numPr>
    </w:pPr>
  </w:style>
  <w:style w:type="paragraph" w:customStyle="1" w:styleId="Dash">
    <w:name w:val="Dash"/>
    <w:basedOn w:val="Normal"/>
    <w:rsid w:val="00EC5F86"/>
    <w:pPr>
      <w:numPr>
        <w:ilvl w:val="1"/>
        <w:numId w:val="2"/>
      </w:numPr>
    </w:pPr>
  </w:style>
  <w:style w:type="paragraph" w:customStyle="1" w:styleId="DoubleDot">
    <w:name w:val="Double Dot"/>
    <w:basedOn w:val="Normal"/>
    <w:rsid w:val="00EC5F86"/>
    <w:pPr>
      <w:numPr>
        <w:ilvl w:val="2"/>
        <w:numId w:val="2"/>
      </w:numPr>
    </w:pPr>
  </w:style>
  <w:style w:type="paragraph" w:customStyle="1" w:styleId="AppendixHeading">
    <w:name w:val="Appendix Heading"/>
    <w:basedOn w:val="HeadingBase"/>
    <w:semiHidden/>
    <w:rsid w:val="00EC5F86"/>
    <w:pPr>
      <w:spacing w:after="240"/>
      <w:jc w:val="center"/>
      <w:outlineLvl w:val="3"/>
    </w:pPr>
    <w:rPr>
      <w:b/>
      <w:smallCaps/>
      <w:sz w:val="30"/>
    </w:rPr>
  </w:style>
  <w:style w:type="paragraph" w:customStyle="1" w:styleId="BoxText">
    <w:name w:val="Box Text"/>
    <w:basedOn w:val="BoxTextBase"/>
    <w:rsid w:val="00EC5F86"/>
    <w:pPr>
      <w:spacing w:line="240" w:lineRule="auto"/>
    </w:pPr>
  </w:style>
  <w:style w:type="paragraph" w:customStyle="1" w:styleId="BoxHeading">
    <w:name w:val="Box Heading"/>
    <w:basedOn w:val="HeadingBase"/>
    <w:next w:val="BoxText"/>
    <w:rsid w:val="00EC5F86"/>
    <w:pPr>
      <w:spacing w:before="120" w:after="120"/>
    </w:pPr>
    <w:rPr>
      <w:b/>
      <w:sz w:val="20"/>
    </w:rPr>
  </w:style>
  <w:style w:type="paragraph" w:customStyle="1" w:styleId="ChartandTableFootnoteAlpha">
    <w:name w:val="Chart and Table Footnote Alpha"/>
    <w:basedOn w:val="HeadingBase"/>
    <w:next w:val="Normal"/>
    <w:rsid w:val="00EC5F86"/>
    <w:pPr>
      <w:numPr>
        <w:numId w:val="4"/>
      </w:numPr>
      <w:jc w:val="both"/>
    </w:pPr>
    <w:rPr>
      <w:sz w:val="16"/>
    </w:rPr>
  </w:style>
  <w:style w:type="paragraph" w:customStyle="1" w:styleId="ChartandTableFootnoteAlphaSmall">
    <w:name w:val="Chart and Table Footnote Alpha Small"/>
    <w:basedOn w:val="HeadingBase"/>
    <w:next w:val="Normal"/>
    <w:rsid w:val="00EC5F86"/>
    <w:pPr>
      <w:numPr>
        <w:numId w:val="3"/>
      </w:numPr>
      <w:jc w:val="both"/>
    </w:pPr>
    <w:rPr>
      <w:sz w:val="15"/>
    </w:rPr>
  </w:style>
  <w:style w:type="paragraph" w:customStyle="1" w:styleId="ChartandTableFootnote">
    <w:name w:val="Chart and Table Footnote"/>
    <w:basedOn w:val="HeadingBase"/>
    <w:next w:val="Normal"/>
    <w:link w:val="ChartandTableFootnoteChar"/>
    <w:rsid w:val="00EC5F86"/>
    <w:pPr>
      <w:tabs>
        <w:tab w:val="left" w:pos="284"/>
      </w:tabs>
      <w:ind w:left="284" w:hanging="284"/>
      <w:jc w:val="both"/>
    </w:pPr>
    <w:rPr>
      <w:sz w:val="16"/>
    </w:rPr>
  </w:style>
  <w:style w:type="paragraph" w:customStyle="1" w:styleId="ChartandTableFootnoteSmall">
    <w:name w:val="Chart and Table Footnote Small"/>
    <w:basedOn w:val="HeadingBase"/>
    <w:next w:val="Normal"/>
    <w:rsid w:val="00EC5F86"/>
    <w:pPr>
      <w:tabs>
        <w:tab w:val="left" w:pos="284"/>
      </w:tabs>
      <w:jc w:val="both"/>
    </w:pPr>
    <w:rPr>
      <w:sz w:val="15"/>
    </w:rPr>
  </w:style>
  <w:style w:type="paragraph" w:customStyle="1" w:styleId="BoxBullet">
    <w:name w:val="Box Bullet"/>
    <w:basedOn w:val="BoxText"/>
    <w:rsid w:val="00EC5F86"/>
    <w:pPr>
      <w:numPr>
        <w:numId w:val="7"/>
      </w:numPr>
    </w:pPr>
  </w:style>
  <w:style w:type="paragraph" w:customStyle="1" w:styleId="ChartGraphic">
    <w:name w:val="Chart Graphic"/>
    <w:basedOn w:val="HeadingBase"/>
    <w:rsid w:val="00EC5F86"/>
    <w:pPr>
      <w:jc w:val="center"/>
    </w:pPr>
    <w:rPr>
      <w:sz w:val="20"/>
    </w:rPr>
  </w:style>
  <w:style w:type="paragraph" w:customStyle="1" w:styleId="ContentsHeading">
    <w:name w:val="Contents Heading"/>
    <w:basedOn w:val="HeadingBase"/>
    <w:next w:val="Normal"/>
    <w:rsid w:val="00EC5F86"/>
    <w:pPr>
      <w:spacing w:after="360"/>
      <w:jc w:val="center"/>
    </w:pPr>
    <w:rPr>
      <w:b/>
      <w:smallCaps/>
      <w:sz w:val="34"/>
    </w:rPr>
  </w:style>
  <w:style w:type="paragraph" w:customStyle="1" w:styleId="FigureHeading">
    <w:name w:val="Figure Heading"/>
    <w:basedOn w:val="HeadingBase"/>
    <w:next w:val="ChartGraphic"/>
    <w:rsid w:val="00EC5F86"/>
    <w:pPr>
      <w:spacing w:after="120"/>
      <w:jc w:val="center"/>
    </w:pPr>
    <w:rPr>
      <w:b/>
      <w:sz w:val="20"/>
    </w:rPr>
  </w:style>
  <w:style w:type="paragraph" w:customStyle="1" w:styleId="Classification">
    <w:name w:val="Classification"/>
    <w:basedOn w:val="HeadingBase"/>
    <w:rsid w:val="00EC5F86"/>
    <w:pPr>
      <w:jc w:val="center"/>
    </w:pPr>
    <w:rPr>
      <w:b/>
      <w:smallCaps/>
    </w:rPr>
  </w:style>
  <w:style w:type="character" w:customStyle="1" w:styleId="HiddenSequenceCode">
    <w:name w:val="Hidden Sequence Code"/>
    <w:semiHidden/>
    <w:rsid w:val="00EC5F86"/>
    <w:rPr>
      <w:rFonts w:ascii="Times New Roman" w:hAnsi="Times New Roman"/>
      <w:vanish/>
      <w:sz w:val="16"/>
    </w:rPr>
  </w:style>
  <w:style w:type="paragraph" w:customStyle="1" w:styleId="OverviewParagraph">
    <w:name w:val="Overview Paragraph"/>
    <w:basedOn w:val="Normal"/>
    <w:semiHidden/>
    <w:rsid w:val="00EC5F86"/>
    <w:pPr>
      <w:spacing w:before="120" w:after="120" w:line="240" w:lineRule="auto"/>
    </w:pPr>
  </w:style>
  <w:style w:type="paragraph" w:customStyle="1" w:styleId="TableGraphic">
    <w:name w:val="Table Graphic"/>
    <w:basedOn w:val="Normal"/>
    <w:next w:val="Normal"/>
    <w:rsid w:val="00EC5F86"/>
    <w:pPr>
      <w:spacing w:after="0" w:line="240" w:lineRule="auto"/>
      <w:ind w:right="-113"/>
    </w:pPr>
  </w:style>
  <w:style w:type="paragraph" w:customStyle="1" w:styleId="NoteTableHeading">
    <w:name w:val="Note Table Heading"/>
    <w:basedOn w:val="HeadingBase"/>
    <w:next w:val="TableGraphic"/>
    <w:semiHidden/>
    <w:rsid w:val="00EC5F86"/>
    <w:pPr>
      <w:spacing w:before="240"/>
    </w:pPr>
    <w:rPr>
      <w:b/>
      <w:sz w:val="20"/>
    </w:rPr>
  </w:style>
  <w:style w:type="paragraph" w:customStyle="1" w:styleId="Source">
    <w:name w:val="Source"/>
    <w:basedOn w:val="Normal"/>
    <w:rsid w:val="00EC5F86"/>
    <w:pPr>
      <w:tabs>
        <w:tab w:val="left" w:pos="284"/>
      </w:tabs>
      <w:spacing w:after="0" w:line="240" w:lineRule="auto"/>
    </w:pPr>
    <w:rPr>
      <w:rFonts w:ascii="Arial" w:hAnsi="Arial"/>
      <w:sz w:val="16"/>
    </w:rPr>
  </w:style>
  <w:style w:type="paragraph" w:customStyle="1" w:styleId="TableTextBase">
    <w:name w:val="Table Text Base"/>
    <w:basedOn w:val="Normal"/>
    <w:link w:val="TableTextBaseChar"/>
    <w:rsid w:val="00EC5F86"/>
    <w:pPr>
      <w:spacing w:before="60" w:after="60" w:line="240" w:lineRule="auto"/>
      <w:jc w:val="left"/>
    </w:pPr>
    <w:rPr>
      <w:rFonts w:ascii="Arial" w:hAnsi="Arial"/>
      <w:sz w:val="18"/>
    </w:rPr>
  </w:style>
  <w:style w:type="paragraph" w:customStyle="1" w:styleId="TableColumnHeadingBase">
    <w:name w:val="Table Column Heading Base"/>
    <w:basedOn w:val="Normal"/>
    <w:rsid w:val="00EC5F86"/>
    <w:pPr>
      <w:spacing w:before="60" w:after="60" w:line="240" w:lineRule="auto"/>
      <w:jc w:val="left"/>
    </w:pPr>
    <w:rPr>
      <w:rFonts w:ascii="Arial" w:hAnsi="Arial"/>
      <w:b/>
    </w:rPr>
  </w:style>
  <w:style w:type="paragraph" w:customStyle="1" w:styleId="TableTextLeft">
    <w:name w:val="Table Text Left"/>
    <w:basedOn w:val="TableTextBase"/>
    <w:link w:val="TableTextLeftChar"/>
    <w:rsid w:val="00EC5F86"/>
  </w:style>
  <w:style w:type="paragraph" w:customStyle="1" w:styleId="TableTextRight">
    <w:name w:val="Table Text Right"/>
    <w:basedOn w:val="TableTextBase"/>
    <w:rsid w:val="00EC5F86"/>
    <w:pPr>
      <w:jc w:val="right"/>
    </w:pPr>
  </w:style>
  <w:style w:type="paragraph" w:customStyle="1" w:styleId="TableTextCentred">
    <w:name w:val="Table Text Centred"/>
    <w:basedOn w:val="TableTextBase"/>
    <w:rsid w:val="00EC5F86"/>
    <w:pPr>
      <w:jc w:val="center"/>
    </w:pPr>
  </w:style>
  <w:style w:type="paragraph" w:customStyle="1" w:styleId="TableTextIndented">
    <w:name w:val="Table Text Indented"/>
    <w:basedOn w:val="TableTextBase"/>
    <w:rsid w:val="00EC5F86"/>
    <w:pPr>
      <w:ind w:left="284"/>
    </w:pPr>
  </w:style>
  <w:style w:type="paragraph" w:customStyle="1" w:styleId="TableColumnHeadingLeft">
    <w:name w:val="Table Column Heading Left"/>
    <w:basedOn w:val="TableColumnHeadingBase"/>
    <w:next w:val="TableTextLeft"/>
    <w:rsid w:val="00EC5F86"/>
  </w:style>
  <w:style w:type="paragraph" w:customStyle="1" w:styleId="TableColumnHeadingRight">
    <w:name w:val="Table Column Heading Right"/>
    <w:basedOn w:val="TableColumnHeadingBase"/>
    <w:next w:val="TableTextRight"/>
    <w:rsid w:val="00EC5F86"/>
    <w:pPr>
      <w:jc w:val="right"/>
    </w:pPr>
  </w:style>
  <w:style w:type="paragraph" w:customStyle="1" w:styleId="TableColumnHeadingCentred">
    <w:name w:val="Table Column Heading Centred"/>
    <w:basedOn w:val="TableColumnHeadingBase"/>
    <w:next w:val="TableTextLeft"/>
    <w:rsid w:val="00EC5F86"/>
    <w:pPr>
      <w:jc w:val="center"/>
    </w:pPr>
  </w:style>
  <w:style w:type="paragraph" w:customStyle="1" w:styleId="Exampletextbullet">
    <w:name w:val="Example text bullet"/>
    <w:basedOn w:val="Exampletext"/>
    <w:rsid w:val="00EC5F86"/>
    <w:pPr>
      <w:numPr>
        <w:numId w:val="5"/>
      </w:numPr>
    </w:pPr>
  </w:style>
  <w:style w:type="paragraph" w:styleId="Title">
    <w:name w:val="Title"/>
    <w:basedOn w:val="Department"/>
    <w:qFormat/>
    <w:rsid w:val="005B4B12"/>
  </w:style>
  <w:style w:type="paragraph" w:customStyle="1" w:styleId="TableHeadingcontinued">
    <w:name w:val="Table Heading continued"/>
    <w:basedOn w:val="HeadingBase"/>
    <w:next w:val="TableGraphic"/>
    <w:rsid w:val="00EC5F86"/>
    <w:pPr>
      <w:spacing w:before="120" w:after="20"/>
    </w:pPr>
    <w:rPr>
      <w:rFonts w:ascii="Arial Bold" w:hAnsi="Arial Bold"/>
      <w:b/>
      <w:sz w:val="20"/>
    </w:rPr>
  </w:style>
  <w:style w:type="paragraph" w:customStyle="1" w:styleId="TPHeading1">
    <w:name w:val="TP Heading 1"/>
    <w:basedOn w:val="HeadingBase"/>
    <w:rsid w:val="00EC5F86"/>
    <w:rPr>
      <w:b/>
      <w:caps/>
      <w:sz w:val="52"/>
    </w:rPr>
  </w:style>
  <w:style w:type="paragraph" w:customStyle="1" w:styleId="TPHeading2">
    <w:name w:val="TP Heading 2"/>
    <w:basedOn w:val="HeadingBase"/>
    <w:rsid w:val="0032738E"/>
    <w:pPr>
      <w:jc w:val="center"/>
    </w:pPr>
    <w:rPr>
      <w:rFonts w:ascii="Georgia" w:hAnsi="Georgia"/>
      <w:caps/>
    </w:rPr>
  </w:style>
  <w:style w:type="paragraph" w:customStyle="1" w:styleId="TPHeading3">
    <w:name w:val="TP Heading 3"/>
    <w:basedOn w:val="HeadingBase"/>
    <w:rsid w:val="0032738E"/>
    <w:rPr>
      <w:rFonts w:ascii="Georgia" w:hAnsi="Georgia"/>
      <w:caps/>
    </w:rPr>
  </w:style>
  <w:style w:type="paragraph" w:customStyle="1" w:styleId="HeaderBase">
    <w:name w:val="Header Base"/>
    <w:rsid w:val="00EC5F86"/>
    <w:rPr>
      <w:rFonts w:ascii="Book Antiqua" w:hAnsi="Book Antiqua"/>
      <w:i/>
    </w:rPr>
  </w:style>
  <w:style w:type="paragraph" w:customStyle="1" w:styleId="HeaderEven">
    <w:name w:val="Header Even"/>
    <w:basedOn w:val="HeaderBase"/>
    <w:rsid w:val="00EC5F86"/>
  </w:style>
  <w:style w:type="paragraph" w:customStyle="1" w:styleId="HeaderOdd">
    <w:name w:val="Header Odd"/>
    <w:basedOn w:val="HeaderBase"/>
    <w:rsid w:val="00EC5F86"/>
    <w:pPr>
      <w:jc w:val="right"/>
    </w:pPr>
  </w:style>
  <w:style w:type="paragraph" w:styleId="Header">
    <w:name w:val="header"/>
    <w:basedOn w:val="HeaderBase"/>
    <w:link w:val="HeaderChar"/>
    <w:uiPriority w:val="99"/>
    <w:rsid w:val="00EC5F86"/>
    <w:pPr>
      <w:tabs>
        <w:tab w:val="center" w:pos="4153"/>
        <w:tab w:val="right" w:pos="8306"/>
      </w:tabs>
    </w:pPr>
  </w:style>
  <w:style w:type="paragraph" w:customStyle="1" w:styleId="FooterBase">
    <w:name w:val="Footer Base"/>
    <w:rsid w:val="00EC5F86"/>
    <w:pPr>
      <w:jc w:val="center"/>
    </w:pPr>
    <w:rPr>
      <w:rFonts w:ascii="Arial" w:hAnsi="Arial"/>
    </w:rPr>
  </w:style>
  <w:style w:type="paragraph" w:styleId="Footer">
    <w:name w:val="footer"/>
    <w:basedOn w:val="FooterBase"/>
    <w:link w:val="FooterChar"/>
    <w:rsid w:val="00EC5F86"/>
    <w:pPr>
      <w:tabs>
        <w:tab w:val="center" w:pos="4153"/>
        <w:tab w:val="right" w:pos="8306"/>
      </w:tabs>
    </w:pPr>
  </w:style>
  <w:style w:type="paragraph" w:styleId="BalloonText">
    <w:name w:val="Balloon Text"/>
    <w:basedOn w:val="Normal"/>
    <w:semiHidden/>
    <w:rsid w:val="00EC5F86"/>
    <w:rPr>
      <w:rFonts w:ascii="Tahoma" w:hAnsi="Tahoma" w:cs="Tahoma"/>
      <w:sz w:val="16"/>
      <w:szCs w:val="16"/>
    </w:rPr>
  </w:style>
  <w:style w:type="paragraph" w:styleId="Caption">
    <w:name w:val="caption"/>
    <w:basedOn w:val="Normal"/>
    <w:next w:val="Normal"/>
    <w:qFormat/>
    <w:rsid w:val="00EC5F86"/>
    <w:rPr>
      <w:b/>
      <w:bCs/>
    </w:rPr>
  </w:style>
  <w:style w:type="character" w:styleId="CommentReference">
    <w:name w:val="annotation reference"/>
    <w:uiPriority w:val="99"/>
    <w:semiHidden/>
    <w:rsid w:val="00EC5F86"/>
    <w:rPr>
      <w:sz w:val="16"/>
      <w:szCs w:val="16"/>
    </w:rPr>
  </w:style>
  <w:style w:type="paragraph" w:styleId="CommentText">
    <w:name w:val="annotation text"/>
    <w:basedOn w:val="Normal"/>
    <w:link w:val="CommentTextChar"/>
    <w:uiPriority w:val="99"/>
    <w:rsid w:val="00EC5F86"/>
  </w:style>
  <w:style w:type="paragraph" w:styleId="CommentSubject">
    <w:name w:val="annotation subject"/>
    <w:basedOn w:val="CommentText"/>
    <w:next w:val="CommentText"/>
    <w:semiHidden/>
    <w:rsid w:val="00EC5F86"/>
    <w:rPr>
      <w:b/>
      <w:bCs/>
    </w:rPr>
  </w:style>
  <w:style w:type="paragraph" w:styleId="DocumentMap">
    <w:name w:val="Document Map"/>
    <w:basedOn w:val="Normal"/>
    <w:semiHidden/>
    <w:rsid w:val="00EC5F86"/>
    <w:pPr>
      <w:shd w:val="clear" w:color="auto" w:fill="000080"/>
    </w:pPr>
    <w:rPr>
      <w:rFonts w:ascii="Tahoma" w:hAnsi="Tahoma" w:cs="Tahoma"/>
    </w:rPr>
  </w:style>
  <w:style w:type="character" w:styleId="EndnoteReference">
    <w:name w:val="endnote reference"/>
    <w:semiHidden/>
    <w:rsid w:val="00EC5F86"/>
    <w:rPr>
      <w:vertAlign w:val="superscript"/>
    </w:rPr>
  </w:style>
  <w:style w:type="paragraph" w:styleId="EndnoteText">
    <w:name w:val="endnote text"/>
    <w:basedOn w:val="Normal"/>
    <w:semiHidden/>
    <w:rsid w:val="00EC5F86"/>
  </w:style>
  <w:style w:type="character" w:styleId="FootnoteReference">
    <w:name w:val="footnote reference"/>
    <w:rsid w:val="00EC5F86"/>
    <w:rPr>
      <w:vertAlign w:val="superscript"/>
    </w:rPr>
  </w:style>
  <w:style w:type="paragraph" w:styleId="FootnoteText">
    <w:name w:val="footnote text"/>
    <w:basedOn w:val="Normal"/>
    <w:rsid w:val="00EC5F86"/>
    <w:pPr>
      <w:tabs>
        <w:tab w:val="left" w:pos="284"/>
      </w:tabs>
      <w:spacing w:after="0" w:line="240" w:lineRule="auto"/>
      <w:ind w:left="284" w:hanging="284"/>
    </w:pPr>
    <w:rPr>
      <w:sz w:val="18"/>
    </w:rPr>
  </w:style>
  <w:style w:type="paragraph" w:styleId="Index1">
    <w:name w:val="index 1"/>
    <w:basedOn w:val="Normal"/>
    <w:next w:val="Normal"/>
    <w:autoRedefine/>
    <w:semiHidden/>
    <w:rsid w:val="00EC5F86"/>
    <w:pPr>
      <w:ind w:left="200" w:hanging="200"/>
    </w:pPr>
  </w:style>
  <w:style w:type="paragraph" w:styleId="Index2">
    <w:name w:val="index 2"/>
    <w:basedOn w:val="Normal"/>
    <w:next w:val="Normal"/>
    <w:autoRedefine/>
    <w:semiHidden/>
    <w:rsid w:val="00EC5F86"/>
    <w:pPr>
      <w:ind w:left="400" w:hanging="200"/>
    </w:pPr>
  </w:style>
  <w:style w:type="paragraph" w:styleId="Index3">
    <w:name w:val="index 3"/>
    <w:basedOn w:val="Normal"/>
    <w:next w:val="Normal"/>
    <w:autoRedefine/>
    <w:semiHidden/>
    <w:rsid w:val="00EC5F86"/>
    <w:pPr>
      <w:ind w:left="600" w:hanging="200"/>
    </w:pPr>
  </w:style>
  <w:style w:type="paragraph" w:styleId="Index4">
    <w:name w:val="index 4"/>
    <w:basedOn w:val="Normal"/>
    <w:next w:val="Normal"/>
    <w:autoRedefine/>
    <w:semiHidden/>
    <w:rsid w:val="00EC5F86"/>
    <w:pPr>
      <w:ind w:left="800" w:hanging="200"/>
    </w:pPr>
  </w:style>
  <w:style w:type="paragraph" w:styleId="Index5">
    <w:name w:val="index 5"/>
    <w:basedOn w:val="Normal"/>
    <w:next w:val="Normal"/>
    <w:autoRedefine/>
    <w:semiHidden/>
    <w:rsid w:val="00EC5F86"/>
    <w:pPr>
      <w:ind w:left="1000" w:hanging="200"/>
    </w:pPr>
  </w:style>
  <w:style w:type="paragraph" w:styleId="Index6">
    <w:name w:val="index 6"/>
    <w:basedOn w:val="Normal"/>
    <w:next w:val="Normal"/>
    <w:autoRedefine/>
    <w:semiHidden/>
    <w:rsid w:val="00EC5F86"/>
    <w:pPr>
      <w:ind w:left="1200" w:hanging="200"/>
    </w:pPr>
  </w:style>
  <w:style w:type="paragraph" w:styleId="Index7">
    <w:name w:val="index 7"/>
    <w:basedOn w:val="Normal"/>
    <w:next w:val="Normal"/>
    <w:autoRedefine/>
    <w:semiHidden/>
    <w:rsid w:val="00EC5F86"/>
    <w:pPr>
      <w:ind w:left="1400" w:hanging="200"/>
    </w:pPr>
  </w:style>
  <w:style w:type="paragraph" w:styleId="Index8">
    <w:name w:val="index 8"/>
    <w:basedOn w:val="Normal"/>
    <w:next w:val="Normal"/>
    <w:autoRedefine/>
    <w:semiHidden/>
    <w:rsid w:val="00EC5F86"/>
    <w:pPr>
      <w:ind w:left="1600" w:hanging="200"/>
    </w:pPr>
  </w:style>
  <w:style w:type="paragraph" w:styleId="Index9">
    <w:name w:val="index 9"/>
    <w:basedOn w:val="Normal"/>
    <w:next w:val="Normal"/>
    <w:autoRedefine/>
    <w:semiHidden/>
    <w:rsid w:val="00EC5F86"/>
    <w:pPr>
      <w:ind w:left="1800" w:hanging="200"/>
    </w:pPr>
  </w:style>
  <w:style w:type="paragraph" w:styleId="IndexHeading">
    <w:name w:val="index heading"/>
    <w:basedOn w:val="Normal"/>
    <w:next w:val="Index1"/>
    <w:semiHidden/>
    <w:rsid w:val="00EC5F86"/>
    <w:rPr>
      <w:rFonts w:ascii="Arial" w:hAnsi="Arial" w:cs="Arial"/>
      <w:b/>
      <w:bCs/>
    </w:rPr>
  </w:style>
  <w:style w:type="paragraph" w:styleId="MacroText">
    <w:name w:val="macro"/>
    <w:semiHidden/>
    <w:rsid w:val="00EC5F86"/>
    <w:pPr>
      <w:tabs>
        <w:tab w:val="left" w:pos="480"/>
        <w:tab w:val="left" w:pos="960"/>
        <w:tab w:val="left" w:pos="1440"/>
        <w:tab w:val="left" w:pos="1920"/>
        <w:tab w:val="left" w:pos="2400"/>
        <w:tab w:val="left" w:pos="2880"/>
        <w:tab w:val="left" w:pos="3360"/>
        <w:tab w:val="left" w:pos="3840"/>
        <w:tab w:val="left" w:pos="4320"/>
      </w:tabs>
      <w:spacing w:after="240" w:line="260" w:lineRule="exact"/>
      <w:jc w:val="both"/>
    </w:pPr>
    <w:rPr>
      <w:rFonts w:ascii="Courier New" w:hAnsi="Courier New" w:cs="Courier New"/>
    </w:rPr>
  </w:style>
  <w:style w:type="paragraph" w:styleId="TableofAuthorities">
    <w:name w:val="table of authorities"/>
    <w:basedOn w:val="Normal"/>
    <w:next w:val="Normal"/>
    <w:semiHidden/>
    <w:rsid w:val="00EC5F86"/>
    <w:pPr>
      <w:ind w:left="200" w:hanging="200"/>
    </w:pPr>
  </w:style>
  <w:style w:type="paragraph" w:styleId="TableofFigures">
    <w:name w:val="table of figures"/>
    <w:basedOn w:val="Normal"/>
    <w:next w:val="Normal"/>
    <w:semiHidden/>
    <w:rsid w:val="00EC5F86"/>
  </w:style>
  <w:style w:type="paragraph" w:styleId="TOAHeading">
    <w:name w:val="toa heading"/>
    <w:basedOn w:val="Normal"/>
    <w:next w:val="Normal"/>
    <w:semiHidden/>
    <w:rsid w:val="00EC5F86"/>
    <w:pPr>
      <w:spacing w:before="120"/>
    </w:pPr>
    <w:rPr>
      <w:rFonts w:ascii="Arial" w:hAnsi="Arial" w:cs="Arial"/>
      <w:b/>
      <w:bCs/>
      <w:sz w:val="24"/>
      <w:szCs w:val="24"/>
    </w:rPr>
  </w:style>
  <w:style w:type="paragraph" w:styleId="TOC1">
    <w:name w:val="toc 1"/>
    <w:basedOn w:val="HeaderBase"/>
    <w:next w:val="Normal"/>
    <w:uiPriority w:val="39"/>
    <w:rsid w:val="00EC5F86"/>
    <w:pPr>
      <w:tabs>
        <w:tab w:val="right" w:leader="dot" w:pos="7700"/>
      </w:tabs>
      <w:spacing w:before="240"/>
      <w:ind w:right="851"/>
    </w:pPr>
    <w:rPr>
      <w:rFonts w:ascii="Arial" w:hAnsi="Arial"/>
      <w:b/>
      <w:i w:val="0"/>
    </w:rPr>
  </w:style>
  <w:style w:type="paragraph" w:styleId="TOC2">
    <w:name w:val="toc 2"/>
    <w:basedOn w:val="HeadingBase"/>
    <w:next w:val="Normal"/>
    <w:uiPriority w:val="39"/>
    <w:rsid w:val="00EC5F86"/>
    <w:pPr>
      <w:tabs>
        <w:tab w:val="right" w:leader="dot" w:pos="7700"/>
      </w:tabs>
      <w:spacing w:before="80"/>
      <w:ind w:right="851"/>
    </w:pPr>
    <w:rPr>
      <w:sz w:val="20"/>
    </w:rPr>
  </w:style>
  <w:style w:type="paragraph" w:styleId="TOC3">
    <w:name w:val="toc 3"/>
    <w:basedOn w:val="HeadingBase"/>
    <w:next w:val="Normal"/>
    <w:rsid w:val="00EC5F86"/>
    <w:pPr>
      <w:tabs>
        <w:tab w:val="right" w:leader="dot" w:pos="7700"/>
      </w:tabs>
      <w:spacing w:before="120"/>
      <w:ind w:right="851"/>
    </w:pPr>
    <w:rPr>
      <w:b/>
      <w:sz w:val="20"/>
    </w:rPr>
  </w:style>
  <w:style w:type="paragraph" w:styleId="TOC4">
    <w:name w:val="toc 4"/>
    <w:basedOn w:val="HeadingBase"/>
    <w:next w:val="Normal"/>
    <w:rsid w:val="00EC5F86"/>
    <w:pPr>
      <w:tabs>
        <w:tab w:val="right" w:leader="dot" w:pos="7700"/>
      </w:tabs>
      <w:spacing w:before="40"/>
      <w:ind w:right="851"/>
    </w:pPr>
    <w:rPr>
      <w:sz w:val="20"/>
    </w:rPr>
  </w:style>
  <w:style w:type="paragraph" w:styleId="TOC5">
    <w:name w:val="toc 5"/>
    <w:basedOn w:val="Normal"/>
    <w:next w:val="Normal"/>
    <w:autoRedefine/>
    <w:semiHidden/>
    <w:rsid w:val="00EC5F86"/>
    <w:pPr>
      <w:ind w:left="800"/>
    </w:pPr>
  </w:style>
  <w:style w:type="paragraph" w:styleId="TOC6">
    <w:name w:val="toc 6"/>
    <w:basedOn w:val="Normal"/>
    <w:next w:val="Normal"/>
    <w:autoRedefine/>
    <w:semiHidden/>
    <w:rsid w:val="00EC5F86"/>
    <w:pPr>
      <w:ind w:left="1000"/>
    </w:pPr>
  </w:style>
  <w:style w:type="paragraph" w:styleId="TOC7">
    <w:name w:val="toc 7"/>
    <w:basedOn w:val="Normal"/>
    <w:next w:val="Normal"/>
    <w:autoRedefine/>
    <w:semiHidden/>
    <w:rsid w:val="00EC5F86"/>
    <w:pPr>
      <w:ind w:left="1200"/>
    </w:pPr>
  </w:style>
  <w:style w:type="paragraph" w:styleId="TOC8">
    <w:name w:val="toc 8"/>
    <w:basedOn w:val="Normal"/>
    <w:next w:val="Normal"/>
    <w:autoRedefine/>
    <w:semiHidden/>
    <w:rsid w:val="00EC5F86"/>
    <w:pPr>
      <w:ind w:left="1400"/>
    </w:pPr>
  </w:style>
  <w:style w:type="paragraph" w:styleId="TOC9">
    <w:name w:val="toc 9"/>
    <w:basedOn w:val="Normal"/>
    <w:next w:val="Normal"/>
    <w:autoRedefine/>
    <w:semiHidden/>
    <w:rsid w:val="002B2687"/>
    <w:pPr>
      <w:spacing w:after="0"/>
    </w:pPr>
  </w:style>
  <w:style w:type="paragraph" w:customStyle="1" w:styleId="FileProperties">
    <w:name w:val="File Properties"/>
    <w:basedOn w:val="Normal"/>
    <w:semiHidden/>
    <w:rsid w:val="00EC5F86"/>
    <w:rPr>
      <w:i/>
    </w:rPr>
  </w:style>
  <w:style w:type="character" w:styleId="PageNumber">
    <w:name w:val="page number"/>
    <w:rsid w:val="00EC5F86"/>
    <w:rPr>
      <w:rFonts w:ascii="Arial" w:hAnsi="Arial" w:cs="Arial"/>
    </w:rPr>
  </w:style>
  <w:style w:type="character" w:customStyle="1" w:styleId="FramedHeader">
    <w:name w:val="Framed Header"/>
    <w:rsid w:val="00EC5F86"/>
    <w:rPr>
      <w:rFonts w:ascii="Book Antiqua" w:hAnsi="Book Antiqua"/>
      <w:i/>
      <w:dstrike w:val="0"/>
      <w:color w:val="auto"/>
      <w:sz w:val="18"/>
      <w:vertAlign w:val="baseline"/>
    </w:rPr>
  </w:style>
  <w:style w:type="paragraph" w:styleId="NormalIndent">
    <w:name w:val="Normal Indent"/>
    <w:basedOn w:val="Normal"/>
    <w:rsid w:val="00EC5F86"/>
    <w:pPr>
      <w:ind w:left="567"/>
    </w:pPr>
  </w:style>
  <w:style w:type="paragraph" w:customStyle="1" w:styleId="BlockedQuotation">
    <w:name w:val="Blocked Quotation"/>
    <w:basedOn w:val="Normal"/>
    <w:semiHidden/>
    <w:rsid w:val="00EC5F86"/>
    <w:pPr>
      <w:ind w:left="567"/>
    </w:pPr>
  </w:style>
  <w:style w:type="paragraph" w:customStyle="1" w:styleId="ChartMainHeading">
    <w:name w:val="Chart Main Heading"/>
    <w:basedOn w:val="Normal"/>
    <w:next w:val="ChartGraphic"/>
    <w:rsid w:val="00EC5F86"/>
    <w:pPr>
      <w:keepNext/>
      <w:spacing w:before="120" w:after="20" w:line="240" w:lineRule="auto"/>
      <w:jc w:val="center"/>
    </w:pPr>
    <w:rPr>
      <w:rFonts w:ascii="Arial" w:hAnsi="Arial"/>
      <w:b/>
    </w:rPr>
  </w:style>
  <w:style w:type="table" w:styleId="TableGrid">
    <w:name w:val="Table Grid"/>
    <w:basedOn w:val="TableNormal"/>
    <w:rsid w:val="00EC5F86"/>
    <w:pPr>
      <w:spacing w:after="240" w:line="260" w:lineRule="exact"/>
      <w:jc w:val="both"/>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Title2ndLevel">
    <w:name w:val="Title 2nd Level"/>
    <w:basedOn w:val="Title"/>
    <w:rsid w:val="00EC5F86"/>
    <w:rPr>
      <w:sz w:val="24"/>
    </w:rPr>
  </w:style>
  <w:style w:type="paragraph" w:customStyle="1" w:styleId="Title3rdLevel">
    <w:name w:val="Title 3rd Level"/>
    <w:basedOn w:val="Normal"/>
    <w:next w:val="Title"/>
    <w:rsid w:val="004B0B19"/>
    <w:pPr>
      <w:jc w:val="center"/>
    </w:pPr>
    <w:rPr>
      <w:rFonts w:ascii="Arial" w:hAnsi="Arial"/>
      <w:caps/>
    </w:rPr>
  </w:style>
  <w:style w:type="paragraph" w:customStyle="1" w:styleId="Part">
    <w:name w:val="Part"/>
    <w:basedOn w:val="Title"/>
    <w:next w:val="Normal"/>
    <w:rsid w:val="00EC5F86"/>
    <w:rPr>
      <w:smallCaps/>
    </w:rPr>
  </w:style>
  <w:style w:type="paragraph" w:customStyle="1" w:styleId="TableHeadingNoTable">
    <w:name w:val="Table Heading No Table"/>
    <w:basedOn w:val="TableHeading"/>
    <w:next w:val="Normal"/>
    <w:rsid w:val="00EC5F86"/>
    <w:pPr>
      <w:spacing w:after="240"/>
    </w:pPr>
  </w:style>
  <w:style w:type="paragraph" w:customStyle="1" w:styleId="TransmittalAddressee">
    <w:name w:val="Transmittal Addressee"/>
    <w:basedOn w:val="Normal"/>
    <w:rsid w:val="00EC5F86"/>
    <w:pPr>
      <w:spacing w:after="0"/>
    </w:pPr>
  </w:style>
  <w:style w:type="paragraph" w:customStyle="1" w:styleId="TransmittalStyle1">
    <w:name w:val="Transmittal Style 1"/>
    <w:basedOn w:val="HeadingBase"/>
    <w:rsid w:val="00EC5F86"/>
    <w:pPr>
      <w:spacing w:after="60"/>
      <w:jc w:val="right"/>
    </w:pPr>
    <w:rPr>
      <w:b/>
      <w:smallCaps/>
    </w:rPr>
  </w:style>
  <w:style w:type="paragraph" w:customStyle="1" w:styleId="TransmittalStyle2">
    <w:name w:val="Transmittal Style 2"/>
    <w:basedOn w:val="HeadingBase"/>
    <w:rsid w:val="00EC5F86"/>
    <w:pPr>
      <w:spacing w:before="60" w:after="60"/>
      <w:jc w:val="right"/>
    </w:pPr>
    <w:rPr>
      <w:rFonts w:ascii="Helvetica" w:hAnsi="Helvetica"/>
      <w:b/>
      <w:caps/>
      <w:sz w:val="16"/>
    </w:rPr>
  </w:style>
  <w:style w:type="paragraph" w:customStyle="1" w:styleId="UserGuidelevelTOC">
    <w:name w:val="UserGuide level TOC"/>
    <w:basedOn w:val="HeadingBase"/>
    <w:next w:val="Normal"/>
    <w:rsid w:val="00EC5F86"/>
    <w:pPr>
      <w:spacing w:before="360" w:after="360"/>
    </w:pPr>
    <w:rPr>
      <w:sz w:val="30"/>
    </w:rPr>
  </w:style>
  <w:style w:type="paragraph" w:customStyle="1" w:styleId="TableTextJustified">
    <w:name w:val="Table Text Justified"/>
    <w:basedOn w:val="TableTextBase"/>
    <w:rsid w:val="00EC5F86"/>
    <w:pPr>
      <w:jc w:val="both"/>
    </w:pPr>
  </w:style>
  <w:style w:type="paragraph" w:customStyle="1" w:styleId="Department">
    <w:name w:val="Department"/>
    <w:basedOn w:val="Normal"/>
    <w:rsid w:val="006F2DF3"/>
    <w:pPr>
      <w:spacing w:after="0" w:line="240" w:lineRule="auto"/>
      <w:jc w:val="center"/>
    </w:pPr>
    <w:rPr>
      <w:rFonts w:ascii="Arial" w:hAnsi="Arial"/>
      <w:b/>
      <w:sz w:val="52"/>
    </w:rPr>
  </w:style>
  <w:style w:type="paragraph" w:customStyle="1" w:styleId="DepartmentSubtitle">
    <w:name w:val="Department Subtitle"/>
    <w:basedOn w:val="Department"/>
    <w:rsid w:val="00EC5F86"/>
    <w:rPr>
      <w:sz w:val="44"/>
    </w:rPr>
  </w:style>
  <w:style w:type="character" w:customStyle="1" w:styleId="ExampletextCharChar">
    <w:name w:val="Example text Char Char"/>
    <w:link w:val="Exampletext"/>
    <w:rsid w:val="00D50C9B"/>
    <w:rPr>
      <w:rFonts w:ascii="Book Antiqua" w:hAnsi="Book Antiqua"/>
      <w:i/>
      <w:color w:val="FF0000"/>
      <w:lang w:val="en-AU" w:eastAsia="en-AU" w:bidi="ar-SA"/>
    </w:rPr>
  </w:style>
  <w:style w:type="paragraph" w:customStyle="1" w:styleId="Crest">
    <w:name w:val="Crest"/>
    <w:basedOn w:val="Normal"/>
    <w:next w:val="TransmittalStyle1"/>
    <w:rsid w:val="00021DA6"/>
    <w:pPr>
      <w:spacing w:after="0" w:line="240" w:lineRule="auto"/>
      <w:jc w:val="center"/>
    </w:pPr>
  </w:style>
  <w:style w:type="character" w:styleId="Hyperlink">
    <w:name w:val="Hyperlink"/>
    <w:uiPriority w:val="99"/>
    <w:rsid w:val="00AA27AA"/>
    <w:rPr>
      <w:color w:val="0000FF"/>
      <w:u w:val="single"/>
    </w:rPr>
  </w:style>
  <w:style w:type="paragraph" w:customStyle="1" w:styleId="Heading1noTOC">
    <w:name w:val="Heading 1 no TOC"/>
    <w:basedOn w:val="Heading1"/>
    <w:rsid w:val="00EC5F86"/>
  </w:style>
  <w:style w:type="paragraph" w:customStyle="1" w:styleId="TableColumnOutgroupHeading">
    <w:name w:val="Table Column Outgroup Heading"/>
    <w:basedOn w:val="Normal"/>
    <w:rsid w:val="00D83B82"/>
    <w:pPr>
      <w:spacing w:before="60" w:after="120" w:line="240" w:lineRule="auto"/>
      <w:jc w:val="left"/>
    </w:pPr>
    <w:rPr>
      <w:b/>
      <w:sz w:val="22"/>
    </w:rPr>
  </w:style>
  <w:style w:type="paragraph" w:customStyle="1" w:styleId="TableColumnOutgroupSubheading">
    <w:name w:val="Table Column Outgroup Subheading"/>
    <w:basedOn w:val="Normal"/>
    <w:rsid w:val="00EC5F86"/>
    <w:pPr>
      <w:spacing w:before="60" w:after="120" w:line="240" w:lineRule="auto"/>
      <w:jc w:val="center"/>
    </w:pPr>
  </w:style>
  <w:style w:type="paragraph" w:customStyle="1" w:styleId="TableTextBullet">
    <w:name w:val="Table Text Bullet"/>
    <w:basedOn w:val="TableTextBase"/>
    <w:link w:val="TableTextBulletChar"/>
    <w:rsid w:val="00EC5F86"/>
    <w:pPr>
      <w:numPr>
        <w:numId w:val="6"/>
      </w:numPr>
    </w:pPr>
  </w:style>
  <w:style w:type="paragraph" w:customStyle="1" w:styleId="Exampletextdash">
    <w:name w:val="Example text dash"/>
    <w:basedOn w:val="Exampletextbullet"/>
    <w:rsid w:val="00EC5F86"/>
    <w:pPr>
      <w:numPr>
        <w:ilvl w:val="1"/>
      </w:numPr>
    </w:pPr>
  </w:style>
  <w:style w:type="character" w:customStyle="1" w:styleId="HeadingBaseChar">
    <w:name w:val="Heading Base Char"/>
    <w:link w:val="HeadingBase"/>
    <w:rsid w:val="00574E9E"/>
    <w:rPr>
      <w:rFonts w:ascii="Arial" w:hAnsi="Arial"/>
      <w:sz w:val="24"/>
      <w:lang w:val="en-AU" w:eastAsia="en-AU" w:bidi="ar-SA"/>
    </w:rPr>
  </w:style>
  <w:style w:type="character" w:customStyle="1" w:styleId="TableHeadingChar">
    <w:name w:val="Table Heading Char"/>
    <w:link w:val="TableHeading"/>
    <w:rsid w:val="00574E9E"/>
    <w:rPr>
      <w:rFonts w:ascii="Arial" w:hAnsi="Arial"/>
      <w:b/>
      <w:sz w:val="24"/>
      <w:lang w:val="en-AU" w:eastAsia="en-AU" w:bidi="ar-SA"/>
    </w:rPr>
  </w:style>
  <w:style w:type="character" w:customStyle="1" w:styleId="TableTextBaseChar">
    <w:name w:val="Table Text Base Char"/>
    <w:link w:val="TableTextBase"/>
    <w:rsid w:val="00637BBD"/>
    <w:rPr>
      <w:rFonts w:ascii="Arial" w:hAnsi="Arial"/>
      <w:sz w:val="18"/>
      <w:lang w:val="en-AU" w:eastAsia="en-AU" w:bidi="ar-SA"/>
    </w:rPr>
  </w:style>
  <w:style w:type="character" w:customStyle="1" w:styleId="TableTextLeftChar">
    <w:name w:val="Table Text Left Char"/>
    <w:basedOn w:val="TableTextBaseChar"/>
    <w:link w:val="TableTextLeft"/>
    <w:rsid w:val="00637BBD"/>
  </w:style>
  <w:style w:type="paragraph" w:styleId="ListParagraph">
    <w:name w:val="List Paragraph"/>
    <w:aliases w:val="NFP GP Bulleted List,List Paragraph1,Recommendation"/>
    <w:basedOn w:val="Normal"/>
    <w:next w:val="TOC9"/>
    <w:link w:val="ListParagraphChar"/>
    <w:uiPriority w:val="34"/>
    <w:qFormat/>
    <w:rsid w:val="000A345B"/>
    <w:pPr>
      <w:spacing w:after="200" w:line="276" w:lineRule="auto"/>
      <w:ind w:left="720"/>
      <w:contextualSpacing/>
      <w:jc w:val="left"/>
    </w:pPr>
    <w:rPr>
      <w:rFonts w:ascii="Calibri" w:eastAsia="Calibri" w:hAnsi="Calibri"/>
      <w:sz w:val="22"/>
      <w:szCs w:val="22"/>
      <w:lang w:val="en-US" w:eastAsia="en-US"/>
    </w:rPr>
  </w:style>
  <w:style w:type="paragraph" w:customStyle="1" w:styleId="TableTextDash">
    <w:name w:val="Table Text Dash"/>
    <w:basedOn w:val="TableTextBase"/>
    <w:rsid w:val="00EC5F86"/>
    <w:pPr>
      <w:numPr>
        <w:ilvl w:val="1"/>
        <w:numId w:val="6"/>
      </w:numPr>
    </w:pPr>
  </w:style>
  <w:style w:type="character" w:customStyle="1" w:styleId="ChartandTableFootnoteChar">
    <w:name w:val="Chart and Table Footnote Char"/>
    <w:link w:val="ChartandTableFootnote"/>
    <w:rsid w:val="005606B5"/>
    <w:rPr>
      <w:rFonts w:ascii="Arial" w:hAnsi="Arial"/>
      <w:sz w:val="16"/>
      <w:lang w:val="en-AU" w:eastAsia="en-AU" w:bidi="ar-SA"/>
    </w:rPr>
  </w:style>
  <w:style w:type="paragraph" w:customStyle="1" w:styleId="PartHeading">
    <w:name w:val="Part Heading"/>
    <w:basedOn w:val="Part"/>
    <w:next w:val="Normal"/>
    <w:rsid w:val="00EC5F86"/>
  </w:style>
  <w:style w:type="character" w:customStyle="1" w:styleId="BulletChar">
    <w:name w:val="Bullet Char"/>
    <w:link w:val="Bullet"/>
    <w:rsid w:val="00FD5958"/>
    <w:rPr>
      <w:rFonts w:ascii="Book Antiqua" w:hAnsi="Book Antiqua"/>
    </w:rPr>
  </w:style>
  <w:style w:type="paragraph" w:customStyle="1" w:styleId="BoxTextBase">
    <w:name w:val="Box Text Base"/>
    <w:basedOn w:val="Normal"/>
    <w:rsid w:val="00EC5F86"/>
    <w:pPr>
      <w:spacing w:after="120"/>
    </w:pPr>
    <w:rPr>
      <w:color w:val="000000"/>
    </w:rPr>
  </w:style>
  <w:style w:type="paragraph" w:customStyle="1" w:styleId="BoxDash">
    <w:name w:val="Box Dash"/>
    <w:basedOn w:val="Normal"/>
    <w:rsid w:val="00EC5F86"/>
    <w:pPr>
      <w:numPr>
        <w:ilvl w:val="1"/>
        <w:numId w:val="7"/>
      </w:numPr>
    </w:pPr>
    <w:rPr>
      <w:color w:val="000000"/>
    </w:rPr>
  </w:style>
  <w:style w:type="paragraph" w:customStyle="1" w:styleId="BoxDoubleDot">
    <w:name w:val="Box Double Dot"/>
    <w:basedOn w:val="BoxTextBase"/>
    <w:rsid w:val="00EC5F86"/>
    <w:pPr>
      <w:numPr>
        <w:ilvl w:val="2"/>
        <w:numId w:val="7"/>
      </w:numPr>
    </w:pPr>
  </w:style>
  <w:style w:type="paragraph" w:customStyle="1" w:styleId="BoxHeadinglevel2">
    <w:name w:val="Box Heading level 2"/>
    <w:basedOn w:val="BoxHeading"/>
    <w:rsid w:val="00EC5F86"/>
    <w:pPr>
      <w:spacing w:before="0"/>
    </w:pPr>
    <w:rPr>
      <w:sz w:val="18"/>
    </w:rPr>
  </w:style>
  <w:style w:type="paragraph" w:customStyle="1" w:styleId="Outcome">
    <w:name w:val="Outcome"/>
    <w:basedOn w:val="Normal"/>
    <w:rsid w:val="00EC5F86"/>
    <w:pPr>
      <w:spacing w:before="120" w:after="120" w:line="280" w:lineRule="exact"/>
    </w:pPr>
    <w:rPr>
      <w:rFonts w:ascii="Arial" w:hAnsi="Arial" w:cs="Arial"/>
      <w:b/>
    </w:rPr>
  </w:style>
  <w:style w:type="paragraph" w:customStyle="1" w:styleId="ProgramHeading">
    <w:name w:val="Program Heading"/>
    <w:basedOn w:val="HeadingBase"/>
    <w:rsid w:val="00EC5F86"/>
    <w:pPr>
      <w:pBdr>
        <w:top w:val="single" w:sz="2" w:space="3" w:color="auto"/>
        <w:bottom w:val="single" w:sz="2" w:space="3" w:color="auto"/>
      </w:pBdr>
      <w:shd w:val="clear" w:color="auto" w:fill="E6E6E6"/>
      <w:spacing w:after="120" w:line="280" w:lineRule="exact"/>
    </w:pPr>
    <w:rPr>
      <w:b/>
      <w:sz w:val="20"/>
    </w:rPr>
  </w:style>
  <w:style w:type="paragraph" w:customStyle="1" w:styleId="ProgramHeadingsub">
    <w:name w:val="Program Heading sub"/>
    <w:basedOn w:val="BoxHeading"/>
    <w:rsid w:val="00EC5F86"/>
  </w:style>
  <w:style w:type="character" w:customStyle="1" w:styleId="Heading3Char">
    <w:name w:val="Heading 3 Char"/>
    <w:link w:val="Heading3"/>
    <w:rsid w:val="008D2DD0"/>
    <w:rPr>
      <w:rFonts w:ascii="Arial" w:hAnsi="Arial" w:cs="Arial"/>
      <w:sz w:val="30"/>
      <w:szCs w:val="30"/>
    </w:rPr>
  </w:style>
  <w:style w:type="character" w:customStyle="1" w:styleId="CommentTextChar">
    <w:name w:val="Comment Text Char"/>
    <w:link w:val="CommentText"/>
    <w:uiPriority w:val="99"/>
    <w:rsid w:val="001B0C75"/>
    <w:rPr>
      <w:rFonts w:ascii="Book Antiqua" w:hAnsi="Book Antiqua"/>
    </w:rPr>
  </w:style>
  <w:style w:type="paragraph" w:customStyle="1" w:styleId="ExampleText0">
    <w:name w:val="Example Text"/>
    <w:basedOn w:val="Normal"/>
    <w:rsid w:val="00C11F05"/>
    <w:pPr>
      <w:jc w:val="left"/>
    </w:pPr>
    <w:rPr>
      <w:i/>
      <w:color w:val="FF0000"/>
    </w:rPr>
  </w:style>
  <w:style w:type="paragraph" w:styleId="NoSpacing">
    <w:name w:val="No Spacing"/>
    <w:uiPriority w:val="1"/>
    <w:qFormat/>
    <w:rsid w:val="00451501"/>
    <w:pPr>
      <w:jc w:val="both"/>
    </w:pPr>
    <w:rPr>
      <w:rFonts w:ascii="Book Antiqua" w:hAnsi="Book Antiqua"/>
    </w:rPr>
  </w:style>
  <w:style w:type="character" w:customStyle="1" w:styleId="A5">
    <w:name w:val="A5"/>
    <w:uiPriority w:val="99"/>
    <w:rsid w:val="00C42D37"/>
    <w:rPr>
      <w:rFonts w:ascii="Swiss 721 BT" w:hAnsi="Swiss 721 BT" w:cs="Swiss 721 BT" w:hint="default"/>
      <w:color w:val="000000"/>
      <w:sz w:val="20"/>
      <w:szCs w:val="20"/>
    </w:rPr>
  </w:style>
  <w:style w:type="character" w:customStyle="1" w:styleId="HeaderChar">
    <w:name w:val="Header Char"/>
    <w:link w:val="Header"/>
    <w:uiPriority w:val="99"/>
    <w:rsid w:val="00C42D37"/>
    <w:rPr>
      <w:rFonts w:ascii="Book Antiqua" w:hAnsi="Book Antiqua"/>
      <w:i/>
    </w:rPr>
  </w:style>
  <w:style w:type="character" w:styleId="FollowedHyperlink">
    <w:name w:val="FollowedHyperlink"/>
    <w:rsid w:val="00F10D71"/>
    <w:rPr>
      <w:color w:val="800080"/>
      <w:u w:val="single"/>
    </w:rPr>
  </w:style>
  <w:style w:type="paragraph" w:styleId="BodyText">
    <w:name w:val="Body Text"/>
    <w:basedOn w:val="Normal"/>
    <w:link w:val="BodyTextChar"/>
    <w:uiPriority w:val="99"/>
    <w:rsid w:val="004B66F1"/>
    <w:pPr>
      <w:spacing w:after="120"/>
    </w:pPr>
  </w:style>
  <w:style w:type="character" w:customStyle="1" w:styleId="BodyTextChar">
    <w:name w:val="Body Text Char"/>
    <w:basedOn w:val="DefaultParagraphFont"/>
    <w:link w:val="BodyText"/>
    <w:uiPriority w:val="99"/>
    <w:rsid w:val="004B66F1"/>
    <w:rPr>
      <w:rFonts w:ascii="Book Antiqua" w:hAnsi="Book Antiqua"/>
    </w:rPr>
  </w:style>
  <w:style w:type="character" w:customStyle="1" w:styleId="Heading5Char">
    <w:name w:val="Heading 5 Char"/>
    <w:basedOn w:val="DefaultParagraphFont"/>
    <w:link w:val="Heading5"/>
    <w:rsid w:val="00E453F8"/>
    <w:rPr>
      <w:rFonts w:ascii="Arial" w:hAnsi="Arial" w:cs="Arial"/>
      <w:b/>
    </w:rPr>
  </w:style>
  <w:style w:type="character" w:customStyle="1" w:styleId="ListParagraphChar">
    <w:name w:val="List Paragraph Char"/>
    <w:aliases w:val="NFP GP Bulleted List Char,List Paragraph1 Char,Recommendation Char"/>
    <w:basedOn w:val="DefaultParagraphFont"/>
    <w:link w:val="ListParagraph"/>
    <w:uiPriority w:val="34"/>
    <w:locked/>
    <w:rsid w:val="00872C20"/>
    <w:rPr>
      <w:rFonts w:ascii="Calibri" w:eastAsia="Calibri" w:hAnsi="Calibri"/>
      <w:sz w:val="22"/>
      <w:szCs w:val="22"/>
      <w:lang w:val="en-US" w:eastAsia="en-US"/>
    </w:rPr>
  </w:style>
  <w:style w:type="paragraph" w:customStyle="1" w:styleId="HeadingMin">
    <w:name w:val="HeadingMin"/>
    <w:basedOn w:val="Normal"/>
    <w:rsid w:val="000D084B"/>
    <w:pPr>
      <w:spacing w:after="0" w:line="240" w:lineRule="auto"/>
      <w:jc w:val="center"/>
    </w:pPr>
    <w:rPr>
      <w:rFonts w:ascii="Arial" w:hAnsi="Arial"/>
      <w:caps/>
      <w:spacing w:val="20"/>
      <w:sz w:val="40"/>
      <w:szCs w:val="24"/>
    </w:rPr>
  </w:style>
  <w:style w:type="paragraph" w:customStyle="1" w:styleId="HeadingOffice">
    <w:name w:val="HeadingOffice"/>
    <w:basedOn w:val="Normal"/>
    <w:rsid w:val="000D084B"/>
    <w:pPr>
      <w:spacing w:after="0" w:line="240" w:lineRule="auto"/>
      <w:jc w:val="center"/>
    </w:pPr>
    <w:rPr>
      <w:rFonts w:ascii="Arial" w:hAnsi="Arial"/>
      <w:spacing w:val="10"/>
      <w:sz w:val="28"/>
      <w:szCs w:val="24"/>
    </w:rPr>
  </w:style>
  <w:style w:type="character" w:customStyle="1" w:styleId="FooterChar">
    <w:name w:val="Footer Char"/>
    <w:basedOn w:val="DefaultParagraphFont"/>
    <w:link w:val="Footer"/>
    <w:uiPriority w:val="99"/>
    <w:rsid w:val="008A2E5A"/>
    <w:rPr>
      <w:rFonts w:ascii="Arial" w:hAnsi="Arial"/>
    </w:rPr>
  </w:style>
  <w:style w:type="character" w:styleId="Emphasis">
    <w:name w:val="Emphasis"/>
    <w:uiPriority w:val="20"/>
    <w:qFormat/>
    <w:rsid w:val="00901F17"/>
    <w:rPr>
      <w:i/>
      <w:iCs/>
    </w:rPr>
  </w:style>
  <w:style w:type="character" w:customStyle="1" w:styleId="TableTextBulletChar">
    <w:name w:val="Table Text Bullet Char"/>
    <w:link w:val="TableTextBullet"/>
    <w:rsid w:val="00A00FC6"/>
    <w:rPr>
      <w:rFonts w:ascii="Arial" w:hAnsi="Arial"/>
      <w:sz w:val="18"/>
    </w:rPr>
  </w:style>
</w:styles>
</file>

<file path=word/webSettings.xml><?xml version="1.0" encoding="utf-8"?>
<w:webSettings xmlns:r="http://schemas.openxmlformats.org/officeDocument/2006/relationships" xmlns:w="http://schemas.openxmlformats.org/wordprocessingml/2006/main">
  <w:divs>
    <w:div w:id="7875667">
      <w:bodyDiv w:val="1"/>
      <w:marLeft w:val="0"/>
      <w:marRight w:val="0"/>
      <w:marTop w:val="0"/>
      <w:marBottom w:val="0"/>
      <w:divBdr>
        <w:top w:val="none" w:sz="0" w:space="0" w:color="auto"/>
        <w:left w:val="none" w:sz="0" w:space="0" w:color="auto"/>
        <w:bottom w:val="none" w:sz="0" w:space="0" w:color="auto"/>
        <w:right w:val="none" w:sz="0" w:space="0" w:color="auto"/>
      </w:divBdr>
    </w:div>
    <w:div w:id="15931586">
      <w:bodyDiv w:val="1"/>
      <w:marLeft w:val="0"/>
      <w:marRight w:val="0"/>
      <w:marTop w:val="0"/>
      <w:marBottom w:val="0"/>
      <w:divBdr>
        <w:top w:val="none" w:sz="0" w:space="0" w:color="auto"/>
        <w:left w:val="none" w:sz="0" w:space="0" w:color="auto"/>
        <w:bottom w:val="none" w:sz="0" w:space="0" w:color="auto"/>
        <w:right w:val="none" w:sz="0" w:space="0" w:color="auto"/>
      </w:divBdr>
    </w:div>
    <w:div w:id="16733247">
      <w:bodyDiv w:val="1"/>
      <w:marLeft w:val="0"/>
      <w:marRight w:val="0"/>
      <w:marTop w:val="0"/>
      <w:marBottom w:val="0"/>
      <w:divBdr>
        <w:top w:val="none" w:sz="0" w:space="0" w:color="auto"/>
        <w:left w:val="none" w:sz="0" w:space="0" w:color="auto"/>
        <w:bottom w:val="none" w:sz="0" w:space="0" w:color="auto"/>
        <w:right w:val="none" w:sz="0" w:space="0" w:color="auto"/>
      </w:divBdr>
    </w:div>
    <w:div w:id="48113810">
      <w:bodyDiv w:val="1"/>
      <w:marLeft w:val="0"/>
      <w:marRight w:val="0"/>
      <w:marTop w:val="0"/>
      <w:marBottom w:val="0"/>
      <w:divBdr>
        <w:top w:val="none" w:sz="0" w:space="0" w:color="auto"/>
        <w:left w:val="none" w:sz="0" w:space="0" w:color="auto"/>
        <w:bottom w:val="none" w:sz="0" w:space="0" w:color="auto"/>
        <w:right w:val="none" w:sz="0" w:space="0" w:color="auto"/>
      </w:divBdr>
    </w:div>
    <w:div w:id="78797736">
      <w:bodyDiv w:val="1"/>
      <w:marLeft w:val="0"/>
      <w:marRight w:val="0"/>
      <w:marTop w:val="0"/>
      <w:marBottom w:val="0"/>
      <w:divBdr>
        <w:top w:val="none" w:sz="0" w:space="0" w:color="auto"/>
        <w:left w:val="none" w:sz="0" w:space="0" w:color="auto"/>
        <w:bottom w:val="none" w:sz="0" w:space="0" w:color="auto"/>
        <w:right w:val="none" w:sz="0" w:space="0" w:color="auto"/>
      </w:divBdr>
    </w:div>
    <w:div w:id="83117500">
      <w:bodyDiv w:val="1"/>
      <w:marLeft w:val="0"/>
      <w:marRight w:val="0"/>
      <w:marTop w:val="0"/>
      <w:marBottom w:val="0"/>
      <w:divBdr>
        <w:top w:val="none" w:sz="0" w:space="0" w:color="auto"/>
        <w:left w:val="none" w:sz="0" w:space="0" w:color="auto"/>
        <w:bottom w:val="none" w:sz="0" w:space="0" w:color="auto"/>
        <w:right w:val="none" w:sz="0" w:space="0" w:color="auto"/>
      </w:divBdr>
    </w:div>
    <w:div w:id="87972225">
      <w:bodyDiv w:val="1"/>
      <w:marLeft w:val="0"/>
      <w:marRight w:val="0"/>
      <w:marTop w:val="0"/>
      <w:marBottom w:val="0"/>
      <w:divBdr>
        <w:top w:val="none" w:sz="0" w:space="0" w:color="auto"/>
        <w:left w:val="none" w:sz="0" w:space="0" w:color="auto"/>
        <w:bottom w:val="none" w:sz="0" w:space="0" w:color="auto"/>
        <w:right w:val="none" w:sz="0" w:space="0" w:color="auto"/>
      </w:divBdr>
    </w:div>
    <w:div w:id="106852591">
      <w:bodyDiv w:val="1"/>
      <w:marLeft w:val="0"/>
      <w:marRight w:val="0"/>
      <w:marTop w:val="0"/>
      <w:marBottom w:val="0"/>
      <w:divBdr>
        <w:top w:val="none" w:sz="0" w:space="0" w:color="auto"/>
        <w:left w:val="none" w:sz="0" w:space="0" w:color="auto"/>
        <w:bottom w:val="none" w:sz="0" w:space="0" w:color="auto"/>
        <w:right w:val="none" w:sz="0" w:space="0" w:color="auto"/>
      </w:divBdr>
    </w:div>
    <w:div w:id="143278137">
      <w:bodyDiv w:val="1"/>
      <w:marLeft w:val="0"/>
      <w:marRight w:val="0"/>
      <w:marTop w:val="0"/>
      <w:marBottom w:val="0"/>
      <w:divBdr>
        <w:top w:val="none" w:sz="0" w:space="0" w:color="auto"/>
        <w:left w:val="none" w:sz="0" w:space="0" w:color="auto"/>
        <w:bottom w:val="none" w:sz="0" w:space="0" w:color="auto"/>
        <w:right w:val="none" w:sz="0" w:space="0" w:color="auto"/>
      </w:divBdr>
    </w:div>
    <w:div w:id="154497911">
      <w:bodyDiv w:val="1"/>
      <w:marLeft w:val="0"/>
      <w:marRight w:val="0"/>
      <w:marTop w:val="0"/>
      <w:marBottom w:val="0"/>
      <w:divBdr>
        <w:top w:val="none" w:sz="0" w:space="0" w:color="auto"/>
        <w:left w:val="none" w:sz="0" w:space="0" w:color="auto"/>
        <w:bottom w:val="none" w:sz="0" w:space="0" w:color="auto"/>
        <w:right w:val="none" w:sz="0" w:space="0" w:color="auto"/>
      </w:divBdr>
    </w:div>
    <w:div w:id="191843573">
      <w:bodyDiv w:val="1"/>
      <w:marLeft w:val="0"/>
      <w:marRight w:val="0"/>
      <w:marTop w:val="0"/>
      <w:marBottom w:val="0"/>
      <w:divBdr>
        <w:top w:val="none" w:sz="0" w:space="0" w:color="auto"/>
        <w:left w:val="none" w:sz="0" w:space="0" w:color="auto"/>
        <w:bottom w:val="none" w:sz="0" w:space="0" w:color="auto"/>
        <w:right w:val="none" w:sz="0" w:space="0" w:color="auto"/>
      </w:divBdr>
    </w:div>
    <w:div w:id="207227727">
      <w:bodyDiv w:val="1"/>
      <w:marLeft w:val="0"/>
      <w:marRight w:val="0"/>
      <w:marTop w:val="0"/>
      <w:marBottom w:val="0"/>
      <w:divBdr>
        <w:top w:val="none" w:sz="0" w:space="0" w:color="auto"/>
        <w:left w:val="none" w:sz="0" w:space="0" w:color="auto"/>
        <w:bottom w:val="none" w:sz="0" w:space="0" w:color="auto"/>
        <w:right w:val="none" w:sz="0" w:space="0" w:color="auto"/>
      </w:divBdr>
    </w:div>
    <w:div w:id="213665568">
      <w:bodyDiv w:val="1"/>
      <w:marLeft w:val="0"/>
      <w:marRight w:val="0"/>
      <w:marTop w:val="0"/>
      <w:marBottom w:val="0"/>
      <w:divBdr>
        <w:top w:val="none" w:sz="0" w:space="0" w:color="auto"/>
        <w:left w:val="none" w:sz="0" w:space="0" w:color="auto"/>
        <w:bottom w:val="none" w:sz="0" w:space="0" w:color="auto"/>
        <w:right w:val="none" w:sz="0" w:space="0" w:color="auto"/>
      </w:divBdr>
    </w:div>
    <w:div w:id="217017943">
      <w:bodyDiv w:val="1"/>
      <w:marLeft w:val="0"/>
      <w:marRight w:val="0"/>
      <w:marTop w:val="0"/>
      <w:marBottom w:val="0"/>
      <w:divBdr>
        <w:top w:val="none" w:sz="0" w:space="0" w:color="auto"/>
        <w:left w:val="none" w:sz="0" w:space="0" w:color="auto"/>
        <w:bottom w:val="none" w:sz="0" w:space="0" w:color="auto"/>
        <w:right w:val="none" w:sz="0" w:space="0" w:color="auto"/>
      </w:divBdr>
    </w:div>
    <w:div w:id="230704051">
      <w:bodyDiv w:val="1"/>
      <w:marLeft w:val="0"/>
      <w:marRight w:val="0"/>
      <w:marTop w:val="0"/>
      <w:marBottom w:val="0"/>
      <w:divBdr>
        <w:top w:val="none" w:sz="0" w:space="0" w:color="auto"/>
        <w:left w:val="none" w:sz="0" w:space="0" w:color="auto"/>
        <w:bottom w:val="none" w:sz="0" w:space="0" w:color="auto"/>
        <w:right w:val="none" w:sz="0" w:space="0" w:color="auto"/>
      </w:divBdr>
    </w:div>
    <w:div w:id="231427161">
      <w:bodyDiv w:val="1"/>
      <w:marLeft w:val="0"/>
      <w:marRight w:val="0"/>
      <w:marTop w:val="0"/>
      <w:marBottom w:val="0"/>
      <w:divBdr>
        <w:top w:val="none" w:sz="0" w:space="0" w:color="auto"/>
        <w:left w:val="none" w:sz="0" w:space="0" w:color="auto"/>
        <w:bottom w:val="none" w:sz="0" w:space="0" w:color="auto"/>
        <w:right w:val="none" w:sz="0" w:space="0" w:color="auto"/>
      </w:divBdr>
    </w:div>
    <w:div w:id="233053582">
      <w:bodyDiv w:val="1"/>
      <w:marLeft w:val="0"/>
      <w:marRight w:val="0"/>
      <w:marTop w:val="0"/>
      <w:marBottom w:val="0"/>
      <w:divBdr>
        <w:top w:val="none" w:sz="0" w:space="0" w:color="auto"/>
        <w:left w:val="none" w:sz="0" w:space="0" w:color="auto"/>
        <w:bottom w:val="none" w:sz="0" w:space="0" w:color="auto"/>
        <w:right w:val="none" w:sz="0" w:space="0" w:color="auto"/>
      </w:divBdr>
    </w:div>
    <w:div w:id="237981028">
      <w:bodyDiv w:val="1"/>
      <w:marLeft w:val="0"/>
      <w:marRight w:val="0"/>
      <w:marTop w:val="0"/>
      <w:marBottom w:val="0"/>
      <w:divBdr>
        <w:top w:val="none" w:sz="0" w:space="0" w:color="auto"/>
        <w:left w:val="none" w:sz="0" w:space="0" w:color="auto"/>
        <w:bottom w:val="none" w:sz="0" w:space="0" w:color="auto"/>
        <w:right w:val="none" w:sz="0" w:space="0" w:color="auto"/>
      </w:divBdr>
    </w:div>
    <w:div w:id="239025080">
      <w:bodyDiv w:val="1"/>
      <w:marLeft w:val="0"/>
      <w:marRight w:val="0"/>
      <w:marTop w:val="0"/>
      <w:marBottom w:val="0"/>
      <w:divBdr>
        <w:top w:val="none" w:sz="0" w:space="0" w:color="auto"/>
        <w:left w:val="none" w:sz="0" w:space="0" w:color="auto"/>
        <w:bottom w:val="none" w:sz="0" w:space="0" w:color="auto"/>
        <w:right w:val="none" w:sz="0" w:space="0" w:color="auto"/>
      </w:divBdr>
    </w:div>
    <w:div w:id="241648202">
      <w:bodyDiv w:val="1"/>
      <w:marLeft w:val="0"/>
      <w:marRight w:val="0"/>
      <w:marTop w:val="0"/>
      <w:marBottom w:val="0"/>
      <w:divBdr>
        <w:top w:val="none" w:sz="0" w:space="0" w:color="auto"/>
        <w:left w:val="none" w:sz="0" w:space="0" w:color="auto"/>
        <w:bottom w:val="none" w:sz="0" w:space="0" w:color="auto"/>
        <w:right w:val="none" w:sz="0" w:space="0" w:color="auto"/>
      </w:divBdr>
    </w:div>
    <w:div w:id="252863759">
      <w:bodyDiv w:val="1"/>
      <w:marLeft w:val="0"/>
      <w:marRight w:val="0"/>
      <w:marTop w:val="0"/>
      <w:marBottom w:val="0"/>
      <w:divBdr>
        <w:top w:val="none" w:sz="0" w:space="0" w:color="auto"/>
        <w:left w:val="none" w:sz="0" w:space="0" w:color="auto"/>
        <w:bottom w:val="none" w:sz="0" w:space="0" w:color="auto"/>
        <w:right w:val="none" w:sz="0" w:space="0" w:color="auto"/>
      </w:divBdr>
    </w:div>
    <w:div w:id="290673867">
      <w:bodyDiv w:val="1"/>
      <w:marLeft w:val="0"/>
      <w:marRight w:val="0"/>
      <w:marTop w:val="0"/>
      <w:marBottom w:val="0"/>
      <w:divBdr>
        <w:top w:val="none" w:sz="0" w:space="0" w:color="auto"/>
        <w:left w:val="none" w:sz="0" w:space="0" w:color="auto"/>
        <w:bottom w:val="none" w:sz="0" w:space="0" w:color="auto"/>
        <w:right w:val="none" w:sz="0" w:space="0" w:color="auto"/>
      </w:divBdr>
    </w:div>
    <w:div w:id="297420109">
      <w:bodyDiv w:val="1"/>
      <w:marLeft w:val="0"/>
      <w:marRight w:val="0"/>
      <w:marTop w:val="0"/>
      <w:marBottom w:val="0"/>
      <w:divBdr>
        <w:top w:val="none" w:sz="0" w:space="0" w:color="auto"/>
        <w:left w:val="none" w:sz="0" w:space="0" w:color="auto"/>
        <w:bottom w:val="none" w:sz="0" w:space="0" w:color="auto"/>
        <w:right w:val="none" w:sz="0" w:space="0" w:color="auto"/>
      </w:divBdr>
    </w:div>
    <w:div w:id="299309603">
      <w:bodyDiv w:val="1"/>
      <w:marLeft w:val="0"/>
      <w:marRight w:val="0"/>
      <w:marTop w:val="0"/>
      <w:marBottom w:val="0"/>
      <w:divBdr>
        <w:top w:val="none" w:sz="0" w:space="0" w:color="auto"/>
        <w:left w:val="none" w:sz="0" w:space="0" w:color="auto"/>
        <w:bottom w:val="none" w:sz="0" w:space="0" w:color="auto"/>
        <w:right w:val="none" w:sz="0" w:space="0" w:color="auto"/>
      </w:divBdr>
    </w:div>
    <w:div w:id="301426179">
      <w:bodyDiv w:val="1"/>
      <w:marLeft w:val="0"/>
      <w:marRight w:val="0"/>
      <w:marTop w:val="0"/>
      <w:marBottom w:val="0"/>
      <w:divBdr>
        <w:top w:val="none" w:sz="0" w:space="0" w:color="auto"/>
        <w:left w:val="none" w:sz="0" w:space="0" w:color="auto"/>
        <w:bottom w:val="none" w:sz="0" w:space="0" w:color="auto"/>
        <w:right w:val="none" w:sz="0" w:space="0" w:color="auto"/>
      </w:divBdr>
    </w:div>
    <w:div w:id="311255637">
      <w:bodyDiv w:val="1"/>
      <w:marLeft w:val="0"/>
      <w:marRight w:val="0"/>
      <w:marTop w:val="0"/>
      <w:marBottom w:val="0"/>
      <w:divBdr>
        <w:top w:val="none" w:sz="0" w:space="0" w:color="auto"/>
        <w:left w:val="none" w:sz="0" w:space="0" w:color="auto"/>
        <w:bottom w:val="none" w:sz="0" w:space="0" w:color="auto"/>
        <w:right w:val="none" w:sz="0" w:space="0" w:color="auto"/>
      </w:divBdr>
    </w:div>
    <w:div w:id="325014084">
      <w:bodyDiv w:val="1"/>
      <w:marLeft w:val="0"/>
      <w:marRight w:val="0"/>
      <w:marTop w:val="0"/>
      <w:marBottom w:val="0"/>
      <w:divBdr>
        <w:top w:val="none" w:sz="0" w:space="0" w:color="auto"/>
        <w:left w:val="none" w:sz="0" w:space="0" w:color="auto"/>
        <w:bottom w:val="none" w:sz="0" w:space="0" w:color="auto"/>
        <w:right w:val="none" w:sz="0" w:space="0" w:color="auto"/>
      </w:divBdr>
    </w:div>
    <w:div w:id="335546835">
      <w:bodyDiv w:val="1"/>
      <w:marLeft w:val="0"/>
      <w:marRight w:val="0"/>
      <w:marTop w:val="0"/>
      <w:marBottom w:val="0"/>
      <w:divBdr>
        <w:top w:val="none" w:sz="0" w:space="0" w:color="auto"/>
        <w:left w:val="none" w:sz="0" w:space="0" w:color="auto"/>
        <w:bottom w:val="none" w:sz="0" w:space="0" w:color="auto"/>
        <w:right w:val="none" w:sz="0" w:space="0" w:color="auto"/>
      </w:divBdr>
    </w:div>
    <w:div w:id="341057944">
      <w:bodyDiv w:val="1"/>
      <w:marLeft w:val="0"/>
      <w:marRight w:val="0"/>
      <w:marTop w:val="0"/>
      <w:marBottom w:val="0"/>
      <w:divBdr>
        <w:top w:val="none" w:sz="0" w:space="0" w:color="auto"/>
        <w:left w:val="none" w:sz="0" w:space="0" w:color="auto"/>
        <w:bottom w:val="none" w:sz="0" w:space="0" w:color="auto"/>
        <w:right w:val="none" w:sz="0" w:space="0" w:color="auto"/>
      </w:divBdr>
    </w:div>
    <w:div w:id="343243777">
      <w:bodyDiv w:val="1"/>
      <w:marLeft w:val="0"/>
      <w:marRight w:val="0"/>
      <w:marTop w:val="0"/>
      <w:marBottom w:val="0"/>
      <w:divBdr>
        <w:top w:val="none" w:sz="0" w:space="0" w:color="auto"/>
        <w:left w:val="none" w:sz="0" w:space="0" w:color="auto"/>
        <w:bottom w:val="none" w:sz="0" w:space="0" w:color="auto"/>
        <w:right w:val="none" w:sz="0" w:space="0" w:color="auto"/>
      </w:divBdr>
    </w:div>
    <w:div w:id="343440689">
      <w:bodyDiv w:val="1"/>
      <w:marLeft w:val="0"/>
      <w:marRight w:val="0"/>
      <w:marTop w:val="0"/>
      <w:marBottom w:val="0"/>
      <w:divBdr>
        <w:top w:val="none" w:sz="0" w:space="0" w:color="auto"/>
        <w:left w:val="none" w:sz="0" w:space="0" w:color="auto"/>
        <w:bottom w:val="none" w:sz="0" w:space="0" w:color="auto"/>
        <w:right w:val="none" w:sz="0" w:space="0" w:color="auto"/>
      </w:divBdr>
    </w:div>
    <w:div w:id="355890378">
      <w:bodyDiv w:val="1"/>
      <w:marLeft w:val="0"/>
      <w:marRight w:val="0"/>
      <w:marTop w:val="0"/>
      <w:marBottom w:val="0"/>
      <w:divBdr>
        <w:top w:val="none" w:sz="0" w:space="0" w:color="auto"/>
        <w:left w:val="none" w:sz="0" w:space="0" w:color="auto"/>
        <w:bottom w:val="none" w:sz="0" w:space="0" w:color="auto"/>
        <w:right w:val="none" w:sz="0" w:space="0" w:color="auto"/>
      </w:divBdr>
    </w:div>
    <w:div w:id="367068224">
      <w:bodyDiv w:val="1"/>
      <w:marLeft w:val="0"/>
      <w:marRight w:val="0"/>
      <w:marTop w:val="0"/>
      <w:marBottom w:val="0"/>
      <w:divBdr>
        <w:top w:val="none" w:sz="0" w:space="0" w:color="auto"/>
        <w:left w:val="none" w:sz="0" w:space="0" w:color="auto"/>
        <w:bottom w:val="none" w:sz="0" w:space="0" w:color="auto"/>
        <w:right w:val="none" w:sz="0" w:space="0" w:color="auto"/>
      </w:divBdr>
    </w:div>
    <w:div w:id="370113865">
      <w:bodyDiv w:val="1"/>
      <w:marLeft w:val="0"/>
      <w:marRight w:val="0"/>
      <w:marTop w:val="0"/>
      <w:marBottom w:val="0"/>
      <w:divBdr>
        <w:top w:val="none" w:sz="0" w:space="0" w:color="auto"/>
        <w:left w:val="none" w:sz="0" w:space="0" w:color="auto"/>
        <w:bottom w:val="none" w:sz="0" w:space="0" w:color="auto"/>
        <w:right w:val="none" w:sz="0" w:space="0" w:color="auto"/>
      </w:divBdr>
    </w:div>
    <w:div w:id="370737272">
      <w:bodyDiv w:val="1"/>
      <w:marLeft w:val="0"/>
      <w:marRight w:val="0"/>
      <w:marTop w:val="0"/>
      <w:marBottom w:val="0"/>
      <w:divBdr>
        <w:top w:val="none" w:sz="0" w:space="0" w:color="auto"/>
        <w:left w:val="none" w:sz="0" w:space="0" w:color="auto"/>
        <w:bottom w:val="none" w:sz="0" w:space="0" w:color="auto"/>
        <w:right w:val="none" w:sz="0" w:space="0" w:color="auto"/>
      </w:divBdr>
    </w:div>
    <w:div w:id="382027844">
      <w:bodyDiv w:val="1"/>
      <w:marLeft w:val="0"/>
      <w:marRight w:val="0"/>
      <w:marTop w:val="0"/>
      <w:marBottom w:val="0"/>
      <w:divBdr>
        <w:top w:val="none" w:sz="0" w:space="0" w:color="auto"/>
        <w:left w:val="none" w:sz="0" w:space="0" w:color="auto"/>
        <w:bottom w:val="none" w:sz="0" w:space="0" w:color="auto"/>
        <w:right w:val="none" w:sz="0" w:space="0" w:color="auto"/>
      </w:divBdr>
    </w:div>
    <w:div w:id="390882456">
      <w:bodyDiv w:val="1"/>
      <w:marLeft w:val="0"/>
      <w:marRight w:val="0"/>
      <w:marTop w:val="0"/>
      <w:marBottom w:val="0"/>
      <w:divBdr>
        <w:top w:val="none" w:sz="0" w:space="0" w:color="auto"/>
        <w:left w:val="none" w:sz="0" w:space="0" w:color="auto"/>
        <w:bottom w:val="none" w:sz="0" w:space="0" w:color="auto"/>
        <w:right w:val="none" w:sz="0" w:space="0" w:color="auto"/>
      </w:divBdr>
    </w:div>
    <w:div w:id="394358723">
      <w:bodyDiv w:val="1"/>
      <w:marLeft w:val="0"/>
      <w:marRight w:val="0"/>
      <w:marTop w:val="0"/>
      <w:marBottom w:val="0"/>
      <w:divBdr>
        <w:top w:val="none" w:sz="0" w:space="0" w:color="auto"/>
        <w:left w:val="none" w:sz="0" w:space="0" w:color="auto"/>
        <w:bottom w:val="none" w:sz="0" w:space="0" w:color="auto"/>
        <w:right w:val="none" w:sz="0" w:space="0" w:color="auto"/>
      </w:divBdr>
    </w:div>
    <w:div w:id="396251118">
      <w:bodyDiv w:val="1"/>
      <w:marLeft w:val="0"/>
      <w:marRight w:val="0"/>
      <w:marTop w:val="0"/>
      <w:marBottom w:val="0"/>
      <w:divBdr>
        <w:top w:val="none" w:sz="0" w:space="0" w:color="auto"/>
        <w:left w:val="none" w:sz="0" w:space="0" w:color="auto"/>
        <w:bottom w:val="none" w:sz="0" w:space="0" w:color="auto"/>
        <w:right w:val="none" w:sz="0" w:space="0" w:color="auto"/>
      </w:divBdr>
    </w:div>
    <w:div w:id="428895462">
      <w:bodyDiv w:val="1"/>
      <w:marLeft w:val="0"/>
      <w:marRight w:val="0"/>
      <w:marTop w:val="0"/>
      <w:marBottom w:val="0"/>
      <w:divBdr>
        <w:top w:val="none" w:sz="0" w:space="0" w:color="auto"/>
        <w:left w:val="none" w:sz="0" w:space="0" w:color="auto"/>
        <w:bottom w:val="none" w:sz="0" w:space="0" w:color="auto"/>
        <w:right w:val="none" w:sz="0" w:space="0" w:color="auto"/>
      </w:divBdr>
    </w:div>
    <w:div w:id="446698882">
      <w:bodyDiv w:val="1"/>
      <w:marLeft w:val="0"/>
      <w:marRight w:val="0"/>
      <w:marTop w:val="0"/>
      <w:marBottom w:val="0"/>
      <w:divBdr>
        <w:top w:val="none" w:sz="0" w:space="0" w:color="auto"/>
        <w:left w:val="none" w:sz="0" w:space="0" w:color="auto"/>
        <w:bottom w:val="none" w:sz="0" w:space="0" w:color="auto"/>
        <w:right w:val="none" w:sz="0" w:space="0" w:color="auto"/>
      </w:divBdr>
    </w:div>
    <w:div w:id="447701163">
      <w:bodyDiv w:val="1"/>
      <w:marLeft w:val="0"/>
      <w:marRight w:val="0"/>
      <w:marTop w:val="0"/>
      <w:marBottom w:val="0"/>
      <w:divBdr>
        <w:top w:val="none" w:sz="0" w:space="0" w:color="auto"/>
        <w:left w:val="none" w:sz="0" w:space="0" w:color="auto"/>
        <w:bottom w:val="none" w:sz="0" w:space="0" w:color="auto"/>
        <w:right w:val="none" w:sz="0" w:space="0" w:color="auto"/>
      </w:divBdr>
    </w:div>
    <w:div w:id="457459883">
      <w:bodyDiv w:val="1"/>
      <w:marLeft w:val="0"/>
      <w:marRight w:val="0"/>
      <w:marTop w:val="0"/>
      <w:marBottom w:val="0"/>
      <w:divBdr>
        <w:top w:val="none" w:sz="0" w:space="0" w:color="auto"/>
        <w:left w:val="none" w:sz="0" w:space="0" w:color="auto"/>
        <w:bottom w:val="none" w:sz="0" w:space="0" w:color="auto"/>
        <w:right w:val="none" w:sz="0" w:space="0" w:color="auto"/>
      </w:divBdr>
    </w:div>
    <w:div w:id="475102728">
      <w:bodyDiv w:val="1"/>
      <w:marLeft w:val="0"/>
      <w:marRight w:val="0"/>
      <w:marTop w:val="0"/>
      <w:marBottom w:val="0"/>
      <w:divBdr>
        <w:top w:val="none" w:sz="0" w:space="0" w:color="auto"/>
        <w:left w:val="none" w:sz="0" w:space="0" w:color="auto"/>
        <w:bottom w:val="none" w:sz="0" w:space="0" w:color="auto"/>
        <w:right w:val="none" w:sz="0" w:space="0" w:color="auto"/>
      </w:divBdr>
    </w:div>
    <w:div w:id="491290458">
      <w:bodyDiv w:val="1"/>
      <w:marLeft w:val="0"/>
      <w:marRight w:val="0"/>
      <w:marTop w:val="0"/>
      <w:marBottom w:val="0"/>
      <w:divBdr>
        <w:top w:val="none" w:sz="0" w:space="0" w:color="auto"/>
        <w:left w:val="none" w:sz="0" w:space="0" w:color="auto"/>
        <w:bottom w:val="none" w:sz="0" w:space="0" w:color="auto"/>
        <w:right w:val="none" w:sz="0" w:space="0" w:color="auto"/>
      </w:divBdr>
    </w:div>
    <w:div w:id="491603843">
      <w:bodyDiv w:val="1"/>
      <w:marLeft w:val="0"/>
      <w:marRight w:val="0"/>
      <w:marTop w:val="0"/>
      <w:marBottom w:val="0"/>
      <w:divBdr>
        <w:top w:val="none" w:sz="0" w:space="0" w:color="auto"/>
        <w:left w:val="none" w:sz="0" w:space="0" w:color="auto"/>
        <w:bottom w:val="none" w:sz="0" w:space="0" w:color="auto"/>
        <w:right w:val="none" w:sz="0" w:space="0" w:color="auto"/>
      </w:divBdr>
    </w:div>
    <w:div w:id="493768344">
      <w:bodyDiv w:val="1"/>
      <w:marLeft w:val="0"/>
      <w:marRight w:val="0"/>
      <w:marTop w:val="0"/>
      <w:marBottom w:val="0"/>
      <w:divBdr>
        <w:top w:val="none" w:sz="0" w:space="0" w:color="auto"/>
        <w:left w:val="none" w:sz="0" w:space="0" w:color="auto"/>
        <w:bottom w:val="none" w:sz="0" w:space="0" w:color="auto"/>
        <w:right w:val="none" w:sz="0" w:space="0" w:color="auto"/>
      </w:divBdr>
    </w:div>
    <w:div w:id="508721086">
      <w:bodyDiv w:val="1"/>
      <w:marLeft w:val="0"/>
      <w:marRight w:val="0"/>
      <w:marTop w:val="0"/>
      <w:marBottom w:val="0"/>
      <w:divBdr>
        <w:top w:val="none" w:sz="0" w:space="0" w:color="auto"/>
        <w:left w:val="none" w:sz="0" w:space="0" w:color="auto"/>
        <w:bottom w:val="none" w:sz="0" w:space="0" w:color="auto"/>
        <w:right w:val="none" w:sz="0" w:space="0" w:color="auto"/>
      </w:divBdr>
    </w:div>
    <w:div w:id="534193809">
      <w:bodyDiv w:val="1"/>
      <w:marLeft w:val="0"/>
      <w:marRight w:val="0"/>
      <w:marTop w:val="0"/>
      <w:marBottom w:val="0"/>
      <w:divBdr>
        <w:top w:val="none" w:sz="0" w:space="0" w:color="auto"/>
        <w:left w:val="none" w:sz="0" w:space="0" w:color="auto"/>
        <w:bottom w:val="none" w:sz="0" w:space="0" w:color="auto"/>
        <w:right w:val="none" w:sz="0" w:space="0" w:color="auto"/>
      </w:divBdr>
    </w:div>
    <w:div w:id="566108423">
      <w:bodyDiv w:val="1"/>
      <w:marLeft w:val="0"/>
      <w:marRight w:val="0"/>
      <w:marTop w:val="0"/>
      <w:marBottom w:val="0"/>
      <w:divBdr>
        <w:top w:val="none" w:sz="0" w:space="0" w:color="auto"/>
        <w:left w:val="none" w:sz="0" w:space="0" w:color="auto"/>
        <w:bottom w:val="none" w:sz="0" w:space="0" w:color="auto"/>
        <w:right w:val="none" w:sz="0" w:space="0" w:color="auto"/>
      </w:divBdr>
    </w:div>
    <w:div w:id="574586369">
      <w:bodyDiv w:val="1"/>
      <w:marLeft w:val="0"/>
      <w:marRight w:val="0"/>
      <w:marTop w:val="0"/>
      <w:marBottom w:val="0"/>
      <w:divBdr>
        <w:top w:val="none" w:sz="0" w:space="0" w:color="auto"/>
        <w:left w:val="none" w:sz="0" w:space="0" w:color="auto"/>
        <w:bottom w:val="none" w:sz="0" w:space="0" w:color="auto"/>
        <w:right w:val="none" w:sz="0" w:space="0" w:color="auto"/>
      </w:divBdr>
    </w:div>
    <w:div w:id="600451958">
      <w:bodyDiv w:val="1"/>
      <w:marLeft w:val="0"/>
      <w:marRight w:val="0"/>
      <w:marTop w:val="0"/>
      <w:marBottom w:val="0"/>
      <w:divBdr>
        <w:top w:val="none" w:sz="0" w:space="0" w:color="auto"/>
        <w:left w:val="none" w:sz="0" w:space="0" w:color="auto"/>
        <w:bottom w:val="none" w:sz="0" w:space="0" w:color="auto"/>
        <w:right w:val="none" w:sz="0" w:space="0" w:color="auto"/>
      </w:divBdr>
    </w:div>
    <w:div w:id="608124001">
      <w:bodyDiv w:val="1"/>
      <w:marLeft w:val="0"/>
      <w:marRight w:val="0"/>
      <w:marTop w:val="0"/>
      <w:marBottom w:val="0"/>
      <w:divBdr>
        <w:top w:val="none" w:sz="0" w:space="0" w:color="auto"/>
        <w:left w:val="none" w:sz="0" w:space="0" w:color="auto"/>
        <w:bottom w:val="none" w:sz="0" w:space="0" w:color="auto"/>
        <w:right w:val="none" w:sz="0" w:space="0" w:color="auto"/>
      </w:divBdr>
    </w:div>
    <w:div w:id="617493845">
      <w:bodyDiv w:val="1"/>
      <w:marLeft w:val="0"/>
      <w:marRight w:val="0"/>
      <w:marTop w:val="0"/>
      <w:marBottom w:val="0"/>
      <w:divBdr>
        <w:top w:val="none" w:sz="0" w:space="0" w:color="auto"/>
        <w:left w:val="none" w:sz="0" w:space="0" w:color="auto"/>
        <w:bottom w:val="none" w:sz="0" w:space="0" w:color="auto"/>
        <w:right w:val="none" w:sz="0" w:space="0" w:color="auto"/>
      </w:divBdr>
    </w:div>
    <w:div w:id="618336174">
      <w:bodyDiv w:val="1"/>
      <w:marLeft w:val="0"/>
      <w:marRight w:val="0"/>
      <w:marTop w:val="0"/>
      <w:marBottom w:val="0"/>
      <w:divBdr>
        <w:top w:val="none" w:sz="0" w:space="0" w:color="auto"/>
        <w:left w:val="none" w:sz="0" w:space="0" w:color="auto"/>
        <w:bottom w:val="none" w:sz="0" w:space="0" w:color="auto"/>
        <w:right w:val="none" w:sz="0" w:space="0" w:color="auto"/>
      </w:divBdr>
    </w:div>
    <w:div w:id="632951924">
      <w:bodyDiv w:val="1"/>
      <w:marLeft w:val="0"/>
      <w:marRight w:val="0"/>
      <w:marTop w:val="0"/>
      <w:marBottom w:val="0"/>
      <w:divBdr>
        <w:top w:val="none" w:sz="0" w:space="0" w:color="auto"/>
        <w:left w:val="none" w:sz="0" w:space="0" w:color="auto"/>
        <w:bottom w:val="none" w:sz="0" w:space="0" w:color="auto"/>
        <w:right w:val="none" w:sz="0" w:space="0" w:color="auto"/>
      </w:divBdr>
    </w:div>
    <w:div w:id="644940959">
      <w:bodyDiv w:val="1"/>
      <w:marLeft w:val="0"/>
      <w:marRight w:val="0"/>
      <w:marTop w:val="0"/>
      <w:marBottom w:val="0"/>
      <w:divBdr>
        <w:top w:val="none" w:sz="0" w:space="0" w:color="auto"/>
        <w:left w:val="none" w:sz="0" w:space="0" w:color="auto"/>
        <w:bottom w:val="none" w:sz="0" w:space="0" w:color="auto"/>
        <w:right w:val="none" w:sz="0" w:space="0" w:color="auto"/>
      </w:divBdr>
    </w:div>
    <w:div w:id="648747730">
      <w:bodyDiv w:val="1"/>
      <w:marLeft w:val="0"/>
      <w:marRight w:val="0"/>
      <w:marTop w:val="0"/>
      <w:marBottom w:val="0"/>
      <w:divBdr>
        <w:top w:val="none" w:sz="0" w:space="0" w:color="auto"/>
        <w:left w:val="none" w:sz="0" w:space="0" w:color="auto"/>
        <w:bottom w:val="none" w:sz="0" w:space="0" w:color="auto"/>
        <w:right w:val="none" w:sz="0" w:space="0" w:color="auto"/>
      </w:divBdr>
    </w:div>
    <w:div w:id="678387635">
      <w:bodyDiv w:val="1"/>
      <w:marLeft w:val="0"/>
      <w:marRight w:val="0"/>
      <w:marTop w:val="0"/>
      <w:marBottom w:val="0"/>
      <w:divBdr>
        <w:top w:val="none" w:sz="0" w:space="0" w:color="auto"/>
        <w:left w:val="none" w:sz="0" w:space="0" w:color="auto"/>
        <w:bottom w:val="none" w:sz="0" w:space="0" w:color="auto"/>
        <w:right w:val="none" w:sz="0" w:space="0" w:color="auto"/>
      </w:divBdr>
    </w:div>
    <w:div w:id="703362902">
      <w:bodyDiv w:val="1"/>
      <w:marLeft w:val="0"/>
      <w:marRight w:val="0"/>
      <w:marTop w:val="0"/>
      <w:marBottom w:val="0"/>
      <w:divBdr>
        <w:top w:val="none" w:sz="0" w:space="0" w:color="auto"/>
        <w:left w:val="none" w:sz="0" w:space="0" w:color="auto"/>
        <w:bottom w:val="none" w:sz="0" w:space="0" w:color="auto"/>
        <w:right w:val="none" w:sz="0" w:space="0" w:color="auto"/>
      </w:divBdr>
    </w:div>
    <w:div w:id="723219266">
      <w:bodyDiv w:val="1"/>
      <w:marLeft w:val="0"/>
      <w:marRight w:val="0"/>
      <w:marTop w:val="0"/>
      <w:marBottom w:val="0"/>
      <w:divBdr>
        <w:top w:val="none" w:sz="0" w:space="0" w:color="auto"/>
        <w:left w:val="none" w:sz="0" w:space="0" w:color="auto"/>
        <w:bottom w:val="none" w:sz="0" w:space="0" w:color="auto"/>
        <w:right w:val="none" w:sz="0" w:space="0" w:color="auto"/>
      </w:divBdr>
    </w:div>
    <w:div w:id="724182765">
      <w:bodyDiv w:val="1"/>
      <w:marLeft w:val="0"/>
      <w:marRight w:val="0"/>
      <w:marTop w:val="0"/>
      <w:marBottom w:val="0"/>
      <w:divBdr>
        <w:top w:val="none" w:sz="0" w:space="0" w:color="auto"/>
        <w:left w:val="none" w:sz="0" w:space="0" w:color="auto"/>
        <w:bottom w:val="none" w:sz="0" w:space="0" w:color="auto"/>
        <w:right w:val="none" w:sz="0" w:space="0" w:color="auto"/>
      </w:divBdr>
    </w:div>
    <w:div w:id="730663296">
      <w:bodyDiv w:val="1"/>
      <w:marLeft w:val="0"/>
      <w:marRight w:val="0"/>
      <w:marTop w:val="0"/>
      <w:marBottom w:val="0"/>
      <w:divBdr>
        <w:top w:val="none" w:sz="0" w:space="0" w:color="auto"/>
        <w:left w:val="none" w:sz="0" w:space="0" w:color="auto"/>
        <w:bottom w:val="none" w:sz="0" w:space="0" w:color="auto"/>
        <w:right w:val="none" w:sz="0" w:space="0" w:color="auto"/>
      </w:divBdr>
    </w:div>
    <w:div w:id="745349109">
      <w:bodyDiv w:val="1"/>
      <w:marLeft w:val="0"/>
      <w:marRight w:val="0"/>
      <w:marTop w:val="0"/>
      <w:marBottom w:val="0"/>
      <w:divBdr>
        <w:top w:val="none" w:sz="0" w:space="0" w:color="auto"/>
        <w:left w:val="none" w:sz="0" w:space="0" w:color="auto"/>
        <w:bottom w:val="none" w:sz="0" w:space="0" w:color="auto"/>
        <w:right w:val="none" w:sz="0" w:space="0" w:color="auto"/>
      </w:divBdr>
    </w:div>
    <w:div w:id="772212723">
      <w:bodyDiv w:val="1"/>
      <w:marLeft w:val="0"/>
      <w:marRight w:val="0"/>
      <w:marTop w:val="0"/>
      <w:marBottom w:val="0"/>
      <w:divBdr>
        <w:top w:val="none" w:sz="0" w:space="0" w:color="auto"/>
        <w:left w:val="none" w:sz="0" w:space="0" w:color="auto"/>
        <w:bottom w:val="none" w:sz="0" w:space="0" w:color="auto"/>
        <w:right w:val="none" w:sz="0" w:space="0" w:color="auto"/>
      </w:divBdr>
    </w:div>
    <w:div w:id="774053512">
      <w:bodyDiv w:val="1"/>
      <w:marLeft w:val="0"/>
      <w:marRight w:val="0"/>
      <w:marTop w:val="0"/>
      <w:marBottom w:val="0"/>
      <w:divBdr>
        <w:top w:val="none" w:sz="0" w:space="0" w:color="auto"/>
        <w:left w:val="none" w:sz="0" w:space="0" w:color="auto"/>
        <w:bottom w:val="none" w:sz="0" w:space="0" w:color="auto"/>
        <w:right w:val="none" w:sz="0" w:space="0" w:color="auto"/>
      </w:divBdr>
    </w:div>
    <w:div w:id="777217173">
      <w:bodyDiv w:val="1"/>
      <w:marLeft w:val="0"/>
      <w:marRight w:val="0"/>
      <w:marTop w:val="0"/>
      <w:marBottom w:val="0"/>
      <w:divBdr>
        <w:top w:val="none" w:sz="0" w:space="0" w:color="auto"/>
        <w:left w:val="none" w:sz="0" w:space="0" w:color="auto"/>
        <w:bottom w:val="none" w:sz="0" w:space="0" w:color="auto"/>
        <w:right w:val="none" w:sz="0" w:space="0" w:color="auto"/>
      </w:divBdr>
    </w:div>
    <w:div w:id="789474855">
      <w:bodyDiv w:val="1"/>
      <w:marLeft w:val="0"/>
      <w:marRight w:val="0"/>
      <w:marTop w:val="0"/>
      <w:marBottom w:val="0"/>
      <w:divBdr>
        <w:top w:val="none" w:sz="0" w:space="0" w:color="auto"/>
        <w:left w:val="none" w:sz="0" w:space="0" w:color="auto"/>
        <w:bottom w:val="none" w:sz="0" w:space="0" w:color="auto"/>
        <w:right w:val="none" w:sz="0" w:space="0" w:color="auto"/>
      </w:divBdr>
    </w:div>
    <w:div w:id="791821132">
      <w:bodyDiv w:val="1"/>
      <w:marLeft w:val="0"/>
      <w:marRight w:val="0"/>
      <w:marTop w:val="0"/>
      <w:marBottom w:val="0"/>
      <w:divBdr>
        <w:top w:val="none" w:sz="0" w:space="0" w:color="auto"/>
        <w:left w:val="none" w:sz="0" w:space="0" w:color="auto"/>
        <w:bottom w:val="none" w:sz="0" w:space="0" w:color="auto"/>
        <w:right w:val="none" w:sz="0" w:space="0" w:color="auto"/>
      </w:divBdr>
    </w:div>
    <w:div w:id="797917482">
      <w:bodyDiv w:val="1"/>
      <w:marLeft w:val="0"/>
      <w:marRight w:val="0"/>
      <w:marTop w:val="0"/>
      <w:marBottom w:val="0"/>
      <w:divBdr>
        <w:top w:val="none" w:sz="0" w:space="0" w:color="auto"/>
        <w:left w:val="none" w:sz="0" w:space="0" w:color="auto"/>
        <w:bottom w:val="none" w:sz="0" w:space="0" w:color="auto"/>
        <w:right w:val="none" w:sz="0" w:space="0" w:color="auto"/>
      </w:divBdr>
    </w:div>
    <w:div w:id="824853926">
      <w:bodyDiv w:val="1"/>
      <w:marLeft w:val="0"/>
      <w:marRight w:val="0"/>
      <w:marTop w:val="0"/>
      <w:marBottom w:val="0"/>
      <w:divBdr>
        <w:top w:val="none" w:sz="0" w:space="0" w:color="auto"/>
        <w:left w:val="none" w:sz="0" w:space="0" w:color="auto"/>
        <w:bottom w:val="none" w:sz="0" w:space="0" w:color="auto"/>
        <w:right w:val="none" w:sz="0" w:space="0" w:color="auto"/>
      </w:divBdr>
    </w:div>
    <w:div w:id="829053857">
      <w:bodyDiv w:val="1"/>
      <w:marLeft w:val="0"/>
      <w:marRight w:val="0"/>
      <w:marTop w:val="0"/>
      <w:marBottom w:val="0"/>
      <w:divBdr>
        <w:top w:val="none" w:sz="0" w:space="0" w:color="auto"/>
        <w:left w:val="none" w:sz="0" w:space="0" w:color="auto"/>
        <w:bottom w:val="none" w:sz="0" w:space="0" w:color="auto"/>
        <w:right w:val="none" w:sz="0" w:space="0" w:color="auto"/>
      </w:divBdr>
    </w:div>
    <w:div w:id="832257572">
      <w:bodyDiv w:val="1"/>
      <w:marLeft w:val="0"/>
      <w:marRight w:val="0"/>
      <w:marTop w:val="0"/>
      <w:marBottom w:val="0"/>
      <w:divBdr>
        <w:top w:val="none" w:sz="0" w:space="0" w:color="auto"/>
        <w:left w:val="none" w:sz="0" w:space="0" w:color="auto"/>
        <w:bottom w:val="none" w:sz="0" w:space="0" w:color="auto"/>
        <w:right w:val="none" w:sz="0" w:space="0" w:color="auto"/>
      </w:divBdr>
    </w:div>
    <w:div w:id="836267157">
      <w:bodyDiv w:val="1"/>
      <w:marLeft w:val="0"/>
      <w:marRight w:val="0"/>
      <w:marTop w:val="0"/>
      <w:marBottom w:val="0"/>
      <w:divBdr>
        <w:top w:val="none" w:sz="0" w:space="0" w:color="auto"/>
        <w:left w:val="none" w:sz="0" w:space="0" w:color="auto"/>
        <w:bottom w:val="none" w:sz="0" w:space="0" w:color="auto"/>
        <w:right w:val="none" w:sz="0" w:space="0" w:color="auto"/>
      </w:divBdr>
    </w:div>
    <w:div w:id="840969565">
      <w:bodyDiv w:val="1"/>
      <w:marLeft w:val="0"/>
      <w:marRight w:val="0"/>
      <w:marTop w:val="0"/>
      <w:marBottom w:val="0"/>
      <w:divBdr>
        <w:top w:val="none" w:sz="0" w:space="0" w:color="auto"/>
        <w:left w:val="none" w:sz="0" w:space="0" w:color="auto"/>
        <w:bottom w:val="none" w:sz="0" w:space="0" w:color="auto"/>
        <w:right w:val="none" w:sz="0" w:space="0" w:color="auto"/>
      </w:divBdr>
    </w:div>
    <w:div w:id="848831682">
      <w:bodyDiv w:val="1"/>
      <w:marLeft w:val="0"/>
      <w:marRight w:val="0"/>
      <w:marTop w:val="0"/>
      <w:marBottom w:val="0"/>
      <w:divBdr>
        <w:top w:val="none" w:sz="0" w:space="0" w:color="auto"/>
        <w:left w:val="none" w:sz="0" w:space="0" w:color="auto"/>
        <w:bottom w:val="none" w:sz="0" w:space="0" w:color="auto"/>
        <w:right w:val="none" w:sz="0" w:space="0" w:color="auto"/>
      </w:divBdr>
    </w:div>
    <w:div w:id="875580475">
      <w:bodyDiv w:val="1"/>
      <w:marLeft w:val="0"/>
      <w:marRight w:val="0"/>
      <w:marTop w:val="0"/>
      <w:marBottom w:val="0"/>
      <w:divBdr>
        <w:top w:val="none" w:sz="0" w:space="0" w:color="auto"/>
        <w:left w:val="none" w:sz="0" w:space="0" w:color="auto"/>
        <w:bottom w:val="none" w:sz="0" w:space="0" w:color="auto"/>
        <w:right w:val="none" w:sz="0" w:space="0" w:color="auto"/>
      </w:divBdr>
    </w:div>
    <w:div w:id="880705363">
      <w:bodyDiv w:val="1"/>
      <w:marLeft w:val="0"/>
      <w:marRight w:val="0"/>
      <w:marTop w:val="0"/>
      <w:marBottom w:val="0"/>
      <w:divBdr>
        <w:top w:val="none" w:sz="0" w:space="0" w:color="auto"/>
        <w:left w:val="none" w:sz="0" w:space="0" w:color="auto"/>
        <w:bottom w:val="none" w:sz="0" w:space="0" w:color="auto"/>
        <w:right w:val="none" w:sz="0" w:space="0" w:color="auto"/>
      </w:divBdr>
    </w:div>
    <w:div w:id="887690765">
      <w:bodyDiv w:val="1"/>
      <w:marLeft w:val="0"/>
      <w:marRight w:val="0"/>
      <w:marTop w:val="0"/>
      <w:marBottom w:val="0"/>
      <w:divBdr>
        <w:top w:val="none" w:sz="0" w:space="0" w:color="auto"/>
        <w:left w:val="none" w:sz="0" w:space="0" w:color="auto"/>
        <w:bottom w:val="none" w:sz="0" w:space="0" w:color="auto"/>
        <w:right w:val="none" w:sz="0" w:space="0" w:color="auto"/>
      </w:divBdr>
    </w:div>
    <w:div w:id="899824175">
      <w:bodyDiv w:val="1"/>
      <w:marLeft w:val="0"/>
      <w:marRight w:val="0"/>
      <w:marTop w:val="0"/>
      <w:marBottom w:val="0"/>
      <w:divBdr>
        <w:top w:val="none" w:sz="0" w:space="0" w:color="auto"/>
        <w:left w:val="none" w:sz="0" w:space="0" w:color="auto"/>
        <w:bottom w:val="none" w:sz="0" w:space="0" w:color="auto"/>
        <w:right w:val="none" w:sz="0" w:space="0" w:color="auto"/>
      </w:divBdr>
    </w:div>
    <w:div w:id="909540011">
      <w:bodyDiv w:val="1"/>
      <w:marLeft w:val="0"/>
      <w:marRight w:val="0"/>
      <w:marTop w:val="0"/>
      <w:marBottom w:val="0"/>
      <w:divBdr>
        <w:top w:val="none" w:sz="0" w:space="0" w:color="auto"/>
        <w:left w:val="none" w:sz="0" w:space="0" w:color="auto"/>
        <w:bottom w:val="none" w:sz="0" w:space="0" w:color="auto"/>
        <w:right w:val="none" w:sz="0" w:space="0" w:color="auto"/>
      </w:divBdr>
    </w:div>
    <w:div w:id="913055207">
      <w:bodyDiv w:val="1"/>
      <w:marLeft w:val="0"/>
      <w:marRight w:val="0"/>
      <w:marTop w:val="0"/>
      <w:marBottom w:val="0"/>
      <w:divBdr>
        <w:top w:val="none" w:sz="0" w:space="0" w:color="auto"/>
        <w:left w:val="none" w:sz="0" w:space="0" w:color="auto"/>
        <w:bottom w:val="none" w:sz="0" w:space="0" w:color="auto"/>
        <w:right w:val="none" w:sz="0" w:space="0" w:color="auto"/>
      </w:divBdr>
    </w:div>
    <w:div w:id="913661972">
      <w:bodyDiv w:val="1"/>
      <w:marLeft w:val="0"/>
      <w:marRight w:val="0"/>
      <w:marTop w:val="0"/>
      <w:marBottom w:val="0"/>
      <w:divBdr>
        <w:top w:val="none" w:sz="0" w:space="0" w:color="auto"/>
        <w:left w:val="none" w:sz="0" w:space="0" w:color="auto"/>
        <w:bottom w:val="none" w:sz="0" w:space="0" w:color="auto"/>
        <w:right w:val="none" w:sz="0" w:space="0" w:color="auto"/>
      </w:divBdr>
    </w:div>
    <w:div w:id="918292888">
      <w:bodyDiv w:val="1"/>
      <w:marLeft w:val="0"/>
      <w:marRight w:val="0"/>
      <w:marTop w:val="0"/>
      <w:marBottom w:val="0"/>
      <w:divBdr>
        <w:top w:val="none" w:sz="0" w:space="0" w:color="auto"/>
        <w:left w:val="none" w:sz="0" w:space="0" w:color="auto"/>
        <w:bottom w:val="none" w:sz="0" w:space="0" w:color="auto"/>
        <w:right w:val="none" w:sz="0" w:space="0" w:color="auto"/>
      </w:divBdr>
    </w:div>
    <w:div w:id="919364728">
      <w:bodyDiv w:val="1"/>
      <w:marLeft w:val="0"/>
      <w:marRight w:val="0"/>
      <w:marTop w:val="0"/>
      <w:marBottom w:val="0"/>
      <w:divBdr>
        <w:top w:val="none" w:sz="0" w:space="0" w:color="auto"/>
        <w:left w:val="none" w:sz="0" w:space="0" w:color="auto"/>
        <w:bottom w:val="none" w:sz="0" w:space="0" w:color="auto"/>
        <w:right w:val="none" w:sz="0" w:space="0" w:color="auto"/>
      </w:divBdr>
    </w:div>
    <w:div w:id="925845560">
      <w:bodyDiv w:val="1"/>
      <w:marLeft w:val="0"/>
      <w:marRight w:val="0"/>
      <w:marTop w:val="0"/>
      <w:marBottom w:val="0"/>
      <w:divBdr>
        <w:top w:val="none" w:sz="0" w:space="0" w:color="auto"/>
        <w:left w:val="none" w:sz="0" w:space="0" w:color="auto"/>
        <w:bottom w:val="none" w:sz="0" w:space="0" w:color="auto"/>
        <w:right w:val="none" w:sz="0" w:space="0" w:color="auto"/>
      </w:divBdr>
    </w:div>
    <w:div w:id="936786190">
      <w:bodyDiv w:val="1"/>
      <w:marLeft w:val="0"/>
      <w:marRight w:val="0"/>
      <w:marTop w:val="0"/>
      <w:marBottom w:val="0"/>
      <w:divBdr>
        <w:top w:val="none" w:sz="0" w:space="0" w:color="auto"/>
        <w:left w:val="none" w:sz="0" w:space="0" w:color="auto"/>
        <w:bottom w:val="none" w:sz="0" w:space="0" w:color="auto"/>
        <w:right w:val="none" w:sz="0" w:space="0" w:color="auto"/>
      </w:divBdr>
    </w:div>
    <w:div w:id="963345780">
      <w:bodyDiv w:val="1"/>
      <w:marLeft w:val="0"/>
      <w:marRight w:val="0"/>
      <w:marTop w:val="0"/>
      <w:marBottom w:val="0"/>
      <w:divBdr>
        <w:top w:val="none" w:sz="0" w:space="0" w:color="auto"/>
        <w:left w:val="none" w:sz="0" w:space="0" w:color="auto"/>
        <w:bottom w:val="none" w:sz="0" w:space="0" w:color="auto"/>
        <w:right w:val="none" w:sz="0" w:space="0" w:color="auto"/>
      </w:divBdr>
    </w:div>
    <w:div w:id="977488336">
      <w:bodyDiv w:val="1"/>
      <w:marLeft w:val="0"/>
      <w:marRight w:val="0"/>
      <w:marTop w:val="0"/>
      <w:marBottom w:val="0"/>
      <w:divBdr>
        <w:top w:val="none" w:sz="0" w:space="0" w:color="auto"/>
        <w:left w:val="none" w:sz="0" w:space="0" w:color="auto"/>
        <w:bottom w:val="none" w:sz="0" w:space="0" w:color="auto"/>
        <w:right w:val="none" w:sz="0" w:space="0" w:color="auto"/>
      </w:divBdr>
    </w:div>
    <w:div w:id="983588088">
      <w:bodyDiv w:val="1"/>
      <w:marLeft w:val="0"/>
      <w:marRight w:val="0"/>
      <w:marTop w:val="0"/>
      <w:marBottom w:val="0"/>
      <w:divBdr>
        <w:top w:val="none" w:sz="0" w:space="0" w:color="auto"/>
        <w:left w:val="none" w:sz="0" w:space="0" w:color="auto"/>
        <w:bottom w:val="none" w:sz="0" w:space="0" w:color="auto"/>
        <w:right w:val="none" w:sz="0" w:space="0" w:color="auto"/>
      </w:divBdr>
    </w:div>
    <w:div w:id="984698093">
      <w:bodyDiv w:val="1"/>
      <w:marLeft w:val="0"/>
      <w:marRight w:val="0"/>
      <w:marTop w:val="0"/>
      <w:marBottom w:val="0"/>
      <w:divBdr>
        <w:top w:val="none" w:sz="0" w:space="0" w:color="auto"/>
        <w:left w:val="none" w:sz="0" w:space="0" w:color="auto"/>
        <w:bottom w:val="none" w:sz="0" w:space="0" w:color="auto"/>
        <w:right w:val="none" w:sz="0" w:space="0" w:color="auto"/>
      </w:divBdr>
    </w:div>
    <w:div w:id="984898352">
      <w:bodyDiv w:val="1"/>
      <w:marLeft w:val="0"/>
      <w:marRight w:val="0"/>
      <w:marTop w:val="0"/>
      <w:marBottom w:val="0"/>
      <w:divBdr>
        <w:top w:val="none" w:sz="0" w:space="0" w:color="auto"/>
        <w:left w:val="none" w:sz="0" w:space="0" w:color="auto"/>
        <w:bottom w:val="none" w:sz="0" w:space="0" w:color="auto"/>
        <w:right w:val="none" w:sz="0" w:space="0" w:color="auto"/>
      </w:divBdr>
    </w:div>
    <w:div w:id="990451712">
      <w:bodyDiv w:val="1"/>
      <w:marLeft w:val="0"/>
      <w:marRight w:val="0"/>
      <w:marTop w:val="0"/>
      <w:marBottom w:val="0"/>
      <w:divBdr>
        <w:top w:val="none" w:sz="0" w:space="0" w:color="auto"/>
        <w:left w:val="none" w:sz="0" w:space="0" w:color="auto"/>
        <w:bottom w:val="none" w:sz="0" w:space="0" w:color="auto"/>
        <w:right w:val="none" w:sz="0" w:space="0" w:color="auto"/>
      </w:divBdr>
    </w:div>
    <w:div w:id="992221406">
      <w:bodyDiv w:val="1"/>
      <w:marLeft w:val="0"/>
      <w:marRight w:val="0"/>
      <w:marTop w:val="0"/>
      <w:marBottom w:val="0"/>
      <w:divBdr>
        <w:top w:val="none" w:sz="0" w:space="0" w:color="auto"/>
        <w:left w:val="none" w:sz="0" w:space="0" w:color="auto"/>
        <w:bottom w:val="none" w:sz="0" w:space="0" w:color="auto"/>
        <w:right w:val="none" w:sz="0" w:space="0" w:color="auto"/>
      </w:divBdr>
    </w:div>
    <w:div w:id="1009672051">
      <w:bodyDiv w:val="1"/>
      <w:marLeft w:val="0"/>
      <w:marRight w:val="0"/>
      <w:marTop w:val="0"/>
      <w:marBottom w:val="0"/>
      <w:divBdr>
        <w:top w:val="none" w:sz="0" w:space="0" w:color="auto"/>
        <w:left w:val="none" w:sz="0" w:space="0" w:color="auto"/>
        <w:bottom w:val="none" w:sz="0" w:space="0" w:color="auto"/>
        <w:right w:val="none" w:sz="0" w:space="0" w:color="auto"/>
      </w:divBdr>
    </w:div>
    <w:div w:id="1017776255">
      <w:bodyDiv w:val="1"/>
      <w:marLeft w:val="0"/>
      <w:marRight w:val="0"/>
      <w:marTop w:val="0"/>
      <w:marBottom w:val="0"/>
      <w:divBdr>
        <w:top w:val="none" w:sz="0" w:space="0" w:color="auto"/>
        <w:left w:val="none" w:sz="0" w:space="0" w:color="auto"/>
        <w:bottom w:val="none" w:sz="0" w:space="0" w:color="auto"/>
        <w:right w:val="none" w:sz="0" w:space="0" w:color="auto"/>
      </w:divBdr>
    </w:div>
    <w:div w:id="1044139006">
      <w:bodyDiv w:val="1"/>
      <w:marLeft w:val="0"/>
      <w:marRight w:val="0"/>
      <w:marTop w:val="0"/>
      <w:marBottom w:val="0"/>
      <w:divBdr>
        <w:top w:val="none" w:sz="0" w:space="0" w:color="auto"/>
        <w:left w:val="none" w:sz="0" w:space="0" w:color="auto"/>
        <w:bottom w:val="none" w:sz="0" w:space="0" w:color="auto"/>
        <w:right w:val="none" w:sz="0" w:space="0" w:color="auto"/>
      </w:divBdr>
    </w:div>
    <w:div w:id="1045519483">
      <w:bodyDiv w:val="1"/>
      <w:marLeft w:val="0"/>
      <w:marRight w:val="0"/>
      <w:marTop w:val="0"/>
      <w:marBottom w:val="0"/>
      <w:divBdr>
        <w:top w:val="none" w:sz="0" w:space="0" w:color="auto"/>
        <w:left w:val="none" w:sz="0" w:space="0" w:color="auto"/>
        <w:bottom w:val="none" w:sz="0" w:space="0" w:color="auto"/>
        <w:right w:val="none" w:sz="0" w:space="0" w:color="auto"/>
      </w:divBdr>
    </w:div>
    <w:div w:id="1052190243">
      <w:bodyDiv w:val="1"/>
      <w:marLeft w:val="0"/>
      <w:marRight w:val="0"/>
      <w:marTop w:val="0"/>
      <w:marBottom w:val="0"/>
      <w:divBdr>
        <w:top w:val="none" w:sz="0" w:space="0" w:color="auto"/>
        <w:left w:val="none" w:sz="0" w:space="0" w:color="auto"/>
        <w:bottom w:val="none" w:sz="0" w:space="0" w:color="auto"/>
        <w:right w:val="none" w:sz="0" w:space="0" w:color="auto"/>
      </w:divBdr>
    </w:div>
    <w:div w:id="1056123638">
      <w:bodyDiv w:val="1"/>
      <w:marLeft w:val="0"/>
      <w:marRight w:val="0"/>
      <w:marTop w:val="0"/>
      <w:marBottom w:val="0"/>
      <w:divBdr>
        <w:top w:val="none" w:sz="0" w:space="0" w:color="auto"/>
        <w:left w:val="none" w:sz="0" w:space="0" w:color="auto"/>
        <w:bottom w:val="none" w:sz="0" w:space="0" w:color="auto"/>
        <w:right w:val="none" w:sz="0" w:space="0" w:color="auto"/>
      </w:divBdr>
    </w:div>
    <w:div w:id="1062365761">
      <w:bodyDiv w:val="1"/>
      <w:marLeft w:val="0"/>
      <w:marRight w:val="0"/>
      <w:marTop w:val="0"/>
      <w:marBottom w:val="0"/>
      <w:divBdr>
        <w:top w:val="none" w:sz="0" w:space="0" w:color="auto"/>
        <w:left w:val="none" w:sz="0" w:space="0" w:color="auto"/>
        <w:bottom w:val="none" w:sz="0" w:space="0" w:color="auto"/>
        <w:right w:val="none" w:sz="0" w:space="0" w:color="auto"/>
      </w:divBdr>
    </w:div>
    <w:div w:id="1074086342">
      <w:bodyDiv w:val="1"/>
      <w:marLeft w:val="0"/>
      <w:marRight w:val="0"/>
      <w:marTop w:val="0"/>
      <w:marBottom w:val="0"/>
      <w:divBdr>
        <w:top w:val="none" w:sz="0" w:space="0" w:color="auto"/>
        <w:left w:val="none" w:sz="0" w:space="0" w:color="auto"/>
        <w:bottom w:val="none" w:sz="0" w:space="0" w:color="auto"/>
        <w:right w:val="none" w:sz="0" w:space="0" w:color="auto"/>
      </w:divBdr>
    </w:div>
    <w:div w:id="1089035576">
      <w:bodyDiv w:val="1"/>
      <w:marLeft w:val="0"/>
      <w:marRight w:val="0"/>
      <w:marTop w:val="0"/>
      <w:marBottom w:val="0"/>
      <w:divBdr>
        <w:top w:val="none" w:sz="0" w:space="0" w:color="auto"/>
        <w:left w:val="none" w:sz="0" w:space="0" w:color="auto"/>
        <w:bottom w:val="none" w:sz="0" w:space="0" w:color="auto"/>
        <w:right w:val="none" w:sz="0" w:space="0" w:color="auto"/>
      </w:divBdr>
    </w:div>
    <w:div w:id="1093361244">
      <w:bodyDiv w:val="1"/>
      <w:marLeft w:val="0"/>
      <w:marRight w:val="0"/>
      <w:marTop w:val="0"/>
      <w:marBottom w:val="0"/>
      <w:divBdr>
        <w:top w:val="none" w:sz="0" w:space="0" w:color="auto"/>
        <w:left w:val="none" w:sz="0" w:space="0" w:color="auto"/>
        <w:bottom w:val="none" w:sz="0" w:space="0" w:color="auto"/>
        <w:right w:val="none" w:sz="0" w:space="0" w:color="auto"/>
      </w:divBdr>
    </w:div>
    <w:div w:id="1100447612">
      <w:bodyDiv w:val="1"/>
      <w:marLeft w:val="0"/>
      <w:marRight w:val="0"/>
      <w:marTop w:val="0"/>
      <w:marBottom w:val="0"/>
      <w:divBdr>
        <w:top w:val="none" w:sz="0" w:space="0" w:color="auto"/>
        <w:left w:val="none" w:sz="0" w:space="0" w:color="auto"/>
        <w:bottom w:val="none" w:sz="0" w:space="0" w:color="auto"/>
        <w:right w:val="none" w:sz="0" w:space="0" w:color="auto"/>
      </w:divBdr>
    </w:div>
    <w:div w:id="1103185173">
      <w:bodyDiv w:val="1"/>
      <w:marLeft w:val="0"/>
      <w:marRight w:val="0"/>
      <w:marTop w:val="0"/>
      <w:marBottom w:val="0"/>
      <w:divBdr>
        <w:top w:val="none" w:sz="0" w:space="0" w:color="auto"/>
        <w:left w:val="none" w:sz="0" w:space="0" w:color="auto"/>
        <w:bottom w:val="none" w:sz="0" w:space="0" w:color="auto"/>
        <w:right w:val="none" w:sz="0" w:space="0" w:color="auto"/>
      </w:divBdr>
    </w:div>
    <w:div w:id="1104689515">
      <w:bodyDiv w:val="1"/>
      <w:marLeft w:val="0"/>
      <w:marRight w:val="0"/>
      <w:marTop w:val="0"/>
      <w:marBottom w:val="0"/>
      <w:divBdr>
        <w:top w:val="none" w:sz="0" w:space="0" w:color="auto"/>
        <w:left w:val="none" w:sz="0" w:space="0" w:color="auto"/>
        <w:bottom w:val="none" w:sz="0" w:space="0" w:color="auto"/>
        <w:right w:val="none" w:sz="0" w:space="0" w:color="auto"/>
      </w:divBdr>
    </w:div>
    <w:div w:id="1108432118">
      <w:bodyDiv w:val="1"/>
      <w:marLeft w:val="0"/>
      <w:marRight w:val="0"/>
      <w:marTop w:val="0"/>
      <w:marBottom w:val="0"/>
      <w:divBdr>
        <w:top w:val="none" w:sz="0" w:space="0" w:color="auto"/>
        <w:left w:val="none" w:sz="0" w:space="0" w:color="auto"/>
        <w:bottom w:val="none" w:sz="0" w:space="0" w:color="auto"/>
        <w:right w:val="none" w:sz="0" w:space="0" w:color="auto"/>
      </w:divBdr>
    </w:div>
    <w:div w:id="1110780823">
      <w:bodyDiv w:val="1"/>
      <w:marLeft w:val="0"/>
      <w:marRight w:val="0"/>
      <w:marTop w:val="0"/>
      <w:marBottom w:val="0"/>
      <w:divBdr>
        <w:top w:val="none" w:sz="0" w:space="0" w:color="auto"/>
        <w:left w:val="none" w:sz="0" w:space="0" w:color="auto"/>
        <w:bottom w:val="none" w:sz="0" w:space="0" w:color="auto"/>
        <w:right w:val="none" w:sz="0" w:space="0" w:color="auto"/>
      </w:divBdr>
    </w:div>
    <w:div w:id="1164323700">
      <w:bodyDiv w:val="1"/>
      <w:marLeft w:val="0"/>
      <w:marRight w:val="0"/>
      <w:marTop w:val="0"/>
      <w:marBottom w:val="0"/>
      <w:divBdr>
        <w:top w:val="none" w:sz="0" w:space="0" w:color="auto"/>
        <w:left w:val="none" w:sz="0" w:space="0" w:color="auto"/>
        <w:bottom w:val="none" w:sz="0" w:space="0" w:color="auto"/>
        <w:right w:val="none" w:sz="0" w:space="0" w:color="auto"/>
      </w:divBdr>
    </w:div>
    <w:div w:id="1181579606">
      <w:bodyDiv w:val="1"/>
      <w:marLeft w:val="0"/>
      <w:marRight w:val="0"/>
      <w:marTop w:val="0"/>
      <w:marBottom w:val="0"/>
      <w:divBdr>
        <w:top w:val="none" w:sz="0" w:space="0" w:color="auto"/>
        <w:left w:val="none" w:sz="0" w:space="0" w:color="auto"/>
        <w:bottom w:val="none" w:sz="0" w:space="0" w:color="auto"/>
        <w:right w:val="none" w:sz="0" w:space="0" w:color="auto"/>
      </w:divBdr>
    </w:div>
    <w:div w:id="1185705930">
      <w:bodyDiv w:val="1"/>
      <w:marLeft w:val="0"/>
      <w:marRight w:val="0"/>
      <w:marTop w:val="0"/>
      <w:marBottom w:val="0"/>
      <w:divBdr>
        <w:top w:val="none" w:sz="0" w:space="0" w:color="auto"/>
        <w:left w:val="none" w:sz="0" w:space="0" w:color="auto"/>
        <w:bottom w:val="none" w:sz="0" w:space="0" w:color="auto"/>
        <w:right w:val="none" w:sz="0" w:space="0" w:color="auto"/>
      </w:divBdr>
    </w:div>
    <w:div w:id="1199506917">
      <w:bodyDiv w:val="1"/>
      <w:marLeft w:val="0"/>
      <w:marRight w:val="0"/>
      <w:marTop w:val="0"/>
      <w:marBottom w:val="0"/>
      <w:divBdr>
        <w:top w:val="none" w:sz="0" w:space="0" w:color="auto"/>
        <w:left w:val="none" w:sz="0" w:space="0" w:color="auto"/>
        <w:bottom w:val="none" w:sz="0" w:space="0" w:color="auto"/>
        <w:right w:val="none" w:sz="0" w:space="0" w:color="auto"/>
      </w:divBdr>
    </w:div>
    <w:div w:id="1210799703">
      <w:bodyDiv w:val="1"/>
      <w:marLeft w:val="0"/>
      <w:marRight w:val="0"/>
      <w:marTop w:val="0"/>
      <w:marBottom w:val="0"/>
      <w:divBdr>
        <w:top w:val="none" w:sz="0" w:space="0" w:color="auto"/>
        <w:left w:val="none" w:sz="0" w:space="0" w:color="auto"/>
        <w:bottom w:val="none" w:sz="0" w:space="0" w:color="auto"/>
        <w:right w:val="none" w:sz="0" w:space="0" w:color="auto"/>
      </w:divBdr>
    </w:div>
    <w:div w:id="1219824431">
      <w:bodyDiv w:val="1"/>
      <w:marLeft w:val="0"/>
      <w:marRight w:val="0"/>
      <w:marTop w:val="0"/>
      <w:marBottom w:val="0"/>
      <w:divBdr>
        <w:top w:val="none" w:sz="0" w:space="0" w:color="auto"/>
        <w:left w:val="none" w:sz="0" w:space="0" w:color="auto"/>
        <w:bottom w:val="none" w:sz="0" w:space="0" w:color="auto"/>
        <w:right w:val="none" w:sz="0" w:space="0" w:color="auto"/>
      </w:divBdr>
    </w:div>
    <w:div w:id="1251232864">
      <w:bodyDiv w:val="1"/>
      <w:marLeft w:val="0"/>
      <w:marRight w:val="0"/>
      <w:marTop w:val="0"/>
      <w:marBottom w:val="0"/>
      <w:divBdr>
        <w:top w:val="none" w:sz="0" w:space="0" w:color="auto"/>
        <w:left w:val="none" w:sz="0" w:space="0" w:color="auto"/>
        <w:bottom w:val="none" w:sz="0" w:space="0" w:color="auto"/>
        <w:right w:val="none" w:sz="0" w:space="0" w:color="auto"/>
      </w:divBdr>
    </w:div>
    <w:div w:id="1251357736">
      <w:bodyDiv w:val="1"/>
      <w:marLeft w:val="0"/>
      <w:marRight w:val="0"/>
      <w:marTop w:val="0"/>
      <w:marBottom w:val="0"/>
      <w:divBdr>
        <w:top w:val="none" w:sz="0" w:space="0" w:color="auto"/>
        <w:left w:val="none" w:sz="0" w:space="0" w:color="auto"/>
        <w:bottom w:val="none" w:sz="0" w:space="0" w:color="auto"/>
        <w:right w:val="none" w:sz="0" w:space="0" w:color="auto"/>
      </w:divBdr>
    </w:div>
    <w:div w:id="1272123707">
      <w:bodyDiv w:val="1"/>
      <w:marLeft w:val="0"/>
      <w:marRight w:val="0"/>
      <w:marTop w:val="0"/>
      <w:marBottom w:val="0"/>
      <w:divBdr>
        <w:top w:val="none" w:sz="0" w:space="0" w:color="auto"/>
        <w:left w:val="none" w:sz="0" w:space="0" w:color="auto"/>
        <w:bottom w:val="none" w:sz="0" w:space="0" w:color="auto"/>
        <w:right w:val="none" w:sz="0" w:space="0" w:color="auto"/>
      </w:divBdr>
    </w:div>
    <w:div w:id="1287003798">
      <w:bodyDiv w:val="1"/>
      <w:marLeft w:val="0"/>
      <w:marRight w:val="0"/>
      <w:marTop w:val="0"/>
      <w:marBottom w:val="0"/>
      <w:divBdr>
        <w:top w:val="none" w:sz="0" w:space="0" w:color="auto"/>
        <w:left w:val="none" w:sz="0" w:space="0" w:color="auto"/>
        <w:bottom w:val="none" w:sz="0" w:space="0" w:color="auto"/>
        <w:right w:val="none" w:sz="0" w:space="0" w:color="auto"/>
      </w:divBdr>
    </w:div>
    <w:div w:id="1291131160">
      <w:bodyDiv w:val="1"/>
      <w:marLeft w:val="0"/>
      <w:marRight w:val="0"/>
      <w:marTop w:val="0"/>
      <w:marBottom w:val="0"/>
      <w:divBdr>
        <w:top w:val="none" w:sz="0" w:space="0" w:color="auto"/>
        <w:left w:val="none" w:sz="0" w:space="0" w:color="auto"/>
        <w:bottom w:val="none" w:sz="0" w:space="0" w:color="auto"/>
        <w:right w:val="none" w:sz="0" w:space="0" w:color="auto"/>
      </w:divBdr>
    </w:div>
    <w:div w:id="1296910193">
      <w:bodyDiv w:val="1"/>
      <w:marLeft w:val="0"/>
      <w:marRight w:val="0"/>
      <w:marTop w:val="0"/>
      <w:marBottom w:val="0"/>
      <w:divBdr>
        <w:top w:val="none" w:sz="0" w:space="0" w:color="auto"/>
        <w:left w:val="none" w:sz="0" w:space="0" w:color="auto"/>
        <w:bottom w:val="none" w:sz="0" w:space="0" w:color="auto"/>
        <w:right w:val="none" w:sz="0" w:space="0" w:color="auto"/>
      </w:divBdr>
    </w:div>
    <w:div w:id="1312829037">
      <w:bodyDiv w:val="1"/>
      <w:marLeft w:val="0"/>
      <w:marRight w:val="0"/>
      <w:marTop w:val="0"/>
      <w:marBottom w:val="0"/>
      <w:divBdr>
        <w:top w:val="none" w:sz="0" w:space="0" w:color="auto"/>
        <w:left w:val="none" w:sz="0" w:space="0" w:color="auto"/>
        <w:bottom w:val="none" w:sz="0" w:space="0" w:color="auto"/>
        <w:right w:val="none" w:sz="0" w:space="0" w:color="auto"/>
      </w:divBdr>
    </w:div>
    <w:div w:id="1317413136">
      <w:bodyDiv w:val="1"/>
      <w:marLeft w:val="0"/>
      <w:marRight w:val="0"/>
      <w:marTop w:val="0"/>
      <w:marBottom w:val="0"/>
      <w:divBdr>
        <w:top w:val="none" w:sz="0" w:space="0" w:color="auto"/>
        <w:left w:val="none" w:sz="0" w:space="0" w:color="auto"/>
        <w:bottom w:val="none" w:sz="0" w:space="0" w:color="auto"/>
        <w:right w:val="none" w:sz="0" w:space="0" w:color="auto"/>
      </w:divBdr>
    </w:div>
    <w:div w:id="1324309605">
      <w:bodyDiv w:val="1"/>
      <w:marLeft w:val="0"/>
      <w:marRight w:val="0"/>
      <w:marTop w:val="0"/>
      <w:marBottom w:val="0"/>
      <w:divBdr>
        <w:top w:val="none" w:sz="0" w:space="0" w:color="auto"/>
        <w:left w:val="none" w:sz="0" w:space="0" w:color="auto"/>
        <w:bottom w:val="none" w:sz="0" w:space="0" w:color="auto"/>
        <w:right w:val="none" w:sz="0" w:space="0" w:color="auto"/>
      </w:divBdr>
    </w:div>
    <w:div w:id="1326201911">
      <w:bodyDiv w:val="1"/>
      <w:marLeft w:val="0"/>
      <w:marRight w:val="0"/>
      <w:marTop w:val="0"/>
      <w:marBottom w:val="0"/>
      <w:divBdr>
        <w:top w:val="none" w:sz="0" w:space="0" w:color="auto"/>
        <w:left w:val="none" w:sz="0" w:space="0" w:color="auto"/>
        <w:bottom w:val="none" w:sz="0" w:space="0" w:color="auto"/>
        <w:right w:val="none" w:sz="0" w:space="0" w:color="auto"/>
      </w:divBdr>
    </w:div>
    <w:div w:id="1354838905">
      <w:bodyDiv w:val="1"/>
      <w:marLeft w:val="0"/>
      <w:marRight w:val="0"/>
      <w:marTop w:val="0"/>
      <w:marBottom w:val="0"/>
      <w:divBdr>
        <w:top w:val="none" w:sz="0" w:space="0" w:color="auto"/>
        <w:left w:val="none" w:sz="0" w:space="0" w:color="auto"/>
        <w:bottom w:val="none" w:sz="0" w:space="0" w:color="auto"/>
        <w:right w:val="none" w:sz="0" w:space="0" w:color="auto"/>
      </w:divBdr>
    </w:div>
    <w:div w:id="1362900391">
      <w:bodyDiv w:val="1"/>
      <w:marLeft w:val="0"/>
      <w:marRight w:val="0"/>
      <w:marTop w:val="0"/>
      <w:marBottom w:val="0"/>
      <w:divBdr>
        <w:top w:val="none" w:sz="0" w:space="0" w:color="auto"/>
        <w:left w:val="none" w:sz="0" w:space="0" w:color="auto"/>
        <w:bottom w:val="none" w:sz="0" w:space="0" w:color="auto"/>
        <w:right w:val="none" w:sz="0" w:space="0" w:color="auto"/>
      </w:divBdr>
    </w:div>
    <w:div w:id="1378968206">
      <w:bodyDiv w:val="1"/>
      <w:marLeft w:val="0"/>
      <w:marRight w:val="0"/>
      <w:marTop w:val="0"/>
      <w:marBottom w:val="0"/>
      <w:divBdr>
        <w:top w:val="none" w:sz="0" w:space="0" w:color="auto"/>
        <w:left w:val="none" w:sz="0" w:space="0" w:color="auto"/>
        <w:bottom w:val="none" w:sz="0" w:space="0" w:color="auto"/>
        <w:right w:val="none" w:sz="0" w:space="0" w:color="auto"/>
      </w:divBdr>
    </w:div>
    <w:div w:id="1395465096">
      <w:bodyDiv w:val="1"/>
      <w:marLeft w:val="0"/>
      <w:marRight w:val="0"/>
      <w:marTop w:val="0"/>
      <w:marBottom w:val="0"/>
      <w:divBdr>
        <w:top w:val="none" w:sz="0" w:space="0" w:color="auto"/>
        <w:left w:val="none" w:sz="0" w:space="0" w:color="auto"/>
        <w:bottom w:val="none" w:sz="0" w:space="0" w:color="auto"/>
        <w:right w:val="none" w:sz="0" w:space="0" w:color="auto"/>
      </w:divBdr>
    </w:div>
    <w:div w:id="1395468470">
      <w:bodyDiv w:val="1"/>
      <w:marLeft w:val="0"/>
      <w:marRight w:val="0"/>
      <w:marTop w:val="0"/>
      <w:marBottom w:val="0"/>
      <w:divBdr>
        <w:top w:val="none" w:sz="0" w:space="0" w:color="auto"/>
        <w:left w:val="none" w:sz="0" w:space="0" w:color="auto"/>
        <w:bottom w:val="none" w:sz="0" w:space="0" w:color="auto"/>
        <w:right w:val="none" w:sz="0" w:space="0" w:color="auto"/>
      </w:divBdr>
    </w:div>
    <w:div w:id="1397432449">
      <w:bodyDiv w:val="1"/>
      <w:marLeft w:val="0"/>
      <w:marRight w:val="0"/>
      <w:marTop w:val="0"/>
      <w:marBottom w:val="0"/>
      <w:divBdr>
        <w:top w:val="none" w:sz="0" w:space="0" w:color="auto"/>
        <w:left w:val="none" w:sz="0" w:space="0" w:color="auto"/>
        <w:bottom w:val="none" w:sz="0" w:space="0" w:color="auto"/>
        <w:right w:val="none" w:sz="0" w:space="0" w:color="auto"/>
      </w:divBdr>
    </w:div>
    <w:div w:id="1399743993">
      <w:bodyDiv w:val="1"/>
      <w:marLeft w:val="0"/>
      <w:marRight w:val="0"/>
      <w:marTop w:val="0"/>
      <w:marBottom w:val="0"/>
      <w:divBdr>
        <w:top w:val="none" w:sz="0" w:space="0" w:color="auto"/>
        <w:left w:val="none" w:sz="0" w:space="0" w:color="auto"/>
        <w:bottom w:val="none" w:sz="0" w:space="0" w:color="auto"/>
        <w:right w:val="none" w:sz="0" w:space="0" w:color="auto"/>
      </w:divBdr>
    </w:div>
    <w:div w:id="1401513398">
      <w:bodyDiv w:val="1"/>
      <w:marLeft w:val="0"/>
      <w:marRight w:val="0"/>
      <w:marTop w:val="0"/>
      <w:marBottom w:val="0"/>
      <w:divBdr>
        <w:top w:val="none" w:sz="0" w:space="0" w:color="auto"/>
        <w:left w:val="none" w:sz="0" w:space="0" w:color="auto"/>
        <w:bottom w:val="none" w:sz="0" w:space="0" w:color="auto"/>
        <w:right w:val="none" w:sz="0" w:space="0" w:color="auto"/>
      </w:divBdr>
    </w:div>
    <w:div w:id="1404568474">
      <w:bodyDiv w:val="1"/>
      <w:marLeft w:val="0"/>
      <w:marRight w:val="0"/>
      <w:marTop w:val="0"/>
      <w:marBottom w:val="0"/>
      <w:divBdr>
        <w:top w:val="none" w:sz="0" w:space="0" w:color="auto"/>
        <w:left w:val="none" w:sz="0" w:space="0" w:color="auto"/>
        <w:bottom w:val="none" w:sz="0" w:space="0" w:color="auto"/>
        <w:right w:val="none" w:sz="0" w:space="0" w:color="auto"/>
      </w:divBdr>
    </w:div>
    <w:div w:id="1411973387">
      <w:bodyDiv w:val="1"/>
      <w:marLeft w:val="0"/>
      <w:marRight w:val="0"/>
      <w:marTop w:val="0"/>
      <w:marBottom w:val="0"/>
      <w:divBdr>
        <w:top w:val="none" w:sz="0" w:space="0" w:color="auto"/>
        <w:left w:val="none" w:sz="0" w:space="0" w:color="auto"/>
        <w:bottom w:val="none" w:sz="0" w:space="0" w:color="auto"/>
        <w:right w:val="none" w:sz="0" w:space="0" w:color="auto"/>
      </w:divBdr>
    </w:div>
    <w:div w:id="1421832819">
      <w:bodyDiv w:val="1"/>
      <w:marLeft w:val="0"/>
      <w:marRight w:val="0"/>
      <w:marTop w:val="0"/>
      <w:marBottom w:val="0"/>
      <w:divBdr>
        <w:top w:val="none" w:sz="0" w:space="0" w:color="auto"/>
        <w:left w:val="none" w:sz="0" w:space="0" w:color="auto"/>
        <w:bottom w:val="none" w:sz="0" w:space="0" w:color="auto"/>
        <w:right w:val="none" w:sz="0" w:space="0" w:color="auto"/>
      </w:divBdr>
    </w:div>
    <w:div w:id="1429080940">
      <w:bodyDiv w:val="1"/>
      <w:marLeft w:val="0"/>
      <w:marRight w:val="0"/>
      <w:marTop w:val="0"/>
      <w:marBottom w:val="0"/>
      <w:divBdr>
        <w:top w:val="none" w:sz="0" w:space="0" w:color="auto"/>
        <w:left w:val="none" w:sz="0" w:space="0" w:color="auto"/>
        <w:bottom w:val="none" w:sz="0" w:space="0" w:color="auto"/>
        <w:right w:val="none" w:sz="0" w:space="0" w:color="auto"/>
      </w:divBdr>
    </w:div>
    <w:div w:id="1432973697">
      <w:bodyDiv w:val="1"/>
      <w:marLeft w:val="0"/>
      <w:marRight w:val="0"/>
      <w:marTop w:val="0"/>
      <w:marBottom w:val="0"/>
      <w:divBdr>
        <w:top w:val="none" w:sz="0" w:space="0" w:color="auto"/>
        <w:left w:val="none" w:sz="0" w:space="0" w:color="auto"/>
        <w:bottom w:val="none" w:sz="0" w:space="0" w:color="auto"/>
        <w:right w:val="none" w:sz="0" w:space="0" w:color="auto"/>
      </w:divBdr>
    </w:div>
    <w:div w:id="1439177112">
      <w:bodyDiv w:val="1"/>
      <w:marLeft w:val="0"/>
      <w:marRight w:val="0"/>
      <w:marTop w:val="0"/>
      <w:marBottom w:val="0"/>
      <w:divBdr>
        <w:top w:val="none" w:sz="0" w:space="0" w:color="auto"/>
        <w:left w:val="none" w:sz="0" w:space="0" w:color="auto"/>
        <w:bottom w:val="none" w:sz="0" w:space="0" w:color="auto"/>
        <w:right w:val="none" w:sz="0" w:space="0" w:color="auto"/>
      </w:divBdr>
    </w:div>
    <w:div w:id="1469278208">
      <w:bodyDiv w:val="1"/>
      <w:marLeft w:val="0"/>
      <w:marRight w:val="0"/>
      <w:marTop w:val="0"/>
      <w:marBottom w:val="0"/>
      <w:divBdr>
        <w:top w:val="none" w:sz="0" w:space="0" w:color="auto"/>
        <w:left w:val="none" w:sz="0" w:space="0" w:color="auto"/>
        <w:bottom w:val="none" w:sz="0" w:space="0" w:color="auto"/>
        <w:right w:val="none" w:sz="0" w:space="0" w:color="auto"/>
      </w:divBdr>
    </w:div>
    <w:div w:id="1491169380">
      <w:bodyDiv w:val="1"/>
      <w:marLeft w:val="0"/>
      <w:marRight w:val="0"/>
      <w:marTop w:val="0"/>
      <w:marBottom w:val="0"/>
      <w:divBdr>
        <w:top w:val="none" w:sz="0" w:space="0" w:color="auto"/>
        <w:left w:val="none" w:sz="0" w:space="0" w:color="auto"/>
        <w:bottom w:val="none" w:sz="0" w:space="0" w:color="auto"/>
        <w:right w:val="none" w:sz="0" w:space="0" w:color="auto"/>
      </w:divBdr>
    </w:div>
    <w:div w:id="1493837437">
      <w:bodyDiv w:val="1"/>
      <w:marLeft w:val="0"/>
      <w:marRight w:val="0"/>
      <w:marTop w:val="0"/>
      <w:marBottom w:val="0"/>
      <w:divBdr>
        <w:top w:val="none" w:sz="0" w:space="0" w:color="auto"/>
        <w:left w:val="none" w:sz="0" w:space="0" w:color="auto"/>
        <w:bottom w:val="none" w:sz="0" w:space="0" w:color="auto"/>
        <w:right w:val="none" w:sz="0" w:space="0" w:color="auto"/>
      </w:divBdr>
    </w:div>
    <w:div w:id="1508055013">
      <w:bodyDiv w:val="1"/>
      <w:marLeft w:val="0"/>
      <w:marRight w:val="0"/>
      <w:marTop w:val="0"/>
      <w:marBottom w:val="0"/>
      <w:divBdr>
        <w:top w:val="none" w:sz="0" w:space="0" w:color="auto"/>
        <w:left w:val="none" w:sz="0" w:space="0" w:color="auto"/>
        <w:bottom w:val="none" w:sz="0" w:space="0" w:color="auto"/>
        <w:right w:val="none" w:sz="0" w:space="0" w:color="auto"/>
      </w:divBdr>
    </w:div>
    <w:div w:id="1510440250">
      <w:bodyDiv w:val="1"/>
      <w:marLeft w:val="0"/>
      <w:marRight w:val="0"/>
      <w:marTop w:val="0"/>
      <w:marBottom w:val="0"/>
      <w:divBdr>
        <w:top w:val="none" w:sz="0" w:space="0" w:color="auto"/>
        <w:left w:val="none" w:sz="0" w:space="0" w:color="auto"/>
        <w:bottom w:val="none" w:sz="0" w:space="0" w:color="auto"/>
        <w:right w:val="none" w:sz="0" w:space="0" w:color="auto"/>
      </w:divBdr>
    </w:div>
    <w:div w:id="1524394747">
      <w:bodyDiv w:val="1"/>
      <w:marLeft w:val="0"/>
      <w:marRight w:val="0"/>
      <w:marTop w:val="0"/>
      <w:marBottom w:val="0"/>
      <w:divBdr>
        <w:top w:val="none" w:sz="0" w:space="0" w:color="auto"/>
        <w:left w:val="none" w:sz="0" w:space="0" w:color="auto"/>
        <w:bottom w:val="none" w:sz="0" w:space="0" w:color="auto"/>
        <w:right w:val="none" w:sz="0" w:space="0" w:color="auto"/>
      </w:divBdr>
    </w:div>
    <w:div w:id="1526669910">
      <w:bodyDiv w:val="1"/>
      <w:marLeft w:val="0"/>
      <w:marRight w:val="0"/>
      <w:marTop w:val="0"/>
      <w:marBottom w:val="0"/>
      <w:divBdr>
        <w:top w:val="none" w:sz="0" w:space="0" w:color="auto"/>
        <w:left w:val="none" w:sz="0" w:space="0" w:color="auto"/>
        <w:bottom w:val="none" w:sz="0" w:space="0" w:color="auto"/>
        <w:right w:val="none" w:sz="0" w:space="0" w:color="auto"/>
      </w:divBdr>
    </w:div>
    <w:div w:id="1548641194">
      <w:bodyDiv w:val="1"/>
      <w:marLeft w:val="0"/>
      <w:marRight w:val="0"/>
      <w:marTop w:val="0"/>
      <w:marBottom w:val="0"/>
      <w:divBdr>
        <w:top w:val="none" w:sz="0" w:space="0" w:color="auto"/>
        <w:left w:val="none" w:sz="0" w:space="0" w:color="auto"/>
        <w:bottom w:val="none" w:sz="0" w:space="0" w:color="auto"/>
        <w:right w:val="none" w:sz="0" w:space="0" w:color="auto"/>
      </w:divBdr>
    </w:div>
    <w:div w:id="1549877733">
      <w:bodyDiv w:val="1"/>
      <w:marLeft w:val="0"/>
      <w:marRight w:val="0"/>
      <w:marTop w:val="0"/>
      <w:marBottom w:val="0"/>
      <w:divBdr>
        <w:top w:val="none" w:sz="0" w:space="0" w:color="auto"/>
        <w:left w:val="none" w:sz="0" w:space="0" w:color="auto"/>
        <w:bottom w:val="none" w:sz="0" w:space="0" w:color="auto"/>
        <w:right w:val="none" w:sz="0" w:space="0" w:color="auto"/>
      </w:divBdr>
    </w:div>
    <w:div w:id="1576281255">
      <w:bodyDiv w:val="1"/>
      <w:marLeft w:val="0"/>
      <w:marRight w:val="0"/>
      <w:marTop w:val="0"/>
      <w:marBottom w:val="0"/>
      <w:divBdr>
        <w:top w:val="none" w:sz="0" w:space="0" w:color="auto"/>
        <w:left w:val="none" w:sz="0" w:space="0" w:color="auto"/>
        <w:bottom w:val="none" w:sz="0" w:space="0" w:color="auto"/>
        <w:right w:val="none" w:sz="0" w:space="0" w:color="auto"/>
      </w:divBdr>
    </w:div>
    <w:div w:id="1595431698">
      <w:bodyDiv w:val="1"/>
      <w:marLeft w:val="0"/>
      <w:marRight w:val="0"/>
      <w:marTop w:val="0"/>
      <w:marBottom w:val="0"/>
      <w:divBdr>
        <w:top w:val="none" w:sz="0" w:space="0" w:color="auto"/>
        <w:left w:val="none" w:sz="0" w:space="0" w:color="auto"/>
        <w:bottom w:val="none" w:sz="0" w:space="0" w:color="auto"/>
        <w:right w:val="none" w:sz="0" w:space="0" w:color="auto"/>
      </w:divBdr>
    </w:div>
    <w:div w:id="1599407820">
      <w:bodyDiv w:val="1"/>
      <w:marLeft w:val="0"/>
      <w:marRight w:val="0"/>
      <w:marTop w:val="0"/>
      <w:marBottom w:val="0"/>
      <w:divBdr>
        <w:top w:val="none" w:sz="0" w:space="0" w:color="auto"/>
        <w:left w:val="none" w:sz="0" w:space="0" w:color="auto"/>
        <w:bottom w:val="none" w:sz="0" w:space="0" w:color="auto"/>
        <w:right w:val="none" w:sz="0" w:space="0" w:color="auto"/>
      </w:divBdr>
    </w:div>
    <w:div w:id="1599830976">
      <w:bodyDiv w:val="1"/>
      <w:marLeft w:val="0"/>
      <w:marRight w:val="0"/>
      <w:marTop w:val="0"/>
      <w:marBottom w:val="0"/>
      <w:divBdr>
        <w:top w:val="none" w:sz="0" w:space="0" w:color="auto"/>
        <w:left w:val="none" w:sz="0" w:space="0" w:color="auto"/>
        <w:bottom w:val="none" w:sz="0" w:space="0" w:color="auto"/>
        <w:right w:val="none" w:sz="0" w:space="0" w:color="auto"/>
      </w:divBdr>
    </w:div>
    <w:div w:id="1600143621">
      <w:bodyDiv w:val="1"/>
      <w:marLeft w:val="0"/>
      <w:marRight w:val="0"/>
      <w:marTop w:val="0"/>
      <w:marBottom w:val="0"/>
      <w:divBdr>
        <w:top w:val="none" w:sz="0" w:space="0" w:color="auto"/>
        <w:left w:val="none" w:sz="0" w:space="0" w:color="auto"/>
        <w:bottom w:val="none" w:sz="0" w:space="0" w:color="auto"/>
        <w:right w:val="none" w:sz="0" w:space="0" w:color="auto"/>
      </w:divBdr>
    </w:div>
    <w:div w:id="1610041550">
      <w:bodyDiv w:val="1"/>
      <w:marLeft w:val="0"/>
      <w:marRight w:val="0"/>
      <w:marTop w:val="0"/>
      <w:marBottom w:val="0"/>
      <w:divBdr>
        <w:top w:val="none" w:sz="0" w:space="0" w:color="auto"/>
        <w:left w:val="none" w:sz="0" w:space="0" w:color="auto"/>
        <w:bottom w:val="none" w:sz="0" w:space="0" w:color="auto"/>
        <w:right w:val="none" w:sz="0" w:space="0" w:color="auto"/>
      </w:divBdr>
    </w:div>
    <w:div w:id="1610577180">
      <w:bodyDiv w:val="1"/>
      <w:marLeft w:val="0"/>
      <w:marRight w:val="0"/>
      <w:marTop w:val="0"/>
      <w:marBottom w:val="0"/>
      <w:divBdr>
        <w:top w:val="none" w:sz="0" w:space="0" w:color="auto"/>
        <w:left w:val="none" w:sz="0" w:space="0" w:color="auto"/>
        <w:bottom w:val="none" w:sz="0" w:space="0" w:color="auto"/>
        <w:right w:val="none" w:sz="0" w:space="0" w:color="auto"/>
      </w:divBdr>
    </w:div>
    <w:div w:id="1612860681">
      <w:bodyDiv w:val="1"/>
      <w:marLeft w:val="0"/>
      <w:marRight w:val="0"/>
      <w:marTop w:val="0"/>
      <w:marBottom w:val="0"/>
      <w:divBdr>
        <w:top w:val="none" w:sz="0" w:space="0" w:color="auto"/>
        <w:left w:val="none" w:sz="0" w:space="0" w:color="auto"/>
        <w:bottom w:val="none" w:sz="0" w:space="0" w:color="auto"/>
        <w:right w:val="none" w:sz="0" w:space="0" w:color="auto"/>
      </w:divBdr>
    </w:div>
    <w:div w:id="1625690348">
      <w:bodyDiv w:val="1"/>
      <w:marLeft w:val="0"/>
      <w:marRight w:val="0"/>
      <w:marTop w:val="0"/>
      <w:marBottom w:val="0"/>
      <w:divBdr>
        <w:top w:val="none" w:sz="0" w:space="0" w:color="auto"/>
        <w:left w:val="none" w:sz="0" w:space="0" w:color="auto"/>
        <w:bottom w:val="none" w:sz="0" w:space="0" w:color="auto"/>
        <w:right w:val="none" w:sz="0" w:space="0" w:color="auto"/>
      </w:divBdr>
    </w:div>
    <w:div w:id="1632709773">
      <w:bodyDiv w:val="1"/>
      <w:marLeft w:val="0"/>
      <w:marRight w:val="0"/>
      <w:marTop w:val="0"/>
      <w:marBottom w:val="0"/>
      <w:divBdr>
        <w:top w:val="none" w:sz="0" w:space="0" w:color="auto"/>
        <w:left w:val="none" w:sz="0" w:space="0" w:color="auto"/>
        <w:bottom w:val="none" w:sz="0" w:space="0" w:color="auto"/>
        <w:right w:val="none" w:sz="0" w:space="0" w:color="auto"/>
      </w:divBdr>
    </w:div>
    <w:div w:id="1654603893">
      <w:bodyDiv w:val="1"/>
      <w:marLeft w:val="0"/>
      <w:marRight w:val="0"/>
      <w:marTop w:val="0"/>
      <w:marBottom w:val="0"/>
      <w:divBdr>
        <w:top w:val="none" w:sz="0" w:space="0" w:color="auto"/>
        <w:left w:val="none" w:sz="0" w:space="0" w:color="auto"/>
        <w:bottom w:val="none" w:sz="0" w:space="0" w:color="auto"/>
        <w:right w:val="none" w:sz="0" w:space="0" w:color="auto"/>
      </w:divBdr>
    </w:div>
    <w:div w:id="1655455187">
      <w:bodyDiv w:val="1"/>
      <w:marLeft w:val="0"/>
      <w:marRight w:val="0"/>
      <w:marTop w:val="0"/>
      <w:marBottom w:val="0"/>
      <w:divBdr>
        <w:top w:val="none" w:sz="0" w:space="0" w:color="auto"/>
        <w:left w:val="none" w:sz="0" w:space="0" w:color="auto"/>
        <w:bottom w:val="none" w:sz="0" w:space="0" w:color="auto"/>
        <w:right w:val="none" w:sz="0" w:space="0" w:color="auto"/>
      </w:divBdr>
    </w:div>
    <w:div w:id="1669283697">
      <w:bodyDiv w:val="1"/>
      <w:marLeft w:val="0"/>
      <w:marRight w:val="0"/>
      <w:marTop w:val="0"/>
      <w:marBottom w:val="0"/>
      <w:divBdr>
        <w:top w:val="none" w:sz="0" w:space="0" w:color="auto"/>
        <w:left w:val="none" w:sz="0" w:space="0" w:color="auto"/>
        <w:bottom w:val="none" w:sz="0" w:space="0" w:color="auto"/>
        <w:right w:val="none" w:sz="0" w:space="0" w:color="auto"/>
      </w:divBdr>
    </w:div>
    <w:div w:id="1702199248">
      <w:bodyDiv w:val="1"/>
      <w:marLeft w:val="0"/>
      <w:marRight w:val="0"/>
      <w:marTop w:val="0"/>
      <w:marBottom w:val="0"/>
      <w:divBdr>
        <w:top w:val="none" w:sz="0" w:space="0" w:color="auto"/>
        <w:left w:val="none" w:sz="0" w:space="0" w:color="auto"/>
        <w:bottom w:val="none" w:sz="0" w:space="0" w:color="auto"/>
        <w:right w:val="none" w:sz="0" w:space="0" w:color="auto"/>
      </w:divBdr>
    </w:div>
    <w:div w:id="1708139331">
      <w:bodyDiv w:val="1"/>
      <w:marLeft w:val="0"/>
      <w:marRight w:val="0"/>
      <w:marTop w:val="0"/>
      <w:marBottom w:val="0"/>
      <w:divBdr>
        <w:top w:val="none" w:sz="0" w:space="0" w:color="auto"/>
        <w:left w:val="none" w:sz="0" w:space="0" w:color="auto"/>
        <w:bottom w:val="none" w:sz="0" w:space="0" w:color="auto"/>
        <w:right w:val="none" w:sz="0" w:space="0" w:color="auto"/>
      </w:divBdr>
    </w:div>
    <w:div w:id="1715538144">
      <w:bodyDiv w:val="1"/>
      <w:marLeft w:val="0"/>
      <w:marRight w:val="0"/>
      <w:marTop w:val="0"/>
      <w:marBottom w:val="0"/>
      <w:divBdr>
        <w:top w:val="none" w:sz="0" w:space="0" w:color="auto"/>
        <w:left w:val="none" w:sz="0" w:space="0" w:color="auto"/>
        <w:bottom w:val="none" w:sz="0" w:space="0" w:color="auto"/>
        <w:right w:val="none" w:sz="0" w:space="0" w:color="auto"/>
      </w:divBdr>
    </w:div>
    <w:div w:id="1716344956">
      <w:bodyDiv w:val="1"/>
      <w:marLeft w:val="0"/>
      <w:marRight w:val="0"/>
      <w:marTop w:val="0"/>
      <w:marBottom w:val="0"/>
      <w:divBdr>
        <w:top w:val="none" w:sz="0" w:space="0" w:color="auto"/>
        <w:left w:val="none" w:sz="0" w:space="0" w:color="auto"/>
        <w:bottom w:val="none" w:sz="0" w:space="0" w:color="auto"/>
        <w:right w:val="none" w:sz="0" w:space="0" w:color="auto"/>
      </w:divBdr>
    </w:div>
    <w:div w:id="1726102860">
      <w:bodyDiv w:val="1"/>
      <w:marLeft w:val="0"/>
      <w:marRight w:val="0"/>
      <w:marTop w:val="0"/>
      <w:marBottom w:val="0"/>
      <w:divBdr>
        <w:top w:val="none" w:sz="0" w:space="0" w:color="auto"/>
        <w:left w:val="none" w:sz="0" w:space="0" w:color="auto"/>
        <w:bottom w:val="none" w:sz="0" w:space="0" w:color="auto"/>
        <w:right w:val="none" w:sz="0" w:space="0" w:color="auto"/>
      </w:divBdr>
    </w:div>
    <w:div w:id="1731925625">
      <w:bodyDiv w:val="1"/>
      <w:marLeft w:val="0"/>
      <w:marRight w:val="0"/>
      <w:marTop w:val="0"/>
      <w:marBottom w:val="0"/>
      <w:divBdr>
        <w:top w:val="none" w:sz="0" w:space="0" w:color="auto"/>
        <w:left w:val="none" w:sz="0" w:space="0" w:color="auto"/>
        <w:bottom w:val="none" w:sz="0" w:space="0" w:color="auto"/>
        <w:right w:val="none" w:sz="0" w:space="0" w:color="auto"/>
      </w:divBdr>
    </w:div>
    <w:div w:id="1755319658">
      <w:bodyDiv w:val="1"/>
      <w:marLeft w:val="0"/>
      <w:marRight w:val="0"/>
      <w:marTop w:val="0"/>
      <w:marBottom w:val="0"/>
      <w:divBdr>
        <w:top w:val="none" w:sz="0" w:space="0" w:color="auto"/>
        <w:left w:val="none" w:sz="0" w:space="0" w:color="auto"/>
        <w:bottom w:val="none" w:sz="0" w:space="0" w:color="auto"/>
        <w:right w:val="none" w:sz="0" w:space="0" w:color="auto"/>
      </w:divBdr>
    </w:div>
    <w:div w:id="1755778551">
      <w:bodyDiv w:val="1"/>
      <w:marLeft w:val="0"/>
      <w:marRight w:val="0"/>
      <w:marTop w:val="0"/>
      <w:marBottom w:val="0"/>
      <w:divBdr>
        <w:top w:val="none" w:sz="0" w:space="0" w:color="auto"/>
        <w:left w:val="none" w:sz="0" w:space="0" w:color="auto"/>
        <w:bottom w:val="none" w:sz="0" w:space="0" w:color="auto"/>
        <w:right w:val="none" w:sz="0" w:space="0" w:color="auto"/>
      </w:divBdr>
    </w:div>
    <w:div w:id="1762022145">
      <w:bodyDiv w:val="1"/>
      <w:marLeft w:val="0"/>
      <w:marRight w:val="0"/>
      <w:marTop w:val="0"/>
      <w:marBottom w:val="0"/>
      <w:divBdr>
        <w:top w:val="none" w:sz="0" w:space="0" w:color="auto"/>
        <w:left w:val="none" w:sz="0" w:space="0" w:color="auto"/>
        <w:bottom w:val="none" w:sz="0" w:space="0" w:color="auto"/>
        <w:right w:val="none" w:sz="0" w:space="0" w:color="auto"/>
      </w:divBdr>
    </w:div>
    <w:div w:id="1763061957">
      <w:bodyDiv w:val="1"/>
      <w:marLeft w:val="0"/>
      <w:marRight w:val="0"/>
      <w:marTop w:val="0"/>
      <w:marBottom w:val="0"/>
      <w:divBdr>
        <w:top w:val="none" w:sz="0" w:space="0" w:color="auto"/>
        <w:left w:val="none" w:sz="0" w:space="0" w:color="auto"/>
        <w:bottom w:val="none" w:sz="0" w:space="0" w:color="auto"/>
        <w:right w:val="none" w:sz="0" w:space="0" w:color="auto"/>
      </w:divBdr>
    </w:div>
    <w:div w:id="1778986960">
      <w:bodyDiv w:val="1"/>
      <w:marLeft w:val="0"/>
      <w:marRight w:val="0"/>
      <w:marTop w:val="0"/>
      <w:marBottom w:val="0"/>
      <w:divBdr>
        <w:top w:val="none" w:sz="0" w:space="0" w:color="auto"/>
        <w:left w:val="none" w:sz="0" w:space="0" w:color="auto"/>
        <w:bottom w:val="none" w:sz="0" w:space="0" w:color="auto"/>
        <w:right w:val="none" w:sz="0" w:space="0" w:color="auto"/>
      </w:divBdr>
    </w:div>
    <w:div w:id="1782609666">
      <w:bodyDiv w:val="1"/>
      <w:marLeft w:val="0"/>
      <w:marRight w:val="0"/>
      <w:marTop w:val="0"/>
      <w:marBottom w:val="0"/>
      <w:divBdr>
        <w:top w:val="none" w:sz="0" w:space="0" w:color="auto"/>
        <w:left w:val="none" w:sz="0" w:space="0" w:color="auto"/>
        <w:bottom w:val="none" w:sz="0" w:space="0" w:color="auto"/>
        <w:right w:val="none" w:sz="0" w:space="0" w:color="auto"/>
      </w:divBdr>
    </w:div>
    <w:div w:id="1794054718">
      <w:bodyDiv w:val="1"/>
      <w:marLeft w:val="0"/>
      <w:marRight w:val="0"/>
      <w:marTop w:val="0"/>
      <w:marBottom w:val="0"/>
      <w:divBdr>
        <w:top w:val="none" w:sz="0" w:space="0" w:color="auto"/>
        <w:left w:val="none" w:sz="0" w:space="0" w:color="auto"/>
        <w:bottom w:val="none" w:sz="0" w:space="0" w:color="auto"/>
        <w:right w:val="none" w:sz="0" w:space="0" w:color="auto"/>
      </w:divBdr>
    </w:div>
    <w:div w:id="1802334598">
      <w:bodyDiv w:val="1"/>
      <w:marLeft w:val="0"/>
      <w:marRight w:val="0"/>
      <w:marTop w:val="0"/>
      <w:marBottom w:val="0"/>
      <w:divBdr>
        <w:top w:val="none" w:sz="0" w:space="0" w:color="auto"/>
        <w:left w:val="none" w:sz="0" w:space="0" w:color="auto"/>
        <w:bottom w:val="none" w:sz="0" w:space="0" w:color="auto"/>
        <w:right w:val="none" w:sz="0" w:space="0" w:color="auto"/>
      </w:divBdr>
    </w:div>
    <w:div w:id="1805001545">
      <w:bodyDiv w:val="1"/>
      <w:marLeft w:val="0"/>
      <w:marRight w:val="0"/>
      <w:marTop w:val="0"/>
      <w:marBottom w:val="0"/>
      <w:divBdr>
        <w:top w:val="none" w:sz="0" w:space="0" w:color="auto"/>
        <w:left w:val="none" w:sz="0" w:space="0" w:color="auto"/>
        <w:bottom w:val="none" w:sz="0" w:space="0" w:color="auto"/>
        <w:right w:val="none" w:sz="0" w:space="0" w:color="auto"/>
      </w:divBdr>
    </w:div>
    <w:div w:id="1810971409">
      <w:bodyDiv w:val="1"/>
      <w:marLeft w:val="0"/>
      <w:marRight w:val="0"/>
      <w:marTop w:val="0"/>
      <w:marBottom w:val="0"/>
      <w:divBdr>
        <w:top w:val="none" w:sz="0" w:space="0" w:color="auto"/>
        <w:left w:val="none" w:sz="0" w:space="0" w:color="auto"/>
        <w:bottom w:val="none" w:sz="0" w:space="0" w:color="auto"/>
        <w:right w:val="none" w:sz="0" w:space="0" w:color="auto"/>
      </w:divBdr>
    </w:div>
    <w:div w:id="1815753240">
      <w:bodyDiv w:val="1"/>
      <w:marLeft w:val="0"/>
      <w:marRight w:val="0"/>
      <w:marTop w:val="0"/>
      <w:marBottom w:val="0"/>
      <w:divBdr>
        <w:top w:val="none" w:sz="0" w:space="0" w:color="auto"/>
        <w:left w:val="none" w:sz="0" w:space="0" w:color="auto"/>
        <w:bottom w:val="none" w:sz="0" w:space="0" w:color="auto"/>
        <w:right w:val="none" w:sz="0" w:space="0" w:color="auto"/>
      </w:divBdr>
    </w:div>
    <w:div w:id="1829250445">
      <w:bodyDiv w:val="1"/>
      <w:marLeft w:val="0"/>
      <w:marRight w:val="0"/>
      <w:marTop w:val="0"/>
      <w:marBottom w:val="0"/>
      <w:divBdr>
        <w:top w:val="none" w:sz="0" w:space="0" w:color="auto"/>
        <w:left w:val="none" w:sz="0" w:space="0" w:color="auto"/>
        <w:bottom w:val="none" w:sz="0" w:space="0" w:color="auto"/>
        <w:right w:val="none" w:sz="0" w:space="0" w:color="auto"/>
      </w:divBdr>
    </w:div>
    <w:div w:id="1835298291">
      <w:bodyDiv w:val="1"/>
      <w:marLeft w:val="0"/>
      <w:marRight w:val="0"/>
      <w:marTop w:val="0"/>
      <w:marBottom w:val="0"/>
      <w:divBdr>
        <w:top w:val="none" w:sz="0" w:space="0" w:color="auto"/>
        <w:left w:val="none" w:sz="0" w:space="0" w:color="auto"/>
        <w:bottom w:val="none" w:sz="0" w:space="0" w:color="auto"/>
        <w:right w:val="none" w:sz="0" w:space="0" w:color="auto"/>
      </w:divBdr>
    </w:div>
    <w:div w:id="1835949292">
      <w:bodyDiv w:val="1"/>
      <w:marLeft w:val="0"/>
      <w:marRight w:val="0"/>
      <w:marTop w:val="0"/>
      <w:marBottom w:val="0"/>
      <w:divBdr>
        <w:top w:val="none" w:sz="0" w:space="0" w:color="auto"/>
        <w:left w:val="none" w:sz="0" w:space="0" w:color="auto"/>
        <w:bottom w:val="none" w:sz="0" w:space="0" w:color="auto"/>
        <w:right w:val="none" w:sz="0" w:space="0" w:color="auto"/>
      </w:divBdr>
    </w:div>
    <w:div w:id="1840920729">
      <w:bodyDiv w:val="1"/>
      <w:marLeft w:val="0"/>
      <w:marRight w:val="0"/>
      <w:marTop w:val="0"/>
      <w:marBottom w:val="0"/>
      <w:divBdr>
        <w:top w:val="none" w:sz="0" w:space="0" w:color="auto"/>
        <w:left w:val="none" w:sz="0" w:space="0" w:color="auto"/>
        <w:bottom w:val="none" w:sz="0" w:space="0" w:color="auto"/>
        <w:right w:val="none" w:sz="0" w:space="0" w:color="auto"/>
      </w:divBdr>
    </w:div>
    <w:div w:id="1898512696">
      <w:bodyDiv w:val="1"/>
      <w:marLeft w:val="0"/>
      <w:marRight w:val="0"/>
      <w:marTop w:val="0"/>
      <w:marBottom w:val="0"/>
      <w:divBdr>
        <w:top w:val="none" w:sz="0" w:space="0" w:color="auto"/>
        <w:left w:val="none" w:sz="0" w:space="0" w:color="auto"/>
        <w:bottom w:val="none" w:sz="0" w:space="0" w:color="auto"/>
        <w:right w:val="none" w:sz="0" w:space="0" w:color="auto"/>
      </w:divBdr>
    </w:div>
    <w:div w:id="1902206599">
      <w:bodyDiv w:val="1"/>
      <w:marLeft w:val="0"/>
      <w:marRight w:val="0"/>
      <w:marTop w:val="0"/>
      <w:marBottom w:val="0"/>
      <w:divBdr>
        <w:top w:val="none" w:sz="0" w:space="0" w:color="auto"/>
        <w:left w:val="none" w:sz="0" w:space="0" w:color="auto"/>
        <w:bottom w:val="none" w:sz="0" w:space="0" w:color="auto"/>
        <w:right w:val="none" w:sz="0" w:space="0" w:color="auto"/>
      </w:divBdr>
    </w:div>
    <w:div w:id="1912353544">
      <w:bodyDiv w:val="1"/>
      <w:marLeft w:val="0"/>
      <w:marRight w:val="0"/>
      <w:marTop w:val="0"/>
      <w:marBottom w:val="0"/>
      <w:divBdr>
        <w:top w:val="none" w:sz="0" w:space="0" w:color="auto"/>
        <w:left w:val="none" w:sz="0" w:space="0" w:color="auto"/>
        <w:bottom w:val="none" w:sz="0" w:space="0" w:color="auto"/>
        <w:right w:val="none" w:sz="0" w:space="0" w:color="auto"/>
      </w:divBdr>
    </w:div>
    <w:div w:id="1922450033">
      <w:bodyDiv w:val="1"/>
      <w:marLeft w:val="0"/>
      <w:marRight w:val="0"/>
      <w:marTop w:val="0"/>
      <w:marBottom w:val="0"/>
      <w:divBdr>
        <w:top w:val="none" w:sz="0" w:space="0" w:color="auto"/>
        <w:left w:val="none" w:sz="0" w:space="0" w:color="auto"/>
        <w:bottom w:val="none" w:sz="0" w:space="0" w:color="auto"/>
        <w:right w:val="none" w:sz="0" w:space="0" w:color="auto"/>
      </w:divBdr>
    </w:div>
    <w:div w:id="1929146319">
      <w:bodyDiv w:val="1"/>
      <w:marLeft w:val="0"/>
      <w:marRight w:val="0"/>
      <w:marTop w:val="0"/>
      <w:marBottom w:val="0"/>
      <w:divBdr>
        <w:top w:val="none" w:sz="0" w:space="0" w:color="auto"/>
        <w:left w:val="none" w:sz="0" w:space="0" w:color="auto"/>
        <w:bottom w:val="none" w:sz="0" w:space="0" w:color="auto"/>
        <w:right w:val="none" w:sz="0" w:space="0" w:color="auto"/>
      </w:divBdr>
    </w:div>
    <w:div w:id="1947079156">
      <w:bodyDiv w:val="1"/>
      <w:marLeft w:val="0"/>
      <w:marRight w:val="0"/>
      <w:marTop w:val="0"/>
      <w:marBottom w:val="0"/>
      <w:divBdr>
        <w:top w:val="none" w:sz="0" w:space="0" w:color="auto"/>
        <w:left w:val="none" w:sz="0" w:space="0" w:color="auto"/>
        <w:bottom w:val="none" w:sz="0" w:space="0" w:color="auto"/>
        <w:right w:val="none" w:sz="0" w:space="0" w:color="auto"/>
      </w:divBdr>
    </w:div>
    <w:div w:id="1967927357">
      <w:bodyDiv w:val="1"/>
      <w:marLeft w:val="0"/>
      <w:marRight w:val="0"/>
      <w:marTop w:val="0"/>
      <w:marBottom w:val="0"/>
      <w:divBdr>
        <w:top w:val="none" w:sz="0" w:space="0" w:color="auto"/>
        <w:left w:val="none" w:sz="0" w:space="0" w:color="auto"/>
        <w:bottom w:val="none" w:sz="0" w:space="0" w:color="auto"/>
        <w:right w:val="none" w:sz="0" w:space="0" w:color="auto"/>
      </w:divBdr>
    </w:div>
    <w:div w:id="1970013469">
      <w:bodyDiv w:val="1"/>
      <w:marLeft w:val="0"/>
      <w:marRight w:val="0"/>
      <w:marTop w:val="0"/>
      <w:marBottom w:val="0"/>
      <w:divBdr>
        <w:top w:val="none" w:sz="0" w:space="0" w:color="auto"/>
        <w:left w:val="none" w:sz="0" w:space="0" w:color="auto"/>
        <w:bottom w:val="none" w:sz="0" w:space="0" w:color="auto"/>
        <w:right w:val="none" w:sz="0" w:space="0" w:color="auto"/>
      </w:divBdr>
    </w:div>
    <w:div w:id="1977489381">
      <w:bodyDiv w:val="1"/>
      <w:marLeft w:val="0"/>
      <w:marRight w:val="0"/>
      <w:marTop w:val="0"/>
      <w:marBottom w:val="0"/>
      <w:divBdr>
        <w:top w:val="none" w:sz="0" w:space="0" w:color="auto"/>
        <w:left w:val="none" w:sz="0" w:space="0" w:color="auto"/>
        <w:bottom w:val="none" w:sz="0" w:space="0" w:color="auto"/>
        <w:right w:val="none" w:sz="0" w:space="0" w:color="auto"/>
      </w:divBdr>
    </w:div>
    <w:div w:id="1987319697">
      <w:bodyDiv w:val="1"/>
      <w:marLeft w:val="0"/>
      <w:marRight w:val="0"/>
      <w:marTop w:val="0"/>
      <w:marBottom w:val="0"/>
      <w:divBdr>
        <w:top w:val="none" w:sz="0" w:space="0" w:color="auto"/>
        <w:left w:val="none" w:sz="0" w:space="0" w:color="auto"/>
        <w:bottom w:val="none" w:sz="0" w:space="0" w:color="auto"/>
        <w:right w:val="none" w:sz="0" w:space="0" w:color="auto"/>
      </w:divBdr>
    </w:div>
    <w:div w:id="2004506403">
      <w:bodyDiv w:val="1"/>
      <w:marLeft w:val="0"/>
      <w:marRight w:val="0"/>
      <w:marTop w:val="0"/>
      <w:marBottom w:val="0"/>
      <w:divBdr>
        <w:top w:val="none" w:sz="0" w:space="0" w:color="auto"/>
        <w:left w:val="none" w:sz="0" w:space="0" w:color="auto"/>
        <w:bottom w:val="none" w:sz="0" w:space="0" w:color="auto"/>
        <w:right w:val="none" w:sz="0" w:space="0" w:color="auto"/>
      </w:divBdr>
    </w:div>
    <w:div w:id="2014260160">
      <w:bodyDiv w:val="1"/>
      <w:marLeft w:val="0"/>
      <w:marRight w:val="0"/>
      <w:marTop w:val="0"/>
      <w:marBottom w:val="0"/>
      <w:divBdr>
        <w:top w:val="none" w:sz="0" w:space="0" w:color="auto"/>
        <w:left w:val="none" w:sz="0" w:space="0" w:color="auto"/>
        <w:bottom w:val="none" w:sz="0" w:space="0" w:color="auto"/>
        <w:right w:val="none" w:sz="0" w:space="0" w:color="auto"/>
      </w:divBdr>
    </w:div>
    <w:div w:id="2026056426">
      <w:bodyDiv w:val="1"/>
      <w:marLeft w:val="0"/>
      <w:marRight w:val="0"/>
      <w:marTop w:val="0"/>
      <w:marBottom w:val="0"/>
      <w:divBdr>
        <w:top w:val="none" w:sz="0" w:space="0" w:color="auto"/>
        <w:left w:val="none" w:sz="0" w:space="0" w:color="auto"/>
        <w:bottom w:val="none" w:sz="0" w:space="0" w:color="auto"/>
        <w:right w:val="none" w:sz="0" w:space="0" w:color="auto"/>
      </w:divBdr>
    </w:div>
    <w:div w:id="2058355562">
      <w:bodyDiv w:val="1"/>
      <w:marLeft w:val="0"/>
      <w:marRight w:val="0"/>
      <w:marTop w:val="0"/>
      <w:marBottom w:val="0"/>
      <w:divBdr>
        <w:top w:val="none" w:sz="0" w:space="0" w:color="auto"/>
        <w:left w:val="none" w:sz="0" w:space="0" w:color="auto"/>
        <w:bottom w:val="none" w:sz="0" w:space="0" w:color="auto"/>
        <w:right w:val="none" w:sz="0" w:space="0" w:color="auto"/>
      </w:divBdr>
    </w:div>
    <w:div w:id="2074886892">
      <w:bodyDiv w:val="1"/>
      <w:marLeft w:val="0"/>
      <w:marRight w:val="0"/>
      <w:marTop w:val="0"/>
      <w:marBottom w:val="0"/>
      <w:divBdr>
        <w:top w:val="none" w:sz="0" w:space="0" w:color="auto"/>
        <w:left w:val="none" w:sz="0" w:space="0" w:color="auto"/>
        <w:bottom w:val="none" w:sz="0" w:space="0" w:color="auto"/>
        <w:right w:val="none" w:sz="0" w:space="0" w:color="auto"/>
      </w:divBdr>
    </w:div>
    <w:div w:id="2113432833">
      <w:bodyDiv w:val="1"/>
      <w:marLeft w:val="0"/>
      <w:marRight w:val="0"/>
      <w:marTop w:val="0"/>
      <w:marBottom w:val="0"/>
      <w:divBdr>
        <w:top w:val="none" w:sz="0" w:space="0" w:color="auto"/>
        <w:left w:val="none" w:sz="0" w:space="0" w:color="auto"/>
        <w:bottom w:val="none" w:sz="0" w:space="0" w:color="auto"/>
        <w:right w:val="none" w:sz="0" w:space="0" w:color="auto"/>
      </w:divBdr>
    </w:div>
    <w:div w:id="2128773007">
      <w:bodyDiv w:val="1"/>
      <w:marLeft w:val="0"/>
      <w:marRight w:val="0"/>
      <w:marTop w:val="0"/>
      <w:marBottom w:val="0"/>
      <w:divBdr>
        <w:top w:val="none" w:sz="0" w:space="0" w:color="auto"/>
        <w:left w:val="none" w:sz="0" w:space="0" w:color="auto"/>
        <w:bottom w:val="none" w:sz="0" w:space="0" w:color="auto"/>
        <w:right w:val="none" w:sz="0" w:space="0" w:color="auto"/>
      </w:divBdr>
    </w:div>
    <w:div w:id="2129473502">
      <w:bodyDiv w:val="1"/>
      <w:marLeft w:val="0"/>
      <w:marRight w:val="0"/>
      <w:marTop w:val="0"/>
      <w:marBottom w:val="0"/>
      <w:divBdr>
        <w:top w:val="none" w:sz="0" w:space="0" w:color="auto"/>
        <w:left w:val="none" w:sz="0" w:space="0" w:color="auto"/>
        <w:bottom w:val="none" w:sz="0" w:space="0" w:color="auto"/>
        <w:right w:val="none" w:sz="0" w:space="0" w:color="auto"/>
      </w:divBdr>
    </w:div>
    <w:div w:id="2138257639">
      <w:bodyDiv w:val="1"/>
      <w:marLeft w:val="0"/>
      <w:marRight w:val="0"/>
      <w:marTop w:val="0"/>
      <w:marBottom w:val="0"/>
      <w:divBdr>
        <w:top w:val="none" w:sz="0" w:space="0" w:color="auto"/>
        <w:left w:val="none" w:sz="0" w:space="0" w:color="auto"/>
        <w:bottom w:val="none" w:sz="0" w:space="0" w:color="auto"/>
        <w:right w:val="none" w:sz="0" w:space="0" w:color="auto"/>
      </w:divBdr>
    </w:div>
    <w:div w:id="2141919428">
      <w:bodyDiv w:val="1"/>
      <w:marLeft w:val="0"/>
      <w:marRight w:val="0"/>
      <w:marTop w:val="0"/>
      <w:marBottom w:val="0"/>
      <w:divBdr>
        <w:top w:val="none" w:sz="0" w:space="0" w:color="auto"/>
        <w:left w:val="none" w:sz="0" w:space="0" w:color="auto"/>
        <w:bottom w:val="none" w:sz="0" w:space="0" w:color="auto"/>
        <w:right w:val="none" w:sz="0" w:space="0" w:color="auto"/>
      </w:divBdr>
    </w:div>
    <w:div w:id="2146508051">
      <w:bodyDiv w:val="1"/>
      <w:marLeft w:val="0"/>
      <w:marRight w:val="0"/>
      <w:marTop w:val="0"/>
      <w:marBottom w:val="0"/>
      <w:divBdr>
        <w:top w:val="none" w:sz="0" w:space="0" w:color="auto"/>
        <w:left w:val="none" w:sz="0" w:space="0" w:color="auto"/>
        <w:bottom w:val="none" w:sz="0" w:space="0" w:color="auto"/>
        <w:right w:val="none" w:sz="0" w:space="0" w:color="auto"/>
      </w:divBdr>
    </w:div>
  </w:divs>
  <w:doNotRelyOnCS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WorkGroup%20Templates\Publications\Portfolio%20Budget%20Statements.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D5EBCAED125CEB43B39DAD94BDEC00A1" ma:contentTypeVersion="1" ma:contentTypeDescription="Create a new document." ma:contentTypeScope="" ma:versionID="d62e50a7abd58201fd5373107475a9e9">
  <xsd:schema xmlns:xsd="http://www.w3.org/2001/XMLSchema" xmlns:p="http://schemas.microsoft.com/office/2006/metadata/properties" xmlns:ns2="92f8bd56-8465-45fb-84ac-454baa360449" targetNamespace="http://schemas.microsoft.com/office/2006/metadata/properties" ma:root="true" ma:fieldsID="76e049f4efdf8f9237a575c5241a69d9" ns2:_="">
    <xsd:import namespace="92f8bd56-8465-45fb-84ac-454baa360449"/>
    <xsd:element name="properties">
      <xsd:complexType>
        <xsd:sequence>
          <xsd:element name="documentManagement">
            <xsd:complexType>
              <xsd:all>
                <xsd:element ref="ns2:TagsFieldForKWizComTags1" minOccurs="0"/>
              </xsd:all>
            </xsd:complexType>
          </xsd:element>
        </xsd:sequence>
      </xsd:complexType>
    </xsd:element>
  </xsd:schema>
  <xsd:schema xmlns:xsd="http://www.w3.org/2001/XMLSchema" xmlns:dms="http://schemas.microsoft.com/office/2006/documentManagement/types" targetNamespace="92f8bd56-8465-45fb-84ac-454baa360449" elementFormDefault="qualified">
    <xsd:import namespace="http://schemas.microsoft.com/office/2006/documentManagement/types"/>
    <xsd:element name="TagsFieldForKWizComTags1" ma:index="8" nillable="true" ma:displayName="Tags" ma:internalName="TagsFieldForKWizComTags1">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office/internal/2005/internalDocumentation"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lastPrinted" minOccurs="0" maxOccurs="1" type="xsd:dateTime"/>
        <xsd:element name="contentStatus" minOccurs="0" maxOccurs="1" type="xsd:string"/>
      </xsd:all>
    </xsd:complexType>
  </xsd:schema>
</ct:contentTypeSchema>
</file>

<file path=customXml/item3.xml><?xml version="1.0" encoding="utf-8"?>
<p:properties xmlns:p="http://schemas.microsoft.com/office/2006/metadata/properties" xmlns:xsi="http://www.w3.org/2001/XMLSchema-instance">
  <documentManagement>
    <TagsFieldForKWizComTags1 xmlns="92f8bd56-8465-45fb-84ac-454baa360449"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B1A982B-6B2C-43FC-A1C9-BD2FE7FBE2F0}">
  <ds:schemaRefs>
    <ds:schemaRef ds:uri="http://schemas.microsoft.com/sharepoint/v3/contenttype/forms"/>
  </ds:schemaRefs>
</ds:datastoreItem>
</file>

<file path=customXml/itemProps2.xml><?xml version="1.0" encoding="utf-8"?>
<ds:datastoreItem xmlns:ds="http://schemas.openxmlformats.org/officeDocument/2006/customXml" ds:itemID="{DCAAD487-7B05-4006-9773-9B15296150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2f8bd56-8465-45fb-84ac-454baa360449"/>
    <ds:schemaRef ds:uri="http://schemas.microsoft.com/office/2006/documentManagement/types"/>
    <ds:schemaRef ds:uri="http://schemas.openxmlformats.org/package/2006/metadata/core-properties"/>
    <ds:schemaRef ds:uri="http://purl.org/dc/elements/1.1/"/>
    <ds:schemaRef ds:uri="http://purl.org/dc/terms/"/>
    <ds:schemaRef ds:uri="http://schemas.microsoft.com/office/internal/2005/internalDocumentation"/>
  </ds:schemaRefs>
</ds:datastoreItem>
</file>

<file path=customXml/itemProps3.xml><?xml version="1.0" encoding="utf-8"?>
<ds:datastoreItem xmlns:ds="http://schemas.openxmlformats.org/officeDocument/2006/customXml" ds:itemID="{0A4C3886-6B48-46FD-9173-50D31267B297}">
  <ds:schemaRefs>
    <ds:schemaRef ds:uri="http://schemas.microsoft.com/office/2006/metadata/properties"/>
    <ds:schemaRef ds:uri="92f8bd56-8465-45fb-84ac-454baa360449"/>
  </ds:schemaRefs>
</ds:datastoreItem>
</file>

<file path=customXml/itemProps4.xml><?xml version="1.0" encoding="utf-8"?>
<ds:datastoreItem xmlns:ds="http://schemas.openxmlformats.org/officeDocument/2006/customXml" ds:itemID="{D9736683-80A6-4B91-86C4-0E0569CE157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Portfolio Budget Statements.dot</Template>
  <TotalTime>4</TotalTime>
  <Pages>25</Pages>
  <Words>4229</Words>
  <Characters>27436</Characters>
  <Application>Microsoft Office Word</Application>
  <DocSecurity>0</DocSecurity>
  <Lines>228</Lines>
  <Paragraphs>63</Paragraphs>
  <ScaleCrop>false</ScaleCrop>
  <HeadingPairs>
    <vt:vector size="2" baseType="variant">
      <vt:variant>
        <vt:lpstr>Title</vt:lpstr>
      </vt:variant>
      <vt:variant>
        <vt:i4>1</vt:i4>
      </vt:variant>
    </vt:vector>
  </HeadingPairs>
  <TitlesOfParts>
    <vt:vector size="1" baseType="lpstr">
      <vt:lpstr>PORTFOLIO</vt:lpstr>
    </vt:vector>
  </TitlesOfParts>
  <Company>The Treasury</Company>
  <LinksUpToDate>false</LinksUpToDate>
  <CharactersWithSpaces>31602</CharactersWithSpaces>
  <SharedDoc>false</SharedDoc>
  <HLinks>
    <vt:vector size="24" baseType="variant">
      <vt:variant>
        <vt:i4>7471148</vt:i4>
      </vt:variant>
      <vt:variant>
        <vt:i4>9</vt:i4>
      </vt:variant>
      <vt:variant>
        <vt:i4>0</vt:i4>
      </vt:variant>
      <vt:variant>
        <vt:i4>5</vt:i4>
      </vt:variant>
      <vt:variant>
        <vt:lpwstr>http://www.itsanhonour.gov.au/</vt:lpwstr>
      </vt:variant>
      <vt:variant>
        <vt:lpwstr/>
      </vt:variant>
      <vt:variant>
        <vt:i4>5111827</vt:i4>
      </vt:variant>
      <vt:variant>
        <vt:i4>6</vt:i4>
      </vt:variant>
      <vt:variant>
        <vt:i4>0</vt:i4>
      </vt:variant>
      <vt:variant>
        <vt:i4>5</vt:i4>
      </vt:variant>
      <vt:variant>
        <vt:lpwstr>http://creativecommons.org/licenses/by/3.0/au/deed.en</vt:lpwstr>
      </vt:variant>
      <vt:variant>
        <vt:lpwstr/>
      </vt:variant>
      <vt:variant>
        <vt:i4>2687028</vt:i4>
      </vt:variant>
      <vt:variant>
        <vt:i4>3</vt:i4>
      </vt:variant>
      <vt:variant>
        <vt:i4>0</vt:i4>
      </vt:variant>
      <vt:variant>
        <vt:i4>5</vt:i4>
      </vt:variant>
      <vt:variant>
        <vt:lpwstr>http://creativecommons.org/licenses/by/3.0/au/legalcode</vt:lpwstr>
      </vt:variant>
      <vt:variant>
        <vt:lpwstr/>
      </vt:variant>
      <vt:variant>
        <vt:i4>5111827</vt:i4>
      </vt:variant>
      <vt:variant>
        <vt:i4>0</vt:i4>
      </vt:variant>
      <vt:variant>
        <vt:i4>0</vt:i4>
      </vt:variant>
      <vt:variant>
        <vt:i4>5</vt:i4>
      </vt:variant>
      <vt:variant>
        <vt:lpwstr>http://creativecommons.org/licenses/by/3.0/au/deed.en</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PORTFOLIO</dc:title>
  <dc:creator>Publications Team</dc:creator>
  <cp:lastModifiedBy>Brendan Palazzi</cp:lastModifiedBy>
  <cp:revision>2</cp:revision>
  <cp:lastPrinted>2015-05-10T07:11:00Z</cp:lastPrinted>
  <dcterms:created xsi:type="dcterms:W3CDTF">2015-05-12T06:27:00Z</dcterms:created>
  <dcterms:modified xsi:type="dcterms:W3CDTF">2015-05-12T06:27:00Z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NewReviewCycle">
    <vt:lpwstr/>
  </property>
  <property fmtid="{D5CDD505-2E9C-101B-9397-08002B2CF9AE}" pid="3" name="ContentType">
    <vt:lpwstr>Document</vt:lpwstr>
  </property>
</Properties>
</file>