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9A" w:rsidRPr="00CA7E42" w:rsidRDefault="003D26FA" w:rsidP="006B209A">
      <w:pPr>
        <w:pStyle w:val="Title"/>
        <w:rPr>
          <w:rFonts w:eastAsiaTheme="minorHAnsi"/>
          <w:color w:val="000000" w:themeColor="text1"/>
        </w:rPr>
      </w:pPr>
      <w:r w:rsidRPr="00CA7E42">
        <w:rPr>
          <w:rFonts w:eastAsiaTheme="minorHAnsi"/>
          <w:color w:val="000000" w:themeColor="text1"/>
        </w:rPr>
        <w:t>Checklist</w:t>
      </w:r>
      <w:r w:rsidR="00332CC7">
        <w:rPr>
          <w:rFonts w:eastAsiaTheme="minorHAnsi"/>
          <w:color w:val="000000" w:themeColor="text1"/>
        </w:rPr>
        <w:t>: D</w:t>
      </w:r>
      <w:r w:rsidR="00F90F78" w:rsidRPr="00CA7E42">
        <w:rPr>
          <w:rFonts w:eastAsiaTheme="minorHAnsi"/>
          <w:color w:val="000000" w:themeColor="text1"/>
        </w:rPr>
        <w:t>eveloping a schedule of activities</w:t>
      </w:r>
    </w:p>
    <w:p w:rsidR="00293FA1" w:rsidRDefault="00293FA1" w:rsidP="00293F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3FA1" w:rsidTr="00293FA1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BDDCDF" w:themeFill="accent1"/>
          </w:tcPr>
          <w:p w:rsidR="00293FA1" w:rsidRPr="0058010D" w:rsidRDefault="00293FA1" w:rsidP="00293FA1">
            <w:pPr>
              <w:rPr>
                <w:sz w:val="30"/>
                <w:szCs w:val="30"/>
              </w:rPr>
            </w:pPr>
            <w:r w:rsidRPr="0058010D">
              <w:rPr>
                <w:sz w:val="30"/>
                <w:szCs w:val="30"/>
              </w:rPr>
              <w:t>Foreword</w:t>
            </w:r>
          </w:p>
          <w:p w:rsidR="00062DA2" w:rsidRDefault="00293FA1" w:rsidP="00062DA2">
            <w:pPr>
              <w:pStyle w:val="Boxed2Text"/>
              <w:spacing w:before="0"/>
              <w:ind w:left="0"/>
            </w:pPr>
            <w:r>
              <w:t xml:space="preserve">The </w:t>
            </w:r>
            <w:r w:rsidR="00062DA2">
              <w:t xml:space="preserve">project manager and/or </w:t>
            </w:r>
            <w:r>
              <w:t>finance team shou</w:t>
            </w:r>
            <w:r w:rsidR="00062DA2">
              <w:t xml:space="preserve">ld prepare the </w:t>
            </w:r>
            <w:r>
              <w:t>schedule</w:t>
            </w:r>
            <w:r w:rsidRPr="008F7668">
              <w:t xml:space="preserve"> </w:t>
            </w:r>
            <w:r w:rsidR="00062DA2">
              <w:t xml:space="preserve">of financial statement project activities </w:t>
            </w:r>
            <w:r w:rsidRPr="008F7668">
              <w:t xml:space="preserve">by making a list of </w:t>
            </w:r>
            <w:r>
              <w:t xml:space="preserve">milestones, </w:t>
            </w:r>
            <w:r w:rsidRPr="008F7668">
              <w:t>critical events</w:t>
            </w:r>
            <w:r>
              <w:t xml:space="preserve"> and significant management issues, and then identify the </w:t>
            </w:r>
            <w:r w:rsidRPr="008F7668">
              <w:t>tasks, respon</w:t>
            </w:r>
            <w:r>
              <w:t>sibilities and timeframes associated with completing these</w:t>
            </w:r>
            <w:r w:rsidRPr="008F7668">
              <w:t>.</w:t>
            </w:r>
          </w:p>
          <w:p w:rsidR="00062DA2" w:rsidRDefault="00062DA2" w:rsidP="00062DA2">
            <w:pPr>
              <w:pStyle w:val="Boxed2Text"/>
              <w:spacing w:before="120"/>
              <w:ind w:left="0"/>
            </w:pPr>
            <w:r>
              <w:t>C</w:t>
            </w:r>
            <w:r w:rsidR="00293FA1" w:rsidRPr="008F7668">
              <w:t>onsider</w:t>
            </w:r>
            <w:r>
              <w:t xml:space="preserve">ation </w:t>
            </w:r>
            <w:proofErr w:type="gramStart"/>
            <w:r>
              <w:t>should be given</w:t>
            </w:r>
            <w:proofErr w:type="gramEnd"/>
            <w:r>
              <w:t xml:space="preserve"> to</w:t>
            </w:r>
            <w:r w:rsidR="00293FA1" w:rsidRPr="008F7668">
              <w:t xml:space="preserve"> the</w:t>
            </w:r>
            <w:r w:rsidR="00293FA1">
              <w:t xml:space="preserve"> sequence of activities and </w:t>
            </w:r>
            <w:r>
              <w:t xml:space="preserve">the </w:t>
            </w:r>
            <w:r w:rsidR="00293FA1">
              <w:t>estimate</w:t>
            </w:r>
            <w:r>
              <w:t xml:space="preserve">d </w:t>
            </w:r>
            <w:r w:rsidR="00293FA1">
              <w:t xml:space="preserve">time required for </w:t>
            </w:r>
            <w:r>
              <w:t xml:space="preserve">completing </w:t>
            </w:r>
            <w:r w:rsidR="00293FA1">
              <w:t>each</w:t>
            </w:r>
            <w:r>
              <w:t xml:space="preserve"> task or activity</w:t>
            </w:r>
            <w:r w:rsidR="00293FA1" w:rsidRPr="008F7668">
              <w:t xml:space="preserve">. This </w:t>
            </w:r>
            <w:r>
              <w:t>should include</w:t>
            </w:r>
            <w:r w:rsidR="00293FA1" w:rsidRPr="008F7668">
              <w:t xml:space="preserve"> the provision of information </w:t>
            </w:r>
            <w:r>
              <w:t xml:space="preserve">to, or </w:t>
            </w:r>
            <w:r w:rsidR="00293FA1" w:rsidRPr="008F7668">
              <w:t>from</w:t>
            </w:r>
            <w:r>
              <w:t>, external parties</w:t>
            </w:r>
            <w:r w:rsidR="00293FA1" w:rsidRPr="008F7668">
              <w:t xml:space="preserve"> such as shared service</w:t>
            </w:r>
            <w:r>
              <w:t>s</w:t>
            </w:r>
            <w:r w:rsidR="00293FA1" w:rsidRPr="008F7668">
              <w:t xml:space="preserve"> providers. </w:t>
            </w:r>
          </w:p>
          <w:p w:rsidR="00293FA1" w:rsidRDefault="00293FA1" w:rsidP="00062DA2">
            <w:pPr>
              <w:pStyle w:val="Boxed2Text"/>
              <w:spacing w:before="120"/>
              <w:ind w:left="0"/>
            </w:pPr>
            <w:r w:rsidRPr="008F7668">
              <w:t xml:space="preserve">Working backwards from the most critical date, which is generally the signing of the financial statements, is often the most effective means of </w:t>
            </w:r>
            <w:r w:rsidR="00062DA2">
              <w:t>allocating</w:t>
            </w:r>
            <w:r>
              <w:t xml:space="preserve"> timeframes</w:t>
            </w:r>
            <w:r w:rsidR="00062DA2">
              <w:t xml:space="preserve"> that support the project delivering on time</w:t>
            </w:r>
            <w:r>
              <w:t>.</w:t>
            </w:r>
          </w:p>
          <w:p w:rsidR="00293FA1" w:rsidRDefault="00293FA1" w:rsidP="00293FA1">
            <w:pPr>
              <w:pStyle w:val="Boxed2Text"/>
              <w:ind w:left="0"/>
            </w:pPr>
            <w:r w:rsidRPr="008F7668">
              <w:t>Entities should note that the largely s</w:t>
            </w:r>
            <w:r w:rsidR="00062DA2">
              <w:t xml:space="preserve">equential nature of many </w:t>
            </w:r>
            <w:r>
              <w:t xml:space="preserve">activities and </w:t>
            </w:r>
            <w:r w:rsidRPr="008F7668">
              <w:t>tasks undertaken in the closing process</w:t>
            </w:r>
            <w:r w:rsidR="00062DA2">
              <w:t>,</w:t>
            </w:r>
            <w:r w:rsidRPr="008F7668">
              <w:t xml:space="preserve"> means that a missed deadline can</w:t>
            </w:r>
            <w:r w:rsidR="00062DA2">
              <w:t xml:space="preserve"> create a significant</w:t>
            </w:r>
            <w:r w:rsidRPr="008F7668">
              <w:t xml:space="preserve"> delay </w:t>
            </w:r>
            <w:r w:rsidR="00062DA2">
              <w:t xml:space="preserve">for </w:t>
            </w:r>
            <w:r w:rsidRPr="008F7668">
              <w:t>the entire process</w:t>
            </w:r>
            <w:r w:rsidR="00062DA2">
              <w:t xml:space="preserve">. This could </w:t>
            </w:r>
            <w:r w:rsidRPr="008F7668">
              <w:t>jeopardise the timeliness of the financial statements. Accordin</w:t>
            </w:r>
            <w:r w:rsidR="00062DA2">
              <w:t xml:space="preserve">gly, timeframes need to be carefully </w:t>
            </w:r>
            <w:proofErr w:type="gramStart"/>
            <w:r w:rsidR="00062DA2">
              <w:t>planned</w:t>
            </w:r>
            <w:proofErr w:type="gramEnd"/>
            <w:r w:rsidR="0058010D">
              <w:t xml:space="preserve">, </w:t>
            </w:r>
            <w:r w:rsidRPr="008F7668">
              <w:t>adhered to</w:t>
            </w:r>
            <w:r w:rsidR="0058010D">
              <w:t xml:space="preserve"> and regularly monitored and reviewed as needed</w:t>
            </w:r>
            <w:r w:rsidRPr="008F7668">
              <w:t>.</w:t>
            </w:r>
          </w:p>
          <w:p w:rsidR="00293FA1" w:rsidRDefault="00293FA1" w:rsidP="00293FA1">
            <w:pPr>
              <w:pStyle w:val="Boxed2Text"/>
              <w:ind w:left="0"/>
            </w:pPr>
            <w:r>
              <w:t>The schedule</w:t>
            </w:r>
            <w:r w:rsidRPr="008F7668">
              <w:t xml:space="preserve"> </w:t>
            </w:r>
            <w:proofErr w:type="gramStart"/>
            <w:r w:rsidRPr="008F7668">
              <w:t>should, to the extent possible, incorporate</w:t>
            </w:r>
            <w:proofErr w:type="gramEnd"/>
            <w:r w:rsidRPr="008F7668">
              <w:t xml:space="preserve"> all aspects of financial reporting for both internal and external purposes. It </w:t>
            </w:r>
            <w:proofErr w:type="gramStart"/>
            <w:r w:rsidRPr="008F7668">
              <w:t>should be developed</w:t>
            </w:r>
            <w:proofErr w:type="gramEnd"/>
            <w:r w:rsidRPr="008F7668">
              <w:t xml:space="preserve"> so that it can be readily updated each year. In this way, planning builds on the experience from</w:t>
            </w:r>
            <w:r w:rsidR="00062DA2">
              <w:t xml:space="preserve"> the previous year, taking </w:t>
            </w:r>
            <w:r w:rsidRPr="008F7668">
              <w:t>accoun</w:t>
            </w:r>
            <w:r>
              <w:t xml:space="preserve">t </w:t>
            </w:r>
            <w:r w:rsidR="00062DA2">
              <w:t xml:space="preserve">of </w:t>
            </w:r>
            <w:r>
              <w:t>aspects</w:t>
            </w:r>
            <w:r w:rsidR="00062DA2">
              <w:t xml:space="preserve"> that may</w:t>
            </w:r>
            <w:r>
              <w:t xml:space="preserve"> be improved.</w:t>
            </w:r>
          </w:p>
          <w:p w:rsidR="00293FA1" w:rsidRPr="00293FA1" w:rsidRDefault="00293FA1" w:rsidP="00293FA1">
            <w:pPr>
              <w:pStyle w:val="Boxed2Text"/>
              <w:ind w:left="0"/>
            </w:pPr>
            <w:r>
              <w:t>Most importantly, the schedule</w:t>
            </w:r>
            <w:r w:rsidRPr="008F7668">
              <w:t xml:space="preserve"> should clearly assign individual responsibilities and</w:t>
            </w:r>
            <w:r>
              <w:t xml:space="preserve"> indicate timelines for carrying out and completing each task.</w:t>
            </w:r>
          </w:p>
        </w:tc>
      </w:tr>
    </w:tbl>
    <w:p w:rsidR="00293FA1" w:rsidRPr="00293FA1" w:rsidRDefault="00293FA1" w:rsidP="00293FA1"/>
    <w:p w:rsidR="001F62E8" w:rsidRPr="00CA7E42" w:rsidRDefault="008F7668" w:rsidP="001F62E8">
      <w:pPr>
        <w:pStyle w:val="Title"/>
        <w:rPr>
          <w:rFonts w:eastAsiaTheme="minorHAnsi"/>
          <w:color w:val="000000" w:themeColor="text1"/>
        </w:rPr>
      </w:pPr>
      <w:bookmarkStart w:id="0" w:name="_GoBack"/>
      <w:bookmarkEnd w:id="0"/>
      <w:r>
        <w:br w:type="page"/>
      </w:r>
      <w:r w:rsidR="001F62E8" w:rsidRPr="001F62E8">
        <w:rPr>
          <w:rFonts w:eastAsiaTheme="minorHAnsi"/>
          <w:color w:val="000000" w:themeColor="text1"/>
          <w:sz w:val="32"/>
        </w:rPr>
        <w:lastRenderedPageBreak/>
        <w:t>Developing a schedule of activities</w:t>
      </w:r>
      <w:r w:rsidR="001F62E8">
        <w:rPr>
          <w:rFonts w:eastAsiaTheme="minorHAnsi"/>
          <w:color w:val="000000" w:themeColor="text1"/>
          <w:sz w:val="32"/>
        </w:rPr>
        <w:t xml:space="preserve"> checklist</w:t>
      </w:r>
    </w:p>
    <w:tbl>
      <w:tblPr>
        <w:tblW w:w="8860" w:type="dxa"/>
        <w:tblLook w:val="04A0" w:firstRow="1" w:lastRow="0" w:firstColumn="1" w:lastColumn="0" w:noHBand="0" w:noVBand="1"/>
        <w:tblCaption w:val="Checklist for scheduling financial statement activities"/>
        <w:tblDescription w:val="This checklist provides a list example activities such as milestones, critical events and significant management issues that should be considered when developing a schedule of activities."/>
      </w:tblPr>
      <w:tblGrid>
        <w:gridCol w:w="7680"/>
        <w:gridCol w:w="1180"/>
      </w:tblGrid>
      <w:tr w:rsidR="008F7668" w:rsidRPr="008F7668" w:rsidTr="00CA7E42">
        <w:trPr>
          <w:trHeight w:val="315"/>
          <w:tblHeader/>
        </w:trPr>
        <w:tc>
          <w:tcPr>
            <w:tcW w:w="7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  <w:hideMark/>
          </w:tcPr>
          <w:p w:rsidR="008F7668" w:rsidRPr="00293FA1" w:rsidRDefault="00462BC6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293FA1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val="en-US" w:eastAsia="en-AU"/>
              </w:rPr>
              <w:t>Check</w:t>
            </w:r>
            <w:r w:rsidR="003D26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val="en-US" w:eastAsia="en-AU"/>
              </w:rPr>
              <w:t>list for scheduling financial statement</w:t>
            </w:r>
            <w:r w:rsidR="00A8640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val="en-US" w:eastAsia="en-AU"/>
              </w:rPr>
              <w:t xml:space="preserve"> activities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 w:themeFill="text1"/>
            <w:vAlign w:val="center"/>
            <w:hideMark/>
          </w:tcPr>
          <w:p w:rsidR="008F7668" w:rsidRPr="00293FA1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293FA1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 xml:space="preserve"> (Yes/No)</w:t>
            </w:r>
          </w:p>
        </w:tc>
      </w:tr>
      <w:tr w:rsidR="008F7668" w:rsidRPr="008F7668" w:rsidTr="008F7668">
        <w:trPr>
          <w:trHeight w:val="31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8F7668" w:rsidRPr="008F7668" w:rsidRDefault="008F7668" w:rsidP="00A86400">
            <w:pPr>
              <w:suppressAutoHyphens w:val="0"/>
              <w:spacing w:before="12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F76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Critical Events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F76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8F7668" w:rsidRPr="008F7668" w:rsidTr="00881CB1">
        <w:trPr>
          <w:trHeight w:val="438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Completion of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accounting policies for the year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onsultation with the ANAO on the audit strategy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rovision of shell financial statem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ents prior to year-end for clearance by the audit committee and ANAO's,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incorporating current reporting requirements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losing-off of the general ledger at year-end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reparation of the first trial balance at year-end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Issue of the first draft 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financial statements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rocessing of accrual adjustments in accordance with cut-off arrangements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nalysis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the 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current year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’s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financial data against budget and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the 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prior year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’s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data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,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and preparation of an explanation of all significant variations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eceipt of representation letters from legal advisers and any other external advice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ommence financial statements planning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 w:rsidR="00A8640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tock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take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nterim audit phase of the ANAO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5F6772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aluation finalised with </w:t>
            </w:r>
            <w:r w:rsidR="00A8640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the </w:t>
            </w:r>
            <w:proofErr w:type="spellStart"/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valuers</w:t>
            </w:r>
            <w:proofErr w:type="spellEnd"/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and actuaries (for example, valuations for non-current assets and estimates of employee entitlements).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686333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greement with 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audit 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 and the ANAO on: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462BC6" w:rsidRDefault="008F7668" w:rsidP="00462BC6">
            <w:pPr>
              <w:pStyle w:val="ListParagraph"/>
              <w:numPr>
                <w:ilvl w:val="0"/>
                <w:numId w:val="36"/>
              </w:num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shell financial statements and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462BC6" w:rsidRDefault="008F7668" w:rsidP="00462BC6">
            <w:pPr>
              <w:pStyle w:val="ListParagraph"/>
              <w:numPr>
                <w:ilvl w:val="0"/>
                <w:numId w:val="36"/>
              </w:num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gramStart"/>
            <w:r w:rsidRP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proposed</w:t>
            </w:r>
            <w:proofErr w:type="gramEnd"/>
            <w:r w:rsidRP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accounting treatment of significant contentious transactions.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462BC6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istribution of final information collection pack (in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cluding pro</w:t>
            </w:r>
            <w:r w:rsidR="00CA7E4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forma returns) to business areas.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Information session on the information collection pack.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Completion of the mapping of FMIS nominal accounts with the electronic financial statements preparation tool.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Actuarial assessment of the salary </w:t>
            </w:r>
            <w:r w:rsidR="00A8640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on-costs (Departmental and A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dministered) to be complete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 xml:space="preserve">Final close in FMIS for 30 April hard close.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Forward financial instrument notes and 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variance analysis workbook to business areas</w:t>
            </w:r>
            <w:r w:rsidR="00A8640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Completion of statement of financial position reconciliations, cash control accounts, assets, employee provisions and Finance's appropriation system data.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Submission of completed returns and 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financial instrument notes to finance team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Submission of 30 April Commitments 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 Contingencies Register to finance team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Submission of variance analysis workbook for 30 April and an analysis of major transactions expected bet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ween April and end of June to finance team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81CB1">
        <w:trPr>
          <w:trHeight w:val="448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Submission of statement of financial position r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econciliations or 30 April to finance team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81CB1">
        <w:trPr>
          <w:trHeight w:val="526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Completion of working paper folders and preparation of financial statements.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Completion of CFO review of working paper folders and draft financial statements.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Distribution of dra</w:t>
            </w:r>
            <w:r w:rsidR="00462BC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ft financial statements to the audit c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 for consideration.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Comments on dra</w:t>
            </w:r>
            <w:r w:rsidR="00C87EC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ft financial statements by the audit c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 received.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Submission of the financial statements for the period ended 30 April to the ANAO, incorpora</w:t>
            </w:r>
            <w:r w:rsidR="00C87EC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ting comments from the audit c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78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The ANAO commences audit of the April hard close financial statements, working papers and supporting schedules. A review of significant transactions will also be undertaken.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Prepare confirmation letters and information requests to third parties (banks, solicitors, and other external stakeholders) and provide to the ANAO for issuance.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Copy of the results of the portable and attractive stocktake, conducted by the Business A</w:t>
            </w:r>
            <w:r w:rsidR="00C87EC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reas, including sign-offs, to finance team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Final resolution of all accounting issues with the ANAO.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CFO, in consultation w</w:t>
            </w:r>
            <w:r w:rsidR="00C87EC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ith the ANAO, to report to the audit c</w:t>
            </w:r>
            <w:r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 on matters arising from the interim and hard close process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resent any major issues impacting the year-</w:t>
            </w:r>
            <w:proofErr w:type="gramStart"/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end  financial</w:t>
            </w:r>
            <w:proofErr w:type="gramEnd"/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statements.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onducting a quality assurance review of the financial statements and working papers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81CB1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</w:tcPr>
          <w:p w:rsidR="00881CB1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 w:rsidR="00881CB1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roviding audit-cleared information to Finance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</w:tcPr>
          <w:p w:rsidR="00881CB1" w:rsidRPr="008F7668" w:rsidRDefault="00881CB1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81CB1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ncorporating management and audit adjustments into the draft financial statements 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ssue of the final draft of the financial statements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81CB1">
        <w:trPr>
          <w:trHeight w:val="50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Audit 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ommittee review of the financial statements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S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igning of 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 financial statements by the accountable a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uthority and the CFO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igning of the auditor's report on the financial statements by the ANAO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eporting the financial statements and accompanying auditor's report in the annual report.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31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8F7668" w:rsidRPr="008F7668" w:rsidRDefault="008F7668" w:rsidP="003D26FA">
            <w:pPr>
              <w:suppressAutoHyphens w:val="0"/>
              <w:spacing w:before="12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F76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Management Issues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F76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ompleting monthly reporting requirements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ecruiting additional or replacement staff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mplementing system changes and updates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ssessing the need for legal and accounting advice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ommunicating with third parties, including shared service providers, </w:t>
            </w:r>
            <w:proofErr w:type="spellStart"/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valuer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, actuaries and solicitors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C87ECA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  <w:r w:rsidR="008F7668" w:rsidRPr="008F766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nsuring the availability of suitably qualified staff during the close-off process.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8F7668" w:rsidRPr="008F7668" w:rsidTr="008F7668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20"/>
                <w:lang w:val="en-US" w:eastAsia="en-AU"/>
              </w:rPr>
              <w:t>Arrangements have been made to ensure that the financial statements will be included in the annual report exactly as signed</w:t>
            </w:r>
          </w:p>
        </w:tc>
        <w:tc>
          <w:tcPr>
            <w:tcW w:w="1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8F7668" w:rsidRPr="008F7668" w:rsidRDefault="008F7668" w:rsidP="008F7668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8F7668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</w:tbl>
    <w:p w:rsidR="00F36CD8" w:rsidRDefault="00F36CD8" w:rsidP="006B209A">
      <w:pPr>
        <w:pStyle w:val="Bullet1"/>
        <w:numPr>
          <w:ilvl w:val="0"/>
          <w:numId w:val="0"/>
        </w:numPr>
      </w:pPr>
    </w:p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Pr="00F36CD8" w:rsidRDefault="00F36CD8" w:rsidP="00F36CD8"/>
    <w:p w:rsidR="00F36CD8" w:rsidRDefault="00F36CD8" w:rsidP="00F36CD8"/>
    <w:p w:rsidR="006B209A" w:rsidRPr="00F36CD8" w:rsidRDefault="006B209A" w:rsidP="00F36CD8">
      <w:pPr>
        <w:jc w:val="center"/>
      </w:pPr>
    </w:p>
    <w:sectPr w:rsidR="006B209A" w:rsidRPr="00F36CD8" w:rsidSect="00397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9A" w:rsidRDefault="006B209A" w:rsidP="00EF4574">
      <w:pPr>
        <w:spacing w:before="0" w:after="0" w:line="240" w:lineRule="auto"/>
      </w:pPr>
      <w:r>
        <w:separator/>
      </w:r>
    </w:p>
  </w:endnote>
  <w:endnote w:type="continuationSeparator" w:id="0">
    <w:p w:rsidR="006B209A" w:rsidRDefault="006B209A" w:rsidP="00EF45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CD8" w:rsidRDefault="00F36C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9A" w:rsidRDefault="006B209A" w:rsidP="0039715A">
    <w:pPr>
      <w:pStyle w:val="Footer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1F62E8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9A" w:rsidRDefault="006B209A">
    <w:pPr>
      <w:pStyle w:val="Footer"/>
    </w:pPr>
  </w:p>
  <w:p w:rsidR="006B209A" w:rsidRDefault="006B209A" w:rsidP="000A6A8B">
    <w:pPr>
      <w:pStyle w:val="Footer"/>
      <w:jc w:val="center"/>
      <w:rPr>
        <w:rStyle w:val="Classification"/>
      </w:rPr>
    </w:pPr>
    <w:r w:rsidRPr="000A6A8B">
      <w:rPr>
        <w:rStyle w:val="Classification"/>
      </w:rPr>
      <w:t>Classification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9A" w:rsidRDefault="006B209A" w:rsidP="0020122A">
      <w:pPr>
        <w:pStyle w:val="FootnoteSeparator"/>
      </w:pPr>
    </w:p>
  </w:footnote>
  <w:footnote w:type="continuationSeparator" w:id="0">
    <w:p w:rsidR="006B209A" w:rsidRDefault="006B209A" w:rsidP="00EF45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CD8" w:rsidRDefault="00F36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CC7" w:rsidRPr="000A6A8B" w:rsidRDefault="00332CC7" w:rsidP="00332CC7">
    <w:pPr>
      <w:pStyle w:val="Header"/>
      <w:tabs>
        <w:tab w:val="clear" w:pos="4513"/>
        <w:tab w:val="center" w:pos="4535"/>
        <w:tab w:val="right" w:pos="9070"/>
      </w:tabs>
      <w:jc w:val="center"/>
      <w:rPr>
        <w:rStyle w:val="Classification"/>
      </w:rPr>
    </w:pPr>
    <w:r>
      <w:rPr>
        <w:rStyle w:val="Classification"/>
      </w:rPr>
      <w:t>unClassified</w:t>
    </w:r>
  </w:p>
  <w:p w:rsidR="00332CC7" w:rsidRPr="0090743D" w:rsidRDefault="00332CC7" w:rsidP="00332CC7">
    <w:pPr>
      <w:pStyle w:val="Header"/>
      <w:rPr>
        <w:szCs w:val="14"/>
      </w:rPr>
    </w:pPr>
    <w:r>
      <w:tab/>
    </w:r>
    <w:r>
      <w:tab/>
    </w:r>
    <w:r w:rsidRPr="0090743D">
      <w:rPr>
        <w:szCs w:val="14"/>
      </w:rPr>
      <w:t>Department of Finance</w:t>
    </w:r>
    <w:r w:rsidRPr="0090743D">
      <w:rPr>
        <w:szCs w:val="14"/>
      </w:rPr>
      <w:tab/>
    </w:r>
    <w:r w:rsidRPr="0090743D">
      <w:rPr>
        <w:szCs w:val="14"/>
      </w:rPr>
      <w:tab/>
      <w:t xml:space="preserve">Financial Statements Better Practice Guide </w:t>
    </w:r>
  </w:p>
  <w:p w:rsidR="00332CC7" w:rsidRDefault="00332CC7" w:rsidP="00332CC7">
    <w:pPr>
      <w:pStyle w:val="Header"/>
    </w:pPr>
    <w:r w:rsidRPr="0090743D">
      <w:rPr>
        <w:szCs w:val="14"/>
      </w:rPr>
      <w:tab/>
    </w:r>
    <w:r w:rsidRPr="0090743D">
      <w:rPr>
        <w:szCs w:val="14"/>
      </w:rPr>
      <w:tab/>
    </w:r>
    <w:r w:rsidRPr="00332CC7">
      <w:rPr>
        <w:szCs w:val="14"/>
      </w:rPr>
      <w:t>Checklist: Developing a schedule of activities</w:t>
    </w:r>
  </w:p>
  <w:p w:rsidR="00332CC7" w:rsidRDefault="00332C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9A" w:rsidRDefault="006B209A" w:rsidP="000A6A8B">
    <w:pPr>
      <w:pStyle w:val="Header"/>
      <w:jc w:val="center"/>
    </w:pPr>
    <w:r w:rsidRPr="000A6A8B">
      <w:rPr>
        <w:rStyle w:val="Classification"/>
      </w:rPr>
      <w:t>Classification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5C99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02A9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861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4A13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12B2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181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1830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C8C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143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364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9B159F"/>
    <w:multiLevelType w:val="multilevel"/>
    <w:tmpl w:val="1F38FDB4"/>
    <w:styleLink w:val="HeadingsList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46BF41D7"/>
    <w:multiLevelType w:val="hybridMultilevel"/>
    <w:tmpl w:val="41FCD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5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6" w15:restartNumberingAfterBreak="0">
    <w:nsid w:val="6A3E182A"/>
    <w:multiLevelType w:val="hybridMultilevel"/>
    <w:tmpl w:val="4EFA5C9A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5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4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6C"/>
    <w:rsid w:val="0000142F"/>
    <w:rsid w:val="00021B85"/>
    <w:rsid w:val="0002782F"/>
    <w:rsid w:val="00054E4D"/>
    <w:rsid w:val="00060073"/>
    <w:rsid w:val="00062DA2"/>
    <w:rsid w:val="00096134"/>
    <w:rsid w:val="000A4B30"/>
    <w:rsid w:val="000A6A8B"/>
    <w:rsid w:val="000C2A48"/>
    <w:rsid w:val="000D60B1"/>
    <w:rsid w:val="001541EA"/>
    <w:rsid w:val="001612A4"/>
    <w:rsid w:val="001973D5"/>
    <w:rsid w:val="001E1DC0"/>
    <w:rsid w:val="001F62E8"/>
    <w:rsid w:val="0020122A"/>
    <w:rsid w:val="0028602A"/>
    <w:rsid w:val="00293FA1"/>
    <w:rsid w:val="00301144"/>
    <w:rsid w:val="0031007C"/>
    <w:rsid w:val="003148B7"/>
    <w:rsid w:val="003158C3"/>
    <w:rsid w:val="003274CD"/>
    <w:rsid w:val="00332CC7"/>
    <w:rsid w:val="0035119D"/>
    <w:rsid w:val="0039715A"/>
    <w:rsid w:val="003B4F12"/>
    <w:rsid w:val="003D26FA"/>
    <w:rsid w:val="00423F31"/>
    <w:rsid w:val="00431899"/>
    <w:rsid w:val="00462BC6"/>
    <w:rsid w:val="00486804"/>
    <w:rsid w:val="004B3775"/>
    <w:rsid w:val="004E058F"/>
    <w:rsid w:val="004E3B87"/>
    <w:rsid w:val="00510921"/>
    <w:rsid w:val="00510AD3"/>
    <w:rsid w:val="00513348"/>
    <w:rsid w:val="00533B5D"/>
    <w:rsid w:val="005506BA"/>
    <w:rsid w:val="0058010D"/>
    <w:rsid w:val="005970EA"/>
    <w:rsid w:val="005A6C78"/>
    <w:rsid w:val="005C37F0"/>
    <w:rsid w:val="005E45E3"/>
    <w:rsid w:val="005F6772"/>
    <w:rsid w:val="00623BA1"/>
    <w:rsid w:val="006346BC"/>
    <w:rsid w:val="00651CBB"/>
    <w:rsid w:val="0066652A"/>
    <w:rsid w:val="0068028B"/>
    <w:rsid w:val="00682167"/>
    <w:rsid w:val="00686333"/>
    <w:rsid w:val="006B209A"/>
    <w:rsid w:val="006C42AF"/>
    <w:rsid w:val="006C4DD1"/>
    <w:rsid w:val="00710392"/>
    <w:rsid w:val="00711D8E"/>
    <w:rsid w:val="00712672"/>
    <w:rsid w:val="00734E3F"/>
    <w:rsid w:val="00736985"/>
    <w:rsid w:val="007B6200"/>
    <w:rsid w:val="007D134E"/>
    <w:rsid w:val="007E38E8"/>
    <w:rsid w:val="00801B9F"/>
    <w:rsid w:val="00802117"/>
    <w:rsid w:val="00880B3F"/>
    <w:rsid w:val="00881CB1"/>
    <w:rsid w:val="008F7668"/>
    <w:rsid w:val="009222BC"/>
    <w:rsid w:val="009B4D3B"/>
    <w:rsid w:val="009B53C8"/>
    <w:rsid w:val="009D7407"/>
    <w:rsid w:val="009E0866"/>
    <w:rsid w:val="00A24A62"/>
    <w:rsid w:val="00A31C9F"/>
    <w:rsid w:val="00A76378"/>
    <w:rsid w:val="00A86400"/>
    <w:rsid w:val="00AC164A"/>
    <w:rsid w:val="00AF2050"/>
    <w:rsid w:val="00BB26C5"/>
    <w:rsid w:val="00BF4DE6"/>
    <w:rsid w:val="00C42CDE"/>
    <w:rsid w:val="00C7334F"/>
    <w:rsid w:val="00C87ECA"/>
    <w:rsid w:val="00CA37B1"/>
    <w:rsid w:val="00CA7E42"/>
    <w:rsid w:val="00CB1959"/>
    <w:rsid w:val="00D0296C"/>
    <w:rsid w:val="00D76E1A"/>
    <w:rsid w:val="00DB35A3"/>
    <w:rsid w:val="00DB6D69"/>
    <w:rsid w:val="00DC430B"/>
    <w:rsid w:val="00E24DAC"/>
    <w:rsid w:val="00E25FBA"/>
    <w:rsid w:val="00E357B7"/>
    <w:rsid w:val="00E53800"/>
    <w:rsid w:val="00E6081F"/>
    <w:rsid w:val="00EA04B2"/>
    <w:rsid w:val="00EA20F3"/>
    <w:rsid w:val="00ED43D1"/>
    <w:rsid w:val="00EE4EE1"/>
    <w:rsid w:val="00EF4574"/>
    <w:rsid w:val="00F0219E"/>
    <w:rsid w:val="00F2684E"/>
    <w:rsid w:val="00F33736"/>
    <w:rsid w:val="00F36CD8"/>
    <w:rsid w:val="00F729EF"/>
    <w:rsid w:val="00F77CAE"/>
    <w:rsid w:val="00F90F78"/>
    <w:rsid w:val="00F96BB9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0411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B85"/>
    <w:pPr>
      <w:suppressAutoHyphens/>
      <w:spacing w:before="180" w:after="60" w:line="28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1B85"/>
    <w:pPr>
      <w:keepNext/>
      <w:keepLines/>
      <w:spacing w:before="360" w:after="120" w:line="460" w:lineRule="atLeast"/>
      <w:contextualSpacing/>
      <w:outlineLvl w:val="0"/>
    </w:pPr>
    <w:rPr>
      <w:rFonts w:asciiTheme="majorHAnsi" w:eastAsiaTheme="majorEastAsia" w:hAnsiTheme="majorHAnsi" w:cstheme="majorBidi"/>
      <w:bCs/>
      <w:color w:val="1C1C1C" w:themeColor="text2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1B85"/>
    <w:pPr>
      <w:spacing w:line="400" w:lineRule="atLeast"/>
      <w:outlineLvl w:val="1"/>
    </w:pPr>
    <w:rPr>
      <w:bCs w:val="0"/>
      <w:sz w:val="3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1B85"/>
    <w:pPr>
      <w:spacing w:line="340" w:lineRule="atLeast"/>
      <w:outlineLvl w:val="2"/>
    </w:pPr>
    <w:rPr>
      <w:bCs/>
      <w:sz w:val="3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21B85"/>
    <w:pPr>
      <w:spacing w:before="240" w:line="300" w:lineRule="atLeast"/>
      <w:outlineLvl w:val="3"/>
    </w:pPr>
    <w:rPr>
      <w:iCs/>
      <w:sz w:val="26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021B85"/>
    <w:pPr>
      <w:outlineLvl w:val="4"/>
    </w:pPr>
    <w:rPr>
      <w:i/>
      <w:color w:val="77B6BD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21B85"/>
    <w:pPr>
      <w:spacing w:before="40"/>
      <w:outlineLvl w:val="5"/>
    </w:pPr>
    <w:rPr>
      <w:color w:val="43838A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021B85"/>
    <w:pPr>
      <w:outlineLvl w:val="6"/>
    </w:pPr>
    <w:rPr>
      <w:i w:val="0"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021B85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021B85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B85"/>
    <w:rPr>
      <w:rFonts w:asciiTheme="majorHAnsi" w:eastAsiaTheme="majorEastAsia" w:hAnsiTheme="majorHAnsi" w:cstheme="majorBidi"/>
      <w:bCs/>
      <w:color w:val="1C1C1C" w:themeColor="text2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1B85"/>
    <w:rPr>
      <w:rFonts w:asciiTheme="majorHAnsi" w:eastAsiaTheme="majorEastAsia" w:hAnsiTheme="majorHAnsi" w:cstheme="majorBidi"/>
      <w:color w:val="1C1C1C" w:themeColor="text2"/>
      <w:sz w:val="3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1B85"/>
    <w:rPr>
      <w:rFonts w:asciiTheme="majorHAnsi" w:eastAsiaTheme="majorEastAsia" w:hAnsiTheme="majorHAnsi" w:cstheme="majorBidi"/>
      <w:bCs/>
      <w:color w:val="1C1C1C" w:themeColor="text2"/>
      <w:sz w:val="30"/>
      <w:szCs w:val="26"/>
    </w:rPr>
  </w:style>
  <w:style w:type="paragraph" w:customStyle="1" w:styleId="NormalIndented">
    <w:name w:val="Normal Indented"/>
    <w:basedOn w:val="Normal"/>
    <w:qFormat/>
    <w:rsid w:val="00021B85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5A6C78"/>
    <w:pPr>
      <w:keepNext w:val="0"/>
      <w:spacing w:line="480" w:lineRule="atLeast"/>
    </w:pPr>
    <w:rPr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6C78"/>
    <w:rPr>
      <w:rFonts w:asciiTheme="majorHAnsi" w:eastAsiaTheme="majorEastAsia" w:hAnsiTheme="majorHAnsi" w:cstheme="majorBidi"/>
      <w:bCs/>
      <w:color w:val="1C1C1C" w:themeColor="text2"/>
      <w:kern w:val="28"/>
      <w:sz w:val="40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021B85"/>
    <w:pPr>
      <w:numPr>
        <w:ilvl w:val="1"/>
      </w:numPr>
      <w:spacing w:line="260" w:lineRule="atLeast"/>
      <w:jc w:val="right"/>
    </w:pPr>
    <w:rPr>
      <w:b/>
      <w:iCs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1B85"/>
    <w:rPr>
      <w:rFonts w:asciiTheme="majorHAnsi" w:eastAsiaTheme="majorEastAsia" w:hAnsiTheme="majorHAnsi" w:cstheme="majorBidi"/>
      <w:b/>
      <w:bCs/>
      <w:iCs/>
      <w:color w:val="1C1C1C" w:themeColor="text2"/>
      <w:kern w:val="28"/>
      <w:sz w:val="20"/>
      <w:szCs w:val="24"/>
    </w:rPr>
  </w:style>
  <w:style w:type="paragraph" w:customStyle="1" w:styleId="Bullet1">
    <w:name w:val="Bullet 1"/>
    <w:basedOn w:val="Normal"/>
    <w:qFormat/>
    <w:rsid w:val="00021B85"/>
    <w:pPr>
      <w:numPr>
        <w:numId w:val="24"/>
      </w:numPr>
      <w:spacing w:before="120"/>
    </w:pPr>
  </w:style>
  <w:style w:type="paragraph" w:customStyle="1" w:styleId="Bullet2">
    <w:name w:val="Bullet 2"/>
    <w:basedOn w:val="Bullet1"/>
    <w:qFormat/>
    <w:rsid w:val="00021B85"/>
    <w:pPr>
      <w:numPr>
        <w:ilvl w:val="1"/>
      </w:numPr>
    </w:pPr>
  </w:style>
  <w:style w:type="paragraph" w:customStyle="1" w:styleId="Bullet3">
    <w:name w:val="Bullet 3"/>
    <w:basedOn w:val="Bullet2"/>
    <w:qFormat/>
    <w:rsid w:val="00021B85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39715A"/>
    <w:pPr>
      <w:numPr>
        <w:numId w:val="33"/>
      </w:numPr>
      <w:ind w:left="397" w:hanging="397"/>
    </w:pPr>
  </w:style>
  <w:style w:type="paragraph" w:customStyle="1" w:styleId="NumberedList2">
    <w:name w:val="Numbered List 2"/>
    <w:basedOn w:val="NumberedList1"/>
    <w:qFormat/>
    <w:rsid w:val="0039715A"/>
    <w:pPr>
      <w:numPr>
        <w:ilvl w:val="1"/>
      </w:numPr>
      <w:spacing w:before="120"/>
      <w:ind w:left="681" w:hanging="397"/>
    </w:pPr>
  </w:style>
  <w:style w:type="paragraph" w:customStyle="1" w:styleId="NumberedList3">
    <w:name w:val="Numbered List 3"/>
    <w:basedOn w:val="NumberedList2"/>
    <w:qFormat/>
    <w:rsid w:val="0039715A"/>
    <w:pPr>
      <w:numPr>
        <w:ilvl w:val="2"/>
      </w:numPr>
      <w:ind w:left="964" w:hanging="397"/>
    </w:pPr>
  </w:style>
  <w:style w:type="paragraph" w:customStyle="1" w:styleId="Heading1Numbered">
    <w:name w:val="Heading 1 Numbered"/>
    <w:basedOn w:val="Heading1"/>
    <w:next w:val="Normal"/>
    <w:qFormat/>
    <w:rsid w:val="00021B85"/>
    <w:pPr>
      <w:numPr>
        <w:numId w:val="29"/>
      </w:numPr>
    </w:pPr>
  </w:style>
  <w:style w:type="paragraph" w:customStyle="1" w:styleId="Heading2Numbered">
    <w:name w:val="Heading 2 Numbered"/>
    <w:basedOn w:val="Heading2"/>
    <w:next w:val="Normal"/>
    <w:qFormat/>
    <w:rsid w:val="00021B85"/>
    <w:pPr>
      <w:numPr>
        <w:ilvl w:val="1"/>
        <w:numId w:val="29"/>
      </w:numPr>
    </w:pPr>
    <w:rPr>
      <w:bCs/>
    </w:rPr>
  </w:style>
  <w:style w:type="paragraph" w:customStyle="1" w:styleId="Heading3Numbered">
    <w:name w:val="Heading 3 Numbered"/>
    <w:basedOn w:val="Heading3"/>
    <w:next w:val="Normal"/>
    <w:qFormat/>
    <w:rsid w:val="00021B85"/>
    <w:pPr>
      <w:numPr>
        <w:ilvl w:val="2"/>
        <w:numId w:val="29"/>
      </w:numPr>
    </w:pPr>
    <w:rPr>
      <w:szCs w:val="22"/>
    </w:rPr>
  </w:style>
  <w:style w:type="numbering" w:customStyle="1" w:styleId="BulletsList">
    <w:name w:val="Bullets List"/>
    <w:uiPriority w:val="99"/>
    <w:rsid w:val="00021B85"/>
    <w:pPr>
      <w:numPr>
        <w:numId w:val="1"/>
      </w:numPr>
    </w:pPr>
  </w:style>
  <w:style w:type="numbering" w:customStyle="1" w:styleId="Numberedlist">
    <w:name w:val="Numbered list"/>
    <w:uiPriority w:val="99"/>
    <w:rsid w:val="00021B85"/>
    <w:pPr>
      <w:numPr>
        <w:numId w:val="3"/>
      </w:numPr>
    </w:pPr>
  </w:style>
  <w:style w:type="numbering" w:customStyle="1" w:styleId="HeadingsList">
    <w:name w:val="Headings List"/>
    <w:uiPriority w:val="99"/>
    <w:rsid w:val="00021B85"/>
    <w:pPr>
      <w:numPr>
        <w:numId w:val="5"/>
      </w:numPr>
    </w:pPr>
  </w:style>
  <w:style w:type="table" w:styleId="PlainTable2">
    <w:name w:val="Plain Table 2"/>
    <w:basedOn w:val="TableNormal"/>
    <w:uiPriority w:val="42"/>
    <w:rsid w:val="00021B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21B85"/>
    <w:pPr>
      <w:suppressAutoHyphens w:val="0"/>
      <w:contextualSpacing w:val="0"/>
      <w:outlineLvl w:val="9"/>
    </w:pPr>
    <w:rPr>
      <w:bCs w:val="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21B85"/>
    <w:rPr>
      <w:rFonts w:asciiTheme="majorHAnsi" w:eastAsiaTheme="majorEastAsia" w:hAnsiTheme="majorHAnsi" w:cstheme="majorBidi"/>
      <w:bCs/>
      <w:iCs/>
      <w:color w:val="1C1C1C" w:themeColor="text2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021B85"/>
    <w:pPr>
      <w:tabs>
        <w:tab w:val="left" w:pos="454"/>
        <w:tab w:val="right" w:pos="9072"/>
      </w:tabs>
      <w:spacing w:after="180" w:line="230" w:lineRule="atLeast"/>
    </w:pPr>
    <w:rPr>
      <w:b/>
      <w:sz w:val="23"/>
    </w:rPr>
  </w:style>
  <w:style w:type="paragraph" w:styleId="TOC2">
    <w:name w:val="toc 2"/>
    <w:basedOn w:val="Normal"/>
    <w:next w:val="Normal"/>
    <w:autoRedefine/>
    <w:uiPriority w:val="39"/>
    <w:unhideWhenUsed/>
    <w:rsid w:val="00021B85"/>
    <w:pPr>
      <w:tabs>
        <w:tab w:val="left" w:pos="454"/>
        <w:tab w:val="right" w:pos="9072"/>
      </w:tabs>
      <w:spacing w:after="180" w:line="230" w:lineRule="atLeast"/>
      <w:ind w:left="454" w:hanging="454"/>
    </w:pPr>
  </w:style>
  <w:style w:type="paragraph" w:styleId="TOC3">
    <w:name w:val="toc 3"/>
    <w:basedOn w:val="Normal"/>
    <w:next w:val="Normal"/>
    <w:autoRedefine/>
    <w:uiPriority w:val="39"/>
    <w:unhideWhenUsed/>
    <w:rsid w:val="00021B85"/>
    <w:pPr>
      <w:tabs>
        <w:tab w:val="left" w:pos="1134"/>
        <w:tab w:val="right" w:pos="9072"/>
      </w:tabs>
      <w:spacing w:before="60"/>
      <w:ind w:left="1134" w:hanging="680"/>
    </w:pPr>
  </w:style>
  <w:style w:type="paragraph" w:styleId="Header">
    <w:name w:val="header"/>
    <w:basedOn w:val="Normal"/>
    <w:link w:val="HeaderChar"/>
    <w:uiPriority w:val="99"/>
    <w:unhideWhenUsed/>
    <w:rsid w:val="00021B85"/>
    <w:pPr>
      <w:tabs>
        <w:tab w:val="center" w:pos="4513"/>
        <w:tab w:val="right" w:pos="9026"/>
      </w:tabs>
      <w:spacing w:before="0" w:after="0" w:line="180" w:lineRule="atLeast"/>
      <w:jc w:val="right"/>
    </w:pPr>
    <w:rPr>
      <w:sz w:val="14"/>
    </w:rPr>
  </w:style>
  <w:style w:type="paragraph" w:styleId="TOC4">
    <w:name w:val="toc 4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021B85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021B85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21B85"/>
    <w:pPr>
      <w:pBdr>
        <w:bottom w:val="single" w:sz="4" w:space="6" w:color="BDDCDF" w:themeColor="accent1"/>
      </w:pBdr>
    </w:pPr>
    <w:rPr>
      <w:sz w:val="24"/>
    </w:rPr>
  </w:style>
  <w:style w:type="table" w:styleId="TableGrid">
    <w:name w:val="Table Grid"/>
    <w:basedOn w:val="TableNormal"/>
    <w:uiPriority w:val="59"/>
    <w:rsid w:val="0002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21B85"/>
    <w:rPr>
      <w:sz w:val="14"/>
    </w:rPr>
  </w:style>
  <w:style w:type="numbering" w:customStyle="1" w:styleId="FigureTitles">
    <w:name w:val="Figure Titles"/>
    <w:uiPriority w:val="99"/>
    <w:rsid w:val="00021B85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021B85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021B85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021B85"/>
    <w:rPr>
      <w:b/>
      <w:bCs/>
    </w:rPr>
  </w:style>
  <w:style w:type="character" w:styleId="Emphasis">
    <w:name w:val="Emphasis"/>
    <w:basedOn w:val="DefaultParagraphFont"/>
    <w:uiPriority w:val="20"/>
    <w:qFormat/>
    <w:rsid w:val="00021B85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B85"/>
    <w:rPr>
      <w:rFonts w:asciiTheme="majorHAnsi" w:eastAsiaTheme="majorEastAsia" w:hAnsiTheme="majorHAnsi" w:cstheme="majorBidi"/>
      <w:bCs/>
      <w:i/>
      <w:iCs/>
      <w:color w:val="77B6BD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21B85"/>
    <w:pPr>
      <w:spacing w:before="20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021B85"/>
    <w:pPr>
      <w:tabs>
        <w:tab w:val="center" w:pos="4513"/>
        <w:tab w:val="center" w:pos="8819"/>
        <w:tab w:val="right" w:pos="9026"/>
      </w:tabs>
      <w:spacing w:before="120"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021B85"/>
    <w:rPr>
      <w:sz w:val="1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B85"/>
    <w:rPr>
      <w:rFonts w:asciiTheme="majorHAnsi" w:eastAsiaTheme="majorEastAsia" w:hAnsiTheme="majorHAnsi" w:cstheme="majorBidi"/>
      <w:bCs/>
      <w:i/>
      <w:iCs/>
      <w:color w:val="43838A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B85"/>
    <w:rPr>
      <w:rFonts w:asciiTheme="majorHAnsi" w:eastAsiaTheme="majorEastAsia" w:hAnsiTheme="majorHAnsi" w:cstheme="majorBidi"/>
      <w:bCs/>
      <w:color w:val="43838A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B85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B85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paragraph" w:customStyle="1" w:styleId="Boxed1Text">
    <w:name w:val="Boxed 1 Text"/>
    <w:basedOn w:val="Normal"/>
    <w:qFormat/>
    <w:rsid w:val="00021B85"/>
    <w:pPr>
      <w:pBdr>
        <w:top w:val="single" w:sz="4" w:space="14" w:color="F1F8F8" w:themeColor="accent1" w:themeTint="33"/>
        <w:left w:val="single" w:sz="4" w:space="14" w:color="F1F8F8" w:themeColor="accent1" w:themeTint="33"/>
        <w:bottom w:val="single" w:sz="4" w:space="14" w:color="F1F8F8" w:themeColor="accent1" w:themeTint="33"/>
        <w:right w:val="single" w:sz="4" w:space="14" w:color="F1F8F8" w:themeColor="accent1" w:themeTint="33"/>
      </w:pBdr>
      <w:shd w:val="clear" w:color="auto" w:fill="F1F8F8" w:themeFill="accent1" w:themeFillTint="33"/>
      <w:ind w:left="284" w:right="284"/>
    </w:pPr>
  </w:style>
  <w:style w:type="paragraph" w:customStyle="1" w:styleId="Boxed1Heading">
    <w:name w:val="Boxed 1 Heading"/>
    <w:basedOn w:val="Boxed1Text"/>
    <w:qFormat/>
    <w:rsid w:val="00021B85"/>
    <w:rPr>
      <w:b/>
      <w:sz w:val="24"/>
    </w:rPr>
  </w:style>
  <w:style w:type="paragraph" w:customStyle="1" w:styleId="Boxed2Text">
    <w:name w:val="Boxed 2 Text"/>
    <w:basedOn w:val="Boxed1Text"/>
    <w:qFormat/>
    <w:rsid w:val="00021B85"/>
    <w:pPr>
      <w:pBdr>
        <w:top w:val="single" w:sz="4" w:space="14" w:color="BDDCDF" w:themeColor="accent1"/>
        <w:left w:val="single" w:sz="4" w:space="14" w:color="BDDCDF" w:themeColor="accent1"/>
        <w:bottom w:val="single" w:sz="4" w:space="14" w:color="BDDCDF" w:themeColor="accent1"/>
        <w:right w:val="single" w:sz="4" w:space="14" w:color="BDDCDF" w:themeColor="accent1"/>
      </w:pBdr>
      <w:shd w:val="clear" w:color="auto" w:fill="BDDCDF" w:themeFill="accent1"/>
    </w:pPr>
  </w:style>
  <w:style w:type="paragraph" w:customStyle="1" w:styleId="Boxed2Heading">
    <w:name w:val="Boxed 2 Heading"/>
    <w:basedOn w:val="Boxed2Text"/>
    <w:qFormat/>
    <w:rsid w:val="00021B85"/>
    <w:rPr>
      <w:b/>
      <w:sz w:val="24"/>
    </w:rPr>
  </w:style>
  <w:style w:type="character" w:styleId="PageNumber">
    <w:name w:val="page number"/>
    <w:basedOn w:val="DefaultParagraphFont"/>
    <w:uiPriority w:val="99"/>
    <w:unhideWhenUsed/>
    <w:rsid w:val="00021B85"/>
  </w:style>
  <w:style w:type="table" w:styleId="TableGridLight">
    <w:name w:val="Grid Table Light"/>
    <w:basedOn w:val="TableNormal"/>
    <w:uiPriority w:val="40"/>
    <w:rsid w:val="00021B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inance1">
    <w:name w:val="Finance 1"/>
    <w:basedOn w:val="TableNormal"/>
    <w:uiPriority w:val="99"/>
    <w:rsid w:val="00021B85"/>
    <w:pPr>
      <w:spacing w:before="60" w:after="60" w:line="200" w:lineRule="atLeast"/>
    </w:pPr>
    <w:rPr>
      <w:sz w:val="16"/>
    </w:rPr>
    <w:tblPr>
      <w:tblStyleRowBandSize w:val="1"/>
      <w:tblStyleColBandSize w:val="1"/>
      <w:tblBorders>
        <w:top w:val="single" w:sz="4" w:space="0" w:color="1C1C1C" w:themeColor="text2"/>
        <w:bottom w:val="single" w:sz="4" w:space="0" w:color="1C1C1C" w:themeColor="text2"/>
        <w:insideH w:val="single" w:sz="4" w:space="0" w:color="1C1C1C" w:themeColor="text2"/>
      </w:tblBorders>
      <w:tblCellMar>
        <w:left w:w="85" w:type="dxa"/>
        <w:right w:w="85" w:type="dxa"/>
      </w:tblCellMar>
    </w:tblPr>
    <w:trPr>
      <w:cantSplit/>
    </w:trPr>
    <w:tblStylePr w:type="firstRow">
      <w:rPr>
        <w:b/>
      </w:rPr>
      <w:tblPr/>
      <w:trPr>
        <w:tblHeader/>
      </w:trPr>
      <w:tcPr>
        <w:shd w:val="clear" w:color="auto" w:fill="1C1C1C" w:themeFill="text2"/>
      </w:tcPr>
    </w:tblStylePr>
    <w:tblStylePr w:type="lastRow">
      <w:tblPr/>
      <w:tcPr>
        <w:shd w:val="clear" w:color="auto" w:fill="1C1C1C" w:themeFill="text2"/>
      </w:tcPr>
    </w:tblStylePr>
    <w:tblStylePr w:type="firstCol">
      <w:tblPr/>
      <w:tcPr>
        <w:tcBorders>
          <w:insideH w:val="single" w:sz="4" w:space="0" w:color="FFFFFF" w:themeColor="background1"/>
        </w:tcBorders>
        <w:shd w:val="clear" w:color="auto" w:fill="1C1C1C" w:themeFill="text2"/>
      </w:tcPr>
    </w:tblStylePr>
    <w:tblStylePr w:type="lastCol">
      <w:tblPr/>
      <w:tcPr>
        <w:shd w:val="clear" w:color="auto" w:fill="BFBFBF" w:themeFill="background1" w:themeFillShade="BF"/>
      </w:tcPr>
    </w:tblStylePr>
    <w:tblStylePr w:type="band1Vert">
      <w:tblPr/>
      <w:tcPr>
        <w:shd w:val="clear" w:color="auto" w:fill="E2E3E2" w:themeFill="background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E2E3E2" w:themeFill="background2"/>
      </w:tcPr>
    </w:tblStylePr>
    <w:tblStylePr w:type="band2Horz">
      <w:rPr>
        <w:color w:val="auto"/>
      </w:rPr>
      <w:tblPr/>
      <w:tcPr>
        <w:shd w:val="clear" w:color="auto" w:fill="FFFFFF" w:themeFill="background1"/>
      </w:tcPr>
    </w:tblStylePr>
  </w:style>
  <w:style w:type="paragraph" w:customStyle="1" w:styleId="TableText">
    <w:name w:val="Table Text"/>
    <w:basedOn w:val="Normal"/>
    <w:qFormat/>
    <w:rsid w:val="00021B85"/>
    <w:pPr>
      <w:spacing w:before="60"/>
    </w:pPr>
    <w:rPr>
      <w:sz w:val="18"/>
    </w:rPr>
  </w:style>
  <w:style w:type="paragraph" w:customStyle="1" w:styleId="TableSourceNotes">
    <w:name w:val="Table Source Notes"/>
    <w:basedOn w:val="TableText"/>
    <w:qFormat/>
    <w:rsid w:val="00021B85"/>
    <w:pPr>
      <w:spacing w:before="120" w:line="240" w:lineRule="atLeast"/>
      <w:ind w:left="284" w:hanging="284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21B85"/>
    <w:pPr>
      <w:spacing w:before="0" w:after="0" w:line="200" w:lineRule="atLeast"/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B8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1B85"/>
    <w:rPr>
      <w:vertAlign w:val="superscript"/>
    </w:rPr>
  </w:style>
  <w:style w:type="paragraph" w:customStyle="1" w:styleId="FootnoteSeparator">
    <w:name w:val="Footnote Separator"/>
    <w:basedOn w:val="Normal"/>
    <w:qFormat/>
    <w:rsid w:val="00021B85"/>
    <w:pPr>
      <w:pBdr>
        <w:top w:val="single" w:sz="2" w:space="1" w:color="auto"/>
      </w:pBdr>
      <w:spacing w:before="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21B85"/>
    <w:rPr>
      <w:color w:val="808080"/>
    </w:rPr>
  </w:style>
  <w:style w:type="character" w:customStyle="1" w:styleId="Classification">
    <w:name w:val="Classification"/>
    <w:basedOn w:val="DefaultParagraphFont"/>
    <w:uiPriority w:val="1"/>
    <w:qFormat/>
    <w:rsid w:val="00021B85"/>
    <w:rPr>
      <w:b/>
      <w:caps/>
      <w:smallCaps w:val="0"/>
      <w:sz w:val="24"/>
    </w:rPr>
  </w:style>
  <w:style w:type="paragraph" w:customStyle="1" w:styleId="Firstpagespace">
    <w:name w:val="First page space"/>
    <w:basedOn w:val="Normal"/>
    <w:qFormat/>
    <w:rsid w:val="005A6C78"/>
    <w:pPr>
      <w:spacing w:after="1200"/>
    </w:pPr>
  </w:style>
  <w:style w:type="paragraph" w:styleId="ListParagraph">
    <w:name w:val="List Paragraph"/>
    <w:basedOn w:val="Normal"/>
    <w:uiPriority w:val="34"/>
    <w:qFormat/>
    <w:rsid w:val="00462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inance 1 Blue">
  <a:themeElements>
    <a:clrScheme name="Finance - Blue">
      <a:dk1>
        <a:sysClr val="windowText" lastClr="000000"/>
      </a:dk1>
      <a:lt1>
        <a:sysClr val="window" lastClr="FFFFFF"/>
      </a:lt1>
      <a:dk2>
        <a:srgbClr val="1C1C1C"/>
      </a:dk2>
      <a:lt2>
        <a:srgbClr val="E2E3E2"/>
      </a:lt2>
      <a:accent1>
        <a:srgbClr val="BDDCDF"/>
      </a:accent1>
      <a:accent2>
        <a:srgbClr val="BBBADB"/>
      </a:accent2>
      <a:accent3>
        <a:srgbClr val="E6E4BA"/>
      </a:accent3>
      <a:accent4>
        <a:srgbClr val="D78B83"/>
      </a:accent4>
      <a:accent5>
        <a:srgbClr val="BEBFC0"/>
      </a:accent5>
      <a:accent6>
        <a:srgbClr val="ED7D3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inance 1 Blue" id="{75879E95-76ED-4952-8793-7BDF17E91F97}" vid="{CD9CE17E-63B8-45F8-B600-89410B4EF6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FEBE3-83D1-41A1-8FEB-A6995C86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9ED4B874</Template>
  <TotalTime>0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2019-02-20T03:21:00Z</dcterms:created>
  <dcterms:modified xsi:type="dcterms:W3CDTF">2019-02-22T02:12:00Z</dcterms:modified>
  <cp:contentStatus/>
</cp:coreProperties>
</file>