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5A" w:rsidRDefault="008A2E5A" w:rsidP="008A2E5A">
      <w:pPr>
        <w:pStyle w:val="Department"/>
      </w:pPr>
    </w:p>
    <w:p w:rsidR="008A2E5A" w:rsidRDefault="008A2E5A" w:rsidP="005B4B12">
      <w:pPr>
        <w:pStyle w:val="Title"/>
      </w:pPr>
      <w:bookmarkStart w:id="0" w:name="_Toc386704269"/>
      <w:bookmarkStart w:id="1" w:name="_Toc386704351"/>
      <w:bookmarkStart w:id="2" w:name="_Toc418078235"/>
      <w:bookmarkStart w:id="3" w:name="_Toc418078255"/>
      <w:r>
        <w:t>Australian Electoral Commission</w:t>
      </w:r>
      <w:bookmarkEnd w:id="0"/>
      <w:bookmarkEnd w:id="1"/>
      <w:bookmarkEnd w:id="2"/>
      <w:bookmarkEnd w:id="3"/>
    </w:p>
    <w:p w:rsidR="008A2E5A" w:rsidRDefault="008A2E5A" w:rsidP="008A2E5A">
      <w:pPr>
        <w:pStyle w:val="Department"/>
      </w:pPr>
    </w:p>
    <w:p w:rsidR="008A2E5A" w:rsidRDefault="008A2E5A" w:rsidP="008A2E5A">
      <w:pPr>
        <w:pStyle w:val="Department"/>
      </w:pPr>
    </w:p>
    <w:p w:rsidR="008A2E5A" w:rsidRDefault="008A2E5A" w:rsidP="008A2E5A">
      <w:pPr>
        <w:pStyle w:val="Department"/>
      </w:pPr>
    </w:p>
    <w:p w:rsidR="008A2E5A" w:rsidRDefault="008A2E5A" w:rsidP="008A2E5A">
      <w:pPr>
        <w:pStyle w:val="Department"/>
      </w:pPr>
    </w:p>
    <w:p w:rsidR="00610267" w:rsidRPr="00610267" w:rsidRDefault="008A2E5A" w:rsidP="00610267">
      <w:pPr>
        <w:pStyle w:val="DepartmentSubtitle"/>
        <w:sectPr w:rsidR="00610267" w:rsidRPr="00610267" w:rsidSect="00AA27AA">
          <w:footerReference w:type="even" r:id="rId11"/>
          <w:type w:val="oddPage"/>
          <w:pgSz w:w="11906" w:h="16838" w:code="9"/>
          <w:pgMar w:top="2466" w:right="2098" w:bottom="2466" w:left="2098" w:header="1899" w:footer="1899" w:gutter="0"/>
          <w:cols w:space="708"/>
          <w:titlePg/>
          <w:docGrid w:linePitch="360"/>
        </w:sectPr>
      </w:pPr>
      <w:r>
        <w:t>Entity Resources and Planned Performance</w:t>
      </w:r>
    </w:p>
    <w:p w:rsidR="002E7E5B" w:rsidRDefault="008A2E5A" w:rsidP="008A2E5A">
      <w:pPr>
        <w:pStyle w:val="ContentsHeading"/>
        <w:rPr>
          <w:noProof/>
        </w:rPr>
      </w:pPr>
      <w:r>
        <w:lastRenderedPageBreak/>
        <w:t>Australian Electoral Commission</w:t>
      </w:r>
      <w:r w:rsidR="00DF394A" w:rsidRPr="00DF394A">
        <w:fldChar w:fldCharType="begin"/>
      </w:r>
      <w:r>
        <w:instrText xml:space="preserve"> TOC </w:instrText>
      </w:r>
      <w:r w:rsidR="00437283">
        <w:instrText xml:space="preserve">\b AEC </w:instrText>
      </w:r>
      <w:r>
        <w:instrText xml:space="preserve">\h \z \t "Heading 3,1,Heading 4,2" </w:instrText>
      </w:r>
      <w:r w:rsidR="00DF394A" w:rsidRPr="00DF394A">
        <w:fldChar w:fldCharType="separate"/>
      </w:r>
    </w:p>
    <w:p w:rsidR="002E7E5B" w:rsidRDefault="00DF394A">
      <w:pPr>
        <w:pStyle w:val="TOC1"/>
        <w:rPr>
          <w:rFonts w:asciiTheme="minorHAnsi" w:eastAsiaTheme="minorEastAsia" w:hAnsiTheme="minorHAnsi" w:cstheme="minorBidi"/>
          <w:b w:val="0"/>
          <w:noProof/>
          <w:sz w:val="22"/>
          <w:szCs w:val="22"/>
        </w:rPr>
      </w:pPr>
      <w:hyperlink w:anchor="_Toc418003412" w:history="1">
        <w:r w:rsidR="002E7E5B" w:rsidRPr="00E427B4">
          <w:rPr>
            <w:rStyle w:val="Hyperlink"/>
            <w:noProof/>
          </w:rPr>
          <w:t>Section 1: Entity Overview and Resources</w:t>
        </w:r>
        <w:r w:rsidR="002E7E5B">
          <w:rPr>
            <w:noProof/>
            <w:webHidden/>
          </w:rPr>
          <w:tab/>
        </w:r>
        <w:r>
          <w:rPr>
            <w:noProof/>
            <w:webHidden/>
          </w:rPr>
          <w:fldChar w:fldCharType="begin"/>
        </w:r>
        <w:r w:rsidR="002E7E5B">
          <w:rPr>
            <w:noProof/>
            <w:webHidden/>
          </w:rPr>
          <w:instrText xml:space="preserve"> PAGEREF _Toc418003412 \h </w:instrText>
        </w:r>
        <w:r>
          <w:rPr>
            <w:noProof/>
            <w:webHidden/>
          </w:rPr>
        </w:r>
        <w:r>
          <w:rPr>
            <w:noProof/>
            <w:webHidden/>
          </w:rPr>
          <w:fldChar w:fldCharType="separate"/>
        </w:r>
        <w:r w:rsidR="00276DA6">
          <w:rPr>
            <w:noProof/>
            <w:webHidden/>
          </w:rPr>
          <w:t>87</w:t>
        </w:r>
        <w:r>
          <w:rPr>
            <w:noProof/>
            <w:webHidden/>
          </w:rPr>
          <w:fldChar w:fldCharType="end"/>
        </w:r>
      </w:hyperlink>
    </w:p>
    <w:p w:rsidR="002E7E5B" w:rsidRDefault="00DF394A">
      <w:pPr>
        <w:pStyle w:val="TOC2"/>
        <w:tabs>
          <w:tab w:val="left" w:pos="800"/>
        </w:tabs>
        <w:rPr>
          <w:rFonts w:asciiTheme="minorHAnsi" w:eastAsiaTheme="minorEastAsia" w:hAnsiTheme="minorHAnsi" w:cstheme="minorBidi"/>
          <w:noProof/>
          <w:sz w:val="22"/>
          <w:szCs w:val="22"/>
        </w:rPr>
      </w:pPr>
      <w:hyperlink w:anchor="_Toc418003413" w:history="1">
        <w:r w:rsidR="002E7E5B" w:rsidRPr="00E427B4">
          <w:rPr>
            <w:rStyle w:val="Hyperlink"/>
            <w:noProof/>
          </w:rPr>
          <w:t>1.1</w:t>
        </w:r>
        <w:r w:rsidR="002E7E5B">
          <w:rPr>
            <w:rFonts w:asciiTheme="minorHAnsi" w:eastAsiaTheme="minorEastAsia" w:hAnsiTheme="minorHAnsi" w:cstheme="minorBidi"/>
            <w:noProof/>
            <w:sz w:val="22"/>
            <w:szCs w:val="22"/>
          </w:rPr>
          <w:tab/>
        </w:r>
        <w:r w:rsidR="002E7E5B" w:rsidRPr="00E427B4">
          <w:rPr>
            <w:rStyle w:val="Hyperlink"/>
            <w:noProof/>
          </w:rPr>
          <w:t>Strategic Direction Statement</w:t>
        </w:r>
        <w:r w:rsidR="002E7E5B">
          <w:rPr>
            <w:noProof/>
            <w:webHidden/>
          </w:rPr>
          <w:tab/>
        </w:r>
        <w:r>
          <w:rPr>
            <w:noProof/>
            <w:webHidden/>
          </w:rPr>
          <w:fldChar w:fldCharType="begin"/>
        </w:r>
        <w:r w:rsidR="002E7E5B">
          <w:rPr>
            <w:noProof/>
            <w:webHidden/>
          </w:rPr>
          <w:instrText xml:space="preserve"> PAGEREF _Toc418003413 \h </w:instrText>
        </w:r>
        <w:r>
          <w:rPr>
            <w:noProof/>
            <w:webHidden/>
          </w:rPr>
        </w:r>
        <w:r>
          <w:rPr>
            <w:noProof/>
            <w:webHidden/>
          </w:rPr>
          <w:fldChar w:fldCharType="separate"/>
        </w:r>
        <w:r w:rsidR="00276DA6">
          <w:rPr>
            <w:noProof/>
            <w:webHidden/>
          </w:rPr>
          <w:t>87</w:t>
        </w:r>
        <w:r>
          <w:rPr>
            <w:noProof/>
            <w:webHidden/>
          </w:rPr>
          <w:fldChar w:fldCharType="end"/>
        </w:r>
      </w:hyperlink>
    </w:p>
    <w:p w:rsidR="002E7E5B" w:rsidRDefault="00DF394A">
      <w:pPr>
        <w:pStyle w:val="TOC2"/>
        <w:tabs>
          <w:tab w:val="left" w:pos="800"/>
        </w:tabs>
        <w:rPr>
          <w:rFonts w:asciiTheme="minorHAnsi" w:eastAsiaTheme="minorEastAsia" w:hAnsiTheme="minorHAnsi" w:cstheme="minorBidi"/>
          <w:noProof/>
          <w:sz w:val="22"/>
          <w:szCs w:val="22"/>
        </w:rPr>
      </w:pPr>
      <w:hyperlink w:anchor="_Toc418003414" w:history="1">
        <w:r w:rsidR="002E7E5B" w:rsidRPr="00E427B4">
          <w:rPr>
            <w:rStyle w:val="Hyperlink"/>
            <w:noProof/>
          </w:rPr>
          <w:t>1.2</w:t>
        </w:r>
        <w:r w:rsidR="002E7E5B">
          <w:rPr>
            <w:rFonts w:asciiTheme="minorHAnsi" w:eastAsiaTheme="minorEastAsia" w:hAnsiTheme="minorHAnsi" w:cstheme="minorBidi"/>
            <w:noProof/>
            <w:sz w:val="22"/>
            <w:szCs w:val="22"/>
          </w:rPr>
          <w:tab/>
        </w:r>
        <w:r w:rsidR="002E7E5B" w:rsidRPr="00E427B4">
          <w:rPr>
            <w:rStyle w:val="Hyperlink"/>
            <w:noProof/>
          </w:rPr>
          <w:t>Entity Resource Statement</w:t>
        </w:r>
        <w:r w:rsidR="002E7E5B">
          <w:rPr>
            <w:noProof/>
            <w:webHidden/>
          </w:rPr>
          <w:tab/>
        </w:r>
        <w:r>
          <w:rPr>
            <w:noProof/>
            <w:webHidden/>
          </w:rPr>
          <w:fldChar w:fldCharType="begin"/>
        </w:r>
        <w:r w:rsidR="002E7E5B">
          <w:rPr>
            <w:noProof/>
            <w:webHidden/>
          </w:rPr>
          <w:instrText xml:space="preserve"> PAGEREF _Toc418003414 \h </w:instrText>
        </w:r>
        <w:r>
          <w:rPr>
            <w:noProof/>
            <w:webHidden/>
          </w:rPr>
        </w:r>
        <w:r>
          <w:rPr>
            <w:noProof/>
            <w:webHidden/>
          </w:rPr>
          <w:fldChar w:fldCharType="separate"/>
        </w:r>
        <w:r w:rsidR="00276DA6">
          <w:rPr>
            <w:noProof/>
            <w:webHidden/>
          </w:rPr>
          <w:t>88</w:t>
        </w:r>
        <w:r>
          <w:rPr>
            <w:noProof/>
            <w:webHidden/>
          </w:rPr>
          <w:fldChar w:fldCharType="end"/>
        </w:r>
      </w:hyperlink>
    </w:p>
    <w:p w:rsidR="002E7E5B" w:rsidRDefault="00DF394A">
      <w:pPr>
        <w:pStyle w:val="TOC2"/>
        <w:tabs>
          <w:tab w:val="left" w:pos="800"/>
        </w:tabs>
        <w:rPr>
          <w:rFonts w:asciiTheme="minorHAnsi" w:eastAsiaTheme="minorEastAsia" w:hAnsiTheme="minorHAnsi" w:cstheme="minorBidi"/>
          <w:noProof/>
          <w:sz w:val="22"/>
          <w:szCs w:val="22"/>
        </w:rPr>
      </w:pPr>
      <w:hyperlink w:anchor="_Toc418003415" w:history="1">
        <w:r w:rsidR="002E7E5B" w:rsidRPr="00E427B4">
          <w:rPr>
            <w:rStyle w:val="Hyperlink"/>
            <w:noProof/>
          </w:rPr>
          <w:t>1.3</w:t>
        </w:r>
        <w:r w:rsidR="002E7E5B">
          <w:rPr>
            <w:rFonts w:asciiTheme="minorHAnsi" w:eastAsiaTheme="minorEastAsia" w:hAnsiTheme="minorHAnsi" w:cstheme="minorBidi"/>
            <w:noProof/>
            <w:sz w:val="22"/>
            <w:szCs w:val="22"/>
          </w:rPr>
          <w:tab/>
        </w:r>
        <w:r w:rsidR="002E7E5B" w:rsidRPr="00E427B4">
          <w:rPr>
            <w:rStyle w:val="Hyperlink"/>
            <w:noProof/>
          </w:rPr>
          <w:t>Budget Measures</w:t>
        </w:r>
        <w:r w:rsidR="002E7E5B">
          <w:rPr>
            <w:noProof/>
            <w:webHidden/>
          </w:rPr>
          <w:tab/>
        </w:r>
        <w:r>
          <w:rPr>
            <w:noProof/>
            <w:webHidden/>
          </w:rPr>
          <w:fldChar w:fldCharType="begin"/>
        </w:r>
        <w:r w:rsidR="002E7E5B">
          <w:rPr>
            <w:noProof/>
            <w:webHidden/>
          </w:rPr>
          <w:instrText xml:space="preserve"> PAGEREF _Toc418003415 \h </w:instrText>
        </w:r>
        <w:r>
          <w:rPr>
            <w:noProof/>
            <w:webHidden/>
          </w:rPr>
        </w:r>
        <w:r>
          <w:rPr>
            <w:noProof/>
            <w:webHidden/>
          </w:rPr>
          <w:fldChar w:fldCharType="separate"/>
        </w:r>
        <w:r w:rsidR="00276DA6">
          <w:rPr>
            <w:noProof/>
            <w:webHidden/>
          </w:rPr>
          <w:t>89</w:t>
        </w:r>
        <w:r>
          <w:rPr>
            <w:noProof/>
            <w:webHidden/>
          </w:rPr>
          <w:fldChar w:fldCharType="end"/>
        </w:r>
      </w:hyperlink>
    </w:p>
    <w:p w:rsidR="002E7E5B" w:rsidRDefault="00DF394A">
      <w:pPr>
        <w:pStyle w:val="TOC1"/>
        <w:rPr>
          <w:rFonts w:asciiTheme="minorHAnsi" w:eastAsiaTheme="minorEastAsia" w:hAnsiTheme="minorHAnsi" w:cstheme="minorBidi"/>
          <w:b w:val="0"/>
          <w:noProof/>
          <w:sz w:val="22"/>
          <w:szCs w:val="22"/>
        </w:rPr>
      </w:pPr>
      <w:hyperlink w:anchor="_Toc418003416" w:history="1">
        <w:r w:rsidR="002E7E5B" w:rsidRPr="00E427B4">
          <w:rPr>
            <w:rStyle w:val="Hyperlink"/>
            <w:noProof/>
          </w:rPr>
          <w:t>Section 2: Outcomes and Planned Performance</w:t>
        </w:r>
        <w:r w:rsidR="002E7E5B">
          <w:rPr>
            <w:noProof/>
            <w:webHidden/>
          </w:rPr>
          <w:tab/>
        </w:r>
        <w:r>
          <w:rPr>
            <w:noProof/>
            <w:webHidden/>
          </w:rPr>
          <w:fldChar w:fldCharType="begin"/>
        </w:r>
        <w:r w:rsidR="002E7E5B">
          <w:rPr>
            <w:noProof/>
            <w:webHidden/>
          </w:rPr>
          <w:instrText xml:space="preserve"> PAGEREF _Toc418003416 \h </w:instrText>
        </w:r>
        <w:r>
          <w:rPr>
            <w:noProof/>
            <w:webHidden/>
          </w:rPr>
        </w:r>
        <w:r>
          <w:rPr>
            <w:noProof/>
            <w:webHidden/>
          </w:rPr>
          <w:fldChar w:fldCharType="separate"/>
        </w:r>
        <w:r w:rsidR="00276DA6">
          <w:rPr>
            <w:noProof/>
            <w:webHidden/>
          </w:rPr>
          <w:t>90</w:t>
        </w:r>
        <w:r>
          <w:rPr>
            <w:noProof/>
            <w:webHidden/>
          </w:rPr>
          <w:fldChar w:fldCharType="end"/>
        </w:r>
      </w:hyperlink>
    </w:p>
    <w:p w:rsidR="002E7E5B" w:rsidRDefault="00DF394A">
      <w:pPr>
        <w:pStyle w:val="TOC2"/>
        <w:tabs>
          <w:tab w:val="left" w:pos="800"/>
        </w:tabs>
        <w:rPr>
          <w:rFonts w:asciiTheme="minorHAnsi" w:eastAsiaTheme="minorEastAsia" w:hAnsiTheme="minorHAnsi" w:cstheme="minorBidi"/>
          <w:noProof/>
          <w:sz w:val="22"/>
          <w:szCs w:val="22"/>
        </w:rPr>
      </w:pPr>
      <w:hyperlink w:anchor="_Toc418003417" w:history="1">
        <w:r w:rsidR="002E7E5B" w:rsidRPr="00E427B4">
          <w:rPr>
            <w:rStyle w:val="Hyperlink"/>
            <w:noProof/>
          </w:rPr>
          <w:t>2.1</w:t>
        </w:r>
        <w:r w:rsidR="002E7E5B">
          <w:rPr>
            <w:rFonts w:asciiTheme="minorHAnsi" w:eastAsiaTheme="minorEastAsia" w:hAnsiTheme="minorHAnsi" w:cstheme="minorBidi"/>
            <w:noProof/>
            <w:sz w:val="22"/>
            <w:szCs w:val="22"/>
          </w:rPr>
          <w:tab/>
        </w:r>
        <w:r w:rsidR="002E7E5B" w:rsidRPr="00E427B4">
          <w:rPr>
            <w:rStyle w:val="Hyperlink"/>
            <w:noProof/>
          </w:rPr>
          <w:t>Outcomes and Performance Information</w:t>
        </w:r>
        <w:r w:rsidR="002E7E5B">
          <w:rPr>
            <w:noProof/>
            <w:webHidden/>
          </w:rPr>
          <w:tab/>
        </w:r>
        <w:r>
          <w:rPr>
            <w:noProof/>
            <w:webHidden/>
          </w:rPr>
          <w:fldChar w:fldCharType="begin"/>
        </w:r>
        <w:r w:rsidR="002E7E5B">
          <w:rPr>
            <w:noProof/>
            <w:webHidden/>
          </w:rPr>
          <w:instrText xml:space="preserve"> PAGEREF _Toc418003417 \h </w:instrText>
        </w:r>
        <w:r>
          <w:rPr>
            <w:noProof/>
            <w:webHidden/>
          </w:rPr>
        </w:r>
        <w:r>
          <w:rPr>
            <w:noProof/>
            <w:webHidden/>
          </w:rPr>
          <w:fldChar w:fldCharType="separate"/>
        </w:r>
        <w:r w:rsidR="00276DA6">
          <w:rPr>
            <w:noProof/>
            <w:webHidden/>
          </w:rPr>
          <w:t>90</w:t>
        </w:r>
        <w:r>
          <w:rPr>
            <w:noProof/>
            <w:webHidden/>
          </w:rPr>
          <w:fldChar w:fldCharType="end"/>
        </w:r>
      </w:hyperlink>
    </w:p>
    <w:p w:rsidR="002E7E5B" w:rsidRDefault="00DF394A">
      <w:pPr>
        <w:pStyle w:val="TOC1"/>
        <w:rPr>
          <w:rFonts w:asciiTheme="minorHAnsi" w:eastAsiaTheme="minorEastAsia" w:hAnsiTheme="minorHAnsi" w:cstheme="minorBidi"/>
          <w:b w:val="0"/>
          <w:noProof/>
          <w:sz w:val="22"/>
          <w:szCs w:val="22"/>
        </w:rPr>
      </w:pPr>
      <w:hyperlink w:anchor="_Toc418003418" w:history="1">
        <w:r w:rsidR="002E7E5B" w:rsidRPr="00E427B4">
          <w:rPr>
            <w:rStyle w:val="Hyperlink"/>
            <w:noProof/>
          </w:rPr>
          <w:t>Section 3: Explanatory Tables and Budgeted Financial Statements</w:t>
        </w:r>
        <w:r w:rsidR="002E7E5B">
          <w:rPr>
            <w:noProof/>
            <w:webHidden/>
          </w:rPr>
          <w:tab/>
        </w:r>
        <w:r>
          <w:rPr>
            <w:noProof/>
            <w:webHidden/>
          </w:rPr>
          <w:fldChar w:fldCharType="begin"/>
        </w:r>
        <w:r w:rsidR="002E7E5B">
          <w:rPr>
            <w:noProof/>
            <w:webHidden/>
          </w:rPr>
          <w:instrText xml:space="preserve"> PAGEREF _Toc418003418 \h </w:instrText>
        </w:r>
        <w:r>
          <w:rPr>
            <w:noProof/>
            <w:webHidden/>
          </w:rPr>
        </w:r>
        <w:r>
          <w:rPr>
            <w:noProof/>
            <w:webHidden/>
          </w:rPr>
          <w:fldChar w:fldCharType="separate"/>
        </w:r>
        <w:r w:rsidR="00276DA6">
          <w:rPr>
            <w:noProof/>
            <w:webHidden/>
          </w:rPr>
          <w:t>95</w:t>
        </w:r>
        <w:r>
          <w:rPr>
            <w:noProof/>
            <w:webHidden/>
          </w:rPr>
          <w:fldChar w:fldCharType="end"/>
        </w:r>
      </w:hyperlink>
    </w:p>
    <w:p w:rsidR="002E7E5B" w:rsidRDefault="00DF394A">
      <w:pPr>
        <w:pStyle w:val="TOC2"/>
        <w:tabs>
          <w:tab w:val="left" w:pos="800"/>
        </w:tabs>
        <w:rPr>
          <w:rFonts w:asciiTheme="minorHAnsi" w:eastAsiaTheme="minorEastAsia" w:hAnsiTheme="minorHAnsi" w:cstheme="minorBidi"/>
          <w:noProof/>
          <w:sz w:val="22"/>
          <w:szCs w:val="22"/>
        </w:rPr>
      </w:pPr>
      <w:hyperlink w:anchor="_Toc418003419" w:history="1">
        <w:r w:rsidR="002E7E5B" w:rsidRPr="00E427B4">
          <w:rPr>
            <w:rStyle w:val="Hyperlink"/>
            <w:noProof/>
          </w:rPr>
          <w:t>3.1</w:t>
        </w:r>
        <w:r w:rsidR="002E7E5B">
          <w:rPr>
            <w:rFonts w:asciiTheme="minorHAnsi" w:eastAsiaTheme="minorEastAsia" w:hAnsiTheme="minorHAnsi" w:cstheme="minorBidi"/>
            <w:noProof/>
            <w:sz w:val="22"/>
            <w:szCs w:val="22"/>
          </w:rPr>
          <w:tab/>
        </w:r>
        <w:r w:rsidR="002E7E5B" w:rsidRPr="00E427B4">
          <w:rPr>
            <w:rStyle w:val="Hyperlink"/>
            <w:noProof/>
          </w:rPr>
          <w:t>Explanatory Tables</w:t>
        </w:r>
        <w:r w:rsidR="002E7E5B">
          <w:rPr>
            <w:noProof/>
            <w:webHidden/>
          </w:rPr>
          <w:tab/>
        </w:r>
        <w:r>
          <w:rPr>
            <w:noProof/>
            <w:webHidden/>
          </w:rPr>
          <w:fldChar w:fldCharType="begin"/>
        </w:r>
        <w:r w:rsidR="002E7E5B">
          <w:rPr>
            <w:noProof/>
            <w:webHidden/>
          </w:rPr>
          <w:instrText xml:space="preserve"> PAGEREF _Toc418003419 \h </w:instrText>
        </w:r>
        <w:r>
          <w:rPr>
            <w:noProof/>
            <w:webHidden/>
          </w:rPr>
        </w:r>
        <w:r>
          <w:rPr>
            <w:noProof/>
            <w:webHidden/>
          </w:rPr>
          <w:fldChar w:fldCharType="separate"/>
        </w:r>
        <w:r w:rsidR="00276DA6">
          <w:rPr>
            <w:noProof/>
            <w:webHidden/>
          </w:rPr>
          <w:t>95</w:t>
        </w:r>
        <w:r>
          <w:rPr>
            <w:noProof/>
            <w:webHidden/>
          </w:rPr>
          <w:fldChar w:fldCharType="end"/>
        </w:r>
      </w:hyperlink>
    </w:p>
    <w:p w:rsidR="002E7E5B" w:rsidRDefault="00DF394A">
      <w:pPr>
        <w:pStyle w:val="TOC2"/>
        <w:tabs>
          <w:tab w:val="left" w:pos="800"/>
        </w:tabs>
        <w:rPr>
          <w:rFonts w:asciiTheme="minorHAnsi" w:eastAsiaTheme="minorEastAsia" w:hAnsiTheme="minorHAnsi" w:cstheme="minorBidi"/>
          <w:noProof/>
          <w:sz w:val="22"/>
          <w:szCs w:val="22"/>
        </w:rPr>
      </w:pPr>
      <w:hyperlink w:anchor="_Toc418003420" w:history="1">
        <w:r w:rsidR="002E7E5B" w:rsidRPr="00E427B4">
          <w:rPr>
            <w:rStyle w:val="Hyperlink"/>
            <w:noProof/>
          </w:rPr>
          <w:t>3.2</w:t>
        </w:r>
        <w:r w:rsidR="002E7E5B">
          <w:rPr>
            <w:rFonts w:asciiTheme="minorHAnsi" w:eastAsiaTheme="minorEastAsia" w:hAnsiTheme="minorHAnsi" w:cstheme="minorBidi"/>
            <w:noProof/>
            <w:sz w:val="22"/>
            <w:szCs w:val="22"/>
          </w:rPr>
          <w:tab/>
        </w:r>
        <w:r w:rsidR="002E7E5B" w:rsidRPr="00E427B4">
          <w:rPr>
            <w:rStyle w:val="Hyperlink"/>
            <w:noProof/>
          </w:rPr>
          <w:t>Budgeted Financial Statements</w:t>
        </w:r>
        <w:r w:rsidR="002E7E5B">
          <w:rPr>
            <w:noProof/>
            <w:webHidden/>
          </w:rPr>
          <w:tab/>
        </w:r>
        <w:r>
          <w:rPr>
            <w:noProof/>
            <w:webHidden/>
          </w:rPr>
          <w:fldChar w:fldCharType="begin"/>
        </w:r>
        <w:r w:rsidR="002E7E5B">
          <w:rPr>
            <w:noProof/>
            <w:webHidden/>
          </w:rPr>
          <w:instrText xml:space="preserve"> PAGEREF _Toc418003420 \h </w:instrText>
        </w:r>
        <w:r>
          <w:rPr>
            <w:noProof/>
            <w:webHidden/>
          </w:rPr>
        </w:r>
        <w:r>
          <w:rPr>
            <w:noProof/>
            <w:webHidden/>
          </w:rPr>
          <w:fldChar w:fldCharType="separate"/>
        </w:r>
        <w:r w:rsidR="00276DA6">
          <w:rPr>
            <w:noProof/>
            <w:webHidden/>
          </w:rPr>
          <w:t>96</w:t>
        </w:r>
        <w:r>
          <w:rPr>
            <w:noProof/>
            <w:webHidden/>
          </w:rPr>
          <w:fldChar w:fldCharType="end"/>
        </w:r>
      </w:hyperlink>
    </w:p>
    <w:p w:rsidR="008A2E5A" w:rsidRDefault="00DF394A" w:rsidP="008A2E5A">
      <w:r>
        <w:fldChar w:fldCharType="end"/>
      </w:r>
    </w:p>
    <w:p w:rsidR="008A2E5A" w:rsidRDefault="008A2E5A" w:rsidP="008A2E5A">
      <w:pPr>
        <w:sectPr w:rsidR="008A2E5A" w:rsidSect="008A0701">
          <w:footerReference w:type="first" r:id="rId12"/>
          <w:type w:val="oddPage"/>
          <w:pgSz w:w="11906" w:h="16838" w:code="9"/>
          <w:pgMar w:top="2466" w:right="2098" w:bottom="2466" w:left="2098" w:header="1899" w:footer="1899" w:gutter="0"/>
          <w:pgNumType w:start="85"/>
          <w:cols w:space="708"/>
          <w:titlePg/>
          <w:docGrid w:linePitch="360"/>
        </w:sectPr>
      </w:pPr>
    </w:p>
    <w:p w:rsidR="008A2E5A" w:rsidRPr="00BF1232" w:rsidRDefault="008A2E5A" w:rsidP="008A2E5A">
      <w:pPr>
        <w:pStyle w:val="Heading2"/>
      </w:pPr>
      <w:bookmarkStart w:id="4" w:name="_Toc386026887"/>
      <w:bookmarkStart w:id="5" w:name="_Toc386027135"/>
      <w:bookmarkStart w:id="6" w:name="_Toc417373591"/>
      <w:bookmarkStart w:id="7" w:name="_Toc417895937"/>
      <w:bookmarkStart w:id="8" w:name="AEC"/>
      <w:r w:rsidRPr="00BF1232">
        <w:lastRenderedPageBreak/>
        <w:t>Australian Electoral Commission</w:t>
      </w:r>
      <w:bookmarkEnd w:id="4"/>
      <w:bookmarkEnd w:id="5"/>
      <w:bookmarkEnd w:id="6"/>
      <w:bookmarkEnd w:id="7"/>
    </w:p>
    <w:p w:rsidR="008A2E5A" w:rsidRPr="00BF1232" w:rsidRDefault="008A2E5A" w:rsidP="008A2E5A">
      <w:pPr>
        <w:pStyle w:val="Heading3"/>
      </w:pPr>
      <w:bookmarkStart w:id="9" w:name="_Toc386027220"/>
      <w:bookmarkStart w:id="10" w:name="_Toc386029808"/>
      <w:bookmarkStart w:id="11" w:name="_Toc386029946"/>
      <w:bookmarkStart w:id="12" w:name="_Toc386030265"/>
      <w:bookmarkStart w:id="13" w:name="_Toc418003412"/>
      <w:r w:rsidRPr="00BF1232">
        <w:t xml:space="preserve">Section 1: </w:t>
      </w:r>
      <w:r>
        <w:t>Entity</w:t>
      </w:r>
      <w:r w:rsidRPr="00BF1232">
        <w:t xml:space="preserve"> Overview and Resources</w:t>
      </w:r>
      <w:bookmarkEnd w:id="9"/>
      <w:bookmarkEnd w:id="10"/>
      <w:bookmarkEnd w:id="11"/>
      <w:bookmarkEnd w:id="12"/>
      <w:bookmarkEnd w:id="13"/>
    </w:p>
    <w:p w:rsidR="008A2E5A" w:rsidRPr="00144CDB" w:rsidRDefault="008A2E5A" w:rsidP="008A2E5A">
      <w:pPr>
        <w:pStyle w:val="Heading4"/>
      </w:pPr>
      <w:bookmarkStart w:id="14" w:name="_Toc386027221"/>
      <w:bookmarkStart w:id="15" w:name="_Toc386029809"/>
      <w:bookmarkStart w:id="16" w:name="_Toc386029947"/>
      <w:bookmarkStart w:id="17" w:name="_Toc386030266"/>
      <w:bookmarkStart w:id="18" w:name="_Toc418003413"/>
      <w:r w:rsidRPr="00144CDB">
        <w:t>1.1</w:t>
      </w:r>
      <w:r w:rsidRPr="00144CDB">
        <w:tab/>
        <w:t>Strategic Direction Statement</w:t>
      </w:r>
      <w:bookmarkEnd w:id="14"/>
      <w:bookmarkEnd w:id="15"/>
      <w:bookmarkEnd w:id="16"/>
      <w:bookmarkEnd w:id="17"/>
      <w:bookmarkEnd w:id="18"/>
    </w:p>
    <w:p w:rsidR="008A2E5A" w:rsidRPr="0077138F" w:rsidRDefault="008A2E5A" w:rsidP="008A2E5A">
      <w:pPr>
        <w:rPr>
          <w:rFonts w:cs="Arial"/>
        </w:rPr>
      </w:pPr>
      <w:r w:rsidRPr="0077138F">
        <w:rPr>
          <w:rFonts w:cs="Arial"/>
        </w:rPr>
        <w:t xml:space="preserve">The Australian Electoral Commission (AEC) administers the </w:t>
      </w:r>
      <w:r w:rsidRPr="0077138F">
        <w:rPr>
          <w:rFonts w:cs="Arial"/>
          <w:i/>
        </w:rPr>
        <w:t>Commonwealth Electoral Act 1918</w:t>
      </w:r>
      <w:r w:rsidRPr="0077138F">
        <w:rPr>
          <w:rFonts w:cs="Arial"/>
        </w:rPr>
        <w:t xml:space="preserve"> (the </w:t>
      </w:r>
      <w:r>
        <w:rPr>
          <w:rFonts w:cs="Arial"/>
        </w:rPr>
        <w:t xml:space="preserve">Electoral </w:t>
      </w:r>
      <w:r w:rsidRPr="0077138F">
        <w:rPr>
          <w:rFonts w:cs="Arial"/>
        </w:rPr>
        <w:t xml:space="preserve">Act), making it responsible for conducting federal elections and referendums, maintaining the Commonwealth electoral roll and administering </w:t>
      </w:r>
      <w:r w:rsidRPr="001A4F7C">
        <w:rPr>
          <w:rFonts w:cs="Arial"/>
        </w:rPr>
        <w:t>Part XX</w:t>
      </w:r>
      <w:r w:rsidRPr="0077138F">
        <w:rPr>
          <w:rFonts w:cs="Arial"/>
        </w:rPr>
        <w:t xml:space="preserve"> of the Act dealing with political funding and disclosure. The AEC must also provide a range of electoral information and education programmes both done in Australia and in support of Australian international interests.  </w:t>
      </w:r>
    </w:p>
    <w:p w:rsidR="008A2E5A" w:rsidRPr="0077138F" w:rsidRDefault="008A2E5A" w:rsidP="008A2E5A">
      <w:pPr>
        <w:rPr>
          <w:rFonts w:cs="Arial"/>
        </w:rPr>
      </w:pPr>
      <w:r w:rsidRPr="0077138F">
        <w:rPr>
          <w:rFonts w:cs="Arial"/>
        </w:rPr>
        <w:t>The AEC’s actions impact on the Australian community as stated in its outcome:</w:t>
      </w:r>
    </w:p>
    <w:p w:rsidR="008A2E5A" w:rsidRPr="0077138F" w:rsidRDefault="00436F7B" w:rsidP="008A2E5A">
      <w:pPr>
        <w:rPr>
          <w:rFonts w:cs="Arial"/>
        </w:rPr>
      </w:pPr>
      <w:r w:rsidRPr="00436F7B">
        <w:rPr>
          <w:rFonts w:cs="Arial"/>
          <w:i/>
        </w:rPr>
        <w:t>Maintain an impartial and independent electoral system for eligible voters through active electoral roll management, efficient delivery of polling services, and targeted education and public awareness programs</w:t>
      </w:r>
      <w:r w:rsidR="008A2E5A" w:rsidRPr="0077138F">
        <w:rPr>
          <w:rFonts w:cs="Arial"/>
        </w:rPr>
        <w:t>.</w:t>
      </w:r>
    </w:p>
    <w:p w:rsidR="008A2E5A" w:rsidRPr="00220157" w:rsidRDefault="008A2E5A" w:rsidP="008A2E5A">
      <w:pPr>
        <w:spacing w:after="0"/>
        <w:rPr>
          <w:rFonts w:cs="Arial"/>
        </w:rPr>
      </w:pPr>
      <w:r w:rsidRPr="0077138F">
        <w:rPr>
          <w:rFonts w:cs="Arial"/>
        </w:rPr>
        <w:t xml:space="preserve">During 2015-16 the AEC will continue to implement a range of reforms, supported by a new election planning framework, to ensure the success of the next </w:t>
      </w:r>
      <w:r w:rsidR="00282943">
        <w:rPr>
          <w:rFonts w:cs="Arial"/>
        </w:rPr>
        <w:t>f</w:t>
      </w:r>
      <w:r w:rsidRPr="0077138F">
        <w:rPr>
          <w:rFonts w:cs="Arial"/>
        </w:rPr>
        <w:t xml:space="preserve">ederal </w:t>
      </w:r>
      <w:r w:rsidR="00282943">
        <w:rPr>
          <w:rFonts w:cs="Arial"/>
        </w:rPr>
        <w:t>e</w:t>
      </w:r>
      <w:r w:rsidRPr="0077138F">
        <w:rPr>
          <w:rFonts w:cs="Arial"/>
        </w:rPr>
        <w:t>lection, due in the 2016-17 financial year.</w:t>
      </w:r>
      <w:r>
        <w:rPr>
          <w:rFonts w:cs="Arial"/>
        </w:rPr>
        <w:t xml:space="preserve"> </w:t>
      </w:r>
    </w:p>
    <w:p w:rsidR="008A2E5A" w:rsidRPr="0086444C" w:rsidRDefault="008A2E5A" w:rsidP="008A2E5A">
      <w:pPr>
        <w:pStyle w:val="Exampletext"/>
        <w:rPr>
          <w:color w:val="auto"/>
        </w:rPr>
      </w:pPr>
    </w:p>
    <w:p w:rsidR="008A2E5A" w:rsidRPr="00144CDB" w:rsidRDefault="008A2E5A" w:rsidP="008A2E5A">
      <w:pPr>
        <w:pStyle w:val="Heading4"/>
      </w:pPr>
      <w:r w:rsidRPr="00144CDB">
        <w:br w:type="page"/>
      </w:r>
      <w:bookmarkStart w:id="19" w:name="_Toc386027222"/>
      <w:bookmarkStart w:id="20" w:name="_Toc386029810"/>
      <w:bookmarkStart w:id="21" w:name="_Toc386029948"/>
      <w:bookmarkStart w:id="22" w:name="_Toc386030267"/>
      <w:bookmarkStart w:id="23" w:name="_Toc418003414"/>
      <w:r w:rsidRPr="00144CDB">
        <w:lastRenderedPageBreak/>
        <w:t>1.2</w:t>
      </w:r>
      <w:r w:rsidRPr="00144CDB">
        <w:tab/>
      </w:r>
      <w:r>
        <w:t>Entity</w:t>
      </w:r>
      <w:r w:rsidRPr="00144CDB">
        <w:t xml:space="preserve"> Resource Statement</w:t>
      </w:r>
      <w:bookmarkEnd w:id="19"/>
      <w:bookmarkEnd w:id="20"/>
      <w:bookmarkEnd w:id="21"/>
      <w:bookmarkEnd w:id="22"/>
      <w:bookmarkEnd w:id="23"/>
    </w:p>
    <w:p w:rsidR="008A2E5A" w:rsidRDefault="008A2E5A" w:rsidP="008A2E5A">
      <w:r>
        <w:t>Table 1.1 shows the total resources from all sources. The table summarises how resources will be applied by outcome and by administered and departmental classification.</w:t>
      </w:r>
    </w:p>
    <w:p w:rsidR="008A2E5A" w:rsidRDefault="008A2E5A" w:rsidP="00E453F8">
      <w:pPr>
        <w:pStyle w:val="Heading5"/>
      </w:pPr>
      <w:r w:rsidRPr="009D0364">
        <w:t xml:space="preserve">Table 1.1: Australian Electoral Commission Resource Statement Budget Estimates for </w:t>
      </w:r>
      <w:r>
        <w:t>2015-16 as at Budget May 2015</w:t>
      </w:r>
    </w:p>
    <w:tbl>
      <w:tblPr>
        <w:tblW w:w="8132" w:type="dxa"/>
        <w:tblInd w:w="93" w:type="dxa"/>
        <w:tblLook w:val="04A0"/>
      </w:tblPr>
      <w:tblGrid>
        <w:gridCol w:w="3360"/>
        <w:gridCol w:w="332"/>
        <w:gridCol w:w="1150"/>
        <w:gridCol w:w="261"/>
        <w:gridCol w:w="1100"/>
        <w:gridCol w:w="275"/>
        <w:gridCol w:w="901"/>
        <w:gridCol w:w="275"/>
        <w:gridCol w:w="980"/>
      </w:tblGrid>
      <w:tr w:rsidR="00EE455E" w:rsidRPr="00EE455E" w:rsidTr="00EE455E">
        <w:trPr>
          <w:trHeight w:val="225"/>
        </w:trPr>
        <w:tc>
          <w:tcPr>
            <w:tcW w:w="336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c>
          <w:tcPr>
            <w:tcW w:w="192"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r w:rsidRPr="00EE455E">
              <w:rPr>
                <w:rFonts w:ascii="Arial" w:hAnsi="Arial" w:cs="Arial"/>
                <w:sz w:val="16"/>
                <w:szCs w:val="16"/>
              </w:rPr>
              <w:t> </w:t>
            </w:r>
          </w:p>
        </w:tc>
        <w:tc>
          <w:tcPr>
            <w:tcW w:w="112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Actual</w:t>
            </w:r>
          </w:p>
        </w:tc>
        <w:tc>
          <w:tcPr>
            <w:tcW w:w="16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c>
          <w:tcPr>
            <w:tcW w:w="110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c>
          <w:tcPr>
            <w:tcW w:w="16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c>
          <w:tcPr>
            <w:tcW w:w="90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Proposed</w:t>
            </w:r>
          </w:p>
        </w:tc>
        <w:tc>
          <w:tcPr>
            <w:tcW w:w="16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vertAlign w:val="superscript"/>
              </w:rPr>
              <w:t> </w:t>
            </w:r>
          </w:p>
        </w:tc>
        <w:tc>
          <w:tcPr>
            <w:tcW w:w="980" w:type="dxa"/>
            <w:tcBorders>
              <w:top w:val="single" w:sz="4" w:space="0" w:color="000000"/>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Total</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available</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of prior</w:t>
            </w:r>
          </w:p>
        </w:tc>
        <w:tc>
          <w:tcPr>
            <w:tcW w:w="160" w:type="dxa"/>
            <w:tcBorders>
              <w:top w:val="nil"/>
              <w:left w:val="nil"/>
              <w:bottom w:val="nil"/>
              <w:right w:val="nil"/>
            </w:tcBorders>
            <w:shd w:val="clear" w:color="auto" w:fill="auto"/>
            <w:vAlign w:val="center"/>
            <w:hideMark/>
          </w:tcPr>
          <w:p w:rsidR="00EE455E" w:rsidRPr="00EE455E" w:rsidRDefault="00EE455E" w:rsidP="00EE455E">
            <w:pPr>
              <w:spacing w:after="0" w:line="240" w:lineRule="auto"/>
              <w:jc w:val="center"/>
              <w:rPr>
                <w:rFonts w:ascii="Arial" w:hAnsi="Arial" w:cs="Arial"/>
                <w:sz w:val="16"/>
                <w:szCs w:val="16"/>
              </w:rPr>
            </w:pPr>
            <w:r w:rsidRPr="00EE455E">
              <w:rPr>
                <w:rFonts w:ascii="Arial" w:hAnsi="Arial" w:cs="Arial"/>
                <w:sz w:val="16"/>
                <w:szCs w:val="16"/>
                <w:vertAlign w:val="superscript"/>
              </w:rPr>
              <w:t>+</w:t>
            </w: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at Budget</w:t>
            </w:r>
          </w:p>
        </w:tc>
        <w:tc>
          <w:tcPr>
            <w:tcW w:w="1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center"/>
              <w:rPr>
                <w:rFonts w:ascii="Arial" w:hAnsi="Arial" w:cs="Arial"/>
                <w:sz w:val="16"/>
                <w:szCs w:val="16"/>
              </w:rPr>
            </w:pPr>
            <w:r w:rsidRPr="00EE455E">
              <w:rPr>
                <w:rFonts w:ascii="Arial" w:hAnsi="Arial" w:cs="Arial"/>
                <w:sz w:val="16"/>
                <w:szCs w:val="16"/>
                <w:vertAlign w:val="superscript"/>
              </w:rPr>
              <w:t>=</w:t>
            </w: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appropriation</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year amounts</w:t>
            </w:r>
          </w:p>
        </w:tc>
        <w:tc>
          <w:tcPr>
            <w:tcW w:w="16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xml:space="preserve"> available in</w:t>
            </w:r>
          </w:p>
        </w:tc>
        <w:tc>
          <w:tcPr>
            <w:tcW w:w="16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2014-15</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c>
          <w:tcPr>
            <w:tcW w:w="16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single" w:sz="4" w:space="0" w:color="000000"/>
              <w:right w:val="nil"/>
            </w:tcBorders>
            <w:shd w:val="clear" w:color="auto" w:fill="auto"/>
            <w:noWrap/>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160" w:type="dxa"/>
            <w:tcBorders>
              <w:top w:val="nil"/>
              <w:left w:val="nil"/>
              <w:bottom w:val="nil"/>
              <w:right w:val="nil"/>
            </w:tcBorders>
            <w:shd w:val="clear" w:color="auto" w:fill="auto"/>
            <w:noWrap/>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single" w:sz="4" w:space="0" w:color="000000"/>
              <w:right w:val="nil"/>
            </w:tcBorders>
            <w:shd w:val="clear" w:color="auto" w:fill="auto"/>
            <w:noWrap/>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16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p>
        </w:tc>
        <w:tc>
          <w:tcPr>
            <w:tcW w:w="900" w:type="dxa"/>
            <w:tcBorders>
              <w:top w:val="nil"/>
              <w:left w:val="nil"/>
              <w:bottom w:val="single" w:sz="4" w:space="0" w:color="000000"/>
              <w:right w:val="nil"/>
            </w:tcBorders>
            <w:shd w:val="clear" w:color="auto" w:fill="auto"/>
            <w:noWrap/>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980" w:type="dxa"/>
            <w:tcBorders>
              <w:top w:val="nil"/>
              <w:left w:val="nil"/>
              <w:bottom w:val="single" w:sz="4" w:space="0" w:color="000000"/>
              <w:right w:val="nil"/>
            </w:tcBorders>
            <w:shd w:val="clear" w:color="000000" w:fill="E6E6E6"/>
            <w:noWrap/>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r>
      <w:tr w:rsidR="00EE455E" w:rsidRPr="00EE455E" w:rsidTr="00EE455E">
        <w:trPr>
          <w:trHeight w:val="24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Ordinary annual services</w:t>
            </w:r>
            <w:r w:rsidRPr="00EE455E">
              <w:rPr>
                <w:rFonts w:ascii="Arial" w:hAnsi="Arial" w:cs="Arial"/>
                <w:b/>
                <w:bCs/>
                <w:sz w:val="16"/>
                <w:szCs w:val="16"/>
                <w:vertAlign w:val="superscript"/>
              </w:rPr>
              <w:t xml:space="preserve"> 1</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Departmental appropriation</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r>
      <w:tr w:rsidR="00EE455E" w:rsidRPr="00EE455E" w:rsidTr="00EE455E">
        <w:trPr>
          <w:trHeight w:val="240"/>
        </w:trPr>
        <w:tc>
          <w:tcPr>
            <w:tcW w:w="33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Departmental appropriation</w:t>
            </w:r>
            <w:r w:rsidRPr="00EE455E">
              <w:rPr>
                <w:rFonts w:ascii="Arial" w:hAnsi="Arial" w:cs="Arial"/>
                <w:sz w:val="16"/>
                <w:szCs w:val="16"/>
                <w:vertAlign w:val="superscript"/>
              </w:rPr>
              <w:t xml:space="preserve"> 2</w:t>
            </w:r>
          </w:p>
        </w:tc>
        <w:tc>
          <w:tcPr>
            <w:tcW w:w="192" w:type="dxa"/>
            <w:tcBorders>
              <w:top w:val="nil"/>
              <w:left w:val="nil"/>
              <w:bottom w:val="nil"/>
              <w:right w:val="nil"/>
            </w:tcBorders>
            <w:shd w:val="clear" w:color="000000" w:fill="FFFFFF"/>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 </w:t>
            </w: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111,828</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117,675</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117,675</w:t>
            </w:r>
          </w:p>
        </w:tc>
      </w:tr>
      <w:tr w:rsidR="00EE455E" w:rsidRPr="00EE455E" w:rsidTr="00EE455E">
        <w:trPr>
          <w:trHeight w:val="24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s74 Retained revenue receipts</w:t>
            </w:r>
            <w:r w:rsidRPr="00EE455E">
              <w:rPr>
                <w:rFonts w:ascii="Arial" w:hAnsi="Arial" w:cs="Arial"/>
                <w:sz w:val="16"/>
                <w:szCs w:val="16"/>
                <w:vertAlign w:val="superscript"/>
              </w:rPr>
              <w:t xml:space="preserve"> 3</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15,521</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10,841</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10,841</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Total</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112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127,349</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128,516</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single" w:sz="4" w:space="0" w:color="auto"/>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128,516</w:t>
            </w:r>
          </w:p>
        </w:tc>
      </w:tr>
      <w:tr w:rsidR="00EE455E" w:rsidRPr="00EE455E" w:rsidTr="00EE455E">
        <w:trPr>
          <w:trHeight w:val="6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ordinary annual services</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A</w:t>
            </w:r>
          </w:p>
        </w:tc>
        <w:tc>
          <w:tcPr>
            <w:tcW w:w="112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127,349</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128,516</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single" w:sz="4" w:space="0" w:color="auto"/>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128,516</w:t>
            </w:r>
          </w:p>
        </w:tc>
      </w:tr>
      <w:tr w:rsidR="00EE455E" w:rsidRPr="00EE455E" w:rsidTr="00EE455E">
        <w:trPr>
          <w:trHeight w:val="6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Special appropriations</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Special appropriations limited by</w:t>
            </w: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1"/>
              <w:jc w:val="left"/>
              <w:rPr>
                <w:rFonts w:ascii="Arial" w:hAnsi="Arial" w:cs="Arial"/>
                <w:b/>
                <w:bCs/>
                <w:sz w:val="16"/>
                <w:szCs w:val="16"/>
              </w:rPr>
            </w:pPr>
            <w:r w:rsidRPr="00EE455E">
              <w:rPr>
                <w:rFonts w:ascii="Arial" w:hAnsi="Arial" w:cs="Arial"/>
                <w:b/>
                <w:bCs/>
                <w:sz w:val="16"/>
                <w:szCs w:val="16"/>
              </w:rPr>
              <w:t>criteria / entitlement</w:t>
            </w: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i/>
                <w:iCs/>
                <w:sz w:val="16"/>
                <w:szCs w:val="16"/>
              </w:rPr>
            </w:pPr>
            <w:r w:rsidRPr="00EE455E">
              <w:rPr>
                <w:rFonts w:ascii="Arial" w:hAnsi="Arial" w:cs="Arial"/>
                <w:i/>
                <w:iCs/>
                <w:sz w:val="16"/>
                <w:szCs w:val="16"/>
              </w:rPr>
              <w:t>Public Governance, Performance</w:t>
            </w: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i/>
                <w:i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i/>
                <w:iCs/>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r>
      <w:tr w:rsidR="00EE455E" w:rsidRPr="00EE455E" w:rsidTr="00EE455E">
        <w:trPr>
          <w:trHeight w:val="24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300" w:firstLine="480"/>
              <w:jc w:val="left"/>
              <w:rPr>
                <w:rFonts w:ascii="Arial" w:hAnsi="Arial" w:cs="Arial"/>
                <w:sz w:val="16"/>
                <w:szCs w:val="16"/>
              </w:rPr>
            </w:pPr>
            <w:r w:rsidRPr="00EE455E">
              <w:rPr>
                <w:rFonts w:ascii="Arial" w:hAnsi="Arial" w:cs="Arial"/>
                <w:i/>
                <w:iCs/>
                <w:sz w:val="16"/>
                <w:szCs w:val="16"/>
              </w:rPr>
              <w:t>and Accountability Act 2013</w:t>
            </w:r>
            <w:r w:rsidRPr="00EE455E">
              <w:rPr>
                <w:rFonts w:ascii="Arial" w:hAnsi="Arial" w:cs="Arial"/>
                <w:sz w:val="16"/>
                <w:szCs w:val="16"/>
              </w:rPr>
              <w:t xml:space="preserve"> - s77</w:t>
            </w:r>
            <w:r w:rsidRPr="00EE455E">
              <w:rPr>
                <w:rFonts w:ascii="Arial" w:hAnsi="Arial" w:cs="Arial"/>
                <w:sz w:val="16"/>
                <w:szCs w:val="16"/>
                <w:vertAlign w:val="superscript"/>
              </w:rPr>
              <w:t xml:space="preserve"> 4</w:t>
            </w: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i/>
                <w:iCs/>
                <w:sz w:val="16"/>
                <w:szCs w:val="16"/>
              </w:rPr>
            </w:pPr>
            <w:r w:rsidRPr="00EE455E">
              <w:rPr>
                <w:rFonts w:ascii="Arial" w:hAnsi="Arial" w:cs="Arial"/>
                <w:i/>
                <w:iCs/>
                <w:sz w:val="16"/>
                <w:szCs w:val="16"/>
              </w:rPr>
              <w:t>Commonwealth Electoral Act 1918</w:t>
            </w:r>
            <w:r w:rsidRPr="00EE455E">
              <w:rPr>
                <w:rFonts w:ascii="Arial" w:hAnsi="Arial" w:cs="Arial"/>
                <w:sz w:val="16"/>
                <w:szCs w:val="16"/>
              </w:rPr>
              <w:t xml:space="preserve"> (D)</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9,000</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9,000</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9,000</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i/>
                <w:iCs/>
                <w:sz w:val="16"/>
                <w:szCs w:val="16"/>
              </w:rPr>
            </w:pPr>
            <w:r w:rsidRPr="00EE455E">
              <w:rPr>
                <w:rFonts w:ascii="Arial" w:hAnsi="Arial" w:cs="Arial"/>
                <w:i/>
                <w:iCs/>
                <w:sz w:val="16"/>
                <w:szCs w:val="16"/>
              </w:rPr>
              <w:t>Commonwealth Electoral Act 1918</w:t>
            </w:r>
            <w:r w:rsidRPr="00EE455E">
              <w:rPr>
                <w:rFonts w:ascii="Arial" w:hAnsi="Arial" w:cs="Arial"/>
                <w:sz w:val="16"/>
                <w:szCs w:val="16"/>
              </w:rPr>
              <w:t xml:space="preserve"> (A)</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r>
      <w:tr w:rsidR="00EE455E" w:rsidRPr="00EE455E" w:rsidTr="00EE455E">
        <w:trPr>
          <w:trHeight w:val="6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i/>
                <w:iCs/>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special appropriations</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B</w:t>
            </w:r>
          </w:p>
        </w:tc>
        <w:tc>
          <w:tcPr>
            <w:tcW w:w="112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9,002</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9,000</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single" w:sz="4" w:space="0" w:color="auto"/>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9,000</w:t>
            </w:r>
          </w:p>
        </w:tc>
      </w:tr>
      <w:tr w:rsidR="00EE455E" w:rsidRPr="00EE455E" w:rsidTr="00EE455E">
        <w:trPr>
          <w:trHeight w:val="6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net resourcing for AEC</w:t>
            </w:r>
          </w:p>
        </w:tc>
        <w:tc>
          <w:tcPr>
            <w:tcW w:w="192" w:type="dxa"/>
            <w:tcBorders>
              <w:top w:val="nil"/>
              <w:left w:val="nil"/>
              <w:bottom w:val="single" w:sz="4" w:space="0" w:color="auto"/>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 </w:t>
            </w:r>
          </w:p>
        </w:tc>
        <w:tc>
          <w:tcPr>
            <w:tcW w:w="112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10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90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980" w:type="dxa"/>
            <w:tcBorders>
              <w:top w:val="nil"/>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A+B</w:t>
            </w:r>
          </w:p>
        </w:tc>
        <w:tc>
          <w:tcPr>
            <w:tcW w:w="192" w:type="dxa"/>
            <w:tcBorders>
              <w:top w:val="nil"/>
              <w:left w:val="nil"/>
              <w:bottom w:val="single" w:sz="4" w:space="0" w:color="auto"/>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 </w:t>
            </w:r>
          </w:p>
        </w:tc>
        <w:tc>
          <w:tcPr>
            <w:tcW w:w="112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136,351</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1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137,516</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137,516</w:t>
            </w:r>
          </w:p>
        </w:tc>
      </w:tr>
    </w:tbl>
    <w:p w:rsidR="008A2E5A" w:rsidRPr="00B646D8" w:rsidRDefault="008A2E5A" w:rsidP="008A2E5A">
      <w:pPr>
        <w:spacing w:after="0" w:line="240" w:lineRule="auto"/>
        <w:rPr>
          <w:sz w:val="6"/>
          <w:szCs w:val="6"/>
        </w:rPr>
      </w:pPr>
    </w:p>
    <w:p w:rsidR="008A2E5A" w:rsidRPr="00CC3220" w:rsidRDefault="008A2E5A" w:rsidP="008A2E5A">
      <w:pPr>
        <w:spacing w:after="60" w:line="240" w:lineRule="auto"/>
        <w:jc w:val="left"/>
        <w:rPr>
          <w:rFonts w:ascii="Arial" w:hAnsi="Arial" w:cs="Arial"/>
          <w:sz w:val="15"/>
          <w:szCs w:val="15"/>
        </w:rPr>
      </w:pPr>
      <w:r w:rsidRPr="00CC3220">
        <w:rPr>
          <w:rFonts w:ascii="Arial" w:hAnsi="Arial" w:cs="Arial"/>
          <w:sz w:val="15"/>
          <w:szCs w:val="15"/>
        </w:rPr>
        <w:t>(A) = Administered</w:t>
      </w:r>
    </w:p>
    <w:p w:rsidR="008A2E5A" w:rsidRPr="00CC3220" w:rsidRDefault="008A2E5A" w:rsidP="00FA0C92">
      <w:pPr>
        <w:spacing w:after="0" w:line="240" w:lineRule="auto"/>
        <w:jc w:val="left"/>
        <w:rPr>
          <w:rFonts w:ascii="Arial" w:hAnsi="Arial" w:cs="Arial"/>
          <w:sz w:val="15"/>
          <w:szCs w:val="15"/>
        </w:rPr>
      </w:pPr>
      <w:r w:rsidRPr="00CC3220">
        <w:rPr>
          <w:rFonts w:ascii="Arial" w:hAnsi="Arial" w:cs="Arial"/>
          <w:sz w:val="15"/>
          <w:szCs w:val="15"/>
        </w:rPr>
        <w:t>(D) = Departmental</w:t>
      </w:r>
    </w:p>
    <w:p w:rsidR="003E08CF" w:rsidRPr="00CC3220" w:rsidRDefault="003E08CF" w:rsidP="003E08CF">
      <w:pPr>
        <w:spacing w:after="0" w:line="240" w:lineRule="auto"/>
        <w:rPr>
          <w:sz w:val="15"/>
          <w:szCs w:val="15"/>
        </w:rPr>
      </w:pPr>
    </w:p>
    <w:p w:rsidR="008A2E5A" w:rsidRPr="00CC3220" w:rsidRDefault="008A2E5A" w:rsidP="00FA0C92">
      <w:pPr>
        <w:pStyle w:val="ListParagraph"/>
        <w:numPr>
          <w:ilvl w:val="0"/>
          <w:numId w:val="42"/>
        </w:numPr>
        <w:spacing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Estimated adjusted balance carried forward from previous year.</w:t>
      </w:r>
    </w:p>
    <w:p w:rsidR="008A2E5A" w:rsidRPr="00CC3220" w:rsidRDefault="008A2E5A" w:rsidP="008A2E5A">
      <w:pPr>
        <w:pStyle w:val="ListParagraph"/>
        <w:numPr>
          <w:ilvl w:val="0"/>
          <w:numId w:val="4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Includes an amount of </w:t>
      </w:r>
      <w:r w:rsidR="00577958">
        <w:rPr>
          <w:rFonts w:ascii="Arial" w:eastAsia="Times New Roman" w:hAnsi="Arial" w:cs="Arial"/>
          <w:sz w:val="15"/>
          <w:szCs w:val="15"/>
          <w:lang w:val="en-AU" w:eastAsia="en-AU"/>
        </w:rPr>
        <w:t xml:space="preserve">$7.300m in 2014-15 and </w:t>
      </w:r>
      <w:r w:rsidRPr="00CC3220">
        <w:rPr>
          <w:rFonts w:ascii="Arial" w:eastAsia="Times New Roman" w:hAnsi="Arial" w:cs="Arial"/>
          <w:sz w:val="15"/>
          <w:szCs w:val="15"/>
          <w:lang w:val="en-AU" w:eastAsia="en-AU"/>
        </w:rPr>
        <w:t xml:space="preserve">$11.012m in 2015-16 for the Departmental Capital Budget </w:t>
      </w:r>
      <w:r w:rsidR="00FC68BF">
        <w:rPr>
          <w:rFonts w:ascii="Arial" w:eastAsia="Times New Roman" w:hAnsi="Arial" w:cs="Arial"/>
          <w:sz w:val="15"/>
          <w:szCs w:val="15"/>
          <w:lang w:val="en-AU" w:eastAsia="en-AU"/>
        </w:rPr>
        <w:t xml:space="preserve">(DCB) </w:t>
      </w:r>
      <w:r w:rsidRPr="00CC3220">
        <w:rPr>
          <w:rFonts w:ascii="Arial" w:eastAsia="Times New Roman" w:hAnsi="Arial" w:cs="Arial"/>
          <w:sz w:val="15"/>
          <w:szCs w:val="15"/>
          <w:lang w:val="en-AU" w:eastAsia="en-AU"/>
        </w:rPr>
        <w:t>(refer to Table 3.2.5 for further details). For accounting purposes this amount has been designated as 'contributions by owners'.</w:t>
      </w:r>
    </w:p>
    <w:p w:rsidR="008A2E5A" w:rsidRPr="00CC3220" w:rsidRDefault="003E08CF" w:rsidP="008A2E5A">
      <w:pPr>
        <w:pStyle w:val="ListParagraph"/>
        <w:numPr>
          <w:ilvl w:val="0"/>
          <w:numId w:val="4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hAnsi="Arial" w:cs="Arial"/>
          <w:sz w:val="15"/>
          <w:szCs w:val="15"/>
        </w:rPr>
        <w:t xml:space="preserve">Estimated retained revenue receipts under s74 of the </w:t>
      </w:r>
      <w:r w:rsidRPr="00CC3220">
        <w:rPr>
          <w:rFonts w:ascii="Arial" w:hAnsi="Arial" w:cs="Arial"/>
          <w:i/>
          <w:sz w:val="15"/>
          <w:szCs w:val="15"/>
        </w:rPr>
        <w:t>Public Governance, Performance and Accountability (PGPA) Act 2013</w:t>
      </w:r>
      <w:r w:rsidRPr="00CC3220">
        <w:rPr>
          <w:rFonts w:ascii="Arial" w:hAnsi="Arial" w:cs="Arial"/>
          <w:sz w:val="15"/>
          <w:szCs w:val="15"/>
        </w:rPr>
        <w:t>.</w:t>
      </w:r>
    </w:p>
    <w:p w:rsidR="008A2E5A" w:rsidRPr="00CC3220" w:rsidRDefault="008A2E5A" w:rsidP="008A2E5A">
      <w:pPr>
        <w:pStyle w:val="ListParagraph"/>
        <w:numPr>
          <w:ilvl w:val="0"/>
          <w:numId w:val="4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Repayments not provided for under other appropriations. </w:t>
      </w:r>
    </w:p>
    <w:p w:rsidR="008A2E5A" w:rsidRDefault="008A2E5A" w:rsidP="008A2E5A">
      <w:pPr>
        <w:spacing w:after="0" w:line="240" w:lineRule="auto"/>
        <w:jc w:val="left"/>
      </w:pPr>
      <w:r>
        <w:br w:type="page"/>
      </w:r>
    </w:p>
    <w:p w:rsidR="008A2E5A" w:rsidRPr="00144CDB" w:rsidRDefault="008A2E5A" w:rsidP="008A2E5A">
      <w:pPr>
        <w:pStyle w:val="Heading4"/>
      </w:pPr>
      <w:bookmarkStart w:id="24" w:name="_Toc386027223"/>
      <w:bookmarkStart w:id="25" w:name="_Toc386029811"/>
      <w:bookmarkStart w:id="26" w:name="_Toc386029949"/>
      <w:bookmarkStart w:id="27" w:name="_Toc386030268"/>
      <w:bookmarkStart w:id="28" w:name="_Toc418003415"/>
      <w:r w:rsidRPr="00144CDB">
        <w:lastRenderedPageBreak/>
        <w:t>1.3</w:t>
      </w:r>
      <w:r w:rsidRPr="00144CDB">
        <w:tab/>
        <w:t>Budget Measures</w:t>
      </w:r>
      <w:bookmarkEnd w:id="24"/>
      <w:bookmarkEnd w:id="25"/>
      <w:bookmarkEnd w:id="26"/>
      <w:bookmarkEnd w:id="27"/>
      <w:bookmarkEnd w:id="28"/>
    </w:p>
    <w:p w:rsidR="008A2E5A" w:rsidRPr="005C4BEE" w:rsidRDefault="008A2E5A" w:rsidP="008A2E5A">
      <w:r>
        <w:t xml:space="preserve">No budget measures have been announced </w:t>
      </w:r>
      <w:r w:rsidRPr="005C4BEE">
        <w:t xml:space="preserve">since the </w:t>
      </w:r>
      <w:r>
        <w:t>2014</w:t>
      </w:r>
      <w:r>
        <w:noBreakHyphen/>
        <w:t>15</w:t>
      </w:r>
      <w:r w:rsidRPr="005C4BEE">
        <w:t xml:space="preserve"> M</w:t>
      </w:r>
      <w:r>
        <w:t xml:space="preserve">id-Year Economic and Fiscal Outlook (MYEFO) that impact the AEC. </w:t>
      </w:r>
    </w:p>
    <w:p w:rsidR="008A2E5A" w:rsidRPr="005C4BEE" w:rsidRDefault="008A2E5A" w:rsidP="008A2E5A">
      <w:r>
        <w:t xml:space="preserve">All budget measures have been previously reported in a portfolio statement. </w:t>
      </w:r>
    </w:p>
    <w:p w:rsidR="008A2E5A" w:rsidRDefault="008A2E5A" w:rsidP="008A2E5A">
      <w:pPr>
        <w:pStyle w:val="Heading3"/>
      </w:pPr>
      <w:r>
        <w:br w:type="page"/>
      </w:r>
      <w:bookmarkStart w:id="29" w:name="_Toc386027224"/>
      <w:bookmarkStart w:id="30" w:name="_Toc386029812"/>
      <w:bookmarkStart w:id="31" w:name="_Toc386029950"/>
      <w:bookmarkStart w:id="32" w:name="_Toc386030269"/>
      <w:bookmarkStart w:id="33" w:name="_Toc418003416"/>
      <w:r>
        <w:lastRenderedPageBreak/>
        <w:t>Section 2: Outcomes and Planned Performance</w:t>
      </w:r>
      <w:bookmarkEnd w:id="29"/>
      <w:bookmarkEnd w:id="30"/>
      <w:bookmarkEnd w:id="31"/>
      <w:bookmarkEnd w:id="32"/>
      <w:bookmarkEnd w:id="33"/>
    </w:p>
    <w:p w:rsidR="008A2E5A" w:rsidRPr="00144CDB" w:rsidRDefault="008A2E5A" w:rsidP="008A2E5A">
      <w:pPr>
        <w:pStyle w:val="Heading4"/>
      </w:pPr>
      <w:bookmarkStart w:id="34" w:name="_Toc386027225"/>
      <w:bookmarkStart w:id="35" w:name="_Toc386029813"/>
      <w:bookmarkStart w:id="36" w:name="_Toc386029951"/>
      <w:bookmarkStart w:id="37" w:name="_Toc386030270"/>
      <w:bookmarkStart w:id="38" w:name="_Toc418003417"/>
      <w:r w:rsidRPr="00144CDB">
        <w:t>2.1</w:t>
      </w:r>
      <w:r w:rsidRPr="00144CDB">
        <w:tab/>
        <w:t>Outcomes and Performance Information</w:t>
      </w:r>
      <w:bookmarkEnd w:id="34"/>
      <w:bookmarkEnd w:id="35"/>
      <w:bookmarkEnd w:id="36"/>
      <w:bookmarkEnd w:id="37"/>
      <w:bookmarkEnd w:id="38"/>
    </w:p>
    <w:p w:rsidR="008A2E5A" w:rsidRDefault="008A2E5A" w:rsidP="008A2E5A">
      <w:r>
        <w:t xml:space="preserve">Government outcomes are the intended results, impacts or consequences of actions by the </w:t>
      </w:r>
      <w:r w:rsidR="00D87624">
        <w:t>g</w:t>
      </w:r>
      <w:r>
        <w:t xml:space="preserve">overnment on the Australian community. </w:t>
      </w:r>
      <w:r w:rsidRPr="00E95DB8">
        <w:t xml:space="preserve">Commonwealth </w:t>
      </w:r>
      <w:r>
        <w:t>programme</w:t>
      </w:r>
      <w:r w:rsidRPr="00E95DB8">
        <w:t xml:space="preserve">s are the primary vehicle by which </w:t>
      </w:r>
      <w:r w:rsidR="00D87624">
        <w:t>g</w:t>
      </w:r>
      <w:r w:rsidRPr="00E95DB8">
        <w:t xml:space="preserve">overnment </w:t>
      </w:r>
      <w:r w:rsidR="00081A28">
        <w:t>entities</w:t>
      </w:r>
      <w:r w:rsidRPr="00E95DB8">
        <w:t xml:space="preserve"> achieve the intended results of their outcome statements. </w:t>
      </w:r>
      <w:r w:rsidR="00081A28">
        <w:t>Entities</w:t>
      </w:r>
      <w:r w:rsidRPr="00E95DB8">
        <w:t xml:space="preserve"> are required to identify the </w:t>
      </w:r>
      <w:r>
        <w:t>programme</w:t>
      </w:r>
      <w:r w:rsidRPr="00E95DB8">
        <w:t>s</w:t>
      </w:r>
      <w:r>
        <w:t xml:space="preserve"> which contribute to </w:t>
      </w:r>
      <w:r w:rsidR="00D87624">
        <w:t>g</w:t>
      </w:r>
      <w:r>
        <w:t>overnment outcomes over the Budget and forward years.</w:t>
      </w:r>
    </w:p>
    <w:p w:rsidR="008A2E5A" w:rsidRDefault="008A2E5A" w:rsidP="008A2E5A">
      <w:r>
        <w:t xml:space="preserve">Each outcome is described below together with its related programmes, specifying the performance indicators and targets used to assess and monitor the performance of </w:t>
      </w:r>
      <w:r w:rsidR="00282943">
        <w:t>AEC</w:t>
      </w:r>
      <w:r w:rsidRPr="00DF33CA">
        <w:t xml:space="preserve"> in achieving </w:t>
      </w:r>
      <w:r w:rsidR="00D87624">
        <w:t>g</w:t>
      </w:r>
      <w:r w:rsidRPr="00DF33CA">
        <w:t>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D64BE6" w:rsidTr="00D64BE6">
        <w:tc>
          <w:tcPr>
            <w:tcW w:w="7713" w:type="dxa"/>
            <w:shd w:val="clear" w:color="auto" w:fill="E6E6E6"/>
          </w:tcPr>
          <w:p w:rsidR="00D64BE6" w:rsidRPr="00160CDF" w:rsidRDefault="00D64BE6" w:rsidP="00D64BE6">
            <w:pPr>
              <w:spacing w:before="120" w:after="120" w:line="240" w:lineRule="auto"/>
              <w:ind w:left="1559" w:hanging="1559"/>
              <w:rPr>
                <w:rFonts w:ascii="Arial" w:hAnsi="Arial" w:cs="Arial"/>
                <w:b/>
              </w:rPr>
            </w:pPr>
            <w:r>
              <w:br w:type="page"/>
            </w:r>
            <w:r w:rsidRPr="00160CDF">
              <w:rPr>
                <w:rFonts w:ascii="Arial" w:hAnsi="Arial" w:cs="Arial"/>
                <w:b/>
              </w:rPr>
              <w:t xml:space="preserve">Outcome </w:t>
            </w:r>
            <w:r>
              <w:rPr>
                <w:rFonts w:ascii="Arial" w:hAnsi="Arial" w:cs="Arial"/>
                <w:b/>
              </w:rPr>
              <w:t>1</w:t>
            </w:r>
            <w:r w:rsidRPr="00160CDF">
              <w:rPr>
                <w:rFonts w:ascii="Arial" w:hAnsi="Arial" w:cs="Arial"/>
                <w:b/>
              </w:rPr>
              <w:tab/>
            </w:r>
            <w:r w:rsidR="00883DAF" w:rsidRPr="00883DAF">
              <w:rPr>
                <w:rFonts w:ascii="Arial" w:hAnsi="Arial" w:cs="Arial"/>
                <w:b/>
              </w:rPr>
              <w:t>Maintain an impartial and independent electoral system for eligible voters through active electoral roll management, efficient delivery of polling services, and targeted education and public awareness programs</w:t>
            </w:r>
          </w:p>
        </w:tc>
      </w:tr>
    </w:tbl>
    <w:p w:rsidR="00D64BE6" w:rsidRDefault="00D64BE6" w:rsidP="00D64BE6">
      <w:pPr>
        <w:pStyle w:val="NoSpacing"/>
      </w:pPr>
    </w:p>
    <w:p w:rsidR="008A2E5A" w:rsidRPr="00E873CB" w:rsidRDefault="008A2E5A" w:rsidP="008972BD">
      <w:pPr>
        <w:spacing w:before="120" w:after="60"/>
        <w:rPr>
          <w:rFonts w:ascii="Arial" w:hAnsi="Arial" w:cs="Arial"/>
          <w:b/>
          <w:sz w:val="22"/>
          <w:szCs w:val="22"/>
        </w:rPr>
      </w:pPr>
      <w:r w:rsidRPr="00E873CB">
        <w:rPr>
          <w:rFonts w:ascii="Arial" w:hAnsi="Arial" w:cs="Arial"/>
          <w:b/>
          <w:sz w:val="22"/>
          <w:szCs w:val="22"/>
        </w:rPr>
        <w:t>Outcome 1 Strategy</w:t>
      </w:r>
    </w:p>
    <w:p w:rsidR="008972BD" w:rsidRDefault="008972BD" w:rsidP="008972BD">
      <w:pPr>
        <w:spacing w:after="0"/>
      </w:pPr>
    </w:p>
    <w:p w:rsidR="008A2E5A" w:rsidRPr="00FE42B3" w:rsidRDefault="008A2E5A" w:rsidP="008A2E5A">
      <w:r w:rsidRPr="00FE42B3">
        <w:t xml:space="preserve">During </w:t>
      </w:r>
      <w:r>
        <w:t>2015-16</w:t>
      </w:r>
      <w:r w:rsidRPr="00FE42B3">
        <w:t xml:space="preserve"> the AEC will focus on</w:t>
      </w:r>
      <w:r>
        <w:t xml:space="preserve"> five </w:t>
      </w:r>
      <w:r w:rsidR="00D64BE6">
        <w:t>Entity</w:t>
      </w:r>
      <w:r>
        <w:t xml:space="preserve"> Directions</w:t>
      </w:r>
      <w:r w:rsidRPr="00FE42B3">
        <w:t xml:space="preserve">: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Delivering a changed model for Elections and Referenda;</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Governing the </w:t>
      </w:r>
      <w:r w:rsidR="00D64BE6">
        <w:rPr>
          <w:rFonts w:ascii="Book Antiqua" w:hAnsi="Book Antiqua"/>
          <w:sz w:val="20"/>
          <w:szCs w:val="20"/>
        </w:rPr>
        <w:t>Entity</w:t>
      </w:r>
      <w:r w:rsidRPr="00375F30">
        <w:rPr>
          <w:rFonts w:ascii="Book Antiqua" w:hAnsi="Book Antiqua"/>
          <w:sz w:val="20"/>
          <w:szCs w:val="20"/>
        </w:rPr>
        <w:t xml:space="preserve"> for quality and assurance;</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sidRPr="00375F30">
        <w:rPr>
          <w:rFonts w:ascii="Book Antiqua" w:hAnsi="Book Antiqua"/>
          <w:sz w:val="20"/>
          <w:szCs w:val="20"/>
        </w:rPr>
        <w:t>Professionalising</w:t>
      </w:r>
      <w:proofErr w:type="spellEnd"/>
      <w:r w:rsidRPr="00375F30">
        <w:rPr>
          <w:rFonts w:ascii="Book Antiqua" w:hAnsi="Book Antiqua"/>
          <w:sz w:val="20"/>
          <w:szCs w:val="20"/>
        </w:rPr>
        <w:t xml:space="preserve"> the workforce, including the temporary election workforce;</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Re-establishing the reputation of the Commission; and</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Building an agile and responsive </w:t>
      </w:r>
      <w:proofErr w:type="spellStart"/>
      <w:r w:rsidRPr="00375F30">
        <w:rPr>
          <w:rFonts w:ascii="Book Antiqua" w:hAnsi="Book Antiqua"/>
          <w:sz w:val="20"/>
          <w:szCs w:val="20"/>
        </w:rPr>
        <w:t>organisation</w:t>
      </w:r>
      <w:proofErr w:type="spellEnd"/>
      <w:r w:rsidRPr="00375F30">
        <w:rPr>
          <w:rFonts w:ascii="Book Antiqua" w:hAnsi="Book Antiqua"/>
          <w:sz w:val="20"/>
          <w:szCs w:val="20"/>
        </w:rPr>
        <w:t>.</w:t>
      </w:r>
    </w:p>
    <w:p w:rsidR="008A2E5A" w:rsidRPr="0077138F" w:rsidRDefault="008A2E5A" w:rsidP="008A2E5A">
      <w:r w:rsidRPr="0077138F">
        <w:t>The AEC Corporate Plan for 2015</w:t>
      </w:r>
      <w:r w:rsidR="00791C4A">
        <w:t xml:space="preserve"> to 20</w:t>
      </w:r>
      <w:r w:rsidRPr="0077138F">
        <w:t xml:space="preserve">19, as required under s35 of the </w:t>
      </w:r>
      <w:r w:rsidR="00670296" w:rsidRPr="00670296">
        <w:t>PGPA</w:t>
      </w:r>
      <w:r w:rsidR="00FD284B">
        <w:t> </w:t>
      </w:r>
      <w:r w:rsidR="00670296" w:rsidRPr="00670296">
        <w:t>Act</w:t>
      </w:r>
      <w:r w:rsidRPr="0077138F">
        <w:t>, will provide further detail on the AEC’s approach to delivering its Outcome.</w:t>
      </w:r>
    </w:p>
    <w:p w:rsidR="008A2E5A" w:rsidRPr="00655614" w:rsidRDefault="008A2E5A" w:rsidP="008A2E5A">
      <w:pPr>
        <w:pStyle w:val="Exampletextbullet"/>
        <w:numPr>
          <w:ilvl w:val="0"/>
          <w:numId w:val="0"/>
        </w:numPr>
        <w:spacing w:after="0" w:line="240" w:lineRule="auto"/>
        <w:ind w:left="284"/>
        <w:jc w:val="left"/>
        <w:rPr>
          <w:rFonts w:ascii="Arial" w:hAnsi="Arial" w:cs="Arial"/>
          <w:b/>
        </w:rPr>
      </w:pPr>
      <w:r w:rsidRPr="00655614">
        <w:rPr>
          <w:rFonts w:ascii="Arial" w:hAnsi="Arial" w:cs="Arial"/>
          <w:b/>
        </w:rPr>
        <w:br w:type="page"/>
      </w:r>
    </w:p>
    <w:p w:rsidR="008A2E5A" w:rsidRPr="00CE6511" w:rsidRDefault="008A2E5A" w:rsidP="008A2E5A">
      <w:pPr>
        <w:spacing w:line="240" w:lineRule="auto"/>
        <w:rPr>
          <w:rFonts w:ascii="Arial" w:hAnsi="Arial" w:cs="Arial"/>
          <w:b/>
        </w:rPr>
      </w:pPr>
      <w:r w:rsidRPr="00CE6511">
        <w:rPr>
          <w:rFonts w:ascii="Arial" w:hAnsi="Arial" w:cs="Arial"/>
          <w:b/>
        </w:rPr>
        <w:lastRenderedPageBreak/>
        <w:t>Outcome Expense Statement</w:t>
      </w:r>
    </w:p>
    <w:p w:rsidR="008A2E5A" w:rsidRDefault="008A2E5A" w:rsidP="008A2E5A">
      <w:r>
        <w:t>Table 2.1 provides an overview of the total expenses for Outcome 1, by programme.</w:t>
      </w:r>
    </w:p>
    <w:p w:rsidR="008A2E5A" w:rsidRDefault="008A2E5A" w:rsidP="00E453F8">
      <w:pPr>
        <w:pStyle w:val="Heading5"/>
      </w:pPr>
      <w:r w:rsidRPr="00CE6511">
        <w:t>Table 2.1 Budgeted Expenses for Outcome 1</w:t>
      </w:r>
    </w:p>
    <w:tbl>
      <w:tblPr>
        <w:tblW w:w="7140" w:type="dxa"/>
        <w:tblInd w:w="93" w:type="dxa"/>
        <w:tblLook w:val="04A0"/>
      </w:tblPr>
      <w:tblGrid>
        <w:gridCol w:w="4900"/>
        <w:gridCol w:w="1120"/>
        <w:gridCol w:w="1120"/>
      </w:tblGrid>
      <w:tr w:rsidR="001B05E5" w:rsidRPr="001B05E5" w:rsidTr="001B05E5">
        <w:trPr>
          <w:trHeight w:val="225"/>
        </w:trPr>
        <w:tc>
          <w:tcPr>
            <w:tcW w:w="490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Outcome 1: Maintain an impartial and independent</w:t>
            </w:r>
          </w:p>
        </w:tc>
        <w:tc>
          <w:tcPr>
            <w:tcW w:w="11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2015-16</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electoral system for eligible voters through active</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electoral roll management, efficient delivery of polling</w:t>
            </w:r>
          </w:p>
        </w:tc>
        <w:tc>
          <w:tcPr>
            <w:tcW w:w="112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expenses</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services, and targeted education and public awareness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programs</w:t>
            </w:r>
          </w:p>
        </w:tc>
        <w:tc>
          <w:tcPr>
            <w:tcW w:w="112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112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Programme 1.1</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4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Departmental appropriation </w:t>
            </w:r>
            <w:r w:rsidRPr="001B05E5">
              <w:rPr>
                <w:rFonts w:ascii="Arial" w:hAnsi="Arial" w:cs="Arial"/>
                <w:sz w:val="16"/>
                <w:szCs w:val="16"/>
                <w:vertAlign w:val="superscript"/>
              </w:rPr>
              <w:t>1</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119,563</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117,504</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9,000</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r>
      <w:tr w:rsidR="001B05E5" w:rsidRPr="001B05E5" w:rsidTr="001B05E5">
        <w:trPr>
          <w:trHeight w:val="24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Expenses not requiring appropriation in the Budget year </w:t>
            </w:r>
            <w:r w:rsidRPr="001B05E5">
              <w:rPr>
                <w:rFonts w:ascii="Arial" w:hAnsi="Arial" w:cs="Arial"/>
                <w:sz w:val="16"/>
                <w:szCs w:val="16"/>
                <w:vertAlign w:val="superscript"/>
              </w:rPr>
              <w:t>2</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8,128</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8,080</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for programme 1.1</w:t>
            </w:r>
          </w:p>
        </w:tc>
        <w:tc>
          <w:tcPr>
            <w:tcW w:w="11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136,693</w:t>
            </w:r>
          </w:p>
        </w:tc>
        <w:tc>
          <w:tcPr>
            <w:tcW w:w="11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134,584</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Outcome 1 Totals by appropriation type</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4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Departmental appropriation </w:t>
            </w:r>
            <w:r w:rsidRPr="001B05E5">
              <w:rPr>
                <w:rFonts w:ascii="Arial" w:hAnsi="Arial" w:cs="Arial"/>
                <w:sz w:val="16"/>
                <w:szCs w:val="16"/>
                <w:vertAlign w:val="superscript"/>
              </w:rPr>
              <w:t>1</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119,563</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117,504</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9,000</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r>
      <w:tr w:rsidR="001B05E5" w:rsidRPr="001B05E5" w:rsidTr="001B05E5">
        <w:trPr>
          <w:trHeight w:val="24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Expenses not requiring appropriation in the Budget year </w:t>
            </w:r>
            <w:r w:rsidRPr="001B05E5">
              <w:rPr>
                <w:rFonts w:ascii="Arial" w:hAnsi="Arial" w:cs="Arial"/>
                <w:sz w:val="16"/>
                <w:szCs w:val="16"/>
                <w:vertAlign w:val="superscript"/>
              </w:rPr>
              <w:t>2</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8,128</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8,080</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expenses for Outcome 1</w:t>
            </w:r>
          </w:p>
        </w:tc>
        <w:tc>
          <w:tcPr>
            <w:tcW w:w="11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136,693</w:t>
            </w:r>
          </w:p>
        </w:tc>
        <w:tc>
          <w:tcPr>
            <w:tcW w:w="11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134,584</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49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r>
      <w:tr w:rsidR="001B05E5" w:rsidRPr="001B05E5" w:rsidTr="001B05E5">
        <w:trPr>
          <w:trHeight w:val="225"/>
        </w:trPr>
        <w:tc>
          <w:tcPr>
            <w:tcW w:w="490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Average staffing level (number)</w:t>
            </w:r>
          </w:p>
        </w:tc>
        <w:tc>
          <w:tcPr>
            <w:tcW w:w="11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801</w:t>
            </w:r>
          </w:p>
        </w:tc>
        <w:tc>
          <w:tcPr>
            <w:tcW w:w="11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788</w:t>
            </w:r>
          </w:p>
        </w:tc>
      </w:tr>
    </w:tbl>
    <w:p w:rsidR="008A2E5A" w:rsidRPr="00DB6C74" w:rsidRDefault="008A2E5A" w:rsidP="008A2E5A">
      <w:pPr>
        <w:pStyle w:val="Source"/>
        <w:tabs>
          <w:tab w:val="clear" w:pos="284"/>
          <w:tab w:val="left" w:pos="0"/>
        </w:tabs>
        <w:rPr>
          <w:sz w:val="6"/>
          <w:szCs w:val="6"/>
          <w:highlight w:val="yellow"/>
        </w:rPr>
      </w:pPr>
    </w:p>
    <w:p w:rsidR="008A2E5A" w:rsidRPr="00CC3220" w:rsidRDefault="008A2E5A" w:rsidP="008A2E5A">
      <w:pPr>
        <w:pStyle w:val="ListParagraph"/>
        <w:numPr>
          <w:ilvl w:val="0"/>
          <w:numId w:val="43"/>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Departmental </w:t>
      </w:r>
      <w:r w:rsidR="00FD284B">
        <w:rPr>
          <w:rFonts w:ascii="Arial" w:eastAsia="Times New Roman" w:hAnsi="Arial" w:cs="Arial"/>
          <w:sz w:val="15"/>
          <w:szCs w:val="15"/>
          <w:lang w:val="en-AU" w:eastAsia="en-AU"/>
        </w:rPr>
        <w:t>a</w:t>
      </w:r>
      <w:r w:rsidRPr="00CC3220">
        <w:rPr>
          <w:rFonts w:ascii="Arial" w:eastAsia="Times New Roman" w:hAnsi="Arial" w:cs="Arial"/>
          <w:sz w:val="15"/>
          <w:szCs w:val="15"/>
          <w:lang w:val="en-AU" w:eastAsia="en-AU"/>
        </w:rPr>
        <w:t>ppropriation combines ‘Ordinary annual services (Appropriation Bill No. 1)’ and ‘</w:t>
      </w:r>
      <w:r w:rsidR="00883DAF">
        <w:rPr>
          <w:rFonts w:ascii="Arial" w:eastAsia="Times New Roman" w:hAnsi="Arial" w:cs="Arial"/>
          <w:sz w:val="15"/>
          <w:szCs w:val="15"/>
          <w:lang w:val="en-AU" w:eastAsia="en-AU"/>
        </w:rPr>
        <w:t>s74 Retained revenue receipts</w:t>
      </w:r>
      <w:r w:rsidRPr="00CC3220">
        <w:rPr>
          <w:rFonts w:ascii="Arial" w:eastAsia="Times New Roman" w:hAnsi="Arial" w:cs="Arial"/>
          <w:sz w:val="15"/>
          <w:szCs w:val="15"/>
          <w:lang w:val="en-AU" w:eastAsia="en-AU"/>
        </w:rPr>
        <w:t>’.</w:t>
      </w:r>
    </w:p>
    <w:p w:rsidR="008A2E5A" w:rsidRPr="00CC3220" w:rsidRDefault="008A2E5A" w:rsidP="008A2E5A">
      <w:pPr>
        <w:pStyle w:val="ListParagraph"/>
        <w:numPr>
          <w:ilvl w:val="0"/>
          <w:numId w:val="43"/>
        </w:numPr>
        <w:spacing w:after="60" w:line="240" w:lineRule="auto"/>
        <w:ind w:left="426" w:hanging="426"/>
        <w:contextualSpacing w:val="0"/>
        <w:outlineLvl w:val="6"/>
        <w:rPr>
          <w:rFonts w:ascii="Arial" w:eastAsia="Times New Roman" w:hAnsi="Arial" w:cs="Arial"/>
          <w:sz w:val="15"/>
          <w:szCs w:val="15"/>
          <w:lang w:val="en-AU" w:eastAsia="en-AU"/>
        </w:rPr>
      </w:pPr>
      <w:proofErr w:type="gramStart"/>
      <w:r w:rsidRPr="00CC3220">
        <w:rPr>
          <w:rFonts w:ascii="Arial" w:eastAsia="Times New Roman" w:hAnsi="Arial" w:cs="Arial"/>
          <w:sz w:val="15"/>
          <w:szCs w:val="15"/>
          <w:lang w:val="en-AU" w:eastAsia="en-AU"/>
        </w:rPr>
        <w:t>Expenses not requiring appropriation in the Budget year is</w:t>
      </w:r>
      <w:proofErr w:type="gramEnd"/>
      <w:r w:rsidRPr="00CC3220">
        <w:rPr>
          <w:rFonts w:ascii="Arial" w:eastAsia="Times New Roman" w:hAnsi="Arial" w:cs="Arial"/>
          <w:sz w:val="15"/>
          <w:szCs w:val="15"/>
          <w:lang w:val="en-AU" w:eastAsia="en-AU"/>
        </w:rPr>
        <w:t xml:space="preserve"> made up of depreciation expense, amortisation expense and audit fees.</w:t>
      </w:r>
      <w:r w:rsidRPr="00CC3220">
        <w:rPr>
          <w:rFonts w:ascii="Arial" w:eastAsia="Times New Roman" w:hAnsi="Arial" w:cs="Arial"/>
          <w:sz w:val="15"/>
          <w:szCs w:val="15"/>
          <w:lang w:val="en-AU" w:eastAsia="en-AU"/>
        </w:rPr>
        <w:br w:type="page"/>
      </w:r>
    </w:p>
    <w:p w:rsidR="008A2E5A" w:rsidRPr="002F5C83" w:rsidRDefault="008A2E5A" w:rsidP="002F5C83">
      <w:pPr>
        <w:spacing w:before="240" w:line="240" w:lineRule="auto"/>
        <w:jc w:val="left"/>
        <w:rPr>
          <w:rFonts w:ascii="Arial Bold" w:hAnsi="Arial Bold" w:cs="Arial"/>
          <w:b/>
          <w:smallCaps/>
          <w:sz w:val="26"/>
          <w:szCs w:val="26"/>
        </w:rPr>
      </w:pPr>
      <w:r w:rsidRPr="002F5C83">
        <w:rPr>
          <w:rFonts w:ascii="Arial Bold" w:hAnsi="Arial Bold" w:cs="Arial"/>
          <w:b/>
          <w:smallCaps/>
          <w:sz w:val="26"/>
          <w:szCs w:val="26"/>
        </w:rPr>
        <w:lastRenderedPageBreak/>
        <w:t xml:space="preserve"> Contributions to Outcome 1 </w:t>
      </w:r>
    </w:p>
    <w:p w:rsidR="008A2E5A" w:rsidRPr="00CE6511" w:rsidRDefault="008A2E5A" w:rsidP="008A2E5A">
      <w:pPr>
        <w:pStyle w:val="TableGraphic"/>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A2E5A" w:rsidTr="008A2E5A">
        <w:tc>
          <w:tcPr>
            <w:tcW w:w="7713" w:type="dxa"/>
            <w:shd w:val="clear" w:color="auto" w:fill="E6E6E6"/>
          </w:tcPr>
          <w:p w:rsidR="008A2E5A" w:rsidRDefault="008A2E5A" w:rsidP="008A2E5A">
            <w:pPr>
              <w:pStyle w:val="TableColumnHeadingLeft"/>
              <w:jc w:val="both"/>
            </w:pPr>
            <w:r>
              <w:t>Programme 1.1: Deliver Electoral Events</w:t>
            </w:r>
            <w:r w:rsidRPr="0055081D">
              <w:t xml:space="preserve"> </w:t>
            </w:r>
          </w:p>
        </w:tc>
      </w:tr>
    </w:tbl>
    <w:p w:rsidR="008A2E5A" w:rsidRDefault="008A2E5A" w:rsidP="008A2E5A">
      <w:pPr>
        <w:pStyle w:val="NoSpacing"/>
      </w:pPr>
    </w:p>
    <w:p w:rsidR="008A2E5A" w:rsidRPr="003C54F5" w:rsidRDefault="008A2E5A" w:rsidP="00E453F8">
      <w:pPr>
        <w:pStyle w:val="Heading5"/>
        <w:rPr>
          <w:bCs/>
          <w:iCs/>
        </w:rPr>
      </w:pPr>
      <w:r w:rsidRPr="003C54F5">
        <w:t>Programme 1.1 Objective</w:t>
      </w:r>
    </w:p>
    <w:p w:rsidR="008A2E5A" w:rsidRPr="00F00728" w:rsidRDefault="008A2E5A" w:rsidP="008972BD">
      <w:pPr>
        <w:pStyle w:val="TableTextLeft"/>
        <w:spacing w:before="0" w:after="0"/>
        <w:rPr>
          <w:rFonts w:ascii="Book Antiqua" w:hAnsi="Book Antiqua"/>
          <w:b/>
          <w:sz w:val="20"/>
        </w:rPr>
      </w:pPr>
    </w:p>
    <w:p w:rsidR="008A2E5A" w:rsidRPr="00841271" w:rsidRDefault="008A2E5A" w:rsidP="008A2E5A">
      <w:pPr>
        <w:spacing w:after="120" w:line="240" w:lineRule="auto"/>
      </w:pPr>
      <w:r w:rsidRPr="00841271">
        <w:t>AEC’s programme objective is to maintain an impartial and independent electoral system for eligible voters through active electoral roll management, efficient delivery of polling services and targeted education and public awareness programmes.</w:t>
      </w:r>
    </w:p>
    <w:p w:rsidR="008A2E5A" w:rsidRDefault="008A2E5A" w:rsidP="008A2E5A">
      <w:pPr>
        <w:pStyle w:val="NoSpacing"/>
      </w:pPr>
    </w:p>
    <w:p w:rsidR="008A2E5A" w:rsidRDefault="008A2E5A" w:rsidP="00E453F8">
      <w:pPr>
        <w:pStyle w:val="Heading5"/>
      </w:pPr>
      <w:r w:rsidRPr="003C54F5">
        <w:t>Programme 1.1 Expenses</w:t>
      </w:r>
    </w:p>
    <w:tbl>
      <w:tblPr>
        <w:tblW w:w="7180" w:type="dxa"/>
        <w:tblInd w:w="93" w:type="dxa"/>
        <w:tblLook w:val="04A0"/>
      </w:tblPr>
      <w:tblGrid>
        <w:gridCol w:w="3240"/>
        <w:gridCol w:w="928"/>
        <w:gridCol w:w="800"/>
        <w:gridCol w:w="821"/>
        <w:gridCol w:w="821"/>
        <w:gridCol w:w="821"/>
      </w:tblGrid>
      <w:tr w:rsidR="001B05E5" w:rsidRPr="001B05E5" w:rsidTr="001B05E5">
        <w:trPr>
          <w:trHeight w:val="225"/>
        </w:trPr>
        <w:tc>
          <w:tcPr>
            <w:tcW w:w="3240" w:type="dxa"/>
            <w:tcBorders>
              <w:top w:val="single" w:sz="4" w:space="0" w:color="000000"/>
              <w:left w:val="nil"/>
              <w:bottom w:val="nil"/>
              <w:right w:val="nil"/>
            </w:tcBorders>
            <w:shd w:val="clear" w:color="auto" w:fill="auto"/>
            <w:noWrap/>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2014-15</w:t>
            </w:r>
          </w:p>
        </w:tc>
        <w:tc>
          <w:tcPr>
            <w:tcW w:w="80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2018-19</w:t>
            </w:r>
          </w:p>
        </w:tc>
      </w:tr>
      <w:tr w:rsidR="001B05E5" w:rsidRPr="001B05E5" w:rsidTr="001B05E5">
        <w:trPr>
          <w:trHeight w:val="225"/>
        </w:trPr>
        <w:tc>
          <w:tcPr>
            <w:tcW w:w="3240" w:type="dxa"/>
            <w:tcBorders>
              <w:top w:val="nil"/>
              <w:left w:val="nil"/>
              <w:bottom w:val="nil"/>
              <w:right w:val="nil"/>
            </w:tcBorders>
            <w:shd w:val="clear" w:color="auto" w:fill="auto"/>
            <w:noWrap/>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3240" w:type="dxa"/>
            <w:tcBorders>
              <w:top w:val="nil"/>
              <w:left w:val="nil"/>
              <w:bottom w:val="nil"/>
              <w:right w:val="nil"/>
            </w:tcBorders>
            <w:shd w:val="clear" w:color="auto" w:fill="auto"/>
            <w:noWrap/>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actual</w:t>
            </w:r>
          </w:p>
        </w:tc>
        <w:tc>
          <w:tcPr>
            <w:tcW w:w="8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r>
      <w:tr w:rsidR="001B05E5" w:rsidRPr="001B05E5" w:rsidTr="001B05E5">
        <w:trPr>
          <w:trHeight w:val="225"/>
        </w:trPr>
        <w:tc>
          <w:tcPr>
            <w:tcW w:w="3240" w:type="dxa"/>
            <w:tcBorders>
              <w:top w:val="nil"/>
              <w:left w:val="nil"/>
              <w:bottom w:val="nil"/>
              <w:right w:val="nil"/>
            </w:tcBorders>
            <w:shd w:val="clear" w:color="auto" w:fill="auto"/>
            <w:noWrap/>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0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Special appropriations expenses:</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i/>
                <w:iCs/>
                <w:sz w:val="16"/>
                <w:szCs w:val="16"/>
              </w:rPr>
            </w:pPr>
            <w:r w:rsidRPr="001B05E5">
              <w:rPr>
                <w:rFonts w:ascii="Arial" w:hAnsi="Arial" w:cs="Arial"/>
                <w:i/>
                <w:iCs/>
                <w:sz w:val="16"/>
                <w:szCs w:val="16"/>
              </w:rPr>
              <w:t>Commonwealth Electoral Act 1918</w:t>
            </w:r>
            <w:r w:rsidRPr="001B05E5">
              <w:rPr>
                <w:rFonts w:ascii="Arial" w:hAnsi="Arial" w:cs="Arial"/>
                <w:sz w:val="16"/>
                <w:szCs w:val="16"/>
              </w:rPr>
              <w:t xml:space="preserve"> (A)</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76,000</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i/>
                <w:iCs/>
                <w:sz w:val="16"/>
                <w:szCs w:val="16"/>
              </w:rPr>
            </w:pPr>
            <w:r w:rsidRPr="001B05E5">
              <w:rPr>
                <w:rFonts w:ascii="Arial" w:hAnsi="Arial" w:cs="Arial"/>
                <w:i/>
                <w:iCs/>
                <w:sz w:val="16"/>
                <w:szCs w:val="16"/>
              </w:rPr>
              <w:t>Commonwealth Electoral Act 1918</w:t>
            </w:r>
            <w:r w:rsidRPr="001B05E5">
              <w:rPr>
                <w:rFonts w:ascii="Arial" w:hAnsi="Arial" w:cs="Arial"/>
                <w:sz w:val="16"/>
                <w:szCs w:val="16"/>
              </w:rPr>
              <w:t xml:space="preserve"> (D)</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i/>
                <w:iCs/>
                <w:sz w:val="16"/>
                <w:szCs w:val="16"/>
              </w:rPr>
            </w:pPr>
            <w:r w:rsidRPr="001B05E5">
              <w:rPr>
                <w:rFonts w:ascii="Arial" w:hAnsi="Arial" w:cs="Arial"/>
                <w:i/>
                <w:iCs/>
                <w:sz w:val="16"/>
                <w:szCs w:val="16"/>
              </w:rPr>
              <w:t>Public Governance, Performance</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40"/>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i/>
                <w:iCs/>
                <w:sz w:val="16"/>
                <w:szCs w:val="16"/>
              </w:rPr>
              <w:t xml:space="preserve">and Accountability Act 2013 </w:t>
            </w:r>
            <w:r w:rsidRPr="001B05E5">
              <w:rPr>
                <w:rFonts w:ascii="Arial" w:hAnsi="Arial" w:cs="Arial"/>
                <w:sz w:val="16"/>
                <w:szCs w:val="16"/>
              </w:rPr>
              <w:t xml:space="preserve">- s77 </w:t>
            </w:r>
            <w:r w:rsidRPr="001B05E5">
              <w:rPr>
                <w:rFonts w:ascii="Arial" w:hAnsi="Arial" w:cs="Arial"/>
                <w:sz w:val="16"/>
                <w:szCs w:val="16"/>
                <w:vertAlign w:val="superscript"/>
              </w:rPr>
              <w:t>1</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w:t>
            </w: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Annual departmental expenses:</w:t>
            </w:r>
          </w:p>
        </w:tc>
        <w:tc>
          <w:tcPr>
            <w:tcW w:w="8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expenses</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119,563</w:t>
            </w: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117,504</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229,874</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113,039</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116,077</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xml:space="preserve">Expenses not </w:t>
            </w:r>
            <w:proofErr w:type="spellStart"/>
            <w:r w:rsidRPr="001B05E5">
              <w:rPr>
                <w:rFonts w:ascii="Arial" w:hAnsi="Arial" w:cs="Arial"/>
                <w:sz w:val="16"/>
                <w:szCs w:val="16"/>
              </w:rPr>
              <w:t>requring</w:t>
            </w:r>
            <w:proofErr w:type="spellEnd"/>
            <w:r w:rsidRPr="001B05E5">
              <w:rPr>
                <w:rFonts w:ascii="Arial" w:hAnsi="Arial" w:cs="Arial"/>
                <w:sz w:val="16"/>
                <w:szCs w:val="16"/>
              </w:rPr>
              <w:t xml:space="preserve"> appropriation in</w:t>
            </w:r>
          </w:p>
        </w:tc>
        <w:tc>
          <w:tcPr>
            <w:tcW w:w="8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40"/>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the Budget year </w:t>
            </w:r>
            <w:r w:rsidRPr="001B05E5">
              <w:rPr>
                <w:rFonts w:ascii="Arial" w:hAnsi="Arial" w:cs="Arial"/>
                <w:sz w:val="16"/>
                <w:szCs w:val="16"/>
                <w:vertAlign w:val="superscript"/>
              </w:rPr>
              <w:t>2</w:t>
            </w:r>
          </w:p>
        </w:tc>
        <w:tc>
          <w:tcPr>
            <w:tcW w:w="8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8,128</w:t>
            </w:r>
          </w:p>
        </w:tc>
        <w:tc>
          <w:tcPr>
            <w:tcW w:w="8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8,080</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8,804</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8,291</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8,821</w:t>
            </w:r>
          </w:p>
        </w:tc>
      </w:tr>
      <w:tr w:rsidR="001B05E5" w:rsidRPr="001B05E5" w:rsidTr="001B05E5">
        <w:trPr>
          <w:trHeight w:val="60"/>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32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136,693</w:t>
            </w:r>
          </w:p>
        </w:tc>
        <w:tc>
          <w:tcPr>
            <w:tcW w:w="800" w:type="dxa"/>
            <w:tcBorders>
              <w:top w:val="single" w:sz="4" w:space="0" w:color="auto"/>
              <w:left w:val="nil"/>
              <w:bottom w:val="single" w:sz="4" w:space="0" w:color="000000"/>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134,584</w:t>
            </w:r>
          </w:p>
        </w:tc>
        <w:tc>
          <w:tcPr>
            <w:tcW w:w="780" w:type="dxa"/>
            <w:tcBorders>
              <w:top w:val="single" w:sz="4" w:space="0" w:color="auto"/>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323,678</w:t>
            </w:r>
          </w:p>
        </w:tc>
        <w:tc>
          <w:tcPr>
            <w:tcW w:w="780" w:type="dxa"/>
            <w:tcBorders>
              <w:top w:val="single" w:sz="4" w:space="0" w:color="auto"/>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130,330</w:t>
            </w:r>
          </w:p>
        </w:tc>
        <w:tc>
          <w:tcPr>
            <w:tcW w:w="780" w:type="dxa"/>
            <w:tcBorders>
              <w:top w:val="single" w:sz="4" w:space="0" w:color="auto"/>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133,898</w:t>
            </w:r>
          </w:p>
        </w:tc>
      </w:tr>
    </w:tbl>
    <w:p w:rsidR="008A2E5A" w:rsidRPr="00DB6C74" w:rsidRDefault="008A2E5A" w:rsidP="008A2E5A">
      <w:pPr>
        <w:pStyle w:val="Source"/>
        <w:tabs>
          <w:tab w:val="clear" w:pos="284"/>
          <w:tab w:val="left" w:pos="0"/>
        </w:tabs>
        <w:rPr>
          <w:sz w:val="6"/>
          <w:szCs w:val="6"/>
          <w:highlight w:val="yellow"/>
        </w:rPr>
      </w:pPr>
    </w:p>
    <w:p w:rsidR="008A2E5A" w:rsidRPr="00CC3220" w:rsidRDefault="008A2E5A" w:rsidP="008A2E5A">
      <w:pPr>
        <w:pStyle w:val="ChartandTableFootnote"/>
        <w:rPr>
          <w:sz w:val="15"/>
          <w:szCs w:val="15"/>
        </w:rPr>
      </w:pPr>
      <w:r w:rsidRPr="00CC3220">
        <w:rPr>
          <w:sz w:val="15"/>
          <w:szCs w:val="15"/>
        </w:rPr>
        <w:t>(A) = Administered</w:t>
      </w:r>
    </w:p>
    <w:p w:rsidR="008A2E5A" w:rsidRPr="00CC3220" w:rsidRDefault="008A2E5A" w:rsidP="008A2E5A">
      <w:pPr>
        <w:pStyle w:val="ChartandTableFootnote"/>
        <w:rPr>
          <w:sz w:val="15"/>
          <w:szCs w:val="15"/>
        </w:rPr>
      </w:pPr>
      <w:r w:rsidRPr="00CC3220">
        <w:rPr>
          <w:sz w:val="15"/>
          <w:szCs w:val="15"/>
        </w:rPr>
        <w:t>(D) = Departmental</w:t>
      </w:r>
    </w:p>
    <w:p w:rsidR="008A2E5A" w:rsidRPr="00CC3220" w:rsidRDefault="008A2E5A" w:rsidP="008A2E5A">
      <w:pPr>
        <w:spacing w:after="0" w:line="240" w:lineRule="auto"/>
        <w:jc w:val="left"/>
        <w:rPr>
          <w:sz w:val="15"/>
          <w:szCs w:val="15"/>
        </w:rPr>
      </w:pPr>
    </w:p>
    <w:p w:rsidR="00883DAF" w:rsidRDefault="00883DAF" w:rsidP="008A2E5A">
      <w:pPr>
        <w:pStyle w:val="ListParagraph"/>
        <w:numPr>
          <w:ilvl w:val="0"/>
          <w:numId w:val="44"/>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Repayments not provided for under other appropriations.</w:t>
      </w:r>
    </w:p>
    <w:p w:rsidR="008A2E5A" w:rsidRPr="00CC3220" w:rsidRDefault="00883DAF" w:rsidP="008A2E5A">
      <w:pPr>
        <w:pStyle w:val="ListParagraph"/>
        <w:numPr>
          <w:ilvl w:val="0"/>
          <w:numId w:val="44"/>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w:t>
      </w:r>
      <w:r w:rsidR="008A2E5A" w:rsidRPr="00CC3220">
        <w:rPr>
          <w:rFonts w:ascii="Arial" w:eastAsia="Times New Roman" w:hAnsi="Arial" w:cs="Arial"/>
          <w:sz w:val="15"/>
          <w:szCs w:val="15"/>
          <w:lang w:val="en-AU" w:eastAsia="en-AU"/>
        </w:rPr>
        <w:t>Expenses not requiring appropriation in the Budget year</w:t>
      </w:r>
      <w:r>
        <w:rPr>
          <w:rFonts w:ascii="Arial" w:eastAsia="Times New Roman" w:hAnsi="Arial" w:cs="Arial"/>
          <w:sz w:val="15"/>
          <w:szCs w:val="15"/>
          <w:lang w:val="en-AU" w:eastAsia="en-AU"/>
        </w:rPr>
        <w:t>’</w:t>
      </w:r>
      <w:r w:rsidR="008A2E5A" w:rsidRPr="00CC3220">
        <w:rPr>
          <w:rFonts w:ascii="Arial" w:eastAsia="Times New Roman" w:hAnsi="Arial" w:cs="Arial"/>
          <w:sz w:val="15"/>
          <w:szCs w:val="15"/>
          <w:lang w:val="en-AU" w:eastAsia="en-AU"/>
        </w:rPr>
        <w:t xml:space="preserve"> is made up of depreciation expense, amortisation expense and audit fees.</w:t>
      </w:r>
    </w:p>
    <w:p w:rsidR="008A2E5A" w:rsidRDefault="008A2E5A" w:rsidP="008A2E5A">
      <w:pPr>
        <w:spacing w:after="0" w:line="240" w:lineRule="auto"/>
        <w:jc w:val="left"/>
      </w:pPr>
    </w:p>
    <w:p w:rsidR="008A2E5A" w:rsidRDefault="008A2E5A" w:rsidP="008A2E5A">
      <w:pPr>
        <w:spacing w:after="0" w:line="240" w:lineRule="auto"/>
        <w:jc w:val="left"/>
      </w:pPr>
      <w:r>
        <w:br w:type="page"/>
      </w:r>
    </w:p>
    <w:p w:rsidR="008A2E5A" w:rsidRPr="005B20DA" w:rsidRDefault="008A2E5A" w:rsidP="00E453F8">
      <w:pPr>
        <w:pStyle w:val="Heading5"/>
      </w:pPr>
      <w:r w:rsidRPr="005B20DA">
        <w:lastRenderedPageBreak/>
        <w:t xml:space="preserve">Programme 1.1 Deliverables </w:t>
      </w:r>
    </w:p>
    <w:p w:rsidR="008A2E5A" w:rsidRPr="005B20DA" w:rsidRDefault="008A2E5A" w:rsidP="008A2E5A">
      <w:pPr>
        <w:spacing w:after="0"/>
      </w:pPr>
    </w:p>
    <w:p w:rsidR="008A2E5A" w:rsidRPr="00A22049" w:rsidRDefault="008A2E5A" w:rsidP="008972BD">
      <w:pPr>
        <w:spacing w:before="240" w:after="60" w:line="240" w:lineRule="auto"/>
        <w:rPr>
          <w:b/>
        </w:rPr>
      </w:pPr>
      <w:r w:rsidRPr="00A22049">
        <w:rPr>
          <w:b/>
        </w:rPr>
        <w:t>Federal Elections, By-elections and Referendums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Conduct of a federal election, and/or referendum.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Conduct of </w:t>
      </w:r>
      <w:r w:rsidR="00883DAF">
        <w:rPr>
          <w:rFonts w:ascii="Book Antiqua" w:hAnsi="Book Antiqua"/>
          <w:sz w:val="20"/>
          <w:szCs w:val="20"/>
        </w:rPr>
        <w:t>Torres Strait Regional Authority (</w:t>
      </w:r>
      <w:r w:rsidRPr="00375F30">
        <w:rPr>
          <w:rFonts w:ascii="Book Antiqua" w:hAnsi="Book Antiqua"/>
          <w:sz w:val="20"/>
          <w:szCs w:val="20"/>
        </w:rPr>
        <w:t>TSRA</w:t>
      </w:r>
      <w:r w:rsidR="00883DAF">
        <w:rPr>
          <w:rFonts w:ascii="Book Antiqua" w:hAnsi="Book Antiqua"/>
          <w:sz w:val="20"/>
          <w:szCs w:val="20"/>
        </w:rPr>
        <w:t>)</w:t>
      </w:r>
      <w:r w:rsidRPr="00375F30">
        <w:rPr>
          <w:rFonts w:ascii="Book Antiqua" w:hAnsi="Book Antiqua"/>
          <w:sz w:val="20"/>
          <w:szCs w:val="20"/>
        </w:rPr>
        <w:t xml:space="preserve"> elections in accordance with the </w:t>
      </w:r>
      <w:r w:rsidRPr="00FF76AC">
        <w:rPr>
          <w:rFonts w:ascii="Book Antiqua" w:hAnsi="Book Antiqua"/>
          <w:i/>
          <w:sz w:val="20"/>
          <w:szCs w:val="20"/>
        </w:rPr>
        <w:t>Aboriginal and Torres Strait Islander Act 2005</w:t>
      </w:r>
      <w:r w:rsidRPr="00375F30">
        <w:rPr>
          <w:rFonts w:ascii="Book Antiqua" w:hAnsi="Book Antiqua"/>
          <w:sz w:val="20"/>
          <w:szCs w:val="20"/>
        </w:rPr>
        <w:t xml:space="preserve">. </w:t>
      </w:r>
    </w:p>
    <w:p w:rsidR="008A2E5A" w:rsidRPr="00A22049" w:rsidRDefault="008A2E5A" w:rsidP="008972BD">
      <w:pPr>
        <w:spacing w:before="240" w:after="60" w:line="240" w:lineRule="auto"/>
        <w:rPr>
          <w:b/>
        </w:rPr>
      </w:pPr>
      <w:r w:rsidRPr="00A22049">
        <w:rPr>
          <w:b/>
        </w:rPr>
        <w:t>Electoral Roll Management</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An accurate Electoral Roll.</w:t>
      </w:r>
    </w:p>
    <w:p w:rsidR="008A2E5A" w:rsidRPr="00A22049" w:rsidRDefault="008A2E5A" w:rsidP="008972BD">
      <w:pPr>
        <w:spacing w:before="240" w:after="60" w:line="240" w:lineRule="auto"/>
        <w:rPr>
          <w:b/>
        </w:rPr>
      </w:pPr>
      <w:r w:rsidRPr="00A22049">
        <w:rPr>
          <w:b/>
        </w:rPr>
        <w:t>Support Services for Electoral Redistributions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Provide support for redistribution committees.</w:t>
      </w:r>
    </w:p>
    <w:p w:rsidR="008A2E5A" w:rsidRPr="00A22049" w:rsidRDefault="008A2E5A" w:rsidP="008972BD">
      <w:pPr>
        <w:spacing w:before="240" w:after="60" w:line="240" w:lineRule="auto"/>
        <w:rPr>
          <w:b/>
        </w:rPr>
      </w:pPr>
      <w:r w:rsidRPr="00A22049">
        <w:rPr>
          <w:b/>
        </w:rPr>
        <w:t>Party Registrations and Financial Disclosure</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Maintain the Register of Political Parties in accordance with the Electoral Act.</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Publish annual and election financial disclosure returns.</w:t>
      </w:r>
    </w:p>
    <w:p w:rsidR="008A2E5A" w:rsidRPr="00A22049" w:rsidRDefault="008A2E5A" w:rsidP="008972BD">
      <w:pPr>
        <w:spacing w:before="240" w:after="60" w:line="240" w:lineRule="auto"/>
        <w:rPr>
          <w:b/>
        </w:rPr>
      </w:pPr>
      <w:r w:rsidRPr="00A22049">
        <w:rPr>
          <w:b/>
        </w:rPr>
        <w:t>Industrial and Commercial Elections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Conduct industrial elections in accordance with the </w:t>
      </w:r>
      <w:r w:rsidRPr="00FF76AC">
        <w:rPr>
          <w:rFonts w:ascii="Book Antiqua" w:hAnsi="Book Antiqua"/>
          <w:i/>
          <w:sz w:val="20"/>
          <w:szCs w:val="20"/>
        </w:rPr>
        <w:t>Fair Work (Registered Organisations) Act 2009</w:t>
      </w:r>
      <w:r w:rsidRPr="00375F30">
        <w:rPr>
          <w:rFonts w:ascii="Book Antiqua" w:hAnsi="Book Antiqua"/>
          <w:sz w:val="20"/>
          <w:szCs w:val="20"/>
        </w:rPr>
        <w:t xml:space="preserve"> and each </w:t>
      </w:r>
      <w:proofErr w:type="spellStart"/>
      <w:r w:rsidRPr="00375F30">
        <w:rPr>
          <w:rFonts w:ascii="Book Antiqua" w:hAnsi="Book Antiqua"/>
          <w:sz w:val="20"/>
          <w:szCs w:val="20"/>
        </w:rPr>
        <w:t>organisation’s</w:t>
      </w:r>
      <w:proofErr w:type="spellEnd"/>
      <w:r w:rsidRPr="00375F30">
        <w:rPr>
          <w:rFonts w:ascii="Book Antiqua" w:hAnsi="Book Antiqua"/>
          <w:sz w:val="20"/>
          <w:szCs w:val="20"/>
        </w:rPr>
        <w:t xml:space="preserve"> rules.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Conduct </w:t>
      </w:r>
      <w:r w:rsidR="00FC68BF">
        <w:rPr>
          <w:rFonts w:ascii="Book Antiqua" w:hAnsi="Book Antiqua"/>
          <w:sz w:val="20"/>
          <w:szCs w:val="20"/>
        </w:rPr>
        <w:t>P</w:t>
      </w:r>
      <w:r w:rsidRPr="00375F30">
        <w:rPr>
          <w:rFonts w:ascii="Book Antiqua" w:hAnsi="Book Antiqua"/>
          <w:sz w:val="20"/>
          <w:szCs w:val="20"/>
        </w:rPr>
        <w:t xml:space="preserve">rotected </w:t>
      </w:r>
      <w:r w:rsidR="00FC68BF">
        <w:rPr>
          <w:rFonts w:ascii="Book Antiqua" w:hAnsi="Book Antiqua"/>
          <w:sz w:val="20"/>
          <w:szCs w:val="20"/>
        </w:rPr>
        <w:t>A</w:t>
      </w:r>
      <w:r w:rsidRPr="00375F30">
        <w:rPr>
          <w:rFonts w:ascii="Book Antiqua" w:hAnsi="Book Antiqua"/>
          <w:sz w:val="20"/>
          <w:szCs w:val="20"/>
        </w:rPr>
        <w:t xml:space="preserve">ction </w:t>
      </w:r>
      <w:r w:rsidR="00FC68BF">
        <w:rPr>
          <w:rFonts w:ascii="Book Antiqua" w:hAnsi="Book Antiqua"/>
          <w:sz w:val="20"/>
          <w:szCs w:val="20"/>
        </w:rPr>
        <w:t>B</w:t>
      </w:r>
      <w:r w:rsidRPr="00375F30">
        <w:rPr>
          <w:rFonts w:ascii="Book Antiqua" w:hAnsi="Book Antiqua"/>
          <w:sz w:val="20"/>
          <w:szCs w:val="20"/>
        </w:rPr>
        <w:t xml:space="preserve">allots (PABs) in accordance with the provisions of the </w:t>
      </w:r>
      <w:r w:rsidRPr="00FF76AC">
        <w:rPr>
          <w:rFonts w:ascii="Book Antiqua" w:hAnsi="Book Antiqua"/>
          <w:i/>
          <w:sz w:val="20"/>
          <w:szCs w:val="20"/>
        </w:rPr>
        <w:t>Fair Work Act 2009</w:t>
      </w:r>
      <w:r w:rsidRPr="00375F30">
        <w:rPr>
          <w:rFonts w:ascii="Book Antiqua" w:hAnsi="Book Antiqua"/>
          <w:sz w:val="20"/>
          <w:szCs w:val="20"/>
        </w:rPr>
        <w:t xml:space="preserve"> and the orders issued by the Fair Work Commission (FWC).</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Conduct of commercial, fee-for-service elections.</w:t>
      </w:r>
    </w:p>
    <w:p w:rsidR="008A2E5A" w:rsidRPr="00A22049" w:rsidRDefault="008A2E5A" w:rsidP="008972BD">
      <w:pPr>
        <w:spacing w:before="240" w:after="60" w:line="240" w:lineRule="auto"/>
        <w:rPr>
          <w:b/>
        </w:rPr>
      </w:pPr>
      <w:r w:rsidRPr="00A22049">
        <w:rPr>
          <w:b/>
        </w:rPr>
        <w:t>Public Awareness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Deliver communication, education and public awareness activities to inform Australians of electoral and Parliamentary matters.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Effective use of contemporary technology to deliver modern products and services.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Deliver the Indigenous Electoral Participation Program.</w:t>
      </w:r>
    </w:p>
    <w:p w:rsidR="008A2E5A" w:rsidRDefault="008A2E5A" w:rsidP="008A2E5A">
      <w:pPr>
        <w:spacing w:after="0" w:line="240" w:lineRule="auto"/>
        <w:jc w:val="left"/>
      </w:pPr>
      <w:r>
        <w:br w:type="page"/>
      </w:r>
    </w:p>
    <w:p w:rsidR="008A2E5A" w:rsidRPr="00563825" w:rsidRDefault="008A2E5A" w:rsidP="00E453F8">
      <w:pPr>
        <w:pStyle w:val="Heading5"/>
      </w:pPr>
      <w:r w:rsidRPr="00563825">
        <w:lastRenderedPageBreak/>
        <w:t>Programme 1.1 Key Performance Indicators</w:t>
      </w:r>
    </w:p>
    <w:p w:rsidR="008A2E5A" w:rsidRPr="00563825" w:rsidRDefault="008A2E5A" w:rsidP="008A2E5A">
      <w:pPr>
        <w:spacing w:after="0"/>
      </w:pPr>
    </w:p>
    <w:p w:rsidR="008A2E5A" w:rsidRPr="00A22049" w:rsidRDefault="008A2E5A" w:rsidP="008972BD">
      <w:pPr>
        <w:spacing w:before="240" w:after="60" w:line="240" w:lineRule="auto"/>
        <w:rPr>
          <w:b/>
        </w:rPr>
      </w:pPr>
      <w:r w:rsidRPr="00A22049">
        <w:rPr>
          <w:b/>
        </w:rPr>
        <w:t>Federal Elections, By-elections and Referendums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Federal electoral events are successfully delivered.</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Maintain ability to conduct a federal electoral event within the timeframe determined by the Electoral Commissioner.</w:t>
      </w:r>
    </w:p>
    <w:p w:rsidR="008A2E5A" w:rsidRPr="00A22049" w:rsidRDefault="008A2E5A" w:rsidP="008972BD">
      <w:pPr>
        <w:spacing w:before="240" w:after="60" w:line="240" w:lineRule="auto"/>
        <w:rPr>
          <w:b/>
        </w:rPr>
      </w:pPr>
      <w:r w:rsidRPr="00A22049">
        <w:rPr>
          <w:b/>
        </w:rPr>
        <w:t>Electoral Roll Management</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High level of confidence in accuracy of the Electoral Roll.</w:t>
      </w:r>
    </w:p>
    <w:p w:rsidR="008A2E5A" w:rsidRPr="00A22049" w:rsidRDefault="008A2E5A" w:rsidP="008972BD">
      <w:pPr>
        <w:spacing w:before="240" w:after="60" w:line="240" w:lineRule="auto"/>
        <w:rPr>
          <w:b/>
        </w:rPr>
      </w:pPr>
      <w:r w:rsidRPr="00A22049">
        <w:rPr>
          <w:b/>
        </w:rPr>
        <w:t xml:space="preserve">Support Services for Electoral Redistributions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Effective and timely conduct of redistribution activities.</w:t>
      </w:r>
    </w:p>
    <w:p w:rsidR="008A2E5A" w:rsidRPr="00A22049" w:rsidRDefault="008A2E5A" w:rsidP="008972BD">
      <w:pPr>
        <w:spacing w:before="240" w:after="60" w:line="240" w:lineRule="auto"/>
        <w:rPr>
          <w:b/>
        </w:rPr>
      </w:pPr>
      <w:r w:rsidRPr="00A22049">
        <w:rPr>
          <w:b/>
        </w:rPr>
        <w:t>Party Registrations and Financial Disclosure</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Party registration processed in accordance with the Electoral Act.</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Financial disclosures obtained and placed on the public record in accordance with the Electoral Act.</w:t>
      </w:r>
    </w:p>
    <w:p w:rsidR="008A2E5A" w:rsidRPr="00A22049" w:rsidRDefault="008A2E5A" w:rsidP="008972BD">
      <w:pPr>
        <w:spacing w:before="240" w:after="60" w:line="240" w:lineRule="auto"/>
        <w:rPr>
          <w:b/>
        </w:rPr>
      </w:pPr>
      <w:r w:rsidRPr="00A22049">
        <w:rPr>
          <w:b/>
        </w:rPr>
        <w:t>Industrial and Commercial Elections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Industrial elections are delivered in accordance with the </w:t>
      </w:r>
      <w:r w:rsidRPr="00FF76AC">
        <w:rPr>
          <w:rFonts w:ascii="Book Antiqua" w:hAnsi="Book Antiqua"/>
          <w:i/>
          <w:sz w:val="20"/>
          <w:szCs w:val="20"/>
        </w:rPr>
        <w:t>Fair Work (Registered Organisations) Act 2009</w:t>
      </w:r>
      <w:r w:rsidRPr="00375F30">
        <w:rPr>
          <w:rFonts w:ascii="Book Antiqua" w:hAnsi="Book Antiqua"/>
          <w:sz w:val="20"/>
          <w:szCs w:val="20"/>
        </w:rPr>
        <w:t xml:space="preserve"> and each </w:t>
      </w:r>
      <w:proofErr w:type="spellStart"/>
      <w:r w:rsidRPr="00375F30">
        <w:rPr>
          <w:rFonts w:ascii="Book Antiqua" w:hAnsi="Book Antiqua"/>
          <w:sz w:val="20"/>
          <w:szCs w:val="20"/>
        </w:rPr>
        <w:t>organisation’s</w:t>
      </w:r>
      <w:proofErr w:type="spellEnd"/>
      <w:r w:rsidRPr="00375F30">
        <w:rPr>
          <w:rFonts w:ascii="Book Antiqua" w:hAnsi="Book Antiqua"/>
          <w:sz w:val="20"/>
          <w:szCs w:val="20"/>
        </w:rPr>
        <w:t xml:space="preserve"> rules.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TSRA elections are delivered in accordance with the </w:t>
      </w:r>
      <w:r w:rsidRPr="00FF76AC">
        <w:rPr>
          <w:rFonts w:ascii="Book Antiqua" w:hAnsi="Book Antiqua"/>
          <w:i/>
          <w:sz w:val="20"/>
          <w:szCs w:val="20"/>
        </w:rPr>
        <w:t>Aboriginal and Torres Strait Islander Act 2005</w:t>
      </w:r>
      <w:r w:rsidRPr="00375F30">
        <w:rPr>
          <w:rFonts w:ascii="Book Antiqua" w:hAnsi="Book Antiqua"/>
          <w:sz w:val="20"/>
          <w:szCs w:val="20"/>
        </w:rPr>
        <w:t xml:space="preserve">. </w:t>
      </w:r>
    </w:p>
    <w:p w:rsidR="008A2E5A" w:rsidRPr="00375F30" w:rsidRDefault="00CC453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PABs</w:t>
      </w:r>
      <w:r w:rsidR="008A2E5A" w:rsidRPr="00375F30">
        <w:rPr>
          <w:rFonts w:ascii="Book Antiqua" w:hAnsi="Book Antiqua"/>
          <w:sz w:val="20"/>
          <w:szCs w:val="20"/>
        </w:rPr>
        <w:t xml:space="preserve"> are delivered in accordance with the provisions of the </w:t>
      </w:r>
      <w:r w:rsidR="008A2E5A" w:rsidRPr="00FF76AC">
        <w:rPr>
          <w:rFonts w:ascii="Book Antiqua" w:hAnsi="Book Antiqua"/>
          <w:i/>
          <w:sz w:val="20"/>
          <w:szCs w:val="20"/>
        </w:rPr>
        <w:t>Fair Work Act 2009</w:t>
      </w:r>
      <w:r w:rsidR="008A2E5A" w:rsidRPr="00375F30">
        <w:rPr>
          <w:rFonts w:ascii="Book Antiqua" w:hAnsi="Book Antiqua"/>
          <w:sz w:val="20"/>
          <w:szCs w:val="20"/>
        </w:rPr>
        <w:t xml:space="preserve"> and the orders issued by the Fair Work Commission (FWC).</w:t>
      </w:r>
    </w:p>
    <w:p w:rsidR="008A2E5A" w:rsidRPr="00A22049" w:rsidRDefault="008A2E5A" w:rsidP="008972BD">
      <w:pPr>
        <w:spacing w:before="240" w:after="60" w:line="240" w:lineRule="auto"/>
        <w:rPr>
          <w:b/>
        </w:rPr>
      </w:pPr>
      <w:r w:rsidRPr="00A22049">
        <w:rPr>
          <w:b/>
        </w:rPr>
        <w:t>Public Awareness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Electoral education is provided to Australian schools through the operation of the National Electoral Education Centre, conduct of teacher professional development workshops and provision of education resources.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Information is timely and accurate, uses appropriate technology and channels, and meets accessibility standards.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Provide targeted and culturally appropriate electoral services to Aboriginal and Torres Strait Islander people through the delivery of the Indigenous Electoral Participation Program.</w:t>
      </w:r>
      <w:r w:rsidRPr="00375F30">
        <w:rPr>
          <w:rFonts w:ascii="Book Antiqua" w:hAnsi="Book Antiqua"/>
          <w:sz w:val="20"/>
          <w:szCs w:val="20"/>
        </w:rPr>
        <w:br w:type="page"/>
      </w:r>
    </w:p>
    <w:p w:rsidR="008A2E5A" w:rsidRPr="001D2ECE" w:rsidRDefault="008A2E5A" w:rsidP="008A2E5A">
      <w:pPr>
        <w:pStyle w:val="Heading3"/>
      </w:pPr>
      <w:bookmarkStart w:id="39" w:name="_Toc386027226"/>
      <w:bookmarkStart w:id="40" w:name="_Toc386029814"/>
      <w:bookmarkStart w:id="41" w:name="_Toc386029952"/>
      <w:bookmarkStart w:id="42" w:name="_Toc386030271"/>
      <w:bookmarkStart w:id="43" w:name="_Toc418003418"/>
      <w:r w:rsidRPr="001D2ECE">
        <w:lastRenderedPageBreak/>
        <w:t>Section 3: Explanatory Tables and Budgeted Financial Statements</w:t>
      </w:r>
      <w:bookmarkEnd w:id="39"/>
      <w:bookmarkEnd w:id="40"/>
      <w:bookmarkEnd w:id="41"/>
      <w:bookmarkEnd w:id="42"/>
      <w:bookmarkEnd w:id="43"/>
    </w:p>
    <w:p w:rsidR="008A2E5A" w:rsidRDefault="008A2E5A" w:rsidP="008A2E5A">
      <w:r>
        <w:t xml:space="preserve">Section 3 presents explanatory tables and budgeted financial statements which provide a comprehensive snapshot of </w:t>
      </w:r>
      <w:r w:rsidR="00D64BE6">
        <w:t>entity</w:t>
      </w:r>
      <w:r>
        <w:t xml:space="preserve"> finances for the 201</w:t>
      </w:r>
      <w:r w:rsidR="003E08CF">
        <w:t>5-16</w:t>
      </w:r>
      <w:r>
        <w:rPr>
          <w:color w:val="00B050"/>
        </w:rPr>
        <w:t xml:space="preserve"> </w:t>
      </w:r>
      <w:r>
        <w:t xml:space="preserve">budget </w:t>
      </w:r>
      <w:proofErr w:type="gramStart"/>
      <w:r>
        <w:t>year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8A2E5A" w:rsidRPr="00057518" w:rsidRDefault="008A2E5A" w:rsidP="008A2E5A">
      <w:pPr>
        <w:pStyle w:val="Heading4"/>
      </w:pPr>
      <w:bookmarkStart w:id="44" w:name="_Toc386027227"/>
      <w:bookmarkStart w:id="45" w:name="_Toc386029815"/>
      <w:bookmarkStart w:id="46" w:name="_Toc386029953"/>
      <w:bookmarkStart w:id="47" w:name="_Toc386030272"/>
      <w:bookmarkStart w:id="48" w:name="_Toc418003419"/>
      <w:r w:rsidRPr="00057518">
        <w:t>3.1</w:t>
      </w:r>
      <w:r w:rsidRPr="00057518">
        <w:tab/>
        <w:t>Explanatory Tables</w:t>
      </w:r>
      <w:bookmarkEnd w:id="44"/>
      <w:bookmarkEnd w:id="45"/>
      <w:bookmarkEnd w:id="46"/>
      <w:bookmarkEnd w:id="47"/>
      <w:bookmarkEnd w:id="48"/>
    </w:p>
    <w:p w:rsidR="008A2E5A" w:rsidRPr="00057518" w:rsidRDefault="008A2E5A" w:rsidP="008A2E5A">
      <w:pPr>
        <w:tabs>
          <w:tab w:val="left" w:pos="709"/>
        </w:tabs>
        <w:spacing w:before="240" w:line="240" w:lineRule="auto"/>
        <w:jc w:val="left"/>
        <w:rPr>
          <w:rFonts w:ascii="Arial Bold" w:hAnsi="Arial Bold" w:cs="Arial"/>
          <w:b/>
          <w:smallCaps/>
          <w:sz w:val="26"/>
          <w:szCs w:val="26"/>
        </w:rPr>
      </w:pPr>
      <w:r w:rsidRPr="00057518">
        <w:rPr>
          <w:rFonts w:ascii="Arial Bold" w:hAnsi="Arial Bold" w:cs="Arial"/>
          <w:b/>
          <w:smallCaps/>
          <w:sz w:val="26"/>
          <w:szCs w:val="26"/>
        </w:rPr>
        <w:t>3.1.1</w:t>
      </w:r>
      <w:r w:rsidRPr="00057518">
        <w:rPr>
          <w:rFonts w:ascii="Arial Bold" w:hAnsi="Arial Bold" w:cs="Arial"/>
          <w:b/>
          <w:smallCaps/>
          <w:sz w:val="26"/>
          <w:szCs w:val="26"/>
        </w:rPr>
        <w:tab/>
        <w:t>Movement of Administered Funds Between Years</w:t>
      </w:r>
    </w:p>
    <w:p w:rsidR="008A2E5A" w:rsidRDefault="008A2E5A" w:rsidP="008A2E5A">
      <w:r>
        <w:t xml:space="preserve">Table 3.1.1 is not included as there is no movement of administered funds between years. </w:t>
      </w:r>
    </w:p>
    <w:p w:rsidR="008A2E5A" w:rsidRPr="00057518" w:rsidRDefault="008A2E5A" w:rsidP="008A2E5A">
      <w:pPr>
        <w:tabs>
          <w:tab w:val="left" w:pos="709"/>
        </w:tabs>
        <w:spacing w:before="240" w:line="240" w:lineRule="auto"/>
        <w:jc w:val="left"/>
        <w:rPr>
          <w:rFonts w:ascii="Arial Bold" w:hAnsi="Arial Bold" w:cs="Arial"/>
          <w:b/>
          <w:smallCaps/>
          <w:sz w:val="26"/>
          <w:szCs w:val="26"/>
        </w:rPr>
      </w:pPr>
      <w:r w:rsidRPr="00057518">
        <w:rPr>
          <w:rFonts w:ascii="Arial Bold" w:hAnsi="Arial Bold" w:cs="Arial"/>
          <w:b/>
          <w:smallCaps/>
          <w:sz w:val="26"/>
          <w:szCs w:val="26"/>
        </w:rPr>
        <w:t>3.1.2</w:t>
      </w:r>
      <w:r w:rsidRPr="00057518">
        <w:rPr>
          <w:rFonts w:ascii="Arial Bold" w:hAnsi="Arial Bold" w:cs="Arial"/>
          <w:b/>
          <w:smallCaps/>
          <w:sz w:val="26"/>
          <w:szCs w:val="26"/>
        </w:rPr>
        <w:tab/>
        <w:t>Special Accounts</w:t>
      </w:r>
    </w:p>
    <w:p w:rsidR="008A2E5A" w:rsidRDefault="001A4F7C" w:rsidP="008A2E5A">
      <w:r>
        <w:t xml:space="preserve">Special Accounts provide a means to set aside and record amounts used for specified purposes. Special Accounts can be created by a Finance Minister’s Determination under </w:t>
      </w:r>
      <w:r w:rsidR="00FC68BF">
        <w:t>s</w:t>
      </w:r>
      <w:r>
        <w:t>78 of the PGPA</w:t>
      </w:r>
      <w:r w:rsidRPr="00DA28A8">
        <w:t xml:space="preserve"> Act</w:t>
      </w:r>
      <w:r>
        <w:rPr>
          <w:i/>
        </w:rPr>
        <w:t xml:space="preserve"> </w:t>
      </w:r>
      <w:r>
        <w:t>or under separate enabling legislation (</w:t>
      </w:r>
      <w:r w:rsidR="00FC68BF">
        <w:t>s</w:t>
      </w:r>
      <w:r>
        <w:t xml:space="preserve">80 of the PGPA Act refers). Table 3.1.2 shows the expected additions (receipts) and reductions (payments) for each account used by the </w:t>
      </w:r>
      <w:r w:rsidR="00CC453E">
        <w:t>AEC</w:t>
      </w:r>
      <w:r>
        <w:t>.</w:t>
      </w:r>
    </w:p>
    <w:p w:rsidR="008A2E5A" w:rsidRDefault="008A2E5A" w:rsidP="00E453F8">
      <w:pPr>
        <w:pStyle w:val="Heading5"/>
      </w:pPr>
      <w:bookmarkStart w:id="49" w:name="RANGE!A1:G19"/>
      <w:r w:rsidRPr="00F86528">
        <w:t>Table 3.1.2:  Estimates of Special Account Flows and Balances</w:t>
      </w:r>
    </w:p>
    <w:tbl>
      <w:tblPr>
        <w:tblW w:w="7860" w:type="dxa"/>
        <w:tblInd w:w="93" w:type="dxa"/>
        <w:tblLook w:val="04A0"/>
      </w:tblPr>
      <w:tblGrid>
        <w:gridCol w:w="2200"/>
        <w:gridCol w:w="866"/>
        <w:gridCol w:w="960"/>
        <w:gridCol w:w="900"/>
        <w:gridCol w:w="960"/>
        <w:gridCol w:w="1140"/>
        <w:gridCol w:w="960"/>
      </w:tblGrid>
      <w:tr w:rsidR="001B05E5" w:rsidRPr="001B05E5" w:rsidTr="001B05E5">
        <w:trPr>
          <w:trHeight w:val="225"/>
        </w:trPr>
        <w:tc>
          <w:tcPr>
            <w:tcW w:w="22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7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r w:rsidRPr="001B05E5">
              <w:rPr>
                <w:rFonts w:ascii="Arial" w:hAnsi="Arial" w:cs="Arial"/>
                <w:color w:val="000000"/>
                <w:sz w:val="16"/>
                <w:szCs w:val="16"/>
              </w:rPr>
              <w:t> </w:t>
            </w:r>
          </w:p>
        </w:tc>
        <w:tc>
          <w:tcPr>
            <w:tcW w:w="96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Opening</w:t>
            </w:r>
          </w:p>
        </w:tc>
        <w:tc>
          <w:tcPr>
            <w:tcW w:w="90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6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114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6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Closing</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balance</w:t>
            </w: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Receipts</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Payments</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Adjustments</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balance</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r w:rsidRPr="001B05E5">
              <w:rPr>
                <w:rFonts w:ascii="Arial" w:hAnsi="Arial" w:cs="Arial"/>
                <w:color w:val="000000"/>
                <w:sz w:val="16"/>
                <w:szCs w:val="16"/>
              </w:rPr>
              <w:t>Outcome</w:t>
            </w:r>
          </w:p>
        </w:tc>
        <w:tc>
          <w:tcPr>
            <w:tcW w:w="96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0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6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11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6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Other Trust Monies</w:t>
            </w: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r w:rsidRPr="001B05E5">
              <w:rPr>
                <w:rFonts w:ascii="Arial" w:hAnsi="Arial" w:cs="Arial"/>
                <w:color w:val="000000"/>
                <w:sz w:val="16"/>
                <w:szCs w:val="16"/>
              </w:rPr>
              <w:t>1</w:t>
            </w:r>
          </w:p>
        </w:tc>
        <w:tc>
          <w:tcPr>
            <w:tcW w:w="9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1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1,504</w:t>
            </w:r>
          </w:p>
        </w:tc>
        <w:tc>
          <w:tcPr>
            <w:tcW w:w="9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11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(1,504)</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p>
        </w:tc>
        <w:tc>
          <w:tcPr>
            <w:tcW w:w="9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11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special accounts</w:t>
            </w: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2940" w:type="dxa"/>
            <w:gridSpan w:val="2"/>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2015-16 Budget estimate</w:t>
            </w:r>
          </w:p>
        </w:tc>
        <w:tc>
          <w:tcPr>
            <w:tcW w:w="96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0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6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1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6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p>
        </w:tc>
        <w:tc>
          <w:tcPr>
            <w:tcW w:w="9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11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Total special accounts</w:t>
            </w: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220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i/>
                <w:iCs/>
                <w:color w:val="000000"/>
                <w:sz w:val="16"/>
                <w:szCs w:val="16"/>
              </w:rPr>
            </w:pPr>
            <w:r w:rsidRPr="001B05E5">
              <w:rPr>
                <w:rFonts w:ascii="Arial" w:hAnsi="Arial" w:cs="Arial"/>
                <w:i/>
                <w:iCs/>
                <w:color w:val="000000"/>
                <w:sz w:val="16"/>
                <w:szCs w:val="16"/>
              </w:rPr>
              <w:t>2014-15 estimated actual</w:t>
            </w:r>
          </w:p>
        </w:tc>
        <w:tc>
          <w:tcPr>
            <w:tcW w:w="7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r w:rsidRPr="001B05E5">
              <w:rPr>
                <w:rFonts w:ascii="Arial" w:hAnsi="Arial" w:cs="Arial"/>
                <w:color w:val="000000"/>
                <w:sz w:val="16"/>
                <w:szCs w:val="16"/>
              </w:rPr>
              <w:t> </w:t>
            </w:r>
          </w:p>
        </w:tc>
        <w:tc>
          <w:tcPr>
            <w:tcW w:w="96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1,504</w:t>
            </w:r>
          </w:p>
        </w:tc>
        <w:tc>
          <w:tcPr>
            <w:tcW w:w="90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96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11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(1,504)</w:t>
            </w:r>
          </w:p>
        </w:tc>
        <w:tc>
          <w:tcPr>
            <w:tcW w:w="96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r>
    </w:tbl>
    <w:p w:rsidR="008A2E5A" w:rsidRPr="00DB6C74" w:rsidRDefault="008A2E5A" w:rsidP="008A2E5A">
      <w:pPr>
        <w:pStyle w:val="Source"/>
        <w:tabs>
          <w:tab w:val="clear" w:pos="284"/>
          <w:tab w:val="left" w:pos="0"/>
        </w:tabs>
        <w:rPr>
          <w:sz w:val="6"/>
          <w:szCs w:val="6"/>
          <w:highlight w:val="yellow"/>
        </w:rPr>
      </w:pPr>
    </w:p>
    <w:bookmarkEnd w:id="49"/>
    <w:p w:rsidR="008A2E5A" w:rsidRDefault="008A2E5A" w:rsidP="008A2E5A">
      <w:pPr>
        <w:spacing w:after="0" w:line="240" w:lineRule="auto"/>
        <w:jc w:val="left"/>
      </w:pPr>
      <w:r>
        <w:br w:type="page"/>
      </w:r>
    </w:p>
    <w:p w:rsidR="008A2E5A" w:rsidRPr="00057518" w:rsidRDefault="008A2E5A" w:rsidP="008A2E5A">
      <w:pPr>
        <w:tabs>
          <w:tab w:val="left" w:pos="709"/>
        </w:tabs>
        <w:spacing w:before="240" w:line="240" w:lineRule="auto"/>
        <w:jc w:val="left"/>
        <w:rPr>
          <w:rFonts w:ascii="Arial Bold" w:hAnsi="Arial Bold" w:cs="Arial"/>
          <w:b/>
          <w:smallCaps/>
          <w:sz w:val="26"/>
          <w:szCs w:val="26"/>
        </w:rPr>
      </w:pPr>
      <w:r w:rsidRPr="00057518">
        <w:rPr>
          <w:rFonts w:ascii="Arial Bold" w:hAnsi="Arial Bold" w:cs="Arial"/>
          <w:b/>
          <w:smallCaps/>
          <w:sz w:val="26"/>
          <w:szCs w:val="26"/>
        </w:rPr>
        <w:lastRenderedPageBreak/>
        <w:t>3.1.3</w:t>
      </w:r>
      <w:r w:rsidRPr="00057518">
        <w:rPr>
          <w:rFonts w:ascii="Arial Bold" w:hAnsi="Arial Bold" w:cs="Arial"/>
          <w:b/>
          <w:smallCaps/>
          <w:sz w:val="26"/>
          <w:szCs w:val="26"/>
        </w:rPr>
        <w:tab/>
        <w:t>Australian Government Indigenous Expenditure</w:t>
      </w:r>
    </w:p>
    <w:p w:rsidR="008A2E5A" w:rsidRPr="00050996" w:rsidRDefault="008A2E5A" w:rsidP="00E453F8">
      <w:pPr>
        <w:pStyle w:val="Heading5"/>
      </w:pPr>
      <w:bookmarkStart w:id="50" w:name="RANGE!A1:I15"/>
      <w:r w:rsidRPr="00F86528">
        <w:t>Table 3.1.3: Australian Government Indigenous Expenditure (AGIE)</w:t>
      </w:r>
      <w:bookmarkEnd w:id="50"/>
      <w:r w:rsidRPr="00050996">
        <w:t xml:space="preserve"> </w:t>
      </w:r>
    </w:p>
    <w:tbl>
      <w:tblPr>
        <w:tblW w:w="7640" w:type="dxa"/>
        <w:tblInd w:w="93" w:type="dxa"/>
        <w:tblLook w:val="04A0"/>
      </w:tblPr>
      <w:tblGrid>
        <w:gridCol w:w="2140"/>
        <w:gridCol w:w="880"/>
        <w:gridCol w:w="880"/>
        <w:gridCol w:w="880"/>
        <w:gridCol w:w="880"/>
        <w:gridCol w:w="261"/>
        <w:gridCol w:w="760"/>
        <w:gridCol w:w="1052"/>
      </w:tblGrid>
      <w:tr w:rsidR="001B05E5" w:rsidRPr="001B05E5" w:rsidTr="001B05E5">
        <w:trPr>
          <w:trHeight w:val="225"/>
        </w:trPr>
        <w:tc>
          <w:tcPr>
            <w:tcW w:w="21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roofErr w:type="spellStart"/>
            <w:r w:rsidRPr="001B05E5">
              <w:rPr>
                <w:rFonts w:ascii="Arial" w:hAnsi="Arial" w:cs="Arial"/>
                <w:sz w:val="16"/>
                <w:szCs w:val="16"/>
              </w:rPr>
              <w:t>Approp</w:t>
            </w:r>
            <w:proofErr w:type="spellEnd"/>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roofErr w:type="spellStart"/>
            <w:r w:rsidRPr="001B05E5">
              <w:rPr>
                <w:rFonts w:ascii="Arial" w:hAnsi="Arial" w:cs="Arial"/>
                <w:sz w:val="16"/>
                <w:szCs w:val="16"/>
              </w:rPr>
              <w:t>Approp</w:t>
            </w:r>
            <w:proofErr w:type="spellEnd"/>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Special</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Total</w:t>
            </w:r>
          </w:p>
        </w:tc>
        <w:tc>
          <w:tcPr>
            <w:tcW w:w="1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6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Total</w:t>
            </w:r>
          </w:p>
        </w:tc>
        <w:tc>
          <w:tcPr>
            <w:tcW w:w="10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sz w:val="16"/>
                <w:szCs w:val="16"/>
              </w:rPr>
            </w:pPr>
            <w:r w:rsidRPr="001B05E5">
              <w:rPr>
                <w:rFonts w:ascii="Arial" w:hAnsi="Arial" w:cs="Arial"/>
                <w:sz w:val="16"/>
                <w:szCs w:val="16"/>
              </w:rPr>
              <w:t>Programme</w:t>
            </w: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Bill No. 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Bill No. 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roofErr w:type="spellStart"/>
            <w:r w:rsidRPr="001B05E5">
              <w:rPr>
                <w:rFonts w:ascii="Arial" w:hAnsi="Arial" w:cs="Arial"/>
                <w:sz w:val="16"/>
                <w:szCs w:val="16"/>
              </w:rPr>
              <w:t>Approp</w:t>
            </w:r>
            <w:proofErr w:type="spellEnd"/>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roofErr w:type="spellStart"/>
            <w:r w:rsidRPr="001B05E5">
              <w:rPr>
                <w:rFonts w:ascii="Arial" w:hAnsi="Arial" w:cs="Arial"/>
                <w:sz w:val="16"/>
                <w:szCs w:val="16"/>
              </w:rPr>
              <w:t>Approp</w:t>
            </w:r>
            <w:proofErr w:type="spellEnd"/>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p>
        </w:tc>
        <w:tc>
          <w:tcPr>
            <w:tcW w:w="76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10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sz w:val="16"/>
                <w:szCs w:val="16"/>
              </w:rPr>
            </w:pPr>
            <w:r w:rsidRPr="001B05E5">
              <w:rPr>
                <w:rFonts w:ascii="Arial" w:hAnsi="Arial" w:cs="Arial"/>
                <w:i/>
                <w:iCs/>
                <w:sz w:val="16"/>
                <w:szCs w:val="16"/>
              </w:rPr>
              <w:t> </w:t>
            </w: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Australian Electoral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Commission</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60"/>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 xml:space="preserve">Departmental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b/>
                <w:bCs/>
                <w:color w:val="000000"/>
                <w:sz w:val="16"/>
                <w:szCs w:val="16"/>
              </w:rPr>
            </w:pPr>
            <w:r w:rsidRPr="001B05E5">
              <w:rPr>
                <w:rFonts w:ascii="Arial" w:hAnsi="Arial" w:cs="Arial"/>
                <w:b/>
                <w:bCs/>
                <w:color w:val="000000"/>
                <w:sz w:val="16"/>
                <w:szCs w:val="16"/>
              </w:rPr>
              <w:t>1</w:t>
            </w: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color w:val="000000"/>
                <w:sz w:val="16"/>
                <w:szCs w:val="16"/>
              </w:rPr>
            </w:pPr>
            <w:r w:rsidRPr="001B05E5">
              <w:rPr>
                <w:rFonts w:ascii="Arial" w:hAnsi="Arial" w:cs="Arial"/>
                <w:i/>
                <w:iCs/>
                <w:color w:val="000000"/>
                <w:sz w:val="16"/>
                <w:szCs w:val="16"/>
              </w:rPr>
              <w:t>1</w:t>
            </w:r>
          </w:p>
        </w:tc>
      </w:tr>
      <w:tr w:rsidR="001B05E5" w:rsidRPr="001B05E5" w:rsidTr="001B05E5">
        <w:trPr>
          <w:trHeight w:val="60"/>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Outcome 1</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76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0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b/>
                <w:bCs/>
                <w:color w:val="000000"/>
                <w:sz w:val="16"/>
                <w:szCs w:val="16"/>
              </w:rPr>
            </w:pPr>
            <w:r w:rsidRPr="001B05E5">
              <w:rPr>
                <w:rFonts w:ascii="Arial" w:hAnsi="Arial" w:cs="Arial"/>
                <w:b/>
                <w:bCs/>
                <w:color w:val="000000"/>
                <w:sz w:val="16"/>
                <w:szCs w:val="16"/>
              </w:rPr>
              <w:t>1</w:t>
            </w: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76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0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color w:val="000000"/>
                <w:sz w:val="16"/>
                <w:szCs w:val="16"/>
              </w:rPr>
            </w:pPr>
            <w:r w:rsidRPr="001B05E5">
              <w:rPr>
                <w:rFonts w:ascii="Arial" w:hAnsi="Arial" w:cs="Arial"/>
                <w:i/>
                <w:iCs/>
                <w:color w:val="000000"/>
                <w:sz w:val="16"/>
                <w:szCs w:val="16"/>
              </w:rPr>
              <w:t>1</w:t>
            </w:r>
          </w:p>
        </w:tc>
      </w:tr>
      <w:tr w:rsidR="001B05E5" w:rsidRPr="001B05E5" w:rsidTr="001B05E5">
        <w:trPr>
          <w:trHeight w:val="60"/>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Total AGIE </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76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0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b/>
                <w:bCs/>
                <w:color w:val="000000"/>
                <w:sz w:val="16"/>
                <w:szCs w:val="16"/>
              </w:rPr>
            </w:pPr>
            <w:r w:rsidRPr="001B05E5">
              <w:rPr>
                <w:rFonts w:ascii="Arial" w:hAnsi="Arial" w:cs="Arial"/>
                <w:b/>
                <w:bCs/>
                <w:color w:val="000000"/>
                <w:sz w:val="16"/>
                <w:szCs w:val="16"/>
              </w:rPr>
              <w:t>1</w:t>
            </w:r>
          </w:p>
        </w:tc>
      </w:tr>
      <w:tr w:rsidR="001B05E5" w:rsidRPr="001B05E5" w:rsidTr="001B05E5">
        <w:trPr>
          <w:trHeight w:val="225"/>
        </w:trPr>
        <w:tc>
          <w:tcPr>
            <w:tcW w:w="21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 </w:t>
            </w:r>
          </w:p>
        </w:tc>
        <w:tc>
          <w:tcPr>
            <w:tcW w:w="76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0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color w:val="000000"/>
                <w:sz w:val="16"/>
                <w:szCs w:val="16"/>
              </w:rPr>
            </w:pPr>
            <w:r w:rsidRPr="001B05E5">
              <w:rPr>
                <w:rFonts w:ascii="Arial" w:hAnsi="Arial" w:cs="Arial"/>
                <w:i/>
                <w:iCs/>
                <w:color w:val="000000"/>
                <w:sz w:val="16"/>
                <w:szCs w:val="16"/>
              </w:rPr>
              <w:t>1</w:t>
            </w:r>
          </w:p>
        </w:tc>
      </w:tr>
    </w:tbl>
    <w:p w:rsidR="008A2E5A" w:rsidRPr="003A2BE0" w:rsidRDefault="008A2E5A" w:rsidP="008A2E5A">
      <w:pPr>
        <w:pStyle w:val="Source"/>
        <w:tabs>
          <w:tab w:val="clear" w:pos="284"/>
          <w:tab w:val="left" w:pos="0"/>
        </w:tabs>
        <w:rPr>
          <w:sz w:val="6"/>
          <w:szCs w:val="6"/>
          <w:highlight w:val="yellow"/>
        </w:rPr>
      </w:pPr>
    </w:p>
    <w:p w:rsidR="008A2E5A" w:rsidRPr="00144CDB" w:rsidRDefault="008A2E5A" w:rsidP="008A2E5A">
      <w:pPr>
        <w:pStyle w:val="Heading4"/>
      </w:pPr>
      <w:bookmarkStart w:id="51" w:name="_Toc386027228"/>
      <w:bookmarkStart w:id="52" w:name="_Toc386029816"/>
      <w:bookmarkStart w:id="53" w:name="_Toc386029954"/>
      <w:bookmarkStart w:id="54" w:name="_Toc386030273"/>
      <w:bookmarkStart w:id="55" w:name="_Toc418003420"/>
      <w:r w:rsidRPr="00144CDB">
        <w:t>3.2</w:t>
      </w:r>
      <w:r w:rsidRPr="00144CDB">
        <w:tab/>
        <w:t>Budgeted Financial Statements</w:t>
      </w:r>
      <w:bookmarkEnd w:id="51"/>
      <w:bookmarkEnd w:id="52"/>
      <w:bookmarkEnd w:id="53"/>
      <w:bookmarkEnd w:id="54"/>
      <w:bookmarkEnd w:id="55"/>
    </w:p>
    <w:p w:rsidR="008A2E5A" w:rsidRPr="00057518" w:rsidRDefault="008A2E5A" w:rsidP="008A2E5A">
      <w:pPr>
        <w:tabs>
          <w:tab w:val="left" w:pos="709"/>
        </w:tabs>
        <w:spacing w:before="240" w:line="240" w:lineRule="auto"/>
        <w:jc w:val="left"/>
        <w:rPr>
          <w:rFonts w:ascii="Arial Bold" w:hAnsi="Arial Bold" w:cs="Arial"/>
          <w:b/>
          <w:smallCaps/>
          <w:sz w:val="26"/>
          <w:szCs w:val="26"/>
        </w:rPr>
      </w:pPr>
      <w:r w:rsidRPr="00057518">
        <w:rPr>
          <w:rFonts w:ascii="Arial Bold" w:hAnsi="Arial Bold" w:cs="Arial"/>
          <w:b/>
          <w:smallCaps/>
          <w:sz w:val="26"/>
          <w:szCs w:val="26"/>
        </w:rPr>
        <w:t>3.2.1</w:t>
      </w:r>
      <w:r w:rsidRPr="00057518">
        <w:rPr>
          <w:rFonts w:ascii="Arial Bold" w:hAnsi="Arial Bold" w:cs="Arial"/>
          <w:b/>
          <w:smallCaps/>
          <w:sz w:val="26"/>
          <w:szCs w:val="26"/>
        </w:rPr>
        <w:tab/>
        <w:t xml:space="preserve">Differences in </w:t>
      </w:r>
      <w:r w:rsidR="00D64BE6">
        <w:rPr>
          <w:rFonts w:ascii="Arial Bold" w:hAnsi="Arial Bold" w:cs="Arial"/>
          <w:b/>
          <w:smallCaps/>
          <w:sz w:val="26"/>
          <w:szCs w:val="26"/>
        </w:rPr>
        <w:t>Entity</w:t>
      </w:r>
      <w:r w:rsidRPr="00057518">
        <w:rPr>
          <w:rFonts w:ascii="Arial Bold" w:hAnsi="Arial Bold" w:cs="Arial"/>
          <w:b/>
          <w:smallCaps/>
          <w:sz w:val="26"/>
          <w:szCs w:val="26"/>
        </w:rPr>
        <w:t xml:space="preserve"> Resourcing and Financial Statements</w:t>
      </w:r>
    </w:p>
    <w:p w:rsidR="008A2E5A" w:rsidRPr="00FE42B3" w:rsidRDefault="008A2E5A" w:rsidP="008A2E5A">
      <w:pPr>
        <w:pStyle w:val="Exampletext"/>
        <w:rPr>
          <w:i w:val="0"/>
          <w:color w:val="auto"/>
        </w:rPr>
      </w:pPr>
      <w:r w:rsidRPr="00FE42B3">
        <w:rPr>
          <w:i w:val="0"/>
          <w:color w:val="auto"/>
        </w:rPr>
        <w:t xml:space="preserve">No material differences exist between </w:t>
      </w:r>
      <w:r w:rsidR="00D64BE6">
        <w:rPr>
          <w:i w:val="0"/>
          <w:color w:val="auto"/>
        </w:rPr>
        <w:t>Entity</w:t>
      </w:r>
      <w:r w:rsidRPr="00FE42B3">
        <w:rPr>
          <w:i w:val="0"/>
          <w:color w:val="auto"/>
        </w:rPr>
        <w:t xml:space="preserve"> resourcing and the financial statements.</w:t>
      </w:r>
    </w:p>
    <w:p w:rsidR="008A2E5A" w:rsidRDefault="008A2E5A" w:rsidP="008A2E5A">
      <w:pPr>
        <w:spacing w:after="0" w:line="240" w:lineRule="auto"/>
        <w:jc w:val="left"/>
        <w:rPr>
          <w:rFonts w:ascii="Arial Bold" w:hAnsi="Arial Bold" w:cs="Arial"/>
          <w:b/>
          <w:smallCaps/>
          <w:sz w:val="26"/>
          <w:szCs w:val="26"/>
        </w:rPr>
      </w:pPr>
      <w:r>
        <w:rPr>
          <w:rFonts w:ascii="Arial Bold" w:hAnsi="Arial Bold" w:cs="Arial"/>
          <w:b/>
          <w:smallCaps/>
          <w:sz w:val="26"/>
          <w:szCs w:val="26"/>
        </w:rPr>
        <w:br w:type="page"/>
      </w:r>
    </w:p>
    <w:p w:rsidR="008A2E5A" w:rsidRPr="00AD33B2" w:rsidRDefault="008A2E5A" w:rsidP="008A2E5A">
      <w:pPr>
        <w:tabs>
          <w:tab w:val="left" w:pos="709"/>
        </w:tabs>
        <w:spacing w:before="240" w:line="240" w:lineRule="auto"/>
        <w:jc w:val="left"/>
        <w:rPr>
          <w:rFonts w:ascii="Arial Bold" w:hAnsi="Arial Bold" w:cs="Arial"/>
          <w:b/>
          <w:smallCaps/>
          <w:sz w:val="26"/>
          <w:szCs w:val="26"/>
        </w:rPr>
      </w:pPr>
      <w:r w:rsidRPr="00AD33B2">
        <w:rPr>
          <w:rFonts w:ascii="Arial Bold" w:hAnsi="Arial Bold" w:cs="Arial"/>
          <w:b/>
          <w:smallCaps/>
          <w:sz w:val="26"/>
          <w:szCs w:val="26"/>
        </w:rPr>
        <w:lastRenderedPageBreak/>
        <w:t>3.2.2</w:t>
      </w:r>
      <w:r w:rsidRPr="00AD33B2">
        <w:rPr>
          <w:rFonts w:ascii="Arial Bold" w:hAnsi="Arial Bold" w:cs="Arial"/>
          <w:b/>
          <w:smallCaps/>
          <w:sz w:val="26"/>
          <w:szCs w:val="26"/>
        </w:rPr>
        <w:tab/>
        <w:t>Analysis of Budgeted Financial Statements</w:t>
      </w:r>
    </w:p>
    <w:p w:rsidR="008A2E5A" w:rsidRPr="003E08CF" w:rsidRDefault="008A2E5A" w:rsidP="008A2E5A">
      <w:pPr>
        <w:pStyle w:val="Heading6"/>
        <w:rPr>
          <w:b/>
          <w:bCs w:val="0"/>
          <w:sz w:val="22"/>
          <w:szCs w:val="20"/>
        </w:rPr>
      </w:pPr>
      <w:r w:rsidRPr="003E08CF">
        <w:rPr>
          <w:b/>
          <w:bCs w:val="0"/>
          <w:sz w:val="22"/>
          <w:szCs w:val="20"/>
        </w:rPr>
        <w:t>Budgeted Departmental Income Statement</w:t>
      </w:r>
    </w:p>
    <w:p w:rsidR="008A2E5A" w:rsidRPr="003E08CF" w:rsidRDefault="008A2E5A" w:rsidP="008A2E5A">
      <w:pPr>
        <w:pStyle w:val="Heading6"/>
        <w:rPr>
          <w:b/>
          <w:bCs w:val="0"/>
          <w:sz w:val="22"/>
          <w:szCs w:val="20"/>
        </w:rPr>
      </w:pPr>
      <w:r w:rsidRPr="003E08CF">
        <w:rPr>
          <w:b/>
          <w:bCs w:val="0"/>
          <w:sz w:val="22"/>
          <w:szCs w:val="20"/>
        </w:rPr>
        <w:t>2014-15</w:t>
      </w:r>
    </w:p>
    <w:p w:rsidR="008A2E5A" w:rsidRPr="003E08CF" w:rsidRDefault="008A2E5A" w:rsidP="008A2E5A">
      <w:r w:rsidRPr="003E08CF">
        <w:t xml:space="preserve">The funding received in 2014-15 is more than we expect to receive in 2015-16. The AEC has started to review ways to reduce expenditure to ensure that we can operate within our allocation going forward. </w:t>
      </w:r>
    </w:p>
    <w:p w:rsidR="008A2E5A" w:rsidRPr="003E08CF" w:rsidRDefault="008A2E5A" w:rsidP="008A2E5A">
      <w:pPr>
        <w:pStyle w:val="Heading6"/>
        <w:rPr>
          <w:b/>
          <w:bCs w:val="0"/>
          <w:sz w:val="22"/>
          <w:szCs w:val="20"/>
        </w:rPr>
      </w:pPr>
      <w:r w:rsidRPr="003E08CF">
        <w:rPr>
          <w:b/>
          <w:bCs w:val="0"/>
          <w:sz w:val="22"/>
          <w:szCs w:val="20"/>
        </w:rPr>
        <w:t>2015-16</w:t>
      </w:r>
    </w:p>
    <w:p w:rsidR="008A2E5A" w:rsidRPr="003E08CF" w:rsidRDefault="008A2E5A" w:rsidP="008A2E5A">
      <w:r w:rsidRPr="003E08CF">
        <w:t>The AEC is anticipating a reduction in funding in 2015-16 as a result of previously approved budget measures. The AEC is also expecting a reduction in revenue from the sale of goods and rendering of services of approximately $4.6 million. The AEC ha</w:t>
      </w:r>
      <w:r w:rsidR="00A8425B">
        <w:t>s</w:t>
      </w:r>
      <w:r w:rsidRPr="003E08CF">
        <w:t xml:space="preserve"> reduced </w:t>
      </w:r>
      <w:r w:rsidR="00FD284B">
        <w:t>Full-Time Equivalent (</w:t>
      </w:r>
      <w:r w:rsidRPr="003E08CF">
        <w:t>FTE</w:t>
      </w:r>
      <w:r w:rsidR="00FD284B">
        <w:t>)</w:t>
      </w:r>
      <w:r w:rsidRPr="003E08CF">
        <w:t xml:space="preserve"> numbers to ensure that they can operate within allocated funding. </w:t>
      </w:r>
    </w:p>
    <w:p w:rsidR="008A2E5A" w:rsidRPr="003E08CF" w:rsidRDefault="008A2E5A" w:rsidP="008A2E5A">
      <w:pPr>
        <w:pStyle w:val="Heading6"/>
        <w:rPr>
          <w:b/>
          <w:bCs w:val="0"/>
          <w:sz w:val="22"/>
          <w:szCs w:val="20"/>
        </w:rPr>
      </w:pPr>
      <w:r w:rsidRPr="003E08CF">
        <w:rPr>
          <w:b/>
          <w:bCs w:val="0"/>
          <w:sz w:val="22"/>
          <w:szCs w:val="20"/>
        </w:rPr>
        <w:t>Budgeted Departmental Balance Sheet</w:t>
      </w:r>
    </w:p>
    <w:p w:rsidR="008A2E5A" w:rsidRPr="003E08CF" w:rsidRDefault="008A2E5A" w:rsidP="008A2E5A">
      <w:r w:rsidRPr="003E08CF">
        <w:t>The AEC’s financial position is steady with financial assets averaging $49.3 million in the budget and forward estimates period.  The AEC’s financial assets include $30.5</w:t>
      </w:r>
      <w:r w:rsidR="00A8425B">
        <w:t> </w:t>
      </w:r>
      <w:r w:rsidRPr="003E08CF">
        <w:t>million relating to quarantined appropriation funding from 2013-14. The AEC’s most significant liability is employee entitlements, which is expected to be about $25.5</w:t>
      </w:r>
      <w:r w:rsidR="00A8425B">
        <w:t> </w:t>
      </w:r>
      <w:r w:rsidRPr="003E08CF">
        <w:t>million over the forward estimates period.</w:t>
      </w:r>
    </w:p>
    <w:p w:rsidR="008A2E5A" w:rsidRPr="003E08CF" w:rsidRDefault="008A2E5A" w:rsidP="008A2E5A">
      <w:pPr>
        <w:pStyle w:val="Heading6"/>
        <w:rPr>
          <w:b/>
          <w:bCs w:val="0"/>
          <w:sz w:val="22"/>
          <w:szCs w:val="20"/>
        </w:rPr>
      </w:pPr>
      <w:r w:rsidRPr="003E08CF">
        <w:rPr>
          <w:b/>
          <w:bCs w:val="0"/>
          <w:sz w:val="22"/>
          <w:szCs w:val="20"/>
        </w:rPr>
        <w:t>Budgeted Statement of Cashflows</w:t>
      </w:r>
    </w:p>
    <w:p w:rsidR="008A2E5A" w:rsidRPr="003E08CF" w:rsidRDefault="008A2E5A" w:rsidP="008A2E5A">
      <w:r w:rsidRPr="003E08CF">
        <w:t xml:space="preserve">The </w:t>
      </w:r>
      <w:proofErr w:type="spellStart"/>
      <w:r w:rsidRPr="003E08CF">
        <w:t>cashflow</w:t>
      </w:r>
      <w:proofErr w:type="spellEnd"/>
      <w:r w:rsidRPr="003E08CF">
        <w:t xml:space="preserve"> decreases in 2015-16 due to the decrease in funding.  There is increased investing activity conducted as we prepare for the 2016 Election. The focus on harnessing technology to modernise processes and engage more effectively with electors, results in increased </w:t>
      </w:r>
      <w:proofErr w:type="spellStart"/>
      <w:r w:rsidRPr="003E08CF">
        <w:t>cashflows</w:t>
      </w:r>
      <w:proofErr w:type="spellEnd"/>
      <w:r w:rsidRPr="003E08CF">
        <w:t xml:space="preserve"> for property, plant and equipment and intangibles.</w:t>
      </w:r>
    </w:p>
    <w:p w:rsidR="008A2E5A" w:rsidRPr="003E08CF" w:rsidRDefault="008A2E5A" w:rsidP="008A2E5A">
      <w:pPr>
        <w:pStyle w:val="Heading6"/>
        <w:rPr>
          <w:b/>
          <w:bCs w:val="0"/>
          <w:sz w:val="22"/>
          <w:szCs w:val="20"/>
        </w:rPr>
      </w:pPr>
      <w:r w:rsidRPr="003E08CF">
        <w:rPr>
          <w:b/>
          <w:bCs w:val="0"/>
          <w:sz w:val="22"/>
          <w:szCs w:val="20"/>
        </w:rPr>
        <w:t>Schedule of Administered Activity</w:t>
      </w:r>
    </w:p>
    <w:p w:rsidR="008A2E5A" w:rsidRPr="003E08CF" w:rsidRDefault="008A2E5A" w:rsidP="008A2E5A">
      <w:pPr>
        <w:pStyle w:val="Heading6"/>
        <w:rPr>
          <w:b/>
          <w:bCs w:val="0"/>
          <w:sz w:val="22"/>
          <w:szCs w:val="20"/>
        </w:rPr>
      </w:pPr>
      <w:r w:rsidRPr="003E08CF">
        <w:rPr>
          <w:b/>
          <w:bCs w:val="0"/>
          <w:sz w:val="22"/>
          <w:szCs w:val="20"/>
        </w:rPr>
        <w:t>Schedule of Budgeted Income and Expenses Administered on behalf of Government</w:t>
      </w:r>
    </w:p>
    <w:p w:rsidR="008A2E5A" w:rsidRPr="003E08CF" w:rsidRDefault="008A2E5A" w:rsidP="008A2E5A">
      <w:r w:rsidRPr="003E08CF">
        <w:t xml:space="preserve">The administered revenue for 2014-15 represent election related non-voter fines and penalties. These are expected to decrease in 2015-16 as most non-voters fines relating to the 2013 election event will be collected prior to 30 June 2015. </w:t>
      </w:r>
    </w:p>
    <w:p w:rsidR="008A2E5A" w:rsidRPr="003E08CF" w:rsidRDefault="008A2E5A" w:rsidP="008A2E5A">
      <w:pPr>
        <w:pStyle w:val="Heading6"/>
        <w:rPr>
          <w:b/>
          <w:bCs w:val="0"/>
          <w:sz w:val="22"/>
          <w:szCs w:val="20"/>
        </w:rPr>
      </w:pPr>
      <w:r w:rsidRPr="003E08CF">
        <w:rPr>
          <w:b/>
          <w:bCs w:val="0"/>
          <w:sz w:val="22"/>
          <w:szCs w:val="20"/>
        </w:rPr>
        <w:t>Schedule of Budgeted Assets and Liabilities Administered on behalf of Government</w:t>
      </w:r>
    </w:p>
    <w:p w:rsidR="008A2E5A" w:rsidRPr="003E08CF" w:rsidRDefault="008A2E5A" w:rsidP="008A2E5A">
      <w:r w:rsidRPr="003E08CF">
        <w:t>No administered assets or liabilities are held by the AEC.</w:t>
      </w:r>
    </w:p>
    <w:p w:rsidR="008A2E5A" w:rsidRPr="003E08CF" w:rsidRDefault="008A2E5A" w:rsidP="008A2E5A">
      <w:pPr>
        <w:pStyle w:val="Heading6"/>
        <w:rPr>
          <w:b/>
          <w:bCs w:val="0"/>
          <w:sz w:val="22"/>
          <w:szCs w:val="20"/>
        </w:rPr>
      </w:pPr>
      <w:r w:rsidRPr="003E08CF">
        <w:rPr>
          <w:b/>
          <w:bCs w:val="0"/>
          <w:sz w:val="22"/>
          <w:szCs w:val="20"/>
        </w:rPr>
        <w:t>Schedule of Budgeted Administered Cashflows</w:t>
      </w:r>
    </w:p>
    <w:p w:rsidR="008A2E5A" w:rsidRDefault="008A2E5A" w:rsidP="008A2E5A">
      <w:r w:rsidRPr="003E08CF">
        <w:t>Administered monies are transferred to the Official Public Account on a regular basis.</w:t>
      </w:r>
      <w:r>
        <w:t xml:space="preserve"> </w:t>
      </w:r>
      <w:r>
        <w:br w:type="page"/>
      </w:r>
    </w:p>
    <w:p w:rsidR="008A2E5A" w:rsidRPr="00C94BA1" w:rsidRDefault="003D3DE6" w:rsidP="00E453F8">
      <w:pPr>
        <w:pStyle w:val="Heading5"/>
      </w:pPr>
      <w:r w:rsidRPr="00793F50">
        <w:lastRenderedPageBreak/>
        <w:t xml:space="preserve">Table 3.2.1: </w:t>
      </w:r>
      <w:r>
        <w:t xml:space="preserve">Budgeted Comprehensive Income Statement – </w:t>
      </w:r>
      <w:proofErr w:type="gramStart"/>
      <w:r>
        <w:t>Departmental</w:t>
      </w:r>
      <w:proofErr w:type="gramEnd"/>
      <w:r>
        <w:br/>
        <w:t>(showing Net Cost of Services)</w:t>
      </w:r>
      <w:r>
        <w:br/>
        <w:t>for the period ended 30 June</w:t>
      </w:r>
    </w:p>
    <w:tbl>
      <w:tblPr>
        <w:tblW w:w="7980" w:type="dxa"/>
        <w:tblInd w:w="87" w:type="dxa"/>
        <w:tblLook w:val="04A0"/>
      </w:tblPr>
      <w:tblGrid>
        <w:gridCol w:w="3280"/>
        <w:gridCol w:w="940"/>
        <w:gridCol w:w="940"/>
        <w:gridCol w:w="940"/>
        <w:gridCol w:w="940"/>
        <w:gridCol w:w="940"/>
      </w:tblGrid>
      <w:tr w:rsidR="001B05E5" w:rsidRPr="001B05E5" w:rsidTr="001B05E5">
        <w:trPr>
          <w:trHeight w:val="225"/>
        </w:trPr>
        <w:tc>
          <w:tcPr>
            <w:tcW w:w="328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940" w:type="dxa"/>
            <w:tcBorders>
              <w:top w:val="single" w:sz="4" w:space="0" w:color="auto"/>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9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9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9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9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94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EXPENSES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Employee benefits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78,651</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74,751</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131,630</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75,519</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76,275</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Suppliers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49,912</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51,753</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107,244</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46,520</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48,802</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Depreciation and amortisation</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8,043</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7,995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8,719</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8,206</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8,736</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Other expenses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expenses</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136,691</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134,584</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247,678</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130,330</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133,898</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xml:space="preserve">LESS: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OWN-SOURCE INCOME</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Own-source revenue</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Sale of goods and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300" w:firstLine="480"/>
              <w:jc w:val="left"/>
              <w:rPr>
                <w:rFonts w:ascii="Arial" w:hAnsi="Arial" w:cs="Arial"/>
                <w:sz w:val="16"/>
                <w:szCs w:val="16"/>
              </w:rPr>
            </w:pPr>
            <w:r w:rsidRPr="001B05E5">
              <w:rPr>
                <w:rFonts w:ascii="Arial" w:hAnsi="Arial" w:cs="Arial"/>
                <w:sz w:val="16"/>
                <w:szCs w:val="16"/>
              </w:rPr>
              <w:t>rendering of services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15,521</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10,841</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10,952</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11,038</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11,038</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Total own-source revenue</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15,521</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10,841</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10,952</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11,038</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11,038</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Gains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Other gains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Total gains</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r>
      <w:tr w:rsidR="001B05E5" w:rsidRPr="001B05E5" w:rsidTr="001B05E5">
        <w:trPr>
          <w:trHeight w:val="60"/>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own-source income</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15,606</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10,926</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11,037</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11,123</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11,123</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Net cost of (contribution by)</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 services</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121,085</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123,658</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236,641</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119,207</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122,775</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Revenue from government</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113,528</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115,663</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227,922</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111,001</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114,039</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Surplus (deficit) attributable to the</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Australian Government</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(7,557)</w:t>
            </w:r>
          </w:p>
        </w:tc>
        <w:tc>
          <w:tcPr>
            <w:tcW w:w="940" w:type="dxa"/>
            <w:tcBorders>
              <w:top w:val="single" w:sz="4" w:space="0" w:color="auto"/>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(7,995)</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(8,719)</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(8,206)</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(8,736)</w:t>
            </w: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comprehensive income (loss)</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 xml:space="preserve">attributable to the Australian </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Government</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(7,557)</w:t>
            </w:r>
          </w:p>
        </w:tc>
        <w:tc>
          <w:tcPr>
            <w:tcW w:w="940" w:type="dxa"/>
            <w:tcBorders>
              <w:top w:val="single" w:sz="4" w:space="0" w:color="auto"/>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(7,995)</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(8,719)</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(8,206)</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(8,736)</w:t>
            </w:r>
          </w:p>
        </w:tc>
      </w:tr>
    </w:tbl>
    <w:p w:rsidR="008A2E5A" w:rsidRDefault="008A2E5A" w:rsidP="008A2E5A">
      <w:pPr>
        <w:spacing w:after="0" w:line="240" w:lineRule="auto"/>
        <w:jc w:val="left"/>
      </w:pPr>
    </w:p>
    <w:p w:rsidR="008A2E5A" w:rsidRPr="002A7ECF" w:rsidRDefault="008A2E5A" w:rsidP="008A2E5A">
      <w:pPr>
        <w:spacing w:after="0" w:line="240" w:lineRule="auto"/>
        <w:rPr>
          <w:rFonts w:ascii="Arial" w:hAnsi="Arial" w:cs="Arial"/>
          <w:b/>
        </w:rPr>
      </w:pPr>
      <w:r w:rsidRPr="002A7ECF">
        <w:rPr>
          <w:rFonts w:ascii="Arial" w:hAnsi="Arial" w:cs="Arial"/>
          <w:b/>
        </w:rPr>
        <w:t>Note: Impact of Net Cash Appropriation Arrangements</w:t>
      </w:r>
    </w:p>
    <w:tbl>
      <w:tblPr>
        <w:tblW w:w="7980" w:type="dxa"/>
        <w:tblInd w:w="93" w:type="dxa"/>
        <w:tblLook w:val="04A0"/>
      </w:tblPr>
      <w:tblGrid>
        <w:gridCol w:w="3280"/>
        <w:gridCol w:w="940"/>
        <w:gridCol w:w="940"/>
        <w:gridCol w:w="940"/>
        <w:gridCol w:w="940"/>
        <w:gridCol w:w="940"/>
      </w:tblGrid>
      <w:tr w:rsidR="001B05E5" w:rsidRPr="001B05E5" w:rsidTr="001B05E5">
        <w:trPr>
          <w:trHeight w:val="225"/>
        </w:trPr>
        <w:tc>
          <w:tcPr>
            <w:tcW w:w="328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940" w:type="dxa"/>
            <w:tcBorders>
              <w:top w:val="single" w:sz="4" w:space="0" w:color="auto"/>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94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94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94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Total Comprehensive Income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 xml:space="preserve">(loss) </w:t>
            </w:r>
            <w:r w:rsidRPr="001B05E5">
              <w:rPr>
                <w:rFonts w:ascii="Arial" w:hAnsi="Arial" w:cs="Arial"/>
                <w:b/>
                <w:bCs/>
                <w:sz w:val="16"/>
                <w:szCs w:val="16"/>
              </w:rPr>
              <w:t>including</w:t>
            </w:r>
            <w:r w:rsidRPr="001B05E5">
              <w:rPr>
                <w:rFonts w:ascii="Arial" w:hAnsi="Arial" w:cs="Arial"/>
                <w:b/>
                <w:bCs/>
                <w:color w:val="000000"/>
                <w:sz w:val="16"/>
                <w:szCs w:val="16"/>
              </w:rPr>
              <w:t xml:space="preserve"> depreciation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amortisation expenses</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previously funded through</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revenue appropriations</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486</w:t>
            </w:r>
          </w:p>
        </w:tc>
        <w:tc>
          <w:tcPr>
            <w:tcW w:w="9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sz w:val="16"/>
                <w:szCs w:val="16"/>
              </w:rPr>
              <w:t>less</w:t>
            </w:r>
            <w:r w:rsidRPr="001B05E5">
              <w:rPr>
                <w:rFonts w:ascii="Arial" w:hAnsi="Arial" w:cs="Arial"/>
                <w:color w:val="000000"/>
                <w:sz w:val="16"/>
                <w:szCs w:val="16"/>
              </w:rPr>
              <w:t xml:space="preserve"> depreciation/amortisation</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 xml:space="preserve">expenses previously funded through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revenue appropriations</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(8,043)</w:t>
            </w:r>
          </w:p>
        </w:tc>
        <w:tc>
          <w:tcPr>
            <w:tcW w:w="9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(7,995)</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(8,719)</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(8,206)</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(8,736)</w:t>
            </w:r>
          </w:p>
        </w:tc>
      </w:tr>
      <w:tr w:rsidR="001B05E5" w:rsidRPr="001B05E5" w:rsidTr="001B05E5">
        <w:trPr>
          <w:trHeight w:val="60"/>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Total Comprehensive Income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(loss) - as per the Statement of</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Comprehensive Income</w:t>
            </w:r>
          </w:p>
        </w:tc>
        <w:tc>
          <w:tcPr>
            <w:tcW w:w="940" w:type="dxa"/>
            <w:tcBorders>
              <w:top w:val="single" w:sz="4" w:space="0" w:color="auto"/>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(7,557)</w:t>
            </w:r>
          </w:p>
        </w:tc>
        <w:tc>
          <w:tcPr>
            <w:tcW w:w="940" w:type="dxa"/>
            <w:tcBorders>
              <w:top w:val="single" w:sz="4" w:space="0" w:color="auto"/>
              <w:left w:val="nil"/>
              <w:bottom w:val="single" w:sz="4" w:space="0" w:color="auto"/>
              <w:right w:val="nil"/>
            </w:tcBorders>
            <w:shd w:val="clear" w:color="000000" w:fill="E6E6E6"/>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(7,995)</w:t>
            </w:r>
          </w:p>
        </w:tc>
        <w:tc>
          <w:tcPr>
            <w:tcW w:w="940" w:type="dxa"/>
            <w:tcBorders>
              <w:top w:val="single" w:sz="4" w:space="0" w:color="auto"/>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(8,719)</w:t>
            </w:r>
          </w:p>
        </w:tc>
        <w:tc>
          <w:tcPr>
            <w:tcW w:w="940" w:type="dxa"/>
            <w:tcBorders>
              <w:top w:val="single" w:sz="4" w:space="0" w:color="auto"/>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(8,206)</w:t>
            </w:r>
          </w:p>
        </w:tc>
        <w:tc>
          <w:tcPr>
            <w:tcW w:w="940" w:type="dxa"/>
            <w:tcBorders>
              <w:top w:val="single" w:sz="4" w:space="0" w:color="auto"/>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(8,736)</w:t>
            </w:r>
          </w:p>
        </w:tc>
      </w:tr>
    </w:tbl>
    <w:p w:rsidR="008A2E5A" w:rsidRPr="003A2BE0" w:rsidRDefault="008A2E5A" w:rsidP="008A2E5A">
      <w:pPr>
        <w:pStyle w:val="Source"/>
        <w:tabs>
          <w:tab w:val="clear" w:pos="284"/>
          <w:tab w:val="left" w:pos="0"/>
        </w:tabs>
        <w:rPr>
          <w:sz w:val="6"/>
          <w:szCs w:val="6"/>
          <w:highlight w:val="yellow"/>
        </w:rPr>
      </w:pPr>
    </w:p>
    <w:p w:rsidR="008A2E5A" w:rsidRDefault="008A2E5A" w:rsidP="008A2E5A">
      <w:pPr>
        <w:pStyle w:val="Source"/>
      </w:pPr>
      <w:proofErr w:type="gramStart"/>
      <w:r w:rsidRPr="00E4582E">
        <w:t>Prepared on Australian Accounting Standards basis</w:t>
      </w:r>
      <w:r>
        <w:t>.</w:t>
      </w:r>
      <w:proofErr w:type="gramEnd"/>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3.2.2: </w:t>
      </w:r>
      <w:r>
        <w:t>Budgeted Balance Sheet – Departmental</w:t>
      </w:r>
      <w:r>
        <w:br/>
        <w:t>as at 30 June</w:t>
      </w:r>
    </w:p>
    <w:tbl>
      <w:tblPr>
        <w:tblW w:w="7240" w:type="dxa"/>
        <w:tblInd w:w="93" w:type="dxa"/>
        <w:tblLook w:val="04A0"/>
      </w:tblPr>
      <w:tblGrid>
        <w:gridCol w:w="3040"/>
        <w:gridCol w:w="928"/>
        <w:gridCol w:w="840"/>
        <w:gridCol w:w="840"/>
        <w:gridCol w:w="840"/>
        <w:gridCol w:w="840"/>
      </w:tblGrid>
      <w:tr w:rsidR="001B05E5" w:rsidRPr="001B05E5" w:rsidTr="001B05E5">
        <w:trPr>
          <w:trHeight w:val="225"/>
        </w:trPr>
        <w:tc>
          <w:tcPr>
            <w:tcW w:w="30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4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Financial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 xml:space="preserve">Cash </w:t>
            </w:r>
            <w:r w:rsidRPr="001B05E5">
              <w:rPr>
                <w:rFonts w:ascii="Arial" w:hAnsi="Arial" w:cs="Arial"/>
                <w:sz w:val="16"/>
                <w:szCs w:val="16"/>
              </w:rPr>
              <w:t>and cash equivalents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Trade and other receivables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48,422</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47,682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47,682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47,682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47,682</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financial assets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49,940</w:t>
            </w:r>
          </w:p>
        </w:tc>
        <w:tc>
          <w:tcPr>
            <w:tcW w:w="8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49,200</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49,200</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49,200</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49,200</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Non-financial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Land and buildings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11,405</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12,375</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11,985</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11,098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12,224</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Property, plant and equipment</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6,236</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7,210</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6,261</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8,091</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8,241</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Intangibles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16,839</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18,353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17,156</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16,125</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17,104</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Inventories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 non-financial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non-financial assets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38,067</w:t>
            </w:r>
          </w:p>
        </w:tc>
        <w:tc>
          <w:tcPr>
            <w:tcW w:w="8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41,525</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38,989</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38,901</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41,156</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assets</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88,007</w:t>
            </w:r>
          </w:p>
        </w:tc>
        <w:tc>
          <w:tcPr>
            <w:tcW w:w="8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90,725</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88,189</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88,101</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90,356</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LIABILITIES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Payables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Suppliers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8,229</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7,930</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7,930</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7,930</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7,930</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 payables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payables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13,353</w:t>
            </w:r>
          </w:p>
        </w:tc>
        <w:tc>
          <w:tcPr>
            <w:tcW w:w="8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13,054</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13,054</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13,054</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13,054</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Provisions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Employee provisions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 provisions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provisions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c>
          <w:tcPr>
            <w:tcW w:w="8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liabilities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40,408</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40,109</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40,109</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40,109</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40,109</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assets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47,599</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50,616</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48,080</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47,992</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50,247</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EQUITY</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Contributed equity</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43,190</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54,202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60,385</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68,503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79,494</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Reserves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Retained surplus (accumulated deficit)</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(14,543)</w:t>
            </w:r>
          </w:p>
        </w:tc>
        <w:tc>
          <w:tcPr>
            <w:tcW w:w="8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(22,538)</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(31,257)</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(39,463)</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(48,199)</w:t>
            </w:r>
          </w:p>
        </w:tc>
      </w:tr>
      <w:tr w:rsidR="001B05E5" w:rsidRPr="001B05E5" w:rsidTr="001B05E5">
        <w:trPr>
          <w:trHeight w:val="225"/>
        </w:trPr>
        <w:tc>
          <w:tcPr>
            <w:tcW w:w="30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equity</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47,599</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50,616</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48,080</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47,992</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50,247</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8A2E5A" w:rsidRDefault="008A2E5A" w:rsidP="00622990">
      <w:pPr>
        <w:pStyle w:val="Source"/>
        <w:tabs>
          <w:tab w:val="clear" w:pos="284"/>
          <w:tab w:val="left" w:pos="0"/>
        </w:tabs>
      </w:pPr>
      <w:r>
        <w:br w:type="page"/>
      </w:r>
    </w:p>
    <w:p w:rsidR="008A2E5A" w:rsidRDefault="003D3DE6" w:rsidP="00E453F8">
      <w:pPr>
        <w:pStyle w:val="Heading5"/>
      </w:pPr>
      <w:r w:rsidRPr="00793F50">
        <w:lastRenderedPageBreak/>
        <w:t xml:space="preserve">Table 3.2.3: </w:t>
      </w:r>
      <w:r>
        <w:t>Budgeted Statement of Changes in Equity – Summary of Movement – Departmental</w:t>
      </w:r>
      <w:r>
        <w:br/>
        <w:t>for the period ended 30 June 2016</w:t>
      </w:r>
    </w:p>
    <w:tbl>
      <w:tblPr>
        <w:tblW w:w="6900" w:type="dxa"/>
        <w:tblInd w:w="93" w:type="dxa"/>
        <w:tblLook w:val="04A0"/>
      </w:tblPr>
      <w:tblGrid>
        <w:gridCol w:w="3000"/>
        <w:gridCol w:w="880"/>
        <w:gridCol w:w="1020"/>
        <w:gridCol w:w="1060"/>
        <w:gridCol w:w="940"/>
      </w:tblGrid>
      <w:tr w:rsidR="001B05E5" w:rsidRPr="001B05E5" w:rsidTr="001B05E5">
        <w:trPr>
          <w:trHeight w:val="225"/>
        </w:trPr>
        <w:tc>
          <w:tcPr>
            <w:tcW w:w="30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Retained</w:t>
            </w:r>
          </w:p>
        </w:tc>
        <w:tc>
          <w:tcPr>
            <w:tcW w:w="10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Asset</w:t>
            </w:r>
          </w:p>
        </w:tc>
        <w:tc>
          <w:tcPr>
            <w:tcW w:w="106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Contributed</w:t>
            </w:r>
          </w:p>
        </w:tc>
        <w:tc>
          <w:tcPr>
            <w:tcW w:w="9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Total</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earnings</w:t>
            </w: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revaluation</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equity/</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equity</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reserve</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capital</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102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106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00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Opening balance as at 1 July 2015</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Balance carried forward from</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previous period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(14,543)</w:t>
            </w: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43,190</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47,599</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(14,543)</w:t>
            </w:r>
          </w:p>
        </w:tc>
        <w:tc>
          <w:tcPr>
            <w:tcW w:w="102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18,952</w:t>
            </w:r>
          </w:p>
        </w:tc>
        <w:tc>
          <w:tcPr>
            <w:tcW w:w="106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43,190</w:t>
            </w:r>
          </w:p>
        </w:tc>
        <w:tc>
          <w:tcPr>
            <w:tcW w:w="9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47,599</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Comprehensive income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Surplus/(deficit) for the period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(7,995)</w:t>
            </w: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(7,995)</w:t>
            </w:r>
          </w:p>
        </w:tc>
      </w:tr>
      <w:tr w:rsidR="001B05E5" w:rsidRPr="001B05E5" w:rsidTr="001B05E5">
        <w:trPr>
          <w:trHeight w:val="225"/>
        </w:trPr>
        <w:tc>
          <w:tcPr>
            <w:tcW w:w="300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comprehensive income</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(7,995)</w:t>
            </w:r>
          </w:p>
        </w:tc>
        <w:tc>
          <w:tcPr>
            <w:tcW w:w="102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(7,995)</w:t>
            </w:r>
          </w:p>
        </w:tc>
      </w:tr>
      <w:tr w:rsidR="001B05E5" w:rsidRPr="001B05E5" w:rsidTr="001B05E5">
        <w:trPr>
          <w:trHeight w:val="60"/>
        </w:trPr>
        <w:tc>
          <w:tcPr>
            <w:tcW w:w="300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Transactions with owners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Contributions by owners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Departmental Capital Budget (DCB)</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11,012</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11,012</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Sub-total transactions with owners</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02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c>
          <w:tcPr>
            <w:tcW w:w="9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Estimated closing balance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as at 30 June 2016</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(22,538)</w:t>
            </w:r>
          </w:p>
        </w:tc>
        <w:tc>
          <w:tcPr>
            <w:tcW w:w="10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18,952</w:t>
            </w:r>
          </w:p>
        </w:tc>
        <w:tc>
          <w:tcPr>
            <w:tcW w:w="106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54,202</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50,616</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8A2E5A" w:rsidRDefault="008A2E5A" w:rsidP="008A2E5A">
      <w:r>
        <w:br w:type="page"/>
      </w:r>
    </w:p>
    <w:p w:rsidR="008A2E5A" w:rsidRDefault="003D3DE6" w:rsidP="00E453F8">
      <w:pPr>
        <w:pStyle w:val="Heading5"/>
      </w:pPr>
      <w:r w:rsidRPr="00793F50">
        <w:lastRenderedPageBreak/>
        <w:t xml:space="preserve">Table 3.2.4: </w:t>
      </w:r>
      <w:r>
        <w:t>Budgeted Statement of Cash Flows – Departmental</w:t>
      </w:r>
      <w:r>
        <w:br/>
        <w:t>for the period ended 30 June</w:t>
      </w:r>
    </w:p>
    <w:tbl>
      <w:tblPr>
        <w:tblW w:w="7240" w:type="dxa"/>
        <w:tblInd w:w="93" w:type="dxa"/>
        <w:tblLook w:val="04A0"/>
      </w:tblPr>
      <w:tblGrid>
        <w:gridCol w:w="2840"/>
        <w:gridCol w:w="928"/>
        <w:gridCol w:w="880"/>
        <w:gridCol w:w="880"/>
        <w:gridCol w:w="880"/>
        <w:gridCol w:w="880"/>
      </w:tblGrid>
      <w:tr w:rsidR="001B05E5" w:rsidRPr="001B05E5" w:rsidTr="001B05E5">
        <w:trPr>
          <w:trHeight w:val="225"/>
        </w:trPr>
        <w:tc>
          <w:tcPr>
            <w:tcW w:w="2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113,528</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115,663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227,922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111,001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114,039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Sale of goods and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rendering of services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15,521</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10,841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10,952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11,038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11,038</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129,049</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126,504</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238,874</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122,039</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125,077</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82,716</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74,301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131,630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75,519</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76,275</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44,847</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51,762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107,244</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46,520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48,802</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127,563</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126,063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238,874</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122,039</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125,077</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cash from/(used by)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1,486</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441</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 xml:space="preserve">Purchase of property,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plant and equipment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8,786</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11,453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6,183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8,150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11,099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8,786</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11,453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8,150</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11,099</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cash from/(used by)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investing activities</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(8,786)</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(11,453)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(8,150)</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(11,099)</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7,300</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11,012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6,183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8,150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11,099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7,300</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8,150</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11,099</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cash from/(used by)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financing activities</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7,300</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8,150</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11,099</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increase/(decrease)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in cash held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end of the reporting period</w:t>
            </w:r>
          </w:p>
        </w:tc>
        <w:tc>
          <w:tcPr>
            <w:tcW w:w="880" w:type="dxa"/>
            <w:tcBorders>
              <w:top w:val="single" w:sz="4" w:space="0" w:color="000000"/>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c>
          <w:tcPr>
            <w:tcW w:w="880" w:type="dxa"/>
            <w:tcBorders>
              <w:top w:val="single" w:sz="4" w:space="0" w:color="000000"/>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c>
          <w:tcPr>
            <w:tcW w:w="880" w:type="dxa"/>
            <w:tcBorders>
              <w:top w:val="single" w:sz="4" w:space="0" w:color="000000"/>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c>
          <w:tcPr>
            <w:tcW w:w="880" w:type="dxa"/>
            <w:tcBorders>
              <w:top w:val="single" w:sz="4" w:space="0" w:color="000000"/>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c>
          <w:tcPr>
            <w:tcW w:w="880" w:type="dxa"/>
            <w:tcBorders>
              <w:top w:val="single" w:sz="4" w:space="0" w:color="000000"/>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8A2E5A" w:rsidRDefault="008A2E5A" w:rsidP="00622990">
      <w:pPr>
        <w:pStyle w:val="Source"/>
        <w:tabs>
          <w:tab w:val="clear" w:pos="284"/>
          <w:tab w:val="left" w:pos="0"/>
        </w:tabs>
      </w:pPr>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3.2.5: </w:t>
      </w:r>
      <w:r>
        <w:t>Capital Budget Statement – Departmental</w:t>
      </w:r>
      <w:r w:rsidRPr="00793F50">
        <w:br/>
        <w:t>for the period ended 30 June</w:t>
      </w:r>
    </w:p>
    <w:tbl>
      <w:tblPr>
        <w:tblW w:w="7400" w:type="dxa"/>
        <w:tblInd w:w="93" w:type="dxa"/>
        <w:tblLook w:val="04A0"/>
      </w:tblPr>
      <w:tblGrid>
        <w:gridCol w:w="3200"/>
        <w:gridCol w:w="928"/>
        <w:gridCol w:w="821"/>
        <w:gridCol w:w="821"/>
        <w:gridCol w:w="840"/>
        <w:gridCol w:w="880"/>
      </w:tblGrid>
      <w:tr w:rsidR="001B05E5" w:rsidRPr="001B05E5" w:rsidTr="001B05E5">
        <w:trPr>
          <w:trHeight w:val="225"/>
        </w:trPr>
        <w:tc>
          <w:tcPr>
            <w:tcW w:w="320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Estimated</w:t>
            </w:r>
          </w:p>
        </w:tc>
        <w:tc>
          <w:tcPr>
            <w:tcW w:w="820" w:type="dxa"/>
            <w:tcBorders>
              <w:top w:val="single" w:sz="4" w:space="0" w:color="auto"/>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Budget</w:t>
            </w:r>
          </w:p>
        </w:tc>
        <w:tc>
          <w:tcPr>
            <w:tcW w:w="82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Forward</w:t>
            </w:r>
          </w:p>
        </w:tc>
        <w:tc>
          <w:tcPr>
            <w:tcW w:w="8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Forward</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Forward</w:t>
            </w:r>
          </w:p>
        </w:tc>
      </w:tr>
      <w:tr w:rsidR="001B05E5" w:rsidRPr="001B05E5" w:rsidTr="001B05E5">
        <w:trPr>
          <w:trHeight w:val="225"/>
        </w:trPr>
        <w:tc>
          <w:tcPr>
            <w:tcW w:w="32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r>
      <w:tr w:rsidR="001B05E5" w:rsidRPr="001B05E5" w:rsidTr="001B05E5">
        <w:trPr>
          <w:trHeight w:val="225"/>
        </w:trPr>
        <w:tc>
          <w:tcPr>
            <w:tcW w:w="32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4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2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NEW CAPITAL APPROPRIATIONS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Capital Budget (DCB) - Bill 1</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7,300</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11,012</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6,183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10,991</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new capital appropriations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7,300</w:t>
            </w:r>
          </w:p>
        </w:tc>
        <w:tc>
          <w:tcPr>
            <w:tcW w:w="82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c>
          <w:tcPr>
            <w:tcW w:w="82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8,118</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10,991</w:t>
            </w:r>
          </w:p>
        </w:tc>
      </w:tr>
      <w:tr w:rsidR="001B05E5" w:rsidRPr="001B05E5" w:rsidTr="001B05E5">
        <w:trPr>
          <w:trHeight w:val="6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Provided for:</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Purchase of non-financial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7,300</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11,012</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6,183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10,991</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Total Items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7,300</w:t>
            </w:r>
          </w:p>
        </w:tc>
        <w:tc>
          <w:tcPr>
            <w:tcW w:w="8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11,012</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6,183</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8,118</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10,991</w:t>
            </w:r>
          </w:p>
        </w:tc>
      </w:tr>
      <w:tr w:rsidR="001B05E5" w:rsidRPr="001B05E5" w:rsidTr="001B05E5">
        <w:trPr>
          <w:trHeight w:val="6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PURCHASE OF NON-FINANCIAL</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ASSETS</w:t>
            </w:r>
          </w:p>
        </w:tc>
        <w:tc>
          <w:tcPr>
            <w:tcW w:w="8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4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Funded by DCB </w:t>
            </w:r>
            <w:r w:rsidRPr="001B05E5">
              <w:rPr>
                <w:rFonts w:ascii="Arial" w:hAnsi="Arial" w:cs="Arial"/>
                <w:sz w:val="16"/>
                <w:szCs w:val="16"/>
                <w:vertAlign w:val="superscript"/>
              </w:rPr>
              <w:t>1</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7,300</w:t>
            </w:r>
          </w:p>
        </w:tc>
        <w:tc>
          <w:tcPr>
            <w:tcW w:w="82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11,012</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6,183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10,991</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Funded internally from</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4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departmental resources </w:t>
            </w:r>
            <w:r w:rsidRPr="001B05E5">
              <w:rPr>
                <w:rFonts w:ascii="Arial" w:hAnsi="Arial" w:cs="Arial"/>
                <w:sz w:val="16"/>
                <w:szCs w:val="16"/>
                <w:vertAlign w:val="superscript"/>
              </w:rPr>
              <w:t>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1,486</w:t>
            </w:r>
          </w:p>
        </w:tc>
        <w:tc>
          <w:tcPr>
            <w:tcW w:w="82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441</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8,786</w:t>
            </w:r>
          </w:p>
        </w:tc>
        <w:tc>
          <w:tcPr>
            <w:tcW w:w="8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11,453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6,183</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8,118</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10,991</w:t>
            </w:r>
          </w:p>
        </w:tc>
      </w:tr>
      <w:tr w:rsidR="001B05E5" w:rsidRPr="001B05E5" w:rsidTr="001B05E5">
        <w:trPr>
          <w:trHeight w:val="6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RECONCILIATION OF CASH</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USED TO ACQUIRE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 ASSET MOVEMENT TABLE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Total asset additions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8,786</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11,453</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6,183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10,991</w:t>
            </w:r>
          </w:p>
        </w:tc>
      </w:tr>
      <w:tr w:rsidR="001B05E5" w:rsidRPr="001B05E5" w:rsidTr="001B05E5">
        <w:trPr>
          <w:trHeight w:val="6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25"/>
        </w:trPr>
        <w:tc>
          <w:tcPr>
            <w:tcW w:w="3200" w:type="dxa"/>
            <w:tcBorders>
              <w:top w:val="nil"/>
              <w:left w:val="nil"/>
              <w:bottom w:val="single" w:sz="4" w:space="0" w:color="auto"/>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cash used to acquire assets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8,786</w:t>
            </w:r>
          </w:p>
        </w:tc>
        <w:tc>
          <w:tcPr>
            <w:tcW w:w="8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11,453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6,183</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8,118</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10,991</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622990" w:rsidRPr="00622990" w:rsidRDefault="00622990" w:rsidP="00622990">
      <w:pPr>
        <w:spacing w:after="0" w:line="240" w:lineRule="auto"/>
        <w:outlineLvl w:val="6"/>
        <w:rPr>
          <w:rFonts w:ascii="Arial" w:hAnsi="Arial" w:cs="Arial"/>
          <w:sz w:val="15"/>
          <w:szCs w:val="15"/>
        </w:rPr>
      </w:pPr>
    </w:p>
    <w:p w:rsidR="008A2E5A" w:rsidRPr="00F622A4" w:rsidRDefault="008A2E5A" w:rsidP="008A2E5A">
      <w:pPr>
        <w:pStyle w:val="ListParagraph"/>
        <w:numPr>
          <w:ilvl w:val="0"/>
          <w:numId w:val="45"/>
        </w:numPr>
        <w:spacing w:after="60" w:line="240" w:lineRule="auto"/>
        <w:ind w:left="426" w:hanging="426"/>
        <w:contextualSpacing w:val="0"/>
        <w:outlineLvl w:val="6"/>
        <w:rPr>
          <w:rFonts w:ascii="Arial" w:eastAsia="Times New Roman" w:hAnsi="Arial" w:cs="Arial"/>
          <w:sz w:val="15"/>
          <w:szCs w:val="15"/>
          <w:lang w:val="en-AU" w:eastAsia="en-AU"/>
        </w:rPr>
      </w:pPr>
      <w:r w:rsidRPr="00F622A4">
        <w:rPr>
          <w:rFonts w:ascii="Arial" w:eastAsia="Times New Roman" w:hAnsi="Arial" w:cs="Arial"/>
          <w:sz w:val="15"/>
          <w:szCs w:val="15"/>
          <w:lang w:val="en-AU" w:eastAsia="en-AU"/>
        </w:rPr>
        <w:t xml:space="preserve">Does not include annual finance lease costs. Include purchases from current and previous years' </w:t>
      </w:r>
      <w:r w:rsidR="00123514">
        <w:rPr>
          <w:rFonts w:ascii="Arial" w:eastAsia="Times New Roman" w:hAnsi="Arial" w:cs="Arial"/>
          <w:sz w:val="15"/>
          <w:szCs w:val="15"/>
          <w:lang w:val="en-AU" w:eastAsia="en-AU"/>
        </w:rPr>
        <w:t>DCBs</w:t>
      </w:r>
      <w:r w:rsidRPr="00F622A4">
        <w:rPr>
          <w:rFonts w:ascii="Arial" w:eastAsia="Times New Roman" w:hAnsi="Arial" w:cs="Arial"/>
          <w:sz w:val="15"/>
          <w:szCs w:val="15"/>
          <w:lang w:val="en-AU" w:eastAsia="en-AU"/>
        </w:rPr>
        <w:t>.</w:t>
      </w:r>
    </w:p>
    <w:p w:rsidR="008A2E5A" w:rsidRPr="00F622A4" w:rsidRDefault="008A2E5A" w:rsidP="008A2E5A">
      <w:pPr>
        <w:pStyle w:val="ListParagraph"/>
        <w:numPr>
          <w:ilvl w:val="0"/>
          <w:numId w:val="45"/>
        </w:numPr>
        <w:spacing w:after="60" w:line="240" w:lineRule="auto"/>
        <w:ind w:left="426" w:hanging="426"/>
        <w:contextualSpacing w:val="0"/>
        <w:outlineLvl w:val="6"/>
        <w:rPr>
          <w:rFonts w:ascii="Arial" w:eastAsia="Times New Roman" w:hAnsi="Arial" w:cs="Arial"/>
          <w:sz w:val="15"/>
          <w:szCs w:val="15"/>
          <w:lang w:val="en-AU" w:eastAsia="en-AU"/>
        </w:rPr>
      </w:pPr>
      <w:r w:rsidRPr="00F622A4">
        <w:rPr>
          <w:rFonts w:ascii="Arial" w:eastAsia="Times New Roman" w:hAnsi="Arial" w:cs="Arial"/>
          <w:sz w:val="15"/>
          <w:szCs w:val="15"/>
          <w:lang w:val="en-AU" w:eastAsia="en-AU"/>
        </w:rPr>
        <w:t>Includes the following sources of funding:</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current Bill 1 and prior year Act 1/3/5 appropriations (excluding amounts from the DCB);</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donations and contributions;</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gifts;</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internally developed assets;</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 xml:space="preserve">s74 relevant </w:t>
      </w:r>
      <w:r w:rsidR="00081A28">
        <w:rPr>
          <w:rFonts w:ascii="Arial" w:hAnsi="Arial" w:cs="Arial"/>
          <w:sz w:val="15"/>
          <w:szCs w:val="15"/>
        </w:rPr>
        <w:t>entity</w:t>
      </w:r>
      <w:r w:rsidRPr="00F622A4">
        <w:rPr>
          <w:rFonts w:ascii="Arial" w:hAnsi="Arial" w:cs="Arial"/>
          <w:sz w:val="15"/>
          <w:szCs w:val="15"/>
        </w:rPr>
        <w:t xml:space="preserve"> receipts; and</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proofErr w:type="gramStart"/>
      <w:r w:rsidRPr="00F622A4">
        <w:rPr>
          <w:rFonts w:ascii="Arial" w:hAnsi="Arial" w:cs="Arial"/>
          <w:sz w:val="15"/>
          <w:szCs w:val="15"/>
        </w:rPr>
        <w:t>proceeds</w:t>
      </w:r>
      <w:proofErr w:type="gramEnd"/>
      <w:r w:rsidRPr="00F622A4">
        <w:rPr>
          <w:rFonts w:ascii="Arial" w:hAnsi="Arial" w:cs="Arial"/>
          <w:sz w:val="15"/>
          <w:szCs w:val="15"/>
        </w:rPr>
        <w:t xml:space="preserve"> from the sale of assets.</w:t>
      </w:r>
    </w:p>
    <w:p w:rsidR="008A2E5A" w:rsidRDefault="008A2E5A" w:rsidP="008A2E5A">
      <w:pPr>
        <w:spacing w:after="0" w:line="240" w:lineRule="auto"/>
        <w:jc w:val="left"/>
      </w:pPr>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3.2.6: </w:t>
      </w:r>
      <w:r>
        <w:t>Budgeted Statement of Asset Movements – Departmental</w:t>
      </w:r>
      <w:r>
        <w:br/>
        <w:t>for the period ended 30 June 2016</w:t>
      </w:r>
    </w:p>
    <w:tbl>
      <w:tblPr>
        <w:tblW w:w="6380" w:type="dxa"/>
        <w:tblInd w:w="93" w:type="dxa"/>
        <w:tblLook w:val="04A0"/>
      </w:tblPr>
      <w:tblGrid>
        <w:gridCol w:w="2620"/>
        <w:gridCol w:w="880"/>
        <w:gridCol w:w="1000"/>
        <w:gridCol w:w="981"/>
        <w:gridCol w:w="940"/>
      </w:tblGrid>
      <w:tr w:rsidR="001B05E5" w:rsidRPr="001B05E5" w:rsidTr="001B05E5">
        <w:trPr>
          <w:trHeight w:val="225"/>
        </w:trPr>
        <w:tc>
          <w:tcPr>
            <w:tcW w:w="262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Buildings</w:t>
            </w:r>
          </w:p>
        </w:tc>
        <w:tc>
          <w:tcPr>
            <w:tcW w:w="100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Other</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Computer</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Total</w:t>
            </w:r>
          </w:p>
        </w:tc>
      </w:tr>
      <w:tr w:rsidR="001B05E5" w:rsidRPr="001B05E5" w:rsidTr="001B05E5">
        <w:trPr>
          <w:trHeight w:val="225"/>
        </w:trPr>
        <w:tc>
          <w:tcPr>
            <w:tcW w:w="26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xml:space="preserve">property, </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software</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plant and</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and</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equipment</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intangibles</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00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225"/>
        </w:trPr>
        <w:tc>
          <w:tcPr>
            <w:tcW w:w="262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As at 1 July 2015</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Gross book value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14,514</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8,803</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54,482</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77,799</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Accumulated depreciation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amortisation and impairment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(3,109)</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(2,567)</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(37,643)</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(43,319)</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Opening net book balance</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11,405</w:t>
            </w:r>
          </w:p>
        </w:tc>
        <w:tc>
          <w:tcPr>
            <w:tcW w:w="100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6,236</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16,839</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34,480</w:t>
            </w:r>
          </w:p>
        </w:tc>
      </w:tr>
      <w:tr w:rsidR="001B05E5" w:rsidRPr="001B05E5" w:rsidTr="001B05E5">
        <w:trPr>
          <w:trHeight w:val="60"/>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CAPITAL ASSET ADDITIONS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Estimated expenditure on</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new or replacement assets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By purchase - appropriation</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 ordinary annual services </w:t>
            </w:r>
            <w:r w:rsidRPr="001B05E5">
              <w:rPr>
                <w:rFonts w:ascii="Arial" w:hAnsi="Arial" w:cs="Arial"/>
                <w:sz w:val="16"/>
                <w:szCs w:val="16"/>
                <w:vertAlign w:val="superscript"/>
              </w:rPr>
              <w:t>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3,600</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3,653</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4,200</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11,453</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additions</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3,600</w:t>
            </w:r>
          </w:p>
        </w:tc>
        <w:tc>
          <w:tcPr>
            <w:tcW w:w="100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3,653</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4,200</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11,453</w:t>
            </w:r>
          </w:p>
        </w:tc>
      </w:tr>
      <w:tr w:rsidR="001B05E5" w:rsidRPr="001B05E5" w:rsidTr="001B05E5">
        <w:trPr>
          <w:trHeight w:val="60"/>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100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Other movements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Depreciation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amortisation expense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(2,630)</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(2,679)</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(2,686)</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(7,995)</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other movements</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(2,630)</w:t>
            </w:r>
          </w:p>
        </w:tc>
        <w:tc>
          <w:tcPr>
            <w:tcW w:w="100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(2,679)</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(2,686)</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(7,995)</w:t>
            </w:r>
          </w:p>
        </w:tc>
      </w:tr>
      <w:tr w:rsidR="001B05E5" w:rsidRPr="001B05E5" w:rsidTr="001B05E5">
        <w:trPr>
          <w:trHeight w:val="60"/>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As at 30 June 2016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Gross book value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18,114</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12,456</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58,682</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89,252</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Accumulated depreciation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amortisation and impairment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(5,739)</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(5,246)</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(40,329)</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(51,314)</w:t>
            </w:r>
          </w:p>
        </w:tc>
      </w:tr>
      <w:tr w:rsidR="001B05E5" w:rsidRPr="001B05E5" w:rsidTr="001B05E5">
        <w:trPr>
          <w:trHeight w:val="225"/>
        </w:trPr>
        <w:tc>
          <w:tcPr>
            <w:tcW w:w="262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Closing net book balance</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12,375</w:t>
            </w:r>
          </w:p>
        </w:tc>
        <w:tc>
          <w:tcPr>
            <w:tcW w:w="100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7,210</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18,353</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37,938</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622990" w:rsidRDefault="00622990" w:rsidP="00622990">
      <w:pPr>
        <w:pStyle w:val="Source"/>
      </w:pPr>
    </w:p>
    <w:p w:rsidR="008A2E5A" w:rsidRPr="00F622A4" w:rsidRDefault="00FC68BF" w:rsidP="008A2E5A">
      <w:pPr>
        <w:pStyle w:val="ListParagraph"/>
        <w:numPr>
          <w:ilvl w:val="0"/>
          <w:numId w:val="46"/>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w:t>
      </w:r>
      <w:r w:rsidR="008A2E5A" w:rsidRPr="00F622A4">
        <w:rPr>
          <w:rFonts w:ascii="Arial" w:eastAsia="Times New Roman" w:hAnsi="Arial" w:cs="Arial"/>
          <w:sz w:val="15"/>
          <w:szCs w:val="15"/>
          <w:lang w:val="en-AU" w:eastAsia="en-AU"/>
        </w:rPr>
        <w:t>Appropriation ordinary annual services</w:t>
      </w:r>
      <w:r>
        <w:rPr>
          <w:rFonts w:ascii="Arial" w:eastAsia="Times New Roman" w:hAnsi="Arial" w:cs="Arial"/>
          <w:sz w:val="15"/>
          <w:szCs w:val="15"/>
          <w:lang w:val="en-AU" w:eastAsia="en-AU"/>
        </w:rPr>
        <w:t>’</w:t>
      </w:r>
      <w:r w:rsidR="008A2E5A" w:rsidRPr="00F622A4">
        <w:rPr>
          <w:rFonts w:ascii="Arial" w:eastAsia="Times New Roman" w:hAnsi="Arial" w:cs="Arial"/>
          <w:sz w:val="15"/>
          <w:szCs w:val="15"/>
          <w:lang w:val="en-AU" w:eastAsia="en-AU"/>
        </w:rPr>
        <w:t xml:space="preserve"> refers to funding provided through Appropriation Bill (No.1) 2015-16 for depreciation / amortisation expenses, DCBs or other operational expenses.</w:t>
      </w:r>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3.2.7: </w:t>
      </w:r>
      <w:r>
        <w:t>Budgeted Schedule of Income and Expenses Administered on Behalf of the Government</w:t>
      </w:r>
      <w:r>
        <w:br/>
        <w:t>for the period ended 30 June</w:t>
      </w:r>
    </w:p>
    <w:tbl>
      <w:tblPr>
        <w:tblW w:w="7140" w:type="dxa"/>
        <w:tblInd w:w="93" w:type="dxa"/>
        <w:tblLook w:val="04A0"/>
      </w:tblPr>
      <w:tblGrid>
        <w:gridCol w:w="3000"/>
        <w:gridCol w:w="928"/>
        <w:gridCol w:w="840"/>
        <w:gridCol w:w="821"/>
        <w:gridCol w:w="821"/>
        <w:gridCol w:w="821"/>
      </w:tblGrid>
      <w:tr w:rsidR="001B05E5" w:rsidRPr="001B05E5" w:rsidTr="001B05E5">
        <w:trPr>
          <w:trHeight w:val="225"/>
        </w:trPr>
        <w:tc>
          <w:tcPr>
            <w:tcW w:w="30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4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8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2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2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2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2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2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EXPENSES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 expenses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76,000</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expenses administered</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on behalf of government</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76,000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LESS: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OWN-SOURCE INCOME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Non-taxation revenue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Fees and fines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2,000</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non-taxation revenue</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own-sourced income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administered on behalf of</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government</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cost of (contribution by)</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services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(64)</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74,000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comprehensive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income (loss)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64</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(74,000)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3.2.8: </w:t>
      </w:r>
      <w:r>
        <w:t>Budgeted Schedule of Assets and Liabilities Administered on Behalf of Government</w:t>
      </w:r>
      <w:r>
        <w:br/>
        <w:t>as at 30 June</w:t>
      </w:r>
    </w:p>
    <w:p w:rsidR="008A2E5A" w:rsidRDefault="008A2E5A" w:rsidP="003E08CF">
      <w:pPr>
        <w:spacing w:before="240" w:after="0" w:line="240" w:lineRule="auto"/>
        <w:jc w:val="left"/>
      </w:pPr>
      <w:r>
        <w:t>The AEC has no budgeted assets and liabilities administered on behalf of the government.</w:t>
      </w:r>
    </w:p>
    <w:p w:rsidR="008A2E5A" w:rsidRDefault="008A2E5A" w:rsidP="008A2E5A">
      <w:pPr>
        <w:spacing w:after="0" w:line="240" w:lineRule="auto"/>
        <w:jc w:val="left"/>
      </w:pPr>
    </w:p>
    <w:p w:rsidR="008A2E5A" w:rsidRDefault="003D3DE6" w:rsidP="00E453F8">
      <w:pPr>
        <w:pStyle w:val="Heading5"/>
      </w:pPr>
      <w:r w:rsidRPr="00793F50">
        <w:t xml:space="preserve">Table 3.2.9: </w:t>
      </w:r>
      <w:r>
        <w:t>Budgeted Schedule of Administered Cash Flows</w:t>
      </w:r>
      <w:r>
        <w:br/>
        <w:t>for the period ended 30 June</w:t>
      </w:r>
    </w:p>
    <w:tbl>
      <w:tblPr>
        <w:tblW w:w="7240" w:type="dxa"/>
        <w:tblInd w:w="93" w:type="dxa"/>
        <w:tblLook w:val="04A0"/>
      </w:tblPr>
      <w:tblGrid>
        <w:gridCol w:w="2840"/>
        <w:gridCol w:w="928"/>
        <w:gridCol w:w="880"/>
        <w:gridCol w:w="880"/>
        <w:gridCol w:w="880"/>
        <w:gridCol w:w="880"/>
      </w:tblGrid>
      <w:tr w:rsidR="001B05E5" w:rsidRPr="001B05E5" w:rsidTr="001B05E5">
        <w:trPr>
          <w:trHeight w:val="225"/>
        </w:trPr>
        <w:tc>
          <w:tcPr>
            <w:tcW w:w="2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2,000</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76,000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76,000</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cash from (used by)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64</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(74,000)</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increase (decrease) in</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cash held</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64</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(74,000)</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Cash and cash equivalents at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beginning of reporting period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720" w:type="dxa"/>
            <w:gridSpan w:val="2"/>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Cash from Official Public Account for:</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 Appropriations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76,000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Cash to Official Public Account for:</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 Appropriations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and cash equivalents at end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of reporting period</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bl>
    <w:p w:rsidR="00683005" w:rsidRPr="00085A71" w:rsidRDefault="00683005" w:rsidP="00683005">
      <w:pPr>
        <w:spacing w:after="0" w:line="240" w:lineRule="auto"/>
        <w:rPr>
          <w:sz w:val="6"/>
          <w:szCs w:val="6"/>
        </w:rPr>
      </w:pPr>
    </w:p>
    <w:p w:rsidR="00683005" w:rsidRDefault="00683005" w:rsidP="00683005">
      <w:pPr>
        <w:pStyle w:val="Source"/>
      </w:pPr>
      <w:proofErr w:type="gramStart"/>
      <w:r w:rsidRPr="00085A71">
        <w:t>Prepared on Australian Accounting Standards basis.</w:t>
      </w:r>
      <w:proofErr w:type="gramEnd"/>
    </w:p>
    <w:p w:rsidR="008A2E5A" w:rsidRDefault="008A2E5A" w:rsidP="008A2E5A">
      <w:pPr>
        <w:spacing w:after="0" w:line="240" w:lineRule="auto"/>
        <w:jc w:val="left"/>
      </w:pPr>
    </w:p>
    <w:sectPr w:rsidR="008A2E5A" w:rsidSect="00AA27AA">
      <w:headerReference w:type="even" r:id="rId13"/>
      <w:headerReference w:type="default" r:id="rId14"/>
      <w:headerReference w:type="first" r:id="rId15"/>
      <w:type w:val="oddPage"/>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75" w:rsidRDefault="00321575" w:rsidP="00C07DEC">
      <w:r>
        <w:separator/>
      </w:r>
    </w:p>
  </w:endnote>
  <w:endnote w:type="continuationSeparator" w:id="0">
    <w:p w:rsidR="00321575" w:rsidRDefault="00321575" w:rsidP="00C07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DF394A">
    <w:pPr>
      <w:pStyle w:val="Footer"/>
    </w:pPr>
    <w:r>
      <w:rPr>
        <w:rStyle w:val="PageNumber"/>
      </w:rPr>
      <w:fldChar w:fldCharType="begin"/>
    </w:r>
    <w:r w:rsidR="00321575">
      <w:rPr>
        <w:rStyle w:val="PageNumber"/>
      </w:rPr>
      <w:instrText xml:space="preserve"> PAGE </w:instrText>
    </w:r>
    <w:r>
      <w:rPr>
        <w:rStyle w:val="PageNumber"/>
      </w:rPr>
      <w:fldChar w:fldCharType="separate"/>
    </w:r>
    <w:r w:rsidR="008A0701">
      <w:rPr>
        <w:rStyle w:val="PageNumber"/>
        <w:noProof/>
      </w:rPr>
      <w:t>104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DF394A" w:rsidP="001808A4">
    <w:pPr>
      <w:pStyle w:val="Footer"/>
    </w:pPr>
    <w:r>
      <w:rPr>
        <w:rStyle w:val="PageNumber"/>
      </w:rPr>
      <w:fldChar w:fldCharType="begin"/>
    </w:r>
    <w:r w:rsidR="00321575">
      <w:rPr>
        <w:rStyle w:val="PageNumber"/>
      </w:rPr>
      <w:instrText xml:space="preserve"> PAGE </w:instrText>
    </w:r>
    <w:r>
      <w:rPr>
        <w:rStyle w:val="PageNumber"/>
      </w:rPr>
      <w:fldChar w:fldCharType="separate"/>
    </w:r>
    <w:r w:rsidR="008A0701">
      <w:rPr>
        <w:rStyle w:val="PageNumber"/>
        <w:noProof/>
      </w:rPr>
      <w:t>87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75" w:rsidRDefault="00321575" w:rsidP="00C07DEC">
      <w:r>
        <w:separator/>
      </w:r>
    </w:p>
  </w:footnote>
  <w:footnote w:type="continuationSeparator" w:id="0">
    <w:p w:rsidR="00321575" w:rsidRDefault="00321575" w:rsidP="00C0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8A0701" w:rsidP="00361259">
    <w:pPr>
      <w:pStyle w:val="HeaderEven"/>
    </w:pPr>
    <w:r>
      <w:t>AEC Budget Statements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8A0701" w:rsidP="00361259">
    <w:pPr>
      <w:pStyle w:val="HeaderOdd"/>
    </w:pPr>
    <w:r>
      <w:t>AEC Budget Statements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F10D71" w:rsidRDefault="00321575" w:rsidP="00F10D71">
    <w:pPr>
      <w:pStyle w:val="HeaderOd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32A"/>
    <w:multiLevelType w:val="hybridMultilevel"/>
    <w:tmpl w:val="15549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8F0871"/>
    <w:multiLevelType w:val="hybridMultilevel"/>
    <w:tmpl w:val="2F1A5AD4"/>
    <w:lvl w:ilvl="0" w:tplc="AB205F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20EA0"/>
    <w:multiLevelType w:val="singleLevel"/>
    <w:tmpl w:val="3982C1BE"/>
    <w:lvl w:ilvl="0">
      <w:start w:val="1"/>
      <w:numFmt w:val="bullet"/>
      <w:lvlRestart w:val="0"/>
      <w:lvlText w:val="•"/>
      <w:lvlJc w:val="left"/>
      <w:pPr>
        <w:tabs>
          <w:tab w:val="num" w:pos="284"/>
        </w:tabs>
        <w:ind w:left="284" w:hanging="284"/>
      </w:pPr>
      <w:rPr>
        <w:b w:val="0"/>
        <w:i w:val="0"/>
        <w:color w:val="000000"/>
      </w:rPr>
    </w:lvl>
  </w:abstractNum>
  <w:abstractNum w:abstractNumId="3">
    <w:nsid w:val="04862A55"/>
    <w:multiLevelType w:val="hybridMultilevel"/>
    <w:tmpl w:val="94C23C9A"/>
    <w:lvl w:ilvl="0" w:tplc="A0A085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E16BE4"/>
    <w:multiLevelType w:val="hybridMultilevel"/>
    <w:tmpl w:val="A6AA4530"/>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A102D9"/>
    <w:multiLevelType w:val="hybridMultilevel"/>
    <w:tmpl w:val="C36C9B0E"/>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934D57"/>
    <w:multiLevelType w:val="hybridMultilevel"/>
    <w:tmpl w:val="84D2EA4A"/>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nsid w:val="10DD14C3"/>
    <w:multiLevelType w:val="hybridMultilevel"/>
    <w:tmpl w:val="48600C24"/>
    <w:lvl w:ilvl="0" w:tplc="40348D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943BA1"/>
    <w:multiLevelType w:val="hybridMultilevel"/>
    <w:tmpl w:val="8A78BCBC"/>
    <w:lvl w:ilvl="0" w:tplc="FD0C50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3F16A7"/>
    <w:multiLevelType w:val="hybridMultilevel"/>
    <w:tmpl w:val="7F5EDCBE"/>
    <w:lvl w:ilvl="0" w:tplc="0B4220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EB0CD5"/>
    <w:multiLevelType w:val="hybridMultilevel"/>
    <w:tmpl w:val="0FEC347A"/>
    <w:lvl w:ilvl="0" w:tplc="A5343F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EB74B8"/>
    <w:multiLevelType w:val="hybridMultilevel"/>
    <w:tmpl w:val="350C8036"/>
    <w:lvl w:ilvl="0" w:tplc="3B4AFF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BA4584"/>
    <w:multiLevelType w:val="hybridMultilevel"/>
    <w:tmpl w:val="1CD807EC"/>
    <w:lvl w:ilvl="0" w:tplc="7B54D7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247475"/>
    <w:multiLevelType w:val="hybridMultilevel"/>
    <w:tmpl w:val="DC8212C0"/>
    <w:name w:val="ExampleTextBullet22"/>
    <w:lvl w:ilvl="0" w:tplc="50B806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746F3E"/>
    <w:multiLevelType w:val="hybridMultilevel"/>
    <w:tmpl w:val="C2A245AE"/>
    <w:lvl w:ilvl="0" w:tplc="F29C03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E957F0"/>
    <w:multiLevelType w:val="hybridMultilevel"/>
    <w:tmpl w:val="9C120D5E"/>
    <w:lvl w:ilvl="0" w:tplc="84CC2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F8E0765"/>
    <w:multiLevelType w:val="hybridMultilevel"/>
    <w:tmpl w:val="BE7E5F22"/>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nsid w:val="302D74E7"/>
    <w:multiLevelType w:val="hybridMultilevel"/>
    <w:tmpl w:val="2DEACDAE"/>
    <w:lvl w:ilvl="0" w:tplc="1BF6F5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2A4314"/>
    <w:multiLevelType w:val="hybridMultilevel"/>
    <w:tmpl w:val="2B22443C"/>
    <w:lvl w:ilvl="0" w:tplc="ECECB1F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62906D9"/>
    <w:multiLevelType w:val="hybridMultilevel"/>
    <w:tmpl w:val="DAC2D4A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37014FF1"/>
    <w:multiLevelType w:val="hybridMultilevel"/>
    <w:tmpl w:val="D1E61152"/>
    <w:name w:val="ExampleTextBullet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0878E0"/>
    <w:multiLevelType w:val="hybridMultilevel"/>
    <w:tmpl w:val="0D420116"/>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7">
    <w:nsid w:val="3C222161"/>
    <w:multiLevelType w:val="hybridMultilevel"/>
    <w:tmpl w:val="86ECB46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8">
    <w:nsid w:val="3EDD6DF2"/>
    <w:multiLevelType w:val="hybridMultilevel"/>
    <w:tmpl w:val="45F09C68"/>
    <w:lvl w:ilvl="0" w:tplc="88387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F4B727F"/>
    <w:multiLevelType w:val="hybridMultilevel"/>
    <w:tmpl w:val="954C28A0"/>
    <w:lvl w:ilvl="0" w:tplc="95D488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nsid w:val="45CC754B"/>
    <w:multiLevelType w:val="hybridMultilevel"/>
    <w:tmpl w:val="079EB120"/>
    <w:lvl w:ilvl="0" w:tplc="0C090001">
      <w:start w:val="1"/>
      <w:numFmt w:val="bullet"/>
      <w:lvlText w:val=""/>
      <w:lvlJc w:val="left"/>
      <w:pPr>
        <w:ind w:left="720" w:hanging="360"/>
      </w:pPr>
      <w:rPr>
        <w:rFonts w:ascii="Symbol" w:hAnsi="Symbol" w:hint="default"/>
      </w:rPr>
    </w:lvl>
    <w:lvl w:ilvl="1" w:tplc="578E577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564150"/>
    <w:multiLevelType w:val="hybridMultilevel"/>
    <w:tmpl w:val="C6900AF8"/>
    <w:lvl w:ilvl="0" w:tplc="9DDA58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9C24F51"/>
    <w:multiLevelType w:val="hybridMultilevel"/>
    <w:tmpl w:val="262A807C"/>
    <w:lvl w:ilvl="0" w:tplc="EFB240A2">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nsid w:val="4B7054EE"/>
    <w:multiLevelType w:val="hybridMultilevel"/>
    <w:tmpl w:val="D980A9E0"/>
    <w:lvl w:ilvl="0" w:tplc="0C090001">
      <w:start w:val="1"/>
      <w:numFmt w:val="bullet"/>
      <w:lvlText w:val=""/>
      <w:lvlJc w:val="left"/>
      <w:pPr>
        <w:ind w:left="360" w:hanging="360"/>
      </w:pPr>
      <w:rPr>
        <w:rFonts w:ascii="Symbol" w:hAnsi="Symbol" w:hint="default"/>
      </w:rPr>
    </w:lvl>
    <w:lvl w:ilvl="1" w:tplc="578E5778">
      <w:start w:val="1"/>
      <w:numFmt w:val="bullet"/>
      <w:lvlText w:val="–"/>
      <w:lvlJc w:val="left"/>
      <w:pPr>
        <w:ind w:left="1080" w:hanging="360"/>
      </w:pPr>
      <w:rPr>
        <w:rFonts w:ascii="Calibri" w:hAnsi="Calibri"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4BFB18B6"/>
    <w:multiLevelType w:val="hybridMultilevel"/>
    <w:tmpl w:val="6ECE2E7C"/>
    <w:lvl w:ilvl="0" w:tplc="AEB6F9B0">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4E6D6539"/>
    <w:multiLevelType w:val="hybridMultilevel"/>
    <w:tmpl w:val="0F6ADBCA"/>
    <w:lvl w:ilvl="0" w:tplc="D056F1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ED91490"/>
    <w:multiLevelType w:val="hybridMultilevel"/>
    <w:tmpl w:val="097ADF56"/>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8">
    <w:nsid w:val="4F1523DD"/>
    <w:multiLevelType w:val="hybridMultilevel"/>
    <w:tmpl w:val="1414B70E"/>
    <w:lvl w:ilvl="0" w:tplc="1F94FB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F397C02"/>
    <w:multiLevelType w:val="hybridMultilevel"/>
    <w:tmpl w:val="48BA5450"/>
    <w:lvl w:ilvl="0" w:tplc="578E5778">
      <w:start w:val="1"/>
      <w:numFmt w:val="bullet"/>
      <w:lvlText w:val="–"/>
      <w:lvlJc w:val="left"/>
      <w:pPr>
        <w:ind w:left="1080" w:hanging="360"/>
      </w:pPr>
      <w:rPr>
        <w:rFonts w:ascii="Calibri" w:hAnsi="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4FCE6513"/>
    <w:multiLevelType w:val="hybridMultilevel"/>
    <w:tmpl w:val="9A9E0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1E57F69"/>
    <w:multiLevelType w:val="hybridMultilevel"/>
    <w:tmpl w:val="8B4420C4"/>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39A0997"/>
    <w:multiLevelType w:val="hybridMultilevel"/>
    <w:tmpl w:val="4C98DB40"/>
    <w:lvl w:ilvl="0" w:tplc="D2D84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4BF626B"/>
    <w:multiLevelType w:val="hybridMultilevel"/>
    <w:tmpl w:val="FDD0A484"/>
    <w:lvl w:ilvl="0" w:tplc="01E276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66766B5"/>
    <w:multiLevelType w:val="hybridMultilevel"/>
    <w:tmpl w:val="02C6CCEC"/>
    <w:lvl w:ilvl="0" w:tplc="ECECB1FA">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5">
    <w:nsid w:val="56D87015"/>
    <w:multiLevelType w:val="hybridMultilevel"/>
    <w:tmpl w:val="46B85734"/>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nsid w:val="5A467DDE"/>
    <w:multiLevelType w:val="hybridMultilevel"/>
    <w:tmpl w:val="65E680EE"/>
    <w:lvl w:ilvl="0" w:tplc="ECECB1FA">
      <w:start w:val="1"/>
      <w:numFmt w:val="bullet"/>
      <w:lvlText w:val=""/>
      <w:lvlJc w:val="left"/>
      <w:pPr>
        <w:tabs>
          <w:tab w:val="num" w:pos="360"/>
        </w:tabs>
        <w:ind w:left="360" w:hanging="360"/>
      </w:pPr>
      <w:rPr>
        <w:rFonts w:ascii="Symbol" w:hAnsi="Symbol" w:hint="default"/>
      </w:rPr>
    </w:lvl>
    <w:lvl w:ilvl="1" w:tplc="0C090019">
      <w:start w:val="8250"/>
      <w:numFmt w:val="bullet"/>
      <w:lvlText w:val="-"/>
      <w:lvlJc w:val="left"/>
      <w:pPr>
        <w:tabs>
          <w:tab w:val="num" w:pos="1080"/>
        </w:tabs>
        <w:ind w:left="1080" w:hanging="360"/>
      </w:pPr>
      <w:rPr>
        <w:rFonts w:ascii="Arial" w:eastAsia="Times New Roman" w:hAnsi="Arial" w:hint="default"/>
      </w:rPr>
    </w:lvl>
    <w:lvl w:ilvl="2" w:tplc="0C09001B" w:tentative="1">
      <w:start w:val="1"/>
      <w:numFmt w:val="bullet"/>
      <w:lvlText w:val=""/>
      <w:lvlJc w:val="left"/>
      <w:pPr>
        <w:tabs>
          <w:tab w:val="num" w:pos="1800"/>
        </w:tabs>
        <w:ind w:left="1800" w:hanging="360"/>
      </w:pPr>
      <w:rPr>
        <w:rFonts w:ascii="Wingdings" w:hAnsi="Wingdings" w:hint="default"/>
      </w:rPr>
    </w:lvl>
    <w:lvl w:ilvl="3" w:tplc="0C09000F" w:tentative="1">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48">
    <w:nsid w:val="638B1F33"/>
    <w:multiLevelType w:val="hybridMultilevel"/>
    <w:tmpl w:val="F91EBB54"/>
    <w:lvl w:ilvl="0" w:tplc="A1C8137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59E325D"/>
    <w:multiLevelType w:val="hybridMultilevel"/>
    <w:tmpl w:val="CFD0DCA4"/>
    <w:lvl w:ilvl="0" w:tplc="8F7C1108">
      <w:start w:val="1"/>
      <w:numFmt w:val="decimal"/>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50">
    <w:nsid w:val="661B73FA"/>
    <w:multiLevelType w:val="hybridMultilevel"/>
    <w:tmpl w:val="F4F883B2"/>
    <w:lvl w:ilvl="0" w:tplc="B94C22A8">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674A4487"/>
    <w:multiLevelType w:val="hybridMultilevel"/>
    <w:tmpl w:val="5E02F696"/>
    <w:lvl w:ilvl="0" w:tplc="AC70D3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3">
    <w:nsid w:val="6B6957C0"/>
    <w:multiLevelType w:val="hybridMultilevel"/>
    <w:tmpl w:val="359E449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4">
    <w:nsid w:val="6BBD6F4D"/>
    <w:multiLevelType w:val="hybridMultilevel"/>
    <w:tmpl w:val="121622A2"/>
    <w:lvl w:ilvl="0" w:tplc="C6A89C1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CA23F04"/>
    <w:multiLevelType w:val="hybridMultilevel"/>
    <w:tmpl w:val="554233E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nsid w:val="700422E7"/>
    <w:multiLevelType w:val="hybridMultilevel"/>
    <w:tmpl w:val="426CA626"/>
    <w:lvl w:ilvl="0" w:tplc="F926E2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0A77720"/>
    <w:multiLevelType w:val="hybridMultilevel"/>
    <w:tmpl w:val="B7604D42"/>
    <w:lvl w:ilvl="0" w:tplc="F2B6BA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14E01C1"/>
    <w:multiLevelType w:val="hybridMultilevel"/>
    <w:tmpl w:val="0C2A1A7A"/>
    <w:lvl w:ilvl="0" w:tplc="5874F1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3A85323"/>
    <w:multiLevelType w:val="hybridMultilevel"/>
    <w:tmpl w:val="3626DD48"/>
    <w:lvl w:ilvl="0" w:tplc="052490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45707A6"/>
    <w:multiLevelType w:val="hybridMultilevel"/>
    <w:tmpl w:val="327877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2">
    <w:nsid w:val="756E4F5B"/>
    <w:multiLevelType w:val="hybridMultilevel"/>
    <w:tmpl w:val="529C952E"/>
    <w:lvl w:ilvl="0" w:tplc="9D38DF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653321C"/>
    <w:multiLevelType w:val="hybridMultilevel"/>
    <w:tmpl w:val="1EFC2F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8343153"/>
    <w:multiLevelType w:val="hybridMultilevel"/>
    <w:tmpl w:val="0FA80DFC"/>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9712557"/>
    <w:multiLevelType w:val="hybridMultilevel"/>
    <w:tmpl w:val="6D2C8C94"/>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6">
    <w:nsid w:val="7E042717"/>
    <w:multiLevelType w:val="hybridMultilevel"/>
    <w:tmpl w:val="AEC06842"/>
    <w:lvl w:ilvl="0" w:tplc="5A84F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E1B1954"/>
    <w:multiLevelType w:val="hybridMultilevel"/>
    <w:tmpl w:val="E362C9AE"/>
    <w:lvl w:ilvl="0" w:tplc="BCEC27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F61056A"/>
    <w:multiLevelType w:val="hybridMultilevel"/>
    <w:tmpl w:val="AF783F22"/>
    <w:lvl w:ilvl="0" w:tplc="4C6644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8"/>
  </w:num>
  <w:num w:numId="3">
    <w:abstractNumId w:val="52"/>
  </w:num>
  <w:num w:numId="4">
    <w:abstractNumId w:val="26"/>
    <w:lvlOverride w:ilvl="0">
      <w:startOverride w:val="1"/>
    </w:lvlOverride>
  </w:num>
  <w:num w:numId="5">
    <w:abstractNumId w:val="61"/>
  </w:num>
  <w:num w:numId="6">
    <w:abstractNumId w:val="19"/>
  </w:num>
  <w:num w:numId="7">
    <w:abstractNumId w:val="46"/>
  </w:num>
  <w:num w:numId="8">
    <w:abstractNumId w:val="6"/>
  </w:num>
  <w:num w:numId="9">
    <w:abstractNumId w:val="53"/>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50"/>
  </w:num>
  <w:num w:numId="16">
    <w:abstractNumId w:val="17"/>
  </w:num>
  <w:num w:numId="17">
    <w:abstractNumId w:val="45"/>
  </w:num>
  <w:num w:numId="18">
    <w:abstractNumId w:val="21"/>
  </w:num>
  <w:num w:numId="19">
    <w:abstractNumId w:val="64"/>
  </w:num>
  <w:num w:numId="20">
    <w:abstractNumId w:val="4"/>
  </w:num>
  <w:num w:numId="21">
    <w:abstractNumId w:val="12"/>
  </w:num>
  <w:num w:numId="22">
    <w:abstractNumId w:val="32"/>
  </w:num>
  <w:num w:numId="23">
    <w:abstractNumId w:val="33"/>
  </w:num>
  <w:num w:numId="24">
    <w:abstractNumId w:val="3"/>
  </w:num>
  <w:num w:numId="25">
    <w:abstractNumId w:val="49"/>
  </w:num>
  <w:num w:numId="26">
    <w:abstractNumId w:val="10"/>
  </w:num>
  <w:num w:numId="27">
    <w:abstractNumId w:val="11"/>
  </w:num>
  <w:num w:numId="28">
    <w:abstractNumId w:val="48"/>
  </w:num>
  <w:num w:numId="29">
    <w:abstractNumId w:val="68"/>
  </w:num>
  <w:num w:numId="30">
    <w:abstractNumId w:val="67"/>
  </w:num>
  <w:num w:numId="31">
    <w:abstractNumId w:val="15"/>
  </w:num>
  <w:num w:numId="32">
    <w:abstractNumId w:val="28"/>
  </w:num>
  <w:num w:numId="33">
    <w:abstractNumId w:val="36"/>
  </w:num>
  <w:num w:numId="34">
    <w:abstractNumId w:val="59"/>
  </w:num>
  <w:num w:numId="35">
    <w:abstractNumId w:val="56"/>
  </w:num>
  <w:num w:numId="36">
    <w:abstractNumId w:val="7"/>
  </w:num>
  <w:num w:numId="37">
    <w:abstractNumId w:val="41"/>
  </w:num>
  <w:num w:numId="38">
    <w:abstractNumId w:val="25"/>
  </w:num>
  <w:num w:numId="39">
    <w:abstractNumId w:val="5"/>
  </w:num>
  <w:num w:numId="40">
    <w:abstractNumId w:val="44"/>
  </w:num>
  <w:num w:numId="41">
    <w:abstractNumId w:val="2"/>
  </w:num>
  <w:num w:numId="42">
    <w:abstractNumId w:val="37"/>
  </w:num>
  <w:num w:numId="43">
    <w:abstractNumId w:val="23"/>
  </w:num>
  <w:num w:numId="44">
    <w:abstractNumId w:val="27"/>
  </w:num>
  <w:num w:numId="45">
    <w:abstractNumId w:val="20"/>
  </w:num>
  <w:num w:numId="46">
    <w:abstractNumId w:val="65"/>
  </w:num>
  <w:num w:numId="47">
    <w:abstractNumId w:val="54"/>
  </w:num>
  <w:num w:numId="48">
    <w:abstractNumId w:val="47"/>
  </w:num>
  <w:num w:numId="49">
    <w:abstractNumId w:val="60"/>
  </w:num>
  <w:num w:numId="50">
    <w:abstractNumId w:val="40"/>
  </w:num>
  <w:num w:numId="51">
    <w:abstractNumId w:val="42"/>
  </w:num>
  <w:num w:numId="52">
    <w:abstractNumId w:val="38"/>
  </w:num>
  <w:num w:numId="53">
    <w:abstractNumId w:val="22"/>
  </w:num>
  <w:num w:numId="54">
    <w:abstractNumId w:val="51"/>
  </w:num>
  <w:num w:numId="55">
    <w:abstractNumId w:val="0"/>
  </w:num>
  <w:num w:numId="56">
    <w:abstractNumId w:val="18"/>
  </w:num>
  <w:num w:numId="57">
    <w:abstractNumId w:val="57"/>
  </w:num>
  <w:num w:numId="58">
    <w:abstractNumId w:val="43"/>
  </w:num>
  <w:num w:numId="59">
    <w:abstractNumId w:val="63"/>
  </w:num>
  <w:num w:numId="60">
    <w:abstractNumId w:val="66"/>
  </w:num>
  <w:num w:numId="61">
    <w:abstractNumId w:val="62"/>
  </w:num>
  <w:num w:numId="62">
    <w:abstractNumId w:val="29"/>
  </w:num>
  <w:num w:numId="63">
    <w:abstractNumId w:val="13"/>
  </w:num>
  <w:num w:numId="64">
    <w:abstractNumId w:val="31"/>
  </w:num>
  <w:num w:numId="65">
    <w:abstractNumId w:val="1"/>
  </w:num>
  <w:num w:numId="66">
    <w:abstractNumId w:val="58"/>
  </w:num>
  <w:num w:numId="67">
    <w:abstractNumId w:val="5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attachedTemplate r:id="rId1"/>
  <w:stylePaneFormatFilter w:val="3001"/>
  <w:defaultTabStop w:val="567"/>
  <w:evenAndOddHeaders/>
  <w:drawingGridHorizontalSpacing w:val="100"/>
  <w:displayHorizontalDrawingGridEvery w:val="2"/>
  <w:noPunctuationKerning/>
  <w:characterSpacingControl w:val="doNotCompress"/>
  <w:hdrShapeDefaults>
    <o:shapedefaults v:ext="edit" spidmax="126977"/>
  </w:hdrShapeDefaults>
  <w:footnotePr>
    <w:footnote w:id="-1"/>
    <w:footnote w:id="0"/>
  </w:footnotePr>
  <w:endnotePr>
    <w:endnote w:id="-1"/>
    <w:endnote w:id="0"/>
  </w:endnotePr>
  <w:compat/>
  <w:rsids>
    <w:rsidRoot w:val="0010657F"/>
    <w:rsid w:val="000000C3"/>
    <w:rsid w:val="00003AC4"/>
    <w:rsid w:val="00006AE4"/>
    <w:rsid w:val="0000711B"/>
    <w:rsid w:val="00007ECB"/>
    <w:rsid w:val="00012BB0"/>
    <w:rsid w:val="00013D25"/>
    <w:rsid w:val="0001438C"/>
    <w:rsid w:val="00016D95"/>
    <w:rsid w:val="00017619"/>
    <w:rsid w:val="000212E6"/>
    <w:rsid w:val="0002139C"/>
    <w:rsid w:val="000216A7"/>
    <w:rsid w:val="00021DA6"/>
    <w:rsid w:val="000220B0"/>
    <w:rsid w:val="000260CB"/>
    <w:rsid w:val="000300D7"/>
    <w:rsid w:val="00030FDA"/>
    <w:rsid w:val="00031C46"/>
    <w:rsid w:val="0003235D"/>
    <w:rsid w:val="00032AAF"/>
    <w:rsid w:val="00036095"/>
    <w:rsid w:val="000364F3"/>
    <w:rsid w:val="000369AC"/>
    <w:rsid w:val="0003724F"/>
    <w:rsid w:val="000373CB"/>
    <w:rsid w:val="000400ED"/>
    <w:rsid w:val="000413D4"/>
    <w:rsid w:val="00042FDD"/>
    <w:rsid w:val="00043832"/>
    <w:rsid w:val="00044568"/>
    <w:rsid w:val="00045667"/>
    <w:rsid w:val="00050182"/>
    <w:rsid w:val="00050630"/>
    <w:rsid w:val="00052423"/>
    <w:rsid w:val="00054A04"/>
    <w:rsid w:val="00054CC3"/>
    <w:rsid w:val="0005600E"/>
    <w:rsid w:val="00056260"/>
    <w:rsid w:val="0005722F"/>
    <w:rsid w:val="00060890"/>
    <w:rsid w:val="00063C44"/>
    <w:rsid w:val="00063CE1"/>
    <w:rsid w:val="00065053"/>
    <w:rsid w:val="000655E4"/>
    <w:rsid w:val="000656AD"/>
    <w:rsid w:val="00065C71"/>
    <w:rsid w:val="00065EBA"/>
    <w:rsid w:val="00067B6F"/>
    <w:rsid w:val="00067E1D"/>
    <w:rsid w:val="0007064C"/>
    <w:rsid w:val="000712EE"/>
    <w:rsid w:val="000725C0"/>
    <w:rsid w:val="00072EB6"/>
    <w:rsid w:val="00074CE6"/>
    <w:rsid w:val="0007657B"/>
    <w:rsid w:val="00077277"/>
    <w:rsid w:val="0007743A"/>
    <w:rsid w:val="00077BAC"/>
    <w:rsid w:val="00080069"/>
    <w:rsid w:val="00080D8B"/>
    <w:rsid w:val="00080F4F"/>
    <w:rsid w:val="00081A28"/>
    <w:rsid w:val="00082159"/>
    <w:rsid w:val="0008449F"/>
    <w:rsid w:val="00085732"/>
    <w:rsid w:val="00085A71"/>
    <w:rsid w:val="0009050F"/>
    <w:rsid w:val="000924A7"/>
    <w:rsid w:val="00094B28"/>
    <w:rsid w:val="00096DEE"/>
    <w:rsid w:val="00097063"/>
    <w:rsid w:val="000A08A5"/>
    <w:rsid w:val="000A10F5"/>
    <w:rsid w:val="000A1558"/>
    <w:rsid w:val="000A19AA"/>
    <w:rsid w:val="000A1A89"/>
    <w:rsid w:val="000A1C91"/>
    <w:rsid w:val="000A24C4"/>
    <w:rsid w:val="000A345B"/>
    <w:rsid w:val="000A372A"/>
    <w:rsid w:val="000A395D"/>
    <w:rsid w:val="000A56A5"/>
    <w:rsid w:val="000A5C86"/>
    <w:rsid w:val="000A6897"/>
    <w:rsid w:val="000A6DBE"/>
    <w:rsid w:val="000B0302"/>
    <w:rsid w:val="000B1FC4"/>
    <w:rsid w:val="000B2404"/>
    <w:rsid w:val="000B2C78"/>
    <w:rsid w:val="000B36D8"/>
    <w:rsid w:val="000B3B7D"/>
    <w:rsid w:val="000B6F18"/>
    <w:rsid w:val="000C19EF"/>
    <w:rsid w:val="000C1AC9"/>
    <w:rsid w:val="000C2D7D"/>
    <w:rsid w:val="000C3B86"/>
    <w:rsid w:val="000C6FB8"/>
    <w:rsid w:val="000C7C76"/>
    <w:rsid w:val="000D084B"/>
    <w:rsid w:val="000D13E5"/>
    <w:rsid w:val="000D1617"/>
    <w:rsid w:val="000D2B76"/>
    <w:rsid w:val="000D2E3D"/>
    <w:rsid w:val="000D43DE"/>
    <w:rsid w:val="000D58A1"/>
    <w:rsid w:val="000D644C"/>
    <w:rsid w:val="000D6EDF"/>
    <w:rsid w:val="000E0A85"/>
    <w:rsid w:val="000E212B"/>
    <w:rsid w:val="000E68E3"/>
    <w:rsid w:val="000E6DDB"/>
    <w:rsid w:val="000E74A6"/>
    <w:rsid w:val="000E7A66"/>
    <w:rsid w:val="000F03B1"/>
    <w:rsid w:val="000F08AE"/>
    <w:rsid w:val="000F2D33"/>
    <w:rsid w:val="000F43F4"/>
    <w:rsid w:val="000F440E"/>
    <w:rsid w:val="000F5468"/>
    <w:rsid w:val="000F6647"/>
    <w:rsid w:val="000F73B7"/>
    <w:rsid w:val="000F7E7B"/>
    <w:rsid w:val="001002F8"/>
    <w:rsid w:val="00102650"/>
    <w:rsid w:val="00102654"/>
    <w:rsid w:val="001028CC"/>
    <w:rsid w:val="001045F9"/>
    <w:rsid w:val="0010472B"/>
    <w:rsid w:val="0010657F"/>
    <w:rsid w:val="00112D0F"/>
    <w:rsid w:val="00112D24"/>
    <w:rsid w:val="001133E0"/>
    <w:rsid w:val="00115DE5"/>
    <w:rsid w:val="001163D6"/>
    <w:rsid w:val="0011726A"/>
    <w:rsid w:val="0012022D"/>
    <w:rsid w:val="00120B5E"/>
    <w:rsid w:val="00121EB0"/>
    <w:rsid w:val="0012228D"/>
    <w:rsid w:val="00123514"/>
    <w:rsid w:val="00123925"/>
    <w:rsid w:val="00126187"/>
    <w:rsid w:val="00126641"/>
    <w:rsid w:val="001270E3"/>
    <w:rsid w:val="00130BB7"/>
    <w:rsid w:val="00133D3A"/>
    <w:rsid w:val="001352EE"/>
    <w:rsid w:val="00135505"/>
    <w:rsid w:val="00136827"/>
    <w:rsid w:val="001375D4"/>
    <w:rsid w:val="0014131A"/>
    <w:rsid w:val="001433DB"/>
    <w:rsid w:val="00143E88"/>
    <w:rsid w:val="001455D8"/>
    <w:rsid w:val="00147347"/>
    <w:rsid w:val="0014790A"/>
    <w:rsid w:val="00151A81"/>
    <w:rsid w:val="00151ABB"/>
    <w:rsid w:val="00151ADA"/>
    <w:rsid w:val="0015261C"/>
    <w:rsid w:val="00153C7F"/>
    <w:rsid w:val="00154447"/>
    <w:rsid w:val="00154F5B"/>
    <w:rsid w:val="00155DA6"/>
    <w:rsid w:val="00160CDF"/>
    <w:rsid w:val="00161DAC"/>
    <w:rsid w:val="00162B55"/>
    <w:rsid w:val="00162D8B"/>
    <w:rsid w:val="0016371C"/>
    <w:rsid w:val="001638E9"/>
    <w:rsid w:val="001648FA"/>
    <w:rsid w:val="00165824"/>
    <w:rsid w:val="00167749"/>
    <w:rsid w:val="001677A5"/>
    <w:rsid w:val="00171A85"/>
    <w:rsid w:val="00174565"/>
    <w:rsid w:val="00175BB3"/>
    <w:rsid w:val="00177A9A"/>
    <w:rsid w:val="001808A4"/>
    <w:rsid w:val="00180CBF"/>
    <w:rsid w:val="001815A5"/>
    <w:rsid w:val="00186850"/>
    <w:rsid w:val="0018704C"/>
    <w:rsid w:val="001904A5"/>
    <w:rsid w:val="0019199B"/>
    <w:rsid w:val="001923C8"/>
    <w:rsid w:val="001939FF"/>
    <w:rsid w:val="00194DE8"/>
    <w:rsid w:val="00197990"/>
    <w:rsid w:val="001A004D"/>
    <w:rsid w:val="001A0106"/>
    <w:rsid w:val="001A02CB"/>
    <w:rsid w:val="001A11DB"/>
    <w:rsid w:val="001A2458"/>
    <w:rsid w:val="001A33F4"/>
    <w:rsid w:val="001A4F7C"/>
    <w:rsid w:val="001A6256"/>
    <w:rsid w:val="001A789B"/>
    <w:rsid w:val="001B03CC"/>
    <w:rsid w:val="001B05E5"/>
    <w:rsid w:val="001B0C75"/>
    <w:rsid w:val="001B44C2"/>
    <w:rsid w:val="001B659F"/>
    <w:rsid w:val="001B712D"/>
    <w:rsid w:val="001B7399"/>
    <w:rsid w:val="001B7655"/>
    <w:rsid w:val="001B7F09"/>
    <w:rsid w:val="001C1166"/>
    <w:rsid w:val="001C261E"/>
    <w:rsid w:val="001C3AC7"/>
    <w:rsid w:val="001C67C2"/>
    <w:rsid w:val="001C7B78"/>
    <w:rsid w:val="001D0BA6"/>
    <w:rsid w:val="001D1942"/>
    <w:rsid w:val="001D1DDB"/>
    <w:rsid w:val="001D53EA"/>
    <w:rsid w:val="001D5C5B"/>
    <w:rsid w:val="001D6BD6"/>
    <w:rsid w:val="001D6F7C"/>
    <w:rsid w:val="001E12A5"/>
    <w:rsid w:val="001E1EDB"/>
    <w:rsid w:val="001E31A4"/>
    <w:rsid w:val="001E3A18"/>
    <w:rsid w:val="001E717D"/>
    <w:rsid w:val="001E71F5"/>
    <w:rsid w:val="001E7D86"/>
    <w:rsid w:val="001F25B8"/>
    <w:rsid w:val="001F377B"/>
    <w:rsid w:val="001F3CF9"/>
    <w:rsid w:val="001F55E5"/>
    <w:rsid w:val="001F5CB9"/>
    <w:rsid w:val="00200DC3"/>
    <w:rsid w:val="002039FE"/>
    <w:rsid w:val="002050B0"/>
    <w:rsid w:val="0020514C"/>
    <w:rsid w:val="00205D80"/>
    <w:rsid w:val="0021093F"/>
    <w:rsid w:val="00211FFE"/>
    <w:rsid w:val="002133CA"/>
    <w:rsid w:val="00213CAF"/>
    <w:rsid w:val="00213E2E"/>
    <w:rsid w:val="00215783"/>
    <w:rsid w:val="00215932"/>
    <w:rsid w:val="0021644B"/>
    <w:rsid w:val="00216DC9"/>
    <w:rsid w:val="00217BAC"/>
    <w:rsid w:val="00217CA0"/>
    <w:rsid w:val="002202EB"/>
    <w:rsid w:val="00220FCF"/>
    <w:rsid w:val="002213AD"/>
    <w:rsid w:val="00221705"/>
    <w:rsid w:val="002329C3"/>
    <w:rsid w:val="002332AE"/>
    <w:rsid w:val="002333C2"/>
    <w:rsid w:val="00233676"/>
    <w:rsid w:val="00234040"/>
    <w:rsid w:val="00241245"/>
    <w:rsid w:val="00244D22"/>
    <w:rsid w:val="00246C09"/>
    <w:rsid w:val="00247262"/>
    <w:rsid w:val="002535FB"/>
    <w:rsid w:val="00255DCB"/>
    <w:rsid w:val="0025616B"/>
    <w:rsid w:val="00257FF4"/>
    <w:rsid w:val="002608CE"/>
    <w:rsid w:val="00260E55"/>
    <w:rsid w:val="0026279C"/>
    <w:rsid w:val="00262CD3"/>
    <w:rsid w:val="00265289"/>
    <w:rsid w:val="00266613"/>
    <w:rsid w:val="00266FE9"/>
    <w:rsid w:val="00272396"/>
    <w:rsid w:val="00274835"/>
    <w:rsid w:val="0027614D"/>
    <w:rsid w:val="00276DA6"/>
    <w:rsid w:val="00281CF6"/>
    <w:rsid w:val="00282943"/>
    <w:rsid w:val="0028359B"/>
    <w:rsid w:val="00285622"/>
    <w:rsid w:val="002857FE"/>
    <w:rsid w:val="00292D6A"/>
    <w:rsid w:val="0029312A"/>
    <w:rsid w:val="0029325C"/>
    <w:rsid w:val="00293B2D"/>
    <w:rsid w:val="002960B7"/>
    <w:rsid w:val="00297824"/>
    <w:rsid w:val="002A153F"/>
    <w:rsid w:val="002A40DC"/>
    <w:rsid w:val="002A5329"/>
    <w:rsid w:val="002A59CE"/>
    <w:rsid w:val="002A5C2D"/>
    <w:rsid w:val="002A61E5"/>
    <w:rsid w:val="002A7ECF"/>
    <w:rsid w:val="002A7FC8"/>
    <w:rsid w:val="002B0A81"/>
    <w:rsid w:val="002B1CE7"/>
    <w:rsid w:val="002B2687"/>
    <w:rsid w:val="002B2F0F"/>
    <w:rsid w:val="002B595D"/>
    <w:rsid w:val="002B5B7B"/>
    <w:rsid w:val="002B5F6A"/>
    <w:rsid w:val="002B6962"/>
    <w:rsid w:val="002B779E"/>
    <w:rsid w:val="002B7D6F"/>
    <w:rsid w:val="002B7D78"/>
    <w:rsid w:val="002C0552"/>
    <w:rsid w:val="002C1787"/>
    <w:rsid w:val="002C22ED"/>
    <w:rsid w:val="002C25D0"/>
    <w:rsid w:val="002C280B"/>
    <w:rsid w:val="002C2DB0"/>
    <w:rsid w:val="002C5D97"/>
    <w:rsid w:val="002C7455"/>
    <w:rsid w:val="002C75B0"/>
    <w:rsid w:val="002C7703"/>
    <w:rsid w:val="002C7A63"/>
    <w:rsid w:val="002C7E06"/>
    <w:rsid w:val="002D0153"/>
    <w:rsid w:val="002D26C3"/>
    <w:rsid w:val="002D2D6B"/>
    <w:rsid w:val="002D403A"/>
    <w:rsid w:val="002D4262"/>
    <w:rsid w:val="002E005F"/>
    <w:rsid w:val="002E043C"/>
    <w:rsid w:val="002E1064"/>
    <w:rsid w:val="002E323F"/>
    <w:rsid w:val="002E63D2"/>
    <w:rsid w:val="002E661C"/>
    <w:rsid w:val="002E7E5B"/>
    <w:rsid w:val="002E7F19"/>
    <w:rsid w:val="002F1B12"/>
    <w:rsid w:val="002F1F60"/>
    <w:rsid w:val="002F591B"/>
    <w:rsid w:val="002F5C83"/>
    <w:rsid w:val="002F6F14"/>
    <w:rsid w:val="00300013"/>
    <w:rsid w:val="003006F8"/>
    <w:rsid w:val="00300BF2"/>
    <w:rsid w:val="003027C1"/>
    <w:rsid w:val="00305718"/>
    <w:rsid w:val="00305EC5"/>
    <w:rsid w:val="003077B8"/>
    <w:rsid w:val="003111F8"/>
    <w:rsid w:val="0031204A"/>
    <w:rsid w:val="0031272B"/>
    <w:rsid w:val="00314C5F"/>
    <w:rsid w:val="00315435"/>
    <w:rsid w:val="00317218"/>
    <w:rsid w:val="0032038C"/>
    <w:rsid w:val="00321575"/>
    <w:rsid w:val="0032228A"/>
    <w:rsid w:val="00322BC3"/>
    <w:rsid w:val="00325C5E"/>
    <w:rsid w:val="00325FAE"/>
    <w:rsid w:val="0032738E"/>
    <w:rsid w:val="00331C5F"/>
    <w:rsid w:val="00332007"/>
    <w:rsid w:val="00333074"/>
    <w:rsid w:val="00333223"/>
    <w:rsid w:val="00337F82"/>
    <w:rsid w:val="00340640"/>
    <w:rsid w:val="003435D6"/>
    <w:rsid w:val="003458E0"/>
    <w:rsid w:val="00345CCD"/>
    <w:rsid w:val="003511CE"/>
    <w:rsid w:val="00351283"/>
    <w:rsid w:val="00351909"/>
    <w:rsid w:val="00352BE0"/>
    <w:rsid w:val="0035333E"/>
    <w:rsid w:val="003538F0"/>
    <w:rsid w:val="00353A8E"/>
    <w:rsid w:val="003553DE"/>
    <w:rsid w:val="00356E4B"/>
    <w:rsid w:val="00357DAE"/>
    <w:rsid w:val="00361259"/>
    <w:rsid w:val="00361429"/>
    <w:rsid w:val="003705BF"/>
    <w:rsid w:val="00370935"/>
    <w:rsid w:val="00375E52"/>
    <w:rsid w:val="00375F30"/>
    <w:rsid w:val="00382234"/>
    <w:rsid w:val="00386352"/>
    <w:rsid w:val="0038672F"/>
    <w:rsid w:val="00386BC9"/>
    <w:rsid w:val="00386F24"/>
    <w:rsid w:val="0039053D"/>
    <w:rsid w:val="00391152"/>
    <w:rsid w:val="00392767"/>
    <w:rsid w:val="003932E3"/>
    <w:rsid w:val="0039449C"/>
    <w:rsid w:val="003A0290"/>
    <w:rsid w:val="003A165B"/>
    <w:rsid w:val="003A43F4"/>
    <w:rsid w:val="003A4EAC"/>
    <w:rsid w:val="003B0D03"/>
    <w:rsid w:val="003B1F0A"/>
    <w:rsid w:val="003B1FE6"/>
    <w:rsid w:val="003B2C1F"/>
    <w:rsid w:val="003B5533"/>
    <w:rsid w:val="003B57DC"/>
    <w:rsid w:val="003B5A85"/>
    <w:rsid w:val="003B6D75"/>
    <w:rsid w:val="003B71EE"/>
    <w:rsid w:val="003B7621"/>
    <w:rsid w:val="003C13A6"/>
    <w:rsid w:val="003C1EB4"/>
    <w:rsid w:val="003C279A"/>
    <w:rsid w:val="003C2C1E"/>
    <w:rsid w:val="003C54F5"/>
    <w:rsid w:val="003D032D"/>
    <w:rsid w:val="003D0CBF"/>
    <w:rsid w:val="003D0E0D"/>
    <w:rsid w:val="003D1E47"/>
    <w:rsid w:val="003D22AE"/>
    <w:rsid w:val="003D2716"/>
    <w:rsid w:val="003D3C14"/>
    <w:rsid w:val="003D3DE6"/>
    <w:rsid w:val="003D4557"/>
    <w:rsid w:val="003D543D"/>
    <w:rsid w:val="003D59FD"/>
    <w:rsid w:val="003E08CF"/>
    <w:rsid w:val="003E0A7E"/>
    <w:rsid w:val="003E10B8"/>
    <w:rsid w:val="003E110F"/>
    <w:rsid w:val="003E122D"/>
    <w:rsid w:val="003E13F5"/>
    <w:rsid w:val="003E36EE"/>
    <w:rsid w:val="003E4ACA"/>
    <w:rsid w:val="003E4E15"/>
    <w:rsid w:val="003E5AE8"/>
    <w:rsid w:val="003E5DDA"/>
    <w:rsid w:val="003F07EE"/>
    <w:rsid w:val="003F09A6"/>
    <w:rsid w:val="003F29F2"/>
    <w:rsid w:val="003F3BFC"/>
    <w:rsid w:val="003F47DF"/>
    <w:rsid w:val="003F4F9F"/>
    <w:rsid w:val="00400B2A"/>
    <w:rsid w:val="0040272D"/>
    <w:rsid w:val="00405E90"/>
    <w:rsid w:val="004065CE"/>
    <w:rsid w:val="004105DD"/>
    <w:rsid w:val="00410DCE"/>
    <w:rsid w:val="0041429D"/>
    <w:rsid w:val="00414E1F"/>
    <w:rsid w:val="00415543"/>
    <w:rsid w:val="0041765C"/>
    <w:rsid w:val="00420837"/>
    <w:rsid w:val="00420AAC"/>
    <w:rsid w:val="00421EEC"/>
    <w:rsid w:val="00422933"/>
    <w:rsid w:val="00422F4B"/>
    <w:rsid w:val="004248B4"/>
    <w:rsid w:val="00424C66"/>
    <w:rsid w:val="00424DC1"/>
    <w:rsid w:val="0042526D"/>
    <w:rsid w:val="004254A2"/>
    <w:rsid w:val="00425D9F"/>
    <w:rsid w:val="00426D71"/>
    <w:rsid w:val="00430256"/>
    <w:rsid w:val="00431BF1"/>
    <w:rsid w:val="004342F8"/>
    <w:rsid w:val="0043440D"/>
    <w:rsid w:val="00434A2F"/>
    <w:rsid w:val="00436F7B"/>
    <w:rsid w:val="00437283"/>
    <w:rsid w:val="004372D6"/>
    <w:rsid w:val="0044083A"/>
    <w:rsid w:val="004408FA"/>
    <w:rsid w:val="004413CA"/>
    <w:rsid w:val="004414FB"/>
    <w:rsid w:val="0044245C"/>
    <w:rsid w:val="00444D99"/>
    <w:rsid w:val="00451501"/>
    <w:rsid w:val="004528D0"/>
    <w:rsid w:val="00454564"/>
    <w:rsid w:val="0045480C"/>
    <w:rsid w:val="004562E5"/>
    <w:rsid w:val="00457BC3"/>
    <w:rsid w:val="0046034D"/>
    <w:rsid w:val="00462272"/>
    <w:rsid w:val="004637B1"/>
    <w:rsid w:val="0046390C"/>
    <w:rsid w:val="00463944"/>
    <w:rsid w:val="00465D4E"/>
    <w:rsid w:val="004669C1"/>
    <w:rsid w:val="00467BDD"/>
    <w:rsid w:val="00467EB6"/>
    <w:rsid w:val="004717F6"/>
    <w:rsid w:val="0047481E"/>
    <w:rsid w:val="00474918"/>
    <w:rsid w:val="00475EAF"/>
    <w:rsid w:val="004815F8"/>
    <w:rsid w:val="00481E32"/>
    <w:rsid w:val="004831ED"/>
    <w:rsid w:val="00483228"/>
    <w:rsid w:val="004836A7"/>
    <w:rsid w:val="004847B4"/>
    <w:rsid w:val="00484921"/>
    <w:rsid w:val="00486614"/>
    <w:rsid w:val="00487E11"/>
    <w:rsid w:val="00487FB8"/>
    <w:rsid w:val="004919D4"/>
    <w:rsid w:val="00491D42"/>
    <w:rsid w:val="00491FB2"/>
    <w:rsid w:val="0049212C"/>
    <w:rsid w:val="00494152"/>
    <w:rsid w:val="0049416D"/>
    <w:rsid w:val="00495C39"/>
    <w:rsid w:val="004A0301"/>
    <w:rsid w:val="004A1224"/>
    <w:rsid w:val="004A247B"/>
    <w:rsid w:val="004A28C5"/>
    <w:rsid w:val="004A4284"/>
    <w:rsid w:val="004A4F0B"/>
    <w:rsid w:val="004A660C"/>
    <w:rsid w:val="004A6B44"/>
    <w:rsid w:val="004B0B19"/>
    <w:rsid w:val="004B0CF6"/>
    <w:rsid w:val="004B247D"/>
    <w:rsid w:val="004B37A7"/>
    <w:rsid w:val="004B4426"/>
    <w:rsid w:val="004B5F2A"/>
    <w:rsid w:val="004B66F1"/>
    <w:rsid w:val="004B74B2"/>
    <w:rsid w:val="004C07FE"/>
    <w:rsid w:val="004C1399"/>
    <w:rsid w:val="004C2A17"/>
    <w:rsid w:val="004C2C7A"/>
    <w:rsid w:val="004C4DBD"/>
    <w:rsid w:val="004C5507"/>
    <w:rsid w:val="004D134B"/>
    <w:rsid w:val="004D1E1A"/>
    <w:rsid w:val="004D23A9"/>
    <w:rsid w:val="004D29F5"/>
    <w:rsid w:val="004D2F90"/>
    <w:rsid w:val="004D657B"/>
    <w:rsid w:val="004D7804"/>
    <w:rsid w:val="004E1701"/>
    <w:rsid w:val="004E2825"/>
    <w:rsid w:val="004E3079"/>
    <w:rsid w:val="004E36EF"/>
    <w:rsid w:val="004E62E4"/>
    <w:rsid w:val="004E6716"/>
    <w:rsid w:val="004F0E90"/>
    <w:rsid w:val="004F0F5B"/>
    <w:rsid w:val="004F1756"/>
    <w:rsid w:val="004F19AC"/>
    <w:rsid w:val="004F22B8"/>
    <w:rsid w:val="004F2437"/>
    <w:rsid w:val="004F4624"/>
    <w:rsid w:val="004F5303"/>
    <w:rsid w:val="004F5573"/>
    <w:rsid w:val="004F634F"/>
    <w:rsid w:val="0050141B"/>
    <w:rsid w:val="005018E0"/>
    <w:rsid w:val="00502638"/>
    <w:rsid w:val="005029BC"/>
    <w:rsid w:val="005041F8"/>
    <w:rsid w:val="005048E3"/>
    <w:rsid w:val="00505A77"/>
    <w:rsid w:val="00505CB3"/>
    <w:rsid w:val="00506EB0"/>
    <w:rsid w:val="0050798C"/>
    <w:rsid w:val="00511EBF"/>
    <w:rsid w:val="00512143"/>
    <w:rsid w:val="00512B95"/>
    <w:rsid w:val="005136CD"/>
    <w:rsid w:val="00514F30"/>
    <w:rsid w:val="00521860"/>
    <w:rsid w:val="00521898"/>
    <w:rsid w:val="005222CC"/>
    <w:rsid w:val="00522379"/>
    <w:rsid w:val="00522622"/>
    <w:rsid w:val="00525AB1"/>
    <w:rsid w:val="00527492"/>
    <w:rsid w:val="005277F5"/>
    <w:rsid w:val="005310C1"/>
    <w:rsid w:val="00532994"/>
    <w:rsid w:val="005329BE"/>
    <w:rsid w:val="00533515"/>
    <w:rsid w:val="00534AC0"/>
    <w:rsid w:val="00535557"/>
    <w:rsid w:val="00536008"/>
    <w:rsid w:val="0053606A"/>
    <w:rsid w:val="005369C0"/>
    <w:rsid w:val="005401D5"/>
    <w:rsid w:val="00540D82"/>
    <w:rsid w:val="00541254"/>
    <w:rsid w:val="00541723"/>
    <w:rsid w:val="00542BA5"/>
    <w:rsid w:val="00547EB8"/>
    <w:rsid w:val="00552FC2"/>
    <w:rsid w:val="00553C63"/>
    <w:rsid w:val="00553DA2"/>
    <w:rsid w:val="00554D88"/>
    <w:rsid w:val="00555623"/>
    <w:rsid w:val="005562DC"/>
    <w:rsid w:val="00556725"/>
    <w:rsid w:val="00557A85"/>
    <w:rsid w:val="005606B5"/>
    <w:rsid w:val="00562BAD"/>
    <w:rsid w:val="00564D41"/>
    <w:rsid w:val="00565C86"/>
    <w:rsid w:val="00566181"/>
    <w:rsid w:val="005708BD"/>
    <w:rsid w:val="00574906"/>
    <w:rsid w:val="00574E9E"/>
    <w:rsid w:val="005752BC"/>
    <w:rsid w:val="0057622F"/>
    <w:rsid w:val="00576693"/>
    <w:rsid w:val="00577958"/>
    <w:rsid w:val="00577977"/>
    <w:rsid w:val="00581821"/>
    <w:rsid w:val="00581D30"/>
    <w:rsid w:val="005835E9"/>
    <w:rsid w:val="00584245"/>
    <w:rsid w:val="00584D80"/>
    <w:rsid w:val="00586535"/>
    <w:rsid w:val="00586BB5"/>
    <w:rsid w:val="00586DFB"/>
    <w:rsid w:val="005905BC"/>
    <w:rsid w:val="00590B75"/>
    <w:rsid w:val="00590DAA"/>
    <w:rsid w:val="00592349"/>
    <w:rsid w:val="00595E46"/>
    <w:rsid w:val="00596F3F"/>
    <w:rsid w:val="00597EEF"/>
    <w:rsid w:val="005A0A02"/>
    <w:rsid w:val="005A1C4E"/>
    <w:rsid w:val="005A3678"/>
    <w:rsid w:val="005A4A1A"/>
    <w:rsid w:val="005A61D3"/>
    <w:rsid w:val="005A7E70"/>
    <w:rsid w:val="005B1B3E"/>
    <w:rsid w:val="005B40E8"/>
    <w:rsid w:val="005B4B12"/>
    <w:rsid w:val="005B6DAA"/>
    <w:rsid w:val="005B70AB"/>
    <w:rsid w:val="005B7314"/>
    <w:rsid w:val="005B7D8B"/>
    <w:rsid w:val="005B7E9B"/>
    <w:rsid w:val="005C03F6"/>
    <w:rsid w:val="005C0475"/>
    <w:rsid w:val="005C04F7"/>
    <w:rsid w:val="005C1569"/>
    <w:rsid w:val="005C25DC"/>
    <w:rsid w:val="005C4604"/>
    <w:rsid w:val="005C4BEE"/>
    <w:rsid w:val="005C6E74"/>
    <w:rsid w:val="005C781C"/>
    <w:rsid w:val="005C7B76"/>
    <w:rsid w:val="005D079F"/>
    <w:rsid w:val="005D2646"/>
    <w:rsid w:val="005D7A35"/>
    <w:rsid w:val="005E034F"/>
    <w:rsid w:val="005E09A7"/>
    <w:rsid w:val="005E11DF"/>
    <w:rsid w:val="005E198B"/>
    <w:rsid w:val="005E19D9"/>
    <w:rsid w:val="005E1D35"/>
    <w:rsid w:val="005E1EF1"/>
    <w:rsid w:val="005E2A31"/>
    <w:rsid w:val="005E442F"/>
    <w:rsid w:val="005E483D"/>
    <w:rsid w:val="005E490E"/>
    <w:rsid w:val="005E61D8"/>
    <w:rsid w:val="005E7E2C"/>
    <w:rsid w:val="005F0FCC"/>
    <w:rsid w:val="005F18F5"/>
    <w:rsid w:val="005F29CD"/>
    <w:rsid w:val="005F3175"/>
    <w:rsid w:val="005F3436"/>
    <w:rsid w:val="005F4471"/>
    <w:rsid w:val="005F4730"/>
    <w:rsid w:val="005F57D8"/>
    <w:rsid w:val="005F5AD5"/>
    <w:rsid w:val="005F642B"/>
    <w:rsid w:val="005F67FC"/>
    <w:rsid w:val="005F7877"/>
    <w:rsid w:val="006026E1"/>
    <w:rsid w:val="00603A90"/>
    <w:rsid w:val="00605DEB"/>
    <w:rsid w:val="006065BF"/>
    <w:rsid w:val="006070EA"/>
    <w:rsid w:val="0060749D"/>
    <w:rsid w:val="00607ABE"/>
    <w:rsid w:val="00607F53"/>
    <w:rsid w:val="00610267"/>
    <w:rsid w:val="006103D0"/>
    <w:rsid w:val="00611EAE"/>
    <w:rsid w:val="0061364A"/>
    <w:rsid w:val="00613BEA"/>
    <w:rsid w:val="0061402C"/>
    <w:rsid w:val="0061595F"/>
    <w:rsid w:val="00616179"/>
    <w:rsid w:val="0061675B"/>
    <w:rsid w:val="0062052B"/>
    <w:rsid w:val="00621A86"/>
    <w:rsid w:val="00622990"/>
    <w:rsid w:val="00623401"/>
    <w:rsid w:val="00623629"/>
    <w:rsid w:val="00625C40"/>
    <w:rsid w:val="00627E7C"/>
    <w:rsid w:val="00631369"/>
    <w:rsid w:val="006315B3"/>
    <w:rsid w:val="00632481"/>
    <w:rsid w:val="0063262D"/>
    <w:rsid w:val="00633500"/>
    <w:rsid w:val="00637BBD"/>
    <w:rsid w:val="00640D17"/>
    <w:rsid w:val="00642768"/>
    <w:rsid w:val="00642C8C"/>
    <w:rsid w:val="00643BA4"/>
    <w:rsid w:val="00646ACE"/>
    <w:rsid w:val="006474C0"/>
    <w:rsid w:val="00647927"/>
    <w:rsid w:val="00652B9B"/>
    <w:rsid w:val="00652C4A"/>
    <w:rsid w:val="00653743"/>
    <w:rsid w:val="00653DD9"/>
    <w:rsid w:val="00654E6A"/>
    <w:rsid w:val="006562A1"/>
    <w:rsid w:val="006575F3"/>
    <w:rsid w:val="006602B5"/>
    <w:rsid w:val="00660871"/>
    <w:rsid w:val="00662AF4"/>
    <w:rsid w:val="006636AA"/>
    <w:rsid w:val="00664E08"/>
    <w:rsid w:val="00665B4C"/>
    <w:rsid w:val="0066774D"/>
    <w:rsid w:val="00667F42"/>
    <w:rsid w:val="0067020F"/>
    <w:rsid w:val="00670296"/>
    <w:rsid w:val="00671284"/>
    <w:rsid w:val="00671734"/>
    <w:rsid w:val="006727FC"/>
    <w:rsid w:val="00673906"/>
    <w:rsid w:val="00676E5B"/>
    <w:rsid w:val="00677D6B"/>
    <w:rsid w:val="00680795"/>
    <w:rsid w:val="00681733"/>
    <w:rsid w:val="00682713"/>
    <w:rsid w:val="0068277F"/>
    <w:rsid w:val="00683005"/>
    <w:rsid w:val="00683579"/>
    <w:rsid w:val="00684545"/>
    <w:rsid w:val="0068522C"/>
    <w:rsid w:val="006854CE"/>
    <w:rsid w:val="00686315"/>
    <w:rsid w:val="00686B72"/>
    <w:rsid w:val="0068790B"/>
    <w:rsid w:val="00691689"/>
    <w:rsid w:val="00692DAB"/>
    <w:rsid w:val="00694104"/>
    <w:rsid w:val="006941DD"/>
    <w:rsid w:val="0069466B"/>
    <w:rsid w:val="00697CAE"/>
    <w:rsid w:val="006A2615"/>
    <w:rsid w:val="006A5866"/>
    <w:rsid w:val="006A5CE2"/>
    <w:rsid w:val="006A5E77"/>
    <w:rsid w:val="006B0F54"/>
    <w:rsid w:val="006B415B"/>
    <w:rsid w:val="006B4C95"/>
    <w:rsid w:val="006B4CBA"/>
    <w:rsid w:val="006C0FA2"/>
    <w:rsid w:val="006C2E46"/>
    <w:rsid w:val="006C4E45"/>
    <w:rsid w:val="006C5090"/>
    <w:rsid w:val="006C5EE1"/>
    <w:rsid w:val="006C61B1"/>
    <w:rsid w:val="006C74D9"/>
    <w:rsid w:val="006C7DA9"/>
    <w:rsid w:val="006D0669"/>
    <w:rsid w:val="006D2660"/>
    <w:rsid w:val="006D3771"/>
    <w:rsid w:val="006D440A"/>
    <w:rsid w:val="006D5647"/>
    <w:rsid w:val="006D592F"/>
    <w:rsid w:val="006D62BE"/>
    <w:rsid w:val="006D774D"/>
    <w:rsid w:val="006D77F0"/>
    <w:rsid w:val="006D7B71"/>
    <w:rsid w:val="006E0006"/>
    <w:rsid w:val="006E04BB"/>
    <w:rsid w:val="006E0DF6"/>
    <w:rsid w:val="006E1BDE"/>
    <w:rsid w:val="006E336C"/>
    <w:rsid w:val="006E3B9E"/>
    <w:rsid w:val="006E4366"/>
    <w:rsid w:val="006E4A27"/>
    <w:rsid w:val="006E5384"/>
    <w:rsid w:val="006E5828"/>
    <w:rsid w:val="006E628D"/>
    <w:rsid w:val="006E66F8"/>
    <w:rsid w:val="006E6BB9"/>
    <w:rsid w:val="006E784F"/>
    <w:rsid w:val="006F0B4F"/>
    <w:rsid w:val="006F2DF3"/>
    <w:rsid w:val="006F2DF9"/>
    <w:rsid w:val="006F3C6F"/>
    <w:rsid w:val="006F41C6"/>
    <w:rsid w:val="006F5ADE"/>
    <w:rsid w:val="006F5DD9"/>
    <w:rsid w:val="006F6FA2"/>
    <w:rsid w:val="007001D0"/>
    <w:rsid w:val="00700CE3"/>
    <w:rsid w:val="00701397"/>
    <w:rsid w:val="00701498"/>
    <w:rsid w:val="00701E70"/>
    <w:rsid w:val="00702A49"/>
    <w:rsid w:val="00704F47"/>
    <w:rsid w:val="00706479"/>
    <w:rsid w:val="00706879"/>
    <w:rsid w:val="007070B6"/>
    <w:rsid w:val="007072C2"/>
    <w:rsid w:val="0070746B"/>
    <w:rsid w:val="007075CA"/>
    <w:rsid w:val="00707FA4"/>
    <w:rsid w:val="007108C4"/>
    <w:rsid w:val="0071151E"/>
    <w:rsid w:val="0071482B"/>
    <w:rsid w:val="00714B5C"/>
    <w:rsid w:val="00714C8F"/>
    <w:rsid w:val="00715A32"/>
    <w:rsid w:val="00716A45"/>
    <w:rsid w:val="00716F57"/>
    <w:rsid w:val="00721409"/>
    <w:rsid w:val="007221A2"/>
    <w:rsid w:val="00722928"/>
    <w:rsid w:val="00722935"/>
    <w:rsid w:val="0072335F"/>
    <w:rsid w:val="00726933"/>
    <w:rsid w:val="007273D5"/>
    <w:rsid w:val="00727815"/>
    <w:rsid w:val="00730E31"/>
    <w:rsid w:val="00731EA2"/>
    <w:rsid w:val="00734E06"/>
    <w:rsid w:val="00735CE3"/>
    <w:rsid w:val="00736E9D"/>
    <w:rsid w:val="007373FA"/>
    <w:rsid w:val="007377B7"/>
    <w:rsid w:val="0074063F"/>
    <w:rsid w:val="00740EF1"/>
    <w:rsid w:val="00744256"/>
    <w:rsid w:val="00744DBD"/>
    <w:rsid w:val="00745398"/>
    <w:rsid w:val="00747C87"/>
    <w:rsid w:val="007561F0"/>
    <w:rsid w:val="007565C3"/>
    <w:rsid w:val="00756632"/>
    <w:rsid w:val="0075754A"/>
    <w:rsid w:val="00760554"/>
    <w:rsid w:val="0076083D"/>
    <w:rsid w:val="00761DC2"/>
    <w:rsid w:val="00762B1E"/>
    <w:rsid w:val="00763D3B"/>
    <w:rsid w:val="00764742"/>
    <w:rsid w:val="007651E7"/>
    <w:rsid w:val="00766434"/>
    <w:rsid w:val="00770E10"/>
    <w:rsid w:val="00771E5C"/>
    <w:rsid w:val="00772107"/>
    <w:rsid w:val="00774A83"/>
    <w:rsid w:val="00775146"/>
    <w:rsid w:val="0077566D"/>
    <w:rsid w:val="00776097"/>
    <w:rsid w:val="007766A5"/>
    <w:rsid w:val="00776CA1"/>
    <w:rsid w:val="00776E39"/>
    <w:rsid w:val="0078016D"/>
    <w:rsid w:val="00781A4A"/>
    <w:rsid w:val="00782098"/>
    <w:rsid w:val="0078297B"/>
    <w:rsid w:val="00782A6D"/>
    <w:rsid w:val="00784161"/>
    <w:rsid w:val="00786D0B"/>
    <w:rsid w:val="00790033"/>
    <w:rsid w:val="00790E9B"/>
    <w:rsid w:val="007917E7"/>
    <w:rsid w:val="00791C4A"/>
    <w:rsid w:val="007927C6"/>
    <w:rsid w:val="00792BB2"/>
    <w:rsid w:val="0079348E"/>
    <w:rsid w:val="00793F50"/>
    <w:rsid w:val="0079405B"/>
    <w:rsid w:val="00795822"/>
    <w:rsid w:val="00795D94"/>
    <w:rsid w:val="007978DB"/>
    <w:rsid w:val="007A00A5"/>
    <w:rsid w:val="007A03ED"/>
    <w:rsid w:val="007A05F4"/>
    <w:rsid w:val="007A0BB9"/>
    <w:rsid w:val="007A0F02"/>
    <w:rsid w:val="007A1D73"/>
    <w:rsid w:val="007A3DAA"/>
    <w:rsid w:val="007A4023"/>
    <w:rsid w:val="007A5A94"/>
    <w:rsid w:val="007A6C47"/>
    <w:rsid w:val="007A7333"/>
    <w:rsid w:val="007B347F"/>
    <w:rsid w:val="007B5A98"/>
    <w:rsid w:val="007B5E30"/>
    <w:rsid w:val="007C2270"/>
    <w:rsid w:val="007C27D4"/>
    <w:rsid w:val="007C31AE"/>
    <w:rsid w:val="007C32E0"/>
    <w:rsid w:val="007C4CCE"/>
    <w:rsid w:val="007C570A"/>
    <w:rsid w:val="007C7D49"/>
    <w:rsid w:val="007D1630"/>
    <w:rsid w:val="007D1D99"/>
    <w:rsid w:val="007D4D2A"/>
    <w:rsid w:val="007D763D"/>
    <w:rsid w:val="007E00B1"/>
    <w:rsid w:val="007E0749"/>
    <w:rsid w:val="007E2F87"/>
    <w:rsid w:val="007E334F"/>
    <w:rsid w:val="007E3CB0"/>
    <w:rsid w:val="007E5D39"/>
    <w:rsid w:val="007E66C8"/>
    <w:rsid w:val="007E67BD"/>
    <w:rsid w:val="007E6BBD"/>
    <w:rsid w:val="007F06E1"/>
    <w:rsid w:val="007F517F"/>
    <w:rsid w:val="007F6391"/>
    <w:rsid w:val="007F6FB8"/>
    <w:rsid w:val="007F76FF"/>
    <w:rsid w:val="00801491"/>
    <w:rsid w:val="008015A7"/>
    <w:rsid w:val="00803099"/>
    <w:rsid w:val="00806E4B"/>
    <w:rsid w:val="0081066B"/>
    <w:rsid w:val="00810809"/>
    <w:rsid w:val="00812350"/>
    <w:rsid w:val="00812741"/>
    <w:rsid w:val="008128E3"/>
    <w:rsid w:val="00815871"/>
    <w:rsid w:val="00821789"/>
    <w:rsid w:val="0082180B"/>
    <w:rsid w:val="00824C6B"/>
    <w:rsid w:val="00825D4F"/>
    <w:rsid w:val="008260ED"/>
    <w:rsid w:val="00830017"/>
    <w:rsid w:val="00830DC9"/>
    <w:rsid w:val="00831A3F"/>
    <w:rsid w:val="00833A6A"/>
    <w:rsid w:val="00833E2F"/>
    <w:rsid w:val="008368F3"/>
    <w:rsid w:val="008400A8"/>
    <w:rsid w:val="0084156A"/>
    <w:rsid w:val="00841A85"/>
    <w:rsid w:val="00842297"/>
    <w:rsid w:val="008427B1"/>
    <w:rsid w:val="00842B06"/>
    <w:rsid w:val="008444ED"/>
    <w:rsid w:val="008449FF"/>
    <w:rsid w:val="0084601D"/>
    <w:rsid w:val="00846C73"/>
    <w:rsid w:val="00847B16"/>
    <w:rsid w:val="00847E0C"/>
    <w:rsid w:val="00850C6E"/>
    <w:rsid w:val="0085161D"/>
    <w:rsid w:val="0085349F"/>
    <w:rsid w:val="00855597"/>
    <w:rsid w:val="00855780"/>
    <w:rsid w:val="00856178"/>
    <w:rsid w:val="00856C69"/>
    <w:rsid w:val="008570AB"/>
    <w:rsid w:val="008606A2"/>
    <w:rsid w:val="00861C8E"/>
    <w:rsid w:val="00862545"/>
    <w:rsid w:val="0086273D"/>
    <w:rsid w:val="0086444C"/>
    <w:rsid w:val="00865A76"/>
    <w:rsid w:val="008667E8"/>
    <w:rsid w:val="0086730B"/>
    <w:rsid w:val="008679E6"/>
    <w:rsid w:val="00867A0F"/>
    <w:rsid w:val="00871811"/>
    <w:rsid w:val="00872C20"/>
    <w:rsid w:val="00872E1F"/>
    <w:rsid w:val="00873942"/>
    <w:rsid w:val="00873D79"/>
    <w:rsid w:val="00880558"/>
    <w:rsid w:val="00883DAF"/>
    <w:rsid w:val="00885B83"/>
    <w:rsid w:val="00885DA2"/>
    <w:rsid w:val="00886342"/>
    <w:rsid w:val="008875DE"/>
    <w:rsid w:val="00887C08"/>
    <w:rsid w:val="0089092F"/>
    <w:rsid w:val="00896FF4"/>
    <w:rsid w:val="008972BD"/>
    <w:rsid w:val="008A0701"/>
    <w:rsid w:val="008A0E85"/>
    <w:rsid w:val="008A1DDE"/>
    <w:rsid w:val="008A1EDC"/>
    <w:rsid w:val="008A2E5A"/>
    <w:rsid w:val="008A371D"/>
    <w:rsid w:val="008A4FE2"/>
    <w:rsid w:val="008A5443"/>
    <w:rsid w:val="008A55A8"/>
    <w:rsid w:val="008A5F01"/>
    <w:rsid w:val="008A6B66"/>
    <w:rsid w:val="008B0969"/>
    <w:rsid w:val="008B11D0"/>
    <w:rsid w:val="008B15C4"/>
    <w:rsid w:val="008B4464"/>
    <w:rsid w:val="008B4692"/>
    <w:rsid w:val="008B4A0F"/>
    <w:rsid w:val="008B4BF2"/>
    <w:rsid w:val="008B56E5"/>
    <w:rsid w:val="008B5AFD"/>
    <w:rsid w:val="008B6650"/>
    <w:rsid w:val="008B7A4E"/>
    <w:rsid w:val="008C1506"/>
    <w:rsid w:val="008C2495"/>
    <w:rsid w:val="008C2D30"/>
    <w:rsid w:val="008C2E11"/>
    <w:rsid w:val="008C73DE"/>
    <w:rsid w:val="008C77F7"/>
    <w:rsid w:val="008D0AE4"/>
    <w:rsid w:val="008D1916"/>
    <w:rsid w:val="008D1B0D"/>
    <w:rsid w:val="008D2DD0"/>
    <w:rsid w:val="008D2F52"/>
    <w:rsid w:val="008D6B57"/>
    <w:rsid w:val="008D74C3"/>
    <w:rsid w:val="008D7DFC"/>
    <w:rsid w:val="008E00FD"/>
    <w:rsid w:val="008E09AC"/>
    <w:rsid w:val="008E16E7"/>
    <w:rsid w:val="008E33EA"/>
    <w:rsid w:val="008E4180"/>
    <w:rsid w:val="008E5722"/>
    <w:rsid w:val="008E5F84"/>
    <w:rsid w:val="008E6A1B"/>
    <w:rsid w:val="008F0EA9"/>
    <w:rsid w:val="008F1B1E"/>
    <w:rsid w:val="008F411D"/>
    <w:rsid w:val="008F4D31"/>
    <w:rsid w:val="008F5FF0"/>
    <w:rsid w:val="008F61F2"/>
    <w:rsid w:val="008F63BC"/>
    <w:rsid w:val="008F7F78"/>
    <w:rsid w:val="00900316"/>
    <w:rsid w:val="0090122A"/>
    <w:rsid w:val="00901F17"/>
    <w:rsid w:val="0090394F"/>
    <w:rsid w:val="00904728"/>
    <w:rsid w:val="009054D3"/>
    <w:rsid w:val="00907B9D"/>
    <w:rsid w:val="00910CFA"/>
    <w:rsid w:val="009125D2"/>
    <w:rsid w:val="00915E3F"/>
    <w:rsid w:val="00916C8B"/>
    <w:rsid w:val="00922344"/>
    <w:rsid w:val="0092273F"/>
    <w:rsid w:val="009238F1"/>
    <w:rsid w:val="009249B4"/>
    <w:rsid w:val="00926D0F"/>
    <w:rsid w:val="009279E1"/>
    <w:rsid w:val="00933783"/>
    <w:rsid w:val="00934A5A"/>
    <w:rsid w:val="00935E14"/>
    <w:rsid w:val="009410E0"/>
    <w:rsid w:val="00942454"/>
    <w:rsid w:val="009444B1"/>
    <w:rsid w:val="009467C6"/>
    <w:rsid w:val="00946DA9"/>
    <w:rsid w:val="00951035"/>
    <w:rsid w:val="00951BD3"/>
    <w:rsid w:val="00957310"/>
    <w:rsid w:val="0095750D"/>
    <w:rsid w:val="00962B8F"/>
    <w:rsid w:val="00964464"/>
    <w:rsid w:val="009654CB"/>
    <w:rsid w:val="00965665"/>
    <w:rsid w:val="00966D4F"/>
    <w:rsid w:val="0097192E"/>
    <w:rsid w:val="00971F52"/>
    <w:rsid w:val="0097202E"/>
    <w:rsid w:val="00972E0B"/>
    <w:rsid w:val="009748F0"/>
    <w:rsid w:val="00974A7C"/>
    <w:rsid w:val="0097587B"/>
    <w:rsid w:val="009766FE"/>
    <w:rsid w:val="00977715"/>
    <w:rsid w:val="00980439"/>
    <w:rsid w:val="00982444"/>
    <w:rsid w:val="00982BA7"/>
    <w:rsid w:val="00982D92"/>
    <w:rsid w:val="00982F10"/>
    <w:rsid w:val="00983267"/>
    <w:rsid w:val="009834A0"/>
    <w:rsid w:val="009843A8"/>
    <w:rsid w:val="00984993"/>
    <w:rsid w:val="00992500"/>
    <w:rsid w:val="00992F61"/>
    <w:rsid w:val="0099496C"/>
    <w:rsid w:val="00995831"/>
    <w:rsid w:val="00996569"/>
    <w:rsid w:val="00997EC1"/>
    <w:rsid w:val="009A057B"/>
    <w:rsid w:val="009A06F0"/>
    <w:rsid w:val="009A14DE"/>
    <w:rsid w:val="009A2105"/>
    <w:rsid w:val="009A5B8E"/>
    <w:rsid w:val="009A7BC2"/>
    <w:rsid w:val="009B1897"/>
    <w:rsid w:val="009B1965"/>
    <w:rsid w:val="009B1BB7"/>
    <w:rsid w:val="009B48D4"/>
    <w:rsid w:val="009C0992"/>
    <w:rsid w:val="009C0C48"/>
    <w:rsid w:val="009C1830"/>
    <w:rsid w:val="009C23DA"/>
    <w:rsid w:val="009C24B3"/>
    <w:rsid w:val="009C2C09"/>
    <w:rsid w:val="009C2E5A"/>
    <w:rsid w:val="009C347A"/>
    <w:rsid w:val="009C6214"/>
    <w:rsid w:val="009C7B18"/>
    <w:rsid w:val="009C7D55"/>
    <w:rsid w:val="009C7F52"/>
    <w:rsid w:val="009D07F2"/>
    <w:rsid w:val="009D1884"/>
    <w:rsid w:val="009D24A3"/>
    <w:rsid w:val="009D3312"/>
    <w:rsid w:val="009D3665"/>
    <w:rsid w:val="009D3C84"/>
    <w:rsid w:val="009D4B65"/>
    <w:rsid w:val="009D6969"/>
    <w:rsid w:val="009D7470"/>
    <w:rsid w:val="009D7A58"/>
    <w:rsid w:val="009E0CED"/>
    <w:rsid w:val="009E17A2"/>
    <w:rsid w:val="009E2D23"/>
    <w:rsid w:val="009E3E96"/>
    <w:rsid w:val="009E4043"/>
    <w:rsid w:val="009E43C1"/>
    <w:rsid w:val="009E4CB8"/>
    <w:rsid w:val="009E5BF2"/>
    <w:rsid w:val="009F3BA0"/>
    <w:rsid w:val="009F3F5D"/>
    <w:rsid w:val="009F4CB9"/>
    <w:rsid w:val="009F573D"/>
    <w:rsid w:val="00A00CD4"/>
    <w:rsid w:val="00A00FC6"/>
    <w:rsid w:val="00A01C02"/>
    <w:rsid w:val="00A0324F"/>
    <w:rsid w:val="00A038D1"/>
    <w:rsid w:val="00A05113"/>
    <w:rsid w:val="00A054DC"/>
    <w:rsid w:val="00A05A73"/>
    <w:rsid w:val="00A0659C"/>
    <w:rsid w:val="00A069AE"/>
    <w:rsid w:val="00A06F13"/>
    <w:rsid w:val="00A07DF7"/>
    <w:rsid w:val="00A10389"/>
    <w:rsid w:val="00A1133E"/>
    <w:rsid w:val="00A11888"/>
    <w:rsid w:val="00A11E62"/>
    <w:rsid w:val="00A11E8F"/>
    <w:rsid w:val="00A12369"/>
    <w:rsid w:val="00A14357"/>
    <w:rsid w:val="00A147BF"/>
    <w:rsid w:val="00A1524F"/>
    <w:rsid w:val="00A15E63"/>
    <w:rsid w:val="00A16646"/>
    <w:rsid w:val="00A17672"/>
    <w:rsid w:val="00A20E56"/>
    <w:rsid w:val="00A23BC2"/>
    <w:rsid w:val="00A27727"/>
    <w:rsid w:val="00A279AC"/>
    <w:rsid w:val="00A27EF3"/>
    <w:rsid w:val="00A30C5D"/>
    <w:rsid w:val="00A310F1"/>
    <w:rsid w:val="00A31D1D"/>
    <w:rsid w:val="00A35FAA"/>
    <w:rsid w:val="00A37DF9"/>
    <w:rsid w:val="00A40163"/>
    <w:rsid w:val="00A409BC"/>
    <w:rsid w:val="00A42F6D"/>
    <w:rsid w:val="00A442CD"/>
    <w:rsid w:val="00A44612"/>
    <w:rsid w:val="00A44720"/>
    <w:rsid w:val="00A51337"/>
    <w:rsid w:val="00A540A5"/>
    <w:rsid w:val="00A54248"/>
    <w:rsid w:val="00A55B6F"/>
    <w:rsid w:val="00A61F1C"/>
    <w:rsid w:val="00A6388E"/>
    <w:rsid w:val="00A675CB"/>
    <w:rsid w:val="00A70398"/>
    <w:rsid w:val="00A709AD"/>
    <w:rsid w:val="00A733CB"/>
    <w:rsid w:val="00A73816"/>
    <w:rsid w:val="00A751AD"/>
    <w:rsid w:val="00A775CF"/>
    <w:rsid w:val="00A77853"/>
    <w:rsid w:val="00A77A5F"/>
    <w:rsid w:val="00A77FAF"/>
    <w:rsid w:val="00A8009B"/>
    <w:rsid w:val="00A80C87"/>
    <w:rsid w:val="00A8425B"/>
    <w:rsid w:val="00A84503"/>
    <w:rsid w:val="00A861B9"/>
    <w:rsid w:val="00A8653B"/>
    <w:rsid w:val="00A86CDB"/>
    <w:rsid w:val="00A8782F"/>
    <w:rsid w:val="00A9167D"/>
    <w:rsid w:val="00A92D25"/>
    <w:rsid w:val="00A94689"/>
    <w:rsid w:val="00A94DDB"/>
    <w:rsid w:val="00A96FFE"/>
    <w:rsid w:val="00AA27AA"/>
    <w:rsid w:val="00AA2DF3"/>
    <w:rsid w:val="00AA50BC"/>
    <w:rsid w:val="00AB07F2"/>
    <w:rsid w:val="00AB24E7"/>
    <w:rsid w:val="00AB3237"/>
    <w:rsid w:val="00AB3A2D"/>
    <w:rsid w:val="00AB5C7E"/>
    <w:rsid w:val="00AB75AE"/>
    <w:rsid w:val="00AB76EC"/>
    <w:rsid w:val="00AB77C4"/>
    <w:rsid w:val="00AB7933"/>
    <w:rsid w:val="00AC13C9"/>
    <w:rsid w:val="00AC2792"/>
    <w:rsid w:val="00AC3CF0"/>
    <w:rsid w:val="00AC3D18"/>
    <w:rsid w:val="00AD10CF"/>
    <w:rsid w:val="00AD35EA"/>
    <w:rsid w:val="00AD3BC7"/>
    <w:rsid w:val="00AD562E"/>
    <w:rsid w:val="00AD5B1B"/>
    <w:rsid w:val="00AD6259"/>
    <w:rsid w:val="00AE1674"/>
    <w:rsid w:val="00AE1D75"/>
    <w:rsid w:val="00AE2459"/>
    <w:rsid w:val="00AE29C2"/>
    <w:rsid w:val="00AE3D23"/>
    <w:rsid w:val="00AE41BB"/>
    <w:rsid w:val="00AE4EC8"/>
    <w:rsid w:val="00AE563A"/>
    <w:rsid w:val="00AE5D9F"/>
    <w:rsid w:val="00AE5F15"/>
    <w:rsid w:val="00AE61C0"/>
    <w:rsid w:val="00AE76C9"/>
    <w:rsid w:val="00AF0C7E"/>
    <w:rsid w:val="00AF0EB2"/>
    <w:rsid w:val="00AF2791"/>
    <w:rsid w:val="00AF32F0"/>
    <w:rsid w:val="00AF3811"/>
    <w:rsid w:val="00AF418D"/>
    <w:rsid w:val="00AF5179"/>
    <w:rsid w:val="00AF560E"/>
    <w:rsid w:val="00AF6220"/>
    <w:rsid w:val="00AF70EE"/>
    <w:rsid w:val="00AF7618"/>
    <w:rsid w:val="00B00AF9"/>
    <w:rsid w:val="00B00B01"/>
    <w:rsid w:val="00B04550"/>
    <w:rsid w:val="00B04964"/>
    <w:rsid w:val="00B06F40"/>
    <w:rsid w:val="00B10605"/>
    <w:rsid w:val="00B10F95"/>
    <w:rsid w:val="00B10FCF"/>
    <w:rsid w:val="00B12331"/>
    <w:rsid w:val="00B1274F"/>
    <w:rsid w:val="00B15B71"/>
    <w:rsid w:val="00B2087D"/>
    <w:rsid w:val="00B21941"/>
    <w:rsid w:val="00B21EB4"/>
    <w:rsid w:val="00B22202"/>
    <w:rsid w:val="00B240AA"/>
    <w:rsid w:val="00B26C44"/>
    <w:rsid w:val="00B27820"/>
    <w:rsid w:val="00B30944"/>
    <w:rsid w:val="00B323BD"/>
    <w:rsid w:val="00B33F4D"/>
    <w:rsid w:val="00B37148"/>
    <w:rsid w:val="00B42B56"/>
    <w:rsid w:val="00B455C0"/>
    <w:rsid w:val="00B460B5"/>
    <w:rsid w:val="00B47240"/>
    <w:rsid w:val="00B47F4C"/>
    <w:rsid w:val="00B51526"/>
    <w:rsid w:val="00B523E2"/>
    <w:rsid w:val="00B5762D"/>
    <w:rsid w:val="00B60F6F"/>
    <w:rsid w:val="00B61A52"/>
    <w:rsid w:val="00B6230B"/>
    <w:rsid w:val="00B6389E"/>
    <w:rsid w:val="00B64DE4"/>
    <w:rsid w:val="00B66467"/>
    <w:rsid w:val="00B71222"/>
    <w:rsid w:val="00B7262F"/>
    <w:rsid w:val="00B7358B"/>
    <w:rsid w:val="00B7388C"/>
    <w:rsid w:val="00B73E0D"/>
    <w:rsid w:val="00B77593"/>
    <w:rsid w:val="00B830A1"/>
    <w:rsid w:val="00B83705"/>
    <w:rsid w:val="00B83CA0"/>
    <w:rsid w:val="00B84243"/>
    <w:rsid w:val="00B85C34"/>
    <w:rsid w:val="00B8742F"/>
    <w:rsid w:val="00B876C0"/>
    <w:rsid w:val="00B93884"/>
    <w:rsid w:val="00B94A65"/>
    <w:rsid w:val="00B94ADF"/>
    <w:rsid w:val="00B94FB4"/>
    <w:rsid w:val="00B95D2D"/>
    <w:rsid w:val="00B9676C"/>
    <w:rsid w:val="00BA0966"/>
    <w:rsid w:val="00BA0F2F"/>
    <w:rsid w:val="00BA379F"/>
    <w:rsid w:val="00BA4411"/>
    <w:rsid w:val="00BA6777"/>
    <w:rsid w:val="00BA6813"/>
    <w:rsid w:val="00BB19A7"/>
    <w:rsid w:val="00BB2A98"/>
    <w:rsid w:val="00BB3AB5"/>
    <w:rsid w:val="00BB3DA8"/>
    <w:rsid w:val="00BB498B"/>
    <w:rsid w:val="00BB6D23"/>
    <w:rsid w:val="00BB721D"/>
    <w:rsid w:val="00BB7455"/>
    <w:rsid w:val="00BC17FB"/>
    <w:rsid w:val="00BC2C65"/>
    <w:rsid w:val="00BC3CAB"/>
    <w:rsid w:val="00BC42CE"/>
    <w:rsid w:val="00BC6702"/>
    <w:rsid w:val="00BD210E"/>
    <w:rsid w:val="00BD304D"/>
    <w:rsid w:val="00BE70B3"/>
    <w:rsid w:val="00BE7D58"/>
    <w:rsid w:val="00BF0270"/>
    <w:rsid w:val="00BF0E14"/>
    <w:rsid w:val="00BF11BF"/>
    <w:rsid w:val="00BF164E"/>
    <w:rsid w:val="00BF2148"/>
    <w:rsid w:val="00BF23C3"/>
    <w:rsid w:val="00BF263F"/>
    <w:rsid w:val="00BF3E50"/>
    <w:rsid w:val="00BF6570"/>
    <w:rsid w:val="00BF6D42"/>
    <w:rsid w:val="00BF7ED9"/>
    <w:rsid w:val="00C00AA5"/>
    <w:rsid w:val="00C07DEC"/>
    <w:rsid w:val="00C1005F"/>
    <w:rsid w:val="00C107D2"/>
    <w:rsid w:val="00C11F05"/>
    <w:rsid w:val="00C11F2F"/>
    <w:rsid w:val="00C12D0A"/>
    <w:rsid w:val="00C12DE9"/>
    <w:rsid w:val="00C15DEF"/>
    <w:rsid w:val="00C17158"/>
    <w:rsid w:val="00C17A51"/>
    <w:rsid w:val="00C20E76"/>
    <w:rsid w:val="00C23647"/>
    <w:rsid w:val="00C24021"/>
    <w:rsid w:val="00C2476F"/>
    <w:rsid w:val="00C2641F"/>
    <w:rsid w:val="00C273A1"/>
    <w:rsid w:val="00C3009E"/>
    <w:rsid w:val="00C31E81"/>
    <w:rsid w:val="00C3239B"/>
    <w:rsid w:val="00C3324A"/>
    <w:rsid w:val="00C336DD"/>
    <w:rsid w:val="00C34390"/>
    <w:rsid w:val="00C34C59"/>
    <w:rsid w:val="00C359BA"/>
    <w:rsid w:val="00C35E53"/>
    <w:rsid w:val="00C3662D"/>
    <w:rsid w:val="00C36775"/>
    <w:rsid w:val="00C406CE"/>
    <w:rsid w:val="00C41219"/>
    <w:rsid w:val="00C41D55"/>
    <w:rsid w:val="00C420C5"/>
    <w:rsid w:val="00C428E6"/>
    <w:rsid w:val="00C42D37"/>
    <w:rsid w:val="00C431A3"/>
    <w:rsid w:val="00C43756"/>
    <w:rsid w:val="00C44BE3"/>
    <w:rsid w:val="00C44C1D"/>
    <w:rsid w:val="00C5028C"/>
    <w:rsid w:val="00C51C07"/>
    <w:rsid w:val="00C53EF2"/>
    <w:rsid w:val="00C5570B"/>
    <w:rsid w:val="00C55846"/>
    <w:rsid w:val="00C57082"/>
    <w:rsid w:val="00C605F4"/>
    <w:rsid w:val="00C615E5"/>
    <w:rsid w:val="00C619FE"/>
    <w:rsid w:val="00C62A49"/>
    <w:rsid w:val="00C6305B"/>
    <w:rsid w:val="00C63C1F"/>
    <w:rsid w:val="00C63ED7"/>
    <w:rsid w:val="00C706DE"/>
    <w:rsid w:val="00C74126"/>
    <w:rsid w:val="00C74C39"/>
    <w:rsid w:val="00C74DA9"/>
    <w:rsid w:val="00C7638D"/>
    <w:rsid w:val="00C763EA"/>
    <w:rsid w:val="00C771EB"/>
    <w:rsid w:val="00C8049D"/>
    <w:rsid w:val="00C81254"/>
    <w:rsid w:val="00C85E77"/>
    <w:rsid w:val="00C8748F"/>
    <w:rsid w:val="00C87FB8"/>
    <w:rsid w:val="00C91CF4"/>
    <w:rsid w:val="00C92123"/>
    <w:rsid w:val="00C94229"/>
    <w:rsid w:val="00C95596"/>
    <w:rsid w:val="00C95850"/>
    <w:rsid w:val="00C95B85"/>
    <w:rsid w:val="00C97F24"/>
    <w:rsid w:val="00CA0B5E"/>
    <w:rsid w:val="00CA0F4F"/>
    <w:rsid w:val="00CA17B1"/>
    <w:rsid w:val="00CA2A47"/>
    <w:rsid w:val="00CA3214"/>
    <w:rsid w:val="00CA450E"/>
    <w:rsid w:val="00CA4819"/>
    <w:rsid w:val="00CA600B"/>
    <w:rsid w:val="00CA709C"/>
    <w:rsid w:val="00CB00D4"/>
    <w:rsid w:val="00CB1F59"/>
    <w:rsid w:val="00CB54F0"/>
    <w:rsid w:val="00CB5C31"/>
    <w:rsid w:val="00CB62C0"/>
    <w:rsid w:val="00CB795F"/>
    <w:rsid w:val="00CC0486"/>
    <w:rsid w:val="00CC0B67"/>
    <w:rsid w:val="00CC3220"/>
    <w:rsid w:val="00CC453E"/>
    <w:rsid w:val="00CC4867"/>
    <w:rsid w:val="00CC5AB0"/>
    <w:rsid w:val="00CC63D5"/>
    <w:rsid w:val="00CC7C89"/>
    <w:rsid w:val="00CC7ED8"/>
    <w:rsid w:val="00CC7F08"/>
    <w:rsid w:val="00CD1BF3"/>
    <w:rsid w:val="00CD2C4A"/>
    <w:rsid w:val="00CD3382"/>
    <w:rsid w:val="00CD7118"/>
    <w:rsid w:val="00CE0085"/>
    <w:rsid w:val="00CE0472"/>
    <w:rsid w:val="00CE2C1A"/>
    <w:rsid w:val="00CE3F53"/>
    <w:rsid w:val="00CE4134"/>
    <w:rsid w:val="00CE4FC8"/>
    <w:rsid w:val="00CE558E"/>
    <w:rsid w:val="00CE5EC0"/>
    <w:rsid w:val="00CE645E"/>
    <w:rsid w:val="00CE7933"/>
    <w:rsid w:val="00CF2C6F"/>
    <w:rsid w:val="00CF4131"/>
    <w:rsid w:val="00CF5085"/>
    <w:rsid w:val="00CF5391"/>
    <w:rsid w:val="00CF6028"/>
    <w:rsid w:val="00CF6796"/>
    <w:rsid w:val="00D00382"/>
    <w:rsid w:val="00D0086A"/>
    <w:rsid w:val="00D02C37"/>
    <w:rsid w:val="00D02EF1"/>
    <w:rsid w:val="00D05719"/>
    <w:rsid w:val="00D076E9"/>
    <w:rsid w:val="00D07A8D"/>
    <w:rsid w:val="00D1024D"/>
    <w:rsid w:val="00D120BF"/>
    <w:rsid w:val="00D13536"/>
    <w:rsid w:val="00D13659"/>
    <w:rsid w:val="00D143EC"/>
    <w:rsid w:val="00D1515D"/>
    <w:rsid w:val="00D1545C"/>
    <w:rsid w:val="00D15ACB"/>
    <w:rsid w:val="00D1741D"/>
    <w:rsid w:val="00D174C3"/>
    <w:rsid w:val="00D17D15"/>
    <w:rsid w:val="00D17E55"/>
    <w:rsid w:val="00D2179B"/>
    <w:rsid w:val="00D22699"/>
    <w:rsid w:val="00D2316C"/>
    <w:rsid w:val="00D23FB7"/>
    <w:rsid w:val="00D24FF4"/>
    <w:rsid w:val="00D30A84"/>
    <w:rsid w:val="00D30CBA"/>
    <w:rsid w:val="00D31052"/>
    <w:rsid w:val="00D323B5"/>
    <w:rsid w:val="00D327B7"/>
    <w:rsid w:val="00D36333"/>
    <w:rsid w:val="00D37C36"/>
    <w:rsid w:val="00D42454"/>
    <w:rsid w:val="00D428B3"/>
    <w:rsid w:val="00D44D21"/>
    <w:rsid w:val="00D46A7B"/>
    <w:rsid w:val="00D503B7"/>
    <w:rsid w:val="00D50C9B"/>
    <w:rsid w:val="00D52FA6"/>
    <w:rsid w:val="00D5385C"/>
    <w:rsid w:val="00D5491C"/>
    <w:rsid w:val="00D549BF"/>
    <w:rsid w:val="00D551E1"/>
    <w:rsid w:val="00D55763"/>
    <w:rsid w:val="00D55F66"/>
    <w:rsid w:val="00D5708A"/>
    <w:rsid w:val="00D576B5"/>
    <w:rsid w:val="00D57849"/>
    <w:rsid w:val="00D60439"/>
    <w:rsid w:val="00D6199A"/>
    <w:rsid w:val="00D64BE6"/>
    <w:rsid w:val="00D6661E"/>
    <w:rsid w:val="00D66692"/>
    <w:rsid w:val="00D7026C"/>
    <w:rsid w:val="00D70EB2"/>
    <w:rsid w:val="00D715EF"/>
    <w:rsid w:val="00D75924"/>
    <w:rsid w:val="00D75DD0"/>
    <w:rsid w:val="00D7602E"/>
    <w:rsid w:val="00D76996"/>
    <w:rsid w:val="00D83B82"/>
    <w:rsid w:val="00D846C2"/>
    <w:rsid w:val="00D85D3F"/>
    <w:rsid w:val="00D87479"/>
    <w:rsid w:val="00D87624"/>
    <w:rsid w:val="00D9150D"/>
    <w:rsid w:val="00D91854"/>
    <w:rsid w:val="00D92B42"/>
    <w:rsid w:val="00D951E1"/>
    <w:rsid w:val="00D961F2"/>
    <w:rsid w:val="00D97687"/>
    <w:rsid w:val="00D9775E"/>
    <w:rsid w:val="00DA07D8"/>
    <w:rsid w:val="00DA1610"/>
    <w:rsid w:val="00DA1A11"/>
    <w:rsid w:val="00DA1BEF"/>
    <w:rsid w:val="00DA28A8"/>
    <w:rsid w:val="00DA3143"/>
    <w:rsid w:val="00DA4EAE"/>
    <w:rsid w:val="00DA6854"/>
    <w:rsid w:val="00DA6D4F"/>
    <w:rsid w:val="00DA6FB4"/>
    <w:rsid w:val="00DA7AC3"/>
    <w:rsid w:val="00DB10A8"/>
    <w:rsid w:val="00DB4C98"/>
    <w:rsid w:val="00DB4F1B"/>
    <w:rsid w:val="00DB50EA"/>
    <w:rsid w:val="00DB584E"/>
    <w:rsid w:val="00DB69D9"/>
    <w:rsid w:val="00DC235D"/>
    <w:rsid w:val="00DC32EC"/>
    <w:rsid w:val="00DC39E1"/>
    <w:rsid w:val="00DC4099"/>
    <w:rsid w:val="00DC4790"/>
    <w:rsid w:val="00DC6737"/>
    <w:rsid w:val="00DD06D6"/>
    <w:rsid w:val="00DD0BA0"/>
    <w:rsid w:val="00DD7648"/>
    <w:rsid w:val="00DD7B40"/>
    <w:rsid w:val="00DE117E"/>
    <w:rsid w:val="00DE1987"/>
    <w:rsid w:val="00DE25CC"/>
    <w:rsid w:val="00DE36CF"/>
    <w:rsid w:val="00DE42BA"/>
    <w:rsid w:val="00DE50C2"/>
    <w:rsid w:val="00DE566F"/>
    <w:rsid w:val="00DE5DF9"/>
    <w:rsid w:val="00DE5E0C"/>
    <w:rsid w:val="00DE60EA"/>
    <w:rsid w:val="00DF0728"/>
    <w:rsid w:val="00DF1ADC"/>
    <w:rsid w:val="00DF2249"/>
    <w:rsid w:val="00DF2CE5"/>
    <w:rsid w:val="00DF30D5"/>
    <w:rsid w:val="00DF363A"/>
    <w:rsid w:val="00DF394A"/>
    <w:rsid w:val="00DF4173"/>
    <w:rsid w:val="00DF61C8"/>
    <w:rsid w:val="00DF6323"/>
    <w:rsid w:val="00DF6B26"/>
    <w:rsid w:val="00DF744E"/>
    <w:rsid w:val="00E00258"/>
    <w:rsid w:val="00E01B7C"/>
    <w:rsid w:val="00E01F36"/>
    <w:rsid w:val="00E054BA"/>
    <w:rsid w:val="00E05967"/>
    <w:rsid w:val="00E06F9F"/>
    <w:rsid w:val="00E07E24"/>
    <w:rsid w:val="00E10D3F"/>
    <w:rsid w:val="00E11210"/>
    <w:rsid w:val="00E121DD"/>
    <w:rsid w:val="00E1675C"/>
    <w:rsid w:val="00E16977"/>
    <w:rsid w:val="00E16BE1"/>
    <w:rsid w:val="00E17DAB"/>
    <w:rsid w:val="00E20628"/>
    <w:rsid w:val="00E2103B"/>
    <w:rsid w:val="00E22A07"/>
    <w:rsid w:val="00E26003"/>
    <w:rsid w:val="00E27319"/>
    <w:rsid w:val="00E273FF"/>
    <w:rsid w:val="00E27B91"/>
    <w:rsid w:val="00E30FE2"/>
    <w:rsid w:val="00E37BA9"/>
    <w:rsid w:val="00E4238F"/>
    <w:rsid w:val="00E42411"/>
    <w:rsid w:val="00E42C8A"/>
    <w:rsid w:val="00E43965"/>
    <w:rsid w:val="00E43E3B"/>
    <w:rsid w:val="00E4452C"/>
    <w:rsid w:val="00E453F8"/>
    <w:rsid w:val="00E4582E"/>
    <w:rsid w:val="00E46611"/>
    <w:rsid w:val="00E46AB8"/>
    <w:rsid w:val="00E473B3"/>
    <w:rsid w:val="00E5330F"/>
    <w:rsid w:val="00E54185"/>
    <w:rsid w:val="00E55ABA"/>
    <w:rsid w:val="00E5728A"/>
    <w:rsid w:val="00E60751"/>
    <w:rsid w:val="00E6169B"/>
    <w:rsid w:val="00E62B36"/>
    <w:rsid w:val="00E62DF5"/>
    <w:rsid w:val="00E62F69"/>
    <w:rsid w:val="00E6369F"/>
    <w:rsid w:val="00E647C8"/>
    <w:rsid w:val="00E672CB"/>
    <w:rsid w:val="00E70F0A"/>
    <w:rsid w:val="00E715E7"/>
    <w:rsid w:val="00E71F0F"/>
    <w:rsid w:val="00E731D7"/>
    <w:rsid w:val="00E74ACE"/>
    <w:rsid w:val="00E77C06"/>
    <w:rsid w:val="00E81A64"/>
    <w:rsid w:val="00E831F7"/>
    <w:rsid w:val="00E835D7"/>
    <w:rsid w:val="00E855E0"/>
    <w:rsid w:val="00E860B7"/>
    <w:rsid w:val="00E86259"/>
    <w:rsid w:val="00E8780D"/>
    <w:rsid w:val="00E9358B"/>
    <w:rsid w:val="00E95103"/>
    <w:rsid w:val="00E956B3"/>
    <w:rsid w:val="00E95DB8"/>
    <w:rsid w:val="00E95E3B"/>
    <w:rsid w:val="00E971BB"/>
    <w:rsid w:val="00E97527"/>
    <w:rsid w:val="00EA2442"/>
    <w:rsid w:val="00EA5A9E"/>
    <w:rsid w:val="00EA6556"/>
    <w:rsid w:val="00EA6842"/>
    <w:rsid w:val="00EB063E"/>
    <w:rsid w:val="00EB068F"/>
    <w:rsid w:val="00EB4C26"/>
    <w:rsid w:val="00EB5127"/>
    <w:rsid w:val="00EB53F2"/>
    <w:rsid w:val="00EB7803"/>
    <w:rsid w:val="00EC0295"/>
    <w:rsid w:val="00EC0454"/>
    <w:rsid w:val="00EC19FA"/>
    <w:rsid w:val="00EC5F86"/>
    <w:rsid w:val="00ED0940"/>
    <w:rsid w:val="00ED25CE"/>
    <w:rsid w:val="00ED3A55"/>
    <w:rsid w:val="00ED402C"/>
    <w:rsid w:val="00ED468F"/>
    <w:rsid w:val="00ED6D9F"/>
    <w:rsid w:val="00EE0ACF"/>
    <w:rsid w:val="00EE37DE"/>
    <w:rsid w:val="00EE3E7F"/>
    <w:rsid w:val="00EE455E"/>
    <w:rsid w:val="00EE67C5"/>
    <w:rsid w:val="00EE788D"/>
    <w:rsid w:val="00EF18EF"/>
    <w:rsid w:val="00EF2A15"/>
    <w:rsid w:val="00EF3070"/>
    <w:rsid w:val="00EF4031"/>
    <w:rsid w:val="00EF6BDC"/>
    <w:rsid w:val="00F00728"/>
    <w:rsid w:val="00F01FF7"/>
    <w:rsid w:val="00F05784"/>
    <w:rsid w:val="00F05908"/>
    <w:rsid w:val="00F1076B"/>
    <w:rsid w:val="00F10D71"/>
    <w:rsid w:val="00F11B9B"/>
    <w:rsid w:val="00F11D20"/>
    <w:rsid w:val="00F120D0"/>
    <w:rsid w:val="00F13E0D"/>
    <w:rsid w:val="00F14467"/>
    <w:rsid w:val="00F20B6E"/>
    <w:rsid w:val="00F20FF5"/>
    <w:rsid w:val="00F248EC"/>
    <w:rsid w:val="00F24BCF"/>
    <w:rsid w:val="00F24C64"/>
    <w:rsid w:val="00F2639B"/>
    <w:rsid w:val="00F26509"/>
    <w:rsid w:val="00F276EE"/>
    <w:rsid w:val="00F31355"/>
    <w:rsid w:val="00F3255F"/>
    <w:rsid w:val="00F3374F"/>
    <w:rsid w:val="00F3510E"/>
    <w:rsid w:val="00F357F3"/>
    <w:rsid w:val="00F35B8D"/>
    <w:rsid w:val="00F373DC"/>
    <w:rsid w:val="00F37EF3"/>
    <w:rsid w:val="00F402E8"/>
    <w:rsid w:val="00F403D6"/>
    <w:rsid w:val="00F40782"/>
    <w:rsid w:val="00F42204"/>
    <w:rsid w:val="00F422EF"/>
    <w:rsid w:val="00F42894"/>
    <w:rsid w:val="00F45CF2"/>
    <w:rsid w:val="00F4743F"/>
    <w:rsid w:val="00F47B25"/>
    <w:rsid w:val="00F5077E"/>
    <w:rsid w:val="00F51346"/>
    <w:rsid w:val="00F5199A"/>
    <w:rsid w:val="00F5235B"/>
    <w:rsid w:val="00F54947"/>
    <w:rsid w:val="00F5495A"/>
    <w:rsid w:val="00F54F7B"/>
    <w:rsid w:val="00F560DC"/>
    <w:rsid w:val="00F56916"/>
    <w:rsid w:val="00F56AD0"/>
    <w:rsid w:val="00F56CB1"/>
    <w:rsid w:val="00F613E9"/>
    <w:rsid w:val="00F625D0"/>
    <w:rsid w:val="00F63F85"/>
    <w:rsid w:val="00F65819"/>
    <w:rsid w:val="00F66863"/>
    <w:rsid w:val="00F66DAA"/>
    <w:rsid w:val="00F71182"/>
    <w:rsid w:val="00F72D23"/>
    <w:rsid w:val="00F73E47"/>
    <w:rsid w:val="00F7451D"/>
    <w:rsid w:val="00F74CB0"/>
    <w:rsid w:val="00F75495"/>
    <w:rsid w:val="00F765EB"/>
    <w:rsid w:val="00F81CE4"/>
    <w:rsid w:val="00F82354"/>
    <w:rsid w:val="00F8498C"/>
    <w:rsid w:val="00F8673B"/>
    <w:rsid w:val="00F868E5"/>
    <w:rsid w:val="00F90159"/>
    <w:rsid w:val="00F908F8"/>
    <w:rsid w:val="00F91491"/>
    <w:rsid w:val="00F92442"/>
    <w:rsid w:val="00F926C8"/>
    <w:rsid w:val="00F97C22"/>
    <w:rsid w:val="00F97D2D"/>
    <w:rsid w:val="00FA05A4"/>
    <w:rsid w:val="00FA0BA3"/>
    <w:rsid w:val="00FA0C92"/>
    <w:rsid w:val="00FA30C2"/>
    <w:rsid w:val="00FA4191"/>
    <w:rsid w:val="00FA63B6"/>
    <w:rsid w:val="00FA7135"/>
    <w:rsid w:val="00FA784C"/>
    <w:rsid w:val="00FB06E1"/>
    <w:rsid w:val="00FB0CA2"/>
    <w:rsid w:val="00FB3095"/>
    <w:rsid w:val="00FB6912"/>
    <w:rsid w:val="00FC00DD"/>
    <w:rsid w:val="00FC1247"/>
    <w:rsid w:val="00FC1C66"/>
    <w:rsid w:val="00FC3CD4"/>
    <w:rsid w:val="00FC5E1E"/>
    <w:rsid w:val="00FC68BF"/>
    <w:rsid w:val="00FC7CAC"/>
    <w:rsid w:val="00FD14D0"/>
    <w:rsid w:val="00FD1B30"/>
    <w:rsid w:val="00FD284B"/>
    <w:rsid w:val="00FD295C"/>
    <w:rsid w:val="00FD3D3E"/>
    <w:rsid w:val="00FD5051"/>
    <w:rsid w:val="00FD5438"/>
    <w:rsid w:val="00FD5958"/>
    <w:rsid w:val="00FD5A0F"/>
    <w:rsid w:val="00FD756D"/>
    <w:rsid w:val="00FD7972"/>
    <w:rsid w:val="00FE059A"/>
    <w:rsid w:val="00FE0781"/>
    <w:rsid w:val="00FE29AF"/>
    <w:rsid w:val="00FE3181"/>
    <w:rsid w:val="00FE54AE"/>
    <w:rsid w:val="00FF2339"/>
    <w:rsid w:val="00FF2430"/>
    <w:rsid w:val="00FF26B9"/>
    <w:rsid w:val="00FF33AA"/>
    <w:rsid w:val="00FF371D"/>
    <w:rsid w:val="00FF637D"/>
    <w:rsid w:val="00FF64CF"/>
    <w:rsid w:val="00FF6B5D"/>
    <w:rsid w:val="00FF76AC"/>
    <w:rsid w:val="00FF7C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rules v:ext="edit">
        <o:r id="V:Rule5" type="connector" idref="#_x0000_s1228"/>
        <o:r id="V:Rule6" type="connector" idref="#_x0000_s1117"/>
        <o:r id="V:Rule7" type="connector" idref="#_x0000_s1114"/>
        <o:r id="V:Rule8"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F86"/>
    <w:pPr>
      <w:spacing w:after="240" w:line="260" w:lineRule="exact"/>
      <w:jc w:val="both"/>
    </w:pPr>
    <w:rPr>
      <w:rFonts w:ascii="Book Antiqua" w:hAnsi="Book Antiqua"/>
    </w:rPr>
  </w:style>
  <w:style w:type="paragraph" w:styleId="Heading1">
    <w:name w:val="heading 1"/>
    <w:basedOn w:val="HeadingBase"/>
    <w:next w:val="Normal"/>
    <w:qFormat/>
    <w:rsid w:val="00B1274F"/>
    <w:pPr>
      <w:keepNext w:val="0"/>
      <w:jc w:val="center"/>
      <w:outlineLvl w:val="0"/>
    </w:pPr>
    <w:rPr>
      <w:b/>
      <w:smallCaps/>
      <w:kern w:val="28"/>
      <w:sz w:val="52"/>
    </w:rPr>
  </w:style>
  <w:style w:type="paragraph" w:styleId="Heading2">
    <w:name w:val="heading 2"/>
    <w:basedOn w:val="HeadingBase"/>
    <w:next w:val="Normal"/>
    <w:qFormat/>
    <w:rsid w:val="004F1756"/>
    <w:pPr>
      <w:keepNext w:val="0"/>
      <w:spacing w:after="360"/>
      <w:jc w:val="center"/>
      <w:outlineLvl w:val="1"/>
    </w:pPr>
    <w:rPr>
      <w:rFonts w:ascii="Arial Bold" w:hAnsi="Arial Bold" w:cs="Arial"/>
      <w:b/>
      <w:smallCaps/>
      <w:sz w:val="34"/>
      <w:szCs w:val="34"/>
    </w:rPr>
  </w:style>
  <w:style w:type="paragraph" w:styleId="Heading3">
    <w:name w:val="heading 3"/>
    <w:basedOn w:val="HeadingBase"/>
    <w:next w:val="Normal"/>
    <w:link w:val="Heading3Char"/>
    <w:qFormat/>
    <w:rsid w:val="008D2DD0"/>
    <w:pPr>
      <w:keepNext w:val="0"/>
      <w:tabs>
        <w:tab w:val="left" w:pos="709"/>
      </w:tabs>
      <w:spacing w:after="240"/>
      <w:outlineLvl w:val="2"/>
    </w:pPr>
    <w:rPr>
      <w:rFonts w:cs="Arial"/>
      <w:sz w:val="30"/>
      <w:szCs w:val="30"/>
    </w:rPr>
  </w:style>
  <w:style w:type="paragraph" w:styleId="Heading4">
    <w:name w:val="heading 4"/>
    <w:basedOn w:val="HeadingBase"/>
    <w:next w:val="Normal"/>
    <w:qFormat/>
    <w:rsid w:val="008D2DD0"/>
    <w:pPr>
      <w:keepNext w:val="0"/>
      <w:tabs>
        <w:tab w:val="left" w:pos="709"/>
      </w:tabs>
      <w:spacing w:before="240" w:after="240"/>
      <w:outlineLvl w:val="3"/>
    </w:pPr>
    <w:rPr>
      <w:rFonts w:cs="Arial"/>
      <w:b/>
      <w:smallCaps/>
      <w:sz w:val="26"/>
    </w:rPr>
  </w:style>
  <w:style w:type="paragraph" w:styleId="Heading5">
    <w:name w:val="heading 5"/>
    <w:basedOn w:val="HeadingBase"/>
    <w:next w:val="Normal"/>
    <w:link w:val="Heading5Char"/>
    <w:qFormat/>
    <w:rsid w:val="00E453F8"/>
    <w:pPr>
      <w:keepNext w:val="0"/>
      <w:spacing w:before="120" w:after="60"/>
      <w:outlineLvl w:val="4"/>
    </w:pPr>
    <w:rPr>
      <w:rFonts w:cs="Arial"/>
      <w:b/>
      <w:sz w:val="20"/>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6"/>
    <w:next w:val="Normal"/>
    <w:qFormat/>
    <w:rsid w:val="00A37DF9"/>
    <w:pPr>
      <w:keepNext w:val="0"/>
      <w:outlineLvl w:val="6"/>
    </w:pPr>
    <w:rPr>
      <w:b/>
      <w:bCs w:val="0"/>
      <w:sz w:val="22"/>
      <w:szCs w:val="20"/>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Department"/>
    <w:qFormat/>
    <w:rsid w:val="005B4B12"/>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2B2687"/>
    <w:pPr>
      <w:spacing w:after="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link w:val="TableTextBulletChar"/>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style>
  <w:style w:type="paragraph" w:styleId="ListParagraph">
    <w:name w:val="List Paragraph"/>
    <w:aliases w:val="NFP GP Bulleted List,List Paragraph1,Recommendation"/>
    <w:basedOn w:val="Normal"/>
    <w:next w:val="TOC9"/>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D2DD0"/>
    <w:rPr>
      <w:rFonts w:ascii="Arial" w:hAnsi="Arial" w:cs="Arial"/>
      <w:sz w:val="30"/>
      <w:szCs w:val="30"/>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paragraph" w:styleId="BodyText">
    <w:name w:val="Body Text"/>
    <w:basedOn w:val="Normal"/>
    <w:link w:val="BodyTextChar"/>
    <w:uiPriority w:val="99"/>
    <w:rsid w:val="004B66F1"/>
    <w:pPr>
      <w:spacing w:after="120"/>
    </w:pPr>
  </w:style>
  <w:style w:type="character" w:customStyle="1" w:styleId="BodyTextChar">
    <w:name w:val="Body Text Char"/>
    <w:basedOn w:val="DefaultParagraphFont"/>
    <w:link w:val="BodyText"/>
    <w:uiPriority w:val="99"/>
    <w:rsid w:val="004B66F1"/>
    <w:rPr>
      <w:rFonts w:ascii="Book Antiqua" w:hAnsi="Book Antiqua"/>
    </w:rPr>
  </w:style>
  <w:style w:type="character" w:customStyle="1" w:styleId="Heading5Char">
    <w:name w:val="Heading 5 Char"/>
    <w:basedOn w:val="DefaultParagraphFont"/>
    <w:link w:val="Heading5"/>
    <w:rsid w:val="00E453F8"/>
    <w:rPr>
      <w:rFonts w:ascii="Arial" w:hAnsi="Arial" w:cs="Arial"/>
      <w:b/>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872C20"/>
    <w:rPr>
      <w:rFonts w:ascii="Calibri" w:eastAsia="Calibri" w:hAnsi="Calibri"/>
      <w:sz w:val="22"/>
      <w:szCs w:val="22"/>
      <w:lang w:val="en-US" w:eastAsia="en-US"/>
    </w:rPr>
  </w:style>
  <w:style w:type="paragraph" w:customStyle="1" w:styleId="HeadingMin">
    <w:name w:val="HeadingMin"/>
    <w:basedOn w:val="Normal"/>
    <w:rsid w:val="000D084B"/>
    <w:pPr>
      <w:spacing w:after="0" w:line="240" w:lineRule="auto"/>
      <w:jc w:val="center"/>
    </w:pPr>
    <w:rPr>
      <w:rFonts w:ascii="Arial" w:hAnsi="Arial"/>
      <w:caps/>
      <w:spacing w:val="20"/>
      <w:sz w:val="40"/>
      <w:szCs w:val="24"/>
    </w:rPr>
  </w:style>
  <w:style w:type="paragraph" w:customStyle="1" w:styleId="HeadingOffice">
    <w:name w:val="HeadingOffice"/>
    <w:basedOn w:val="Normal"/>
    <w:rsid w:val="000D084B"/>
    <w:pPr>
      <w:spacing w:after="0" w:line="240" w:lineRule="auto"/>
      <w:jc w:val="center"/>
    </w:pPr>
    <w:rPr>
      <w:rFonts w:ascii="Arial" w:hAnsi="Arial"/>
      <w:spacing w:val="10"/>
      <w:sz w:val="28"/>
      <w:szCs w:val="24"/>
    </w:rPr>
  </w:style>
  <w:style w:type="character" w:customStyle="1" w:styleId="FooterChar">
    <w:name w:val="Footer Char"/>
    <w:basedOn w:val="DefaultParagraphFont"/>
    <w:link w:val="Footer"/>
    <w:uiPriority w:val="99"/>
    <w:rsid w:val="008A2E5A"/>
    <w:rPr>
      <w:rFonts w:ascii="Arial" w:hAnsi="Arial"/>
    </w:rPr>
  </w:style>
  <w:style w:type="character" w:styleId="Emphasis">
    <w:name w:val="Emphasis"/>
    <w:uiPriority w:val="20"/>
    <w:qFormat/>
    <w:rsid w:val="00901F17"/>
    <w:rPr>
      <w:i/>
      <w:iCs/>
    </w:rPr>
  </w:style>
  <w:style w:type="character" w:customStyle="1" w:styleId="TableTextBulletChar">
    <w:name w:val="Table Text Bullet Char"/>
    <w:link w:val="TableTextBullet"/>
    <w:rsid w:val="00A00FC6"/>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7875667">
      <w:bodyDiv w:val="1"/>
      <w:marLeft w:val="0"/>
      <w:marRight w:val="0"/>
      <w:marTop w:val="0"/>
      <w:marBottom w:val="0"/>
      <w:divBdr>
        <w:top w:val="none" w:sz="0" w:space="0" w:color="auto"/>
        <w:left w:val="none" w:sz="0" w:space="0" w:color="auto"/>
        <w:bottom w:val="none" w:sz="0" w:space="0" w:color="auto"/>
        <w:right w:val="none" w:sz="0" w:space="0" w:color="auto"/>
      </w:divBdr>
    </w:div>
    <w:div w:id="15931586">
      <w:bodyDiv w:val="1"/>
      <w:marLeft w:val="0"/>
      <w:marRight w:val="0"/>
      <w:marTop w:val="0"/>
      <w:marBottom w:val="0"/>
      <w:divBdr>
        <w:top w:val="none" w:sz="0" w:space="0" w:color="auto"/>
        <w:left w:val="none" w:sz="0" w:space="0" w:color="auto"/>
        <w:bottom w:val="none" w:sz="0" w:space="0" w:color="auto"/>
        <w:right w:val="none" w:sz="0" w:space="0" w:color="auto"/>
      </w:divBdr>
    </w:div>
    <w:div w:id="16733247">
      <w:bodyDiv w:val="1"/>
      <w:marLeft w:val="0"/>
      <w:marRight w:val="0"/>
      <w:marTop w:val="0"/>
      <w:marBottom w:val="0"/>
      <w:divBdr>
        <w:top w:val="none" w:sz="0" w:space="0" w:color="auto"/>
        <w:left w:val="none" w:sz="0" w:space="0" w:color="auto"/>
        <w:bottom w:val="none" w:sz="0" w:space="0" w:color="auto"/>
        <w:right w:val="none" w:sz="0" w:space="0" w:color="auto"/>
      </w:divBdr>
    </w:div>
    <w:div w:id="48113810">
      <w:bodyDiv w:val="1"/>
      <w:marLeft w:val="0"/>
      <w:marRight w:val="0"/>
      <w:marTop w:val="0"/>
      <w:marBottom w:val="0"/>
      <w:divBdr>
        <w:top w:val="none" w:sz="0" w:space="0" w:color="auto"/>
        <w:left w:val="none" w:sz="0" w:space="0" w:color="auto"/>
        <w:bottom w:val="none" w:sz="0" w:space="0" w:color="auto"/>
        <w:right w:val="none" w:sz="0" w:space="0" w:color="auto"/>
      </w:divBdr>
    </w:div>
    <w:div w:id="7879773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972225">
      <w:bodyDiv w:val="1"/>
      <w:marLeft w:val="0"/>
      <w:marRight w:val="0"/>
      <w:marTop w:val="0"/>
      <w:marBottom w:val="0"/>
      <w:divBdr>
        <w:top w:val="none" w:sz="0" w:space="0" w:color="auto"/>
        <w:left w:val="none" w:sz="0" w:space="0" w:color="auto"/>
        <w:bottom w:val="none" w:sz="0" w:space="0" w:color="auto"/>
        <w:right w:val="none" w:sz="0" w:space="0" w:color="auto"/>
      </w:divBdr>
    </w:div>
    <w:div w:id="106852591">
      <w:bodyDiv w:val="1"/>
      <w:marLeft w:val="0"/>
      <w:marRight w:val="0"/>
      <w:marTop w:val="0"/>
      <w:marBottom w:val="0"/>
      <w:divBdr>
        <w:top w:val="none" w:sz="0" w:space="0" w:color="auto"/>
        <w:left w:val="none" w:sz="0" w:space="0" w:color="auto"/>
        <w:bottom w:val="none" w:sz="0" w:space="0" w:color="auto"/>
        <w:right w:val="none" w:sz="0" w:space="0" w:color="auto"/>
      </w:divBdr>
    </w:div>
    <w:div w:id="14327813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1843573">
      <w:bodyDiv w:val="1"/>
      <w:marLeft w:val="0"/>
      <w:marRight w:val="0"/>
      <w:marTop w:val="0"/>
      <w:marBottom w:val="0"/>
      <w:divBdr>
        <w:top w:val="none" w:sz="0" w:space="0" w:color="auto"/>
        <w:left w:val="none" w:sz="0" w:space="0" w:color="auto"/>
        <w:bottom w:val="none" w:sz="0" w:space="0" w:color="auto"/>
        <w:right w:val="none" w:sz="0" w:space="0" w:color="auto"/>
      </w:divBdr>
    </w:div>
    <w:div w:id="207227727">
      <w:bodyDiv w:val="1"/>
      <w:marLeft w:val="0"/>
      <w:marRight w:val="0"/>
      <w:marTop w:val="0"/>
      <w:marBottom w:val="0"/>
      <w:divBdr>
        <w:top w:val="none" w:sz="0" w:space="0" w:color="auto"/>
        <w:left w:val="none" w:sz="0" w:space="0" w:color="auto"/>
        <w:bottom w:val="none" w:sz="0" w:space="0" w:color="auto"/>
        <w:right w:val="none" w:sz="0" w:space="0" w:color="auto"/>
      </w:divBdr>
    </w:div>
    <w:div w:id="213665568">
      <w:bodyDiv w:val="1"/>
      <w:marLeft w:val="0"/>
      <w:marRight w:val="0"/>
      <w:marTop w:val="0"/>
      <w:marBottom w:val="0"/>
      <w:divBdr>
        <w:top w:val="none" w:sz="0" w:space="0" w:color="auto"/>
        <w:left w:val="none" w:sz="0" w:space="0" w:color="auto"/>
        <w:bottom w:val="none" w:sz="0" w:space="0" w:color="auto"/>
        <w:right w:val="none" w:sz="0" w:space="0" w:color="auto"/>
      </w:divBdr>
    </w:div>
    <w:div w:id="21701794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053582">
      <w:bodyDiv w:val="1"/>
      <w:marLeft w:val="0"/>
      <w:marRight w:val="0"/>
      <w:marTop w:val="0"/>
      <w:marBottom w:val="0"/>
      <w:divBdr>
        <w:top w:val="none" w:sz="0" w:space="0" w:color="auto"/>
        <w:left w:val="none" w:sz="0" w:space="0" w:color="auto"/>
        <w:bottom w:val="none" w:sz="0" w:space="0" w:color="auto"/>
        <w:right w:val="none" w:sz="0" w:space="0" w:color="auto"/>
      </w:divBdr>
    </w:div>
    <w:div w:id="237981028">
      <w:bodyDiv w:val="1"/>
      <w:marLeft w:val="0"/>
      <w:marRight w:val="0"/>
      <w:marTop w:val="0"/>
      <w:marBottom w:val="0"/>
      <w:divBdr>
        <w:top w:val="none" w:sz="0" w:space="0" w:color="auto"/>
        <w:left w:val="none" w:sz="0" w:space="0" w:color="auto"/>
        <w:bottom w:val="none" w:sz="0" w:space="0" w:color="auto"/>
        <w:right w:val="none" w:sz="0" w:space="0" w:color="auto"/>
      </w:divBdr>
    </w:div>
    <w:div w:id="239025080">
      <w:bodyDiv w:val="1"/>
      <w:marLeft w:val="0"/>
      <w:marRight w:val="0"/>
      <w:marTop w:val="0"/>
      <w:marBottom w:val="0"/>
      <w:divBdr>
        <w:top w:val="none" w:sz="0" w:space="0" w:color="auto"/>
        <w:left w:val="none" w:sz="0" w:space="0" w:color="auto"/>
        <w:bottom w:val="none" w:sz="0" w:space="0" w:color="auto"/>
        <w:right w:val="none" w:sz="0" w:space="0" w:color="auto"/>
      </w:divBdr>
    </w:div>
    <w:div w:id="241648202">
      <w:bodyDiv w:val="1"/>
      <w:marLeft w:val="0"/>
      <w:marRight w:val="0"/>
      <w:marTop w:val="0"/>
      <w:marBottom w:val="0"/>
      <w:divBdr>
        <w:top w:val="none" w:sz="0" w:space="0" w:color="auto"/>
        <w:left w:val="none" w:sz="0" w:space="0" w:color="auto"/>
        <w:bottom w:val="none" w:sz="0" w:space="0" w:color="auto"/>
        <w:right w:val="none" w:sz="0" w:space="0" w:color="auto"/>
      </w:divBdr>
    </w:div>
    <w:div w:id="252863759">
      <w:bodyDiv w:val="1"/>
      <w:marLeft w:val="0"/>
      <w:marRight w:val="0"/>
      <w:marTop w:val="0"/>
      <w:marBottom w:val="0"/>
      <w:divBdr>
        <w:top w:val="none" w:sz="0" w:space="0" w:color="auto"/>
        <w:left w:val="none" w:sz="0" w:space="0" w:color="auto"/>
        <w:bottom w:val="none" w:sz="0" w:space="0" w:color="auto"/>
        <w:right w:val="none" w:sz="0" w:space="0" w:color="auto"/>
      </w:divBdr>
    </w:div>
    <w:div w:id="290673867">
      <w:bodyDiv w:val="1"/>
      <w:marLeft w:val="0"/>
      <w:marRight w:val="0"/>
      <w:marTop w:val="0"/>
      <w:marBottom w:val="0"/>
      <w:divBdr>
        <w:top w:val="none" w:sz="0" w:space="0" w:color="auto"/>
        <w:left w:val="none" w:sz="0" w:space="0" w:color="auto"/>
        <w:bottom w:val="none" w:sz="0" w:space="0" w:color="auto"/>
        <w:right w:val="none" w:sz="0" w:space="0" w:color="auto"/>
      </w:divBdr>
    </w:div>
    <w:div w:id="29742010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426179">
      <w:bodyDiv w:val="1"/>
      <w:marLeft w:val="0"/>
      <w:marRight w:val="0"/>
      <w:marTop w:val="0"/>
      <w:marBottom w:val="0"/>
      <w:divBdr>
        <w:top w:val="none" w:sz="0" w:space="0" w:color="auto"/>
        <w:left w:val="none" w:sz="0" w:space="0" w:color="auto"/>
        <w:bottom w:val="none" w:sz="0" w:space="0" w:color="auto"/>
        <w:right w:val="none" w:sz="0" w:space="0" w:color="auto"/>
      </w:divBdr>
    </w:div>
    <w:div w:id="311255637">
      <w:bodyDiv w:val="1"/>
      <w:marLeft w:val="0"/>
      <w:marRight w:val="0"/>
      <w:marTop w:val="0"/>
      <w:marBottom w:val="0"/>
      <w:divBdr>
        <w:top w:val="none" w:sz="0" w:space="0" w:color="auto"/>
        <w:left w:val="none" w:sz="0" w:space="0" w:color="auto"/>
        <w:bottom w:val="none" w:sz="0" w:space="0" w:color="auto"/>
        <w:right w:val="none" w:sz="0" w:space="0" w:color="auto"/>
      </w:divBdr>
    </w:div>
    <w:div w:id="32501408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1057944">
      <w:bodyDiv w:val="1"/>
      <w:marLeft w:val="0"/>
      <w:marRight w:val="0"/>
      <w:marTop w:val="0"/>
      <w:marBottom w:val="0"/>
      <w:divBdr>
        <w:top w:val="none" w:sz="0" w:space="0" w:color="auto"/>
        <w:left w:val="none" w:sz="0" w:space="0" w:color="auto"/>
        <w:bottom w:val="none" w:sz="0" w:space="0" w:color="auto"/>
        <w:right w:val="none" w:sz="0" w:space="0" w:color="auto"/>
      </w:divBdr>
    </w:div>
    <w:div w:id="343243777">
      <w:bodyDiv w:val="1"/>
      <w:marLeft w:val="0"/>
      <w:marRight w:val="0"/>
      <w:marTop w:val="0"/>
      <w:marBottom w:val="0"/>
      <w:divBdr>
        <w:top w:val="none" w:sz="0" w:space="0" w:color="auto"/>
        <w:left w:val="none" w:sz="0" w:space="0" w:color="auto"/>
        <w:bottom w:val="none" w:sz="0" w:space="0" w:color="auto"/>
        <w:right w:val="none" w:sz="0" w:space="0" w:color="auto"/>
      </w:divBdr>
    </w:div>
    <w:div w:id="34344068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7068224">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737272">
      <w:bodyDiv w:val="1"/>
      <w:marLeft w:val="0"/>
      <w:marRight w:val="0"/>
      <w:marTop w:val="0"/>
      <w:marBottom w:val="0"/>
      <w:divBdr>
        <w:top w:val="none" w:sz="0" w:space="0" w:color="auto"/>
        <w:left w:val="none" w:sz="0" w:space="0" w:color="auto"/>
        <w:bottom w:val="none" w:sz="0" w:space="0" w:color="auto"/>
        <w:right w:val="none" w:sz="0" w:space="0" w:color="auto"/>
      </w:divBdr>
    </w:div>
    <w:div w:id="382027844">
      <w:bodyDiv w:val="1"/>
      <w:marLeft w:val="0"/>
      <w:marRight w:val="0"/>
      <w:marTop w:val="0"/>
      <w:marBottom w:val="0"/>
      <w:divBdr>
        <w:top w:val="none" w:sz="0" w:space="0" w:color="auto"/>
        <w:left w:val="none" w:sz="0" w:space="0" w:color="auto"/>
        <w:bottom w:val="none" w:sz="0" w:space="0" w:color="auto"/>
        <w:right w:val="none" w:sz="0" w:space="0" w:color="auto"/>
      </w:divBdr>
    </w:div>
    <w:div w:id="390882456">
      <w:bodyDiv w:val="1"/>
      <w:marLeft w:val="0"/>
      <w:marRight w:val="0"/>
      <w:marTop w:val="0"/>
      <w:marBottom w:val="0"/>
      <w:divBdr>
        <w:top w:val="none" w:sz="0" w:space="0" w:color="auto"/>
        <w:left w:val="none" w:sz="0" w:space="0" w:color="auto"/>
        <w:bottom w:val="none" w:sz="0" w:space="0" w:color="auto"/>
        <w:right w:val="none" w:sz="0" w:space="0" w:color="auto"/>
      </w:divBdr>
    </w:div>
    <w:div w:id="394358723">
      <w:bodyDiv w:val="1"/>
      <w:marLeft w:val="0"/>
      <w:marRight w:val="0"/>
      <w:marTop w:val="0"/>
      <w:marBottom w:val="0"/>
      <w:divBdr>
        <w:top w:val="none" w:sz="0" w:space="0" w:color="auto"/>
        <w:left w:val="none" w:sz="0" w:space="0" w:color="auto"/>
        <w:bottom w:val="none" w:sz="0" w:space="0" w:color="auto"/>
        <w:right w:val="none" w:sz="0" w:space="0" w:color="auto"/>
      </w:divBdr>
    </w:div>
    <w:div w:id="396251118">
      <w:bodyDiv w:val="1"/>
      <w:marLeft w:val="0"/>
      <w:marRight w:val="0"/>
      <w:marTop w:val="0"/>
      <w:marBottom w:val="0"/>
      <w:divBdr>
        <w:top w:val="none" w:sz="0" w:space="0" w:color="auto"/>
        <w:left w:val="none" w:sz="0" w:space="0" w:color="auto"/>
        <w:bottom w:val="none" w:sz="0" w:space="0" w:color="auto"/>
        <w:right w:val="none" w:sz="0" w:space="0" w:color="auto"/>
      </w:divBdr>
    </w:div>
    <w:div w:id="428895462">
      <w:bodyDiv w:val="1"/>
      <w:marLeft w:val="0"/>
      <w:marRight w:val="0"/>
      <w:marTop w:val="0"/>
      <w:marBottom w:val="0"/>
      <w:divBdr>
        <w:top w:val="none" w:sz="0" w:space="0" w:color="auto"/>
        <w:left w:val="none" w:sz="0" w:space="0" w:color="auto"/>
        <w:bottom w:val="none" w:sz="0" w:space="0" w:color="auto"/>
        <w:right w:val="none" w:sz="0" w:space="0" w:color="auto"/>
      </w:divBdr>
    </w:div>
    <w:div w:id="446698882">
      <w:bodyDiv w:val="1"/>
      <w:marLeft w:val="0"/>
      <w:marRight w:val="0"/>
      <w:marTop w:val="0"/>
      <w:marBottom w:val="0"/>
      <w:divBdr>
        <w:top w:val="none" w:sz="0" w:space="0" w:color="auto"/>
        <w:left w:val="none" w:sz="0" w:space="0" w:color="auto"/>
        <w:bottom w:val="none" w:sz="0" w:space="0" w:color="auto"/>
        <w:right w:val="none" w:sz="0" w:space="0" w:color="auto"/>
      </w:divBdr>
    </w:div>
    <w:div w:id="44770116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5102728">
      <w:bodyDiv w:val="1"/>
      <w:marLeft w:val="0"/>
      <w:marRight w:val="0"/>
      <w:marTop w:val="0"/>
      <w:marBottom w:val="0"/>
      <w:divBdr>
        <w:top w:val="none" w:sz="0" w:space="0" w:color="auto"/>
        <w:left w:val="none" w:sz="0" w:space="0" w:color="auto"/>
        <w:bottom w:val="none" w:sz="0" w:space="0" w:color="auto"/>
        <w:right w:val="none" w:sz="0" w:space="0" w:color="auto"/>
      </w:divBdr>
    </w:div>
    <w:div w:id="49129045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8721086">
      <w:bodyDiv w:val="1"/>
      <w:marLeft w:val="0"/>
      <w:marRight w:val="0"/>
      <w:marTop w:val="0"/>
      <w:marBottom w:val="0"/>
      <w:divBdr>
        <w:top w:val="none" w:sz="0" w:space="0" w:color="auto"/>
        <w:left w:val="none" w:sz="0" w:space="0" w:color="auto"/>
        <w:bottom w:val="none" w:sz="0" w:space="0" w:color="auto"/>
        <w:right w:val="none" w:sz="0" w:space="0" w:color="auto"/>
      </w:divBdr>
    </w:div>
    <w:div w:id="534193809">
      <w:bodyDiv w:val="1"/>
      <w:marLeft w:val="0"/>
      <w:marRight w:val="0"/>
      <w:marTop w:val="0"/>
      <w:marBottom w:val="0"/>
      <w:divBdr>
        <w:top w:val="none" w:sz="0" w:space="0" w:color="auto"/>
        <w:left w:val="none" w:sz="0" w:space="0" w:color="auto"/>
        <w:bottom w:val="none" w:sz="0" w:space="0" w:color="auto"/>
        <w:right w:val="none" w:sz="0" w:space="0" w:color="auto"/>
      </w:divBdr>
    </w:div>
    <w:div w:id="566108423">
      <w:bodyDiv w:val="1"/>
      <w:marLeft w:val="0"/>
      <w:marRight w:val="0"/>
      <w:marTop w:val="0"/>
      <w:marBottom w:val="0"/>
      <w:divBdr>
        <w:top w:val="none" w:sz="0" w:space="0" w:color="auto"/>
        <w:left w:val="none" w:sz="0" w:space="0" w:color="auto"/>
        <w:bottom w:val="none" w:sz="0" w:space="0" w:color="auto"/>
        <w:right w:val="none" w:sz="0" w:space="0" w:color="auto"/>
      </w:divBdr>
    </w:div>
    <w:div w:id="574586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4001">
      <w:bodyDiv w:val="1"/>
      <w:marLeft w:val="0"/>
      <w:marRight w:val="0"/>
      <w:marTop w:val="0"/>
      <w:marBottom w:val="0"/>
      <w:divBdr>
        <w:top w:val="none" w:sz="0" w:space="0" w:color="auto"/>
        <w:left w:val="none" w:sz="0" w:space="0" w:color="auto"/>
        <w:bottom w:val="none" w:sz="0" w:space="0" w:color="auto"/>
        <w:right w:val="none" w:sz="0" w:space="0" w:color="auto"/>
      </w:divBdr>
    </w:div>
    <w:div w:id="617493845">
      <w:bodyDiv w:val="1"/>
      <w:marLeft w:val="0"/>
      <w:marRight w:val="0"/>
      <w:marTop w:val="0"/>
      <w:marBottom w:val="0"/>
      <w:divBdr>
        <w:top w:val="none" w:sz="0" w:space="0" w:color="auto"/>
        <w:left w:val="none" w:sz="0" w:space="0" w:color="auto"/>
        <w:bottom w:val="none" w:sz="0" w:space="0" w:color="auto"/>
        <w:right w:val="none" w:sz="0" w:space="0" w:color="auto"/>
      </w:divBdr>
    </w:div>
    <w:div w:id="618336174">
      <w:bodyDiv w:val="1"/>
      <w:marLeft w:val="0"/>
      <w:marRight w:val="0"/>
      <w:marTop w:val="0"/>
      <w:marBottom w:val="0"/>
      <w:divBdr>
        <w:top w:val="none" w:sz="0" w:space="0" w:color="auto"/>
        <w:left w:val="none" w:sz="0" w:space="0" w:color="auto"/>
        <w:bottom w:val="none" w:sz="0" w:space="0" w:color="auto"/>
        <w:right w:val="none" w:sz="0" w:space="0" w:color="auto"/>
      </w:divBdr>
    </w:div>
    <w:div w:id="632951924">
      <w:bodyDiv w:val="1"/>
      <w:marLeft w:val="0"/>
      <w:marRight w:val="0"/>
      <w:marTop w:val="0"/>
      <w:marBottom w:val="0"/>
      <w:divBdr>
        <w:top w:val="none" w:sz="0" w:space="0" w:color="auto"/>
        <w:left w:val="none" w:sz="0" w:space="0" w:color="auto"/>
        <w:bottom w:val="none" w:sz="0" w:space="0" w:color="auto"/>
        <w:right w:val="none" w:sz="0" w:space="0" w:color="auto"/>
      </w:divBdr>
    </w:div>
    <w:div w:id="644940959">
      <w:bodyDiv w:val="1"/>
      <w:marLeft w:val="0"/>
      <w:marRight w:val="0"/>
      <w:marTop w:val="0"/>
      <w:marBottom w:val="0"/>
      <w:divBdr>
        <w:top w:val="none" w:sz="0" w:space="0" w:color="auto"/>
        <w:left w:val="none" w:sz="0" w:space="0" w:color="auto"/>
        <w:bottom w:val="none" w:sz="0" w:space="0" w:color="auto"/>
        <w:right w:val="none" w:sz="0" w:space="0" w:color="auto"/>
      </w:divBdr>
    </w:div>
    <w:div w:id="648747730">
      <w:bodyDiv w:val="1"/>
      <w:marLeft w:val="0"/>
      <w:marRight w:val="0"/>
      <w:marTop w:val="0"/>
      <w:marBottom w:val="0"/>
      <w:divBdr>
        <w:top w:val="none" w:sz="0" w:space="0" w:color="auto"/>
        <w:left w:val="none" w:sz="0" w:space="0" w:color="auto"/>
        <w:bottom w:val="none" w:sz="0" w:space="0" w:color="auto"/>
        <w:right w:val="none" w:sz="0" w:space="0" w:color="auto"/>
      </w:divBdr>
    </w:div>
    <w:div w:id="678387635">
      <w:bodyDiv w:val="1"/>
      <w:marLeft w:val="0"/>
      <w:marRight w:val="0"/>
      <w:marTop w:val="0"/>
      <w:marBottom w:val="0"/>
      <w:divBdr>
        <w:top w:val="none" w:sz="0" w:space="0" w:color="auto"/>
        <w:left w:val="none" w:sz="0" w:space="0" w:color="auto"/>
        <w:bottom w:val="none" w:sz="0" w:space="0" w:color="auto"/>
        <w:right w:val="none" w:sz="0" w:space="0" w:color="auto"/>
      </w:divBdr>
    </w:div>
    <w:div w:id="703362902">
      <w:bodyDiv w:val="1"/>
      <w:marLeft w:val="0"/>
      <w:marRight w:val="0"/>
      <w:marTop w:val="0"/>
      <w:marBottom w:val="0"/>
      <w:divBdr>
        <w:top w:val="none" w:sz="0" w:space="0" w:color="auto"/>
        <w:left w:val="none" w:sz="0" w:space="0" w:color="auto"/>
        <w:bottom w:val="none" w:sz="0" w:space="0" w:color="auto"/>
        <w:right w:val="none" w:sz="0" w:space="0" w:color="auto"/>
      </w:divBdr>
    </w:div>
    <w:div w:id="723219266">
      <w:bodyDiv w:val="1"/>
      <w:marLeft w:val="0"/>
      <w:marRight w:val="0"/>
      <w:marTop w:val="0"/>
      <w:marBottom w:val="0"/>
      <w:divBdr>
        <w:top w:val="none" w:sz="0" w:space="0" w:color="auto"/>
        <w:left w:val="none" w:sz="0" w:space="0" w:color="auto"/>
        <w:bottom w:val="none" w:sz="0" w:space="0" w:color="auto"/>
        <w:right w:val="none" w:sz="0" w:space="0" w:color="auto"/>
      </w:divBdr>
    </w:div>
    <w:div w:id="724182765">
      <w:bodyDiv w:val="1"/>
      <w:marLeft w:val="0"/>
      <w:marRight w:val="0"/>
      <w:marTop w:val="0"/>
      <w:marBottom w:val="0"/>
      <w:divBdr>
        <w:top w:val="none" w:sz="0" w:space="0" w:color="auto"/>
        <w:left w:val="none" w:sz="0" w:space="0" w:color="auto"/>
        <w:bottom w:val="none" w:sz="0" w:space="0" w:color="auto"/>
        <w:right w:val="none" w:sz="0" w:space="0" w:color="auto"/>
      </w:divBdr>
    </w:div>
    <w:div w:id="730663296">
      <w:bodyDiv w:val="1"/>
      <w:marLeft w:val="0"/>
      <w:marRight w:val="0"/>
      <w:marTop w:val="0"/>
      <w:marBottom w:val="0"/>
      <w:divBdr>
        <w:top w:val="none" w:sz="0" w:space="0" w:color="auto"/>
        <w:left w:val="none" w:sz="0" w:space="0" w:color="auto"/>
        <w:bottom w:val="none" w:sz="0" w:space="0" w:color="auto"/>
        <w:right w:val="none" w:sz="0" w:space="0" w:color="auto"/>
      </w:divBdr>
    </w:div>
    <w:div w:id="745349109">
      <w:bodyDiv w:val="1"/>
      <w:marLeft w:val="0"/>
      <w:marRight w:val="0"/>
      <w:marTop w:val="0"/>
      <w:marBottom w:val="0"/>
      <w:divBdr>
        <w:top w:val="none" w:sz="0" w:space="0" w:color="auto"/>
        <w:left w:val="none" w:sz="0" w:space="0" w:color="auto"/>
        <w:bottom w:val="none" w:sz="0" w:space="0" w:color="auto"/>
        <w:right w:val="none" w:sz="0" w:space="0" w:color="auto"/>
      </w:divBdr>
    </w:div>
    <w:div w:id="772212723">
      <w:bodyDiv w:val="1"/>
      <w:marLeft w:val="0"/>
      <w:marRight w:val="0"/>
      <w:marTop w:val="0"/>
      <w:marBottom w:val="0"/>
      <w:divBdr>
        <w:top w:val="none" w:sz="0" w:space="0" w:color="auto"/>
        <w:left w:val="none" w:sz="0" w:space="0" w:color="auto"/>
        <w:bottom w:val="none" w:sz="0" w:space="0" w:color="auto"/>
        <w:right w:val="none" w:sz="0" w:space="0" w:color="auto"/>
      </w:divBdr>
    </w:div>
    <w:div w:id="774053512">
      <w:bodyDiv w:val="1"/>
      <w:marLeft w:val="0"/>
      <w:marRight w:val="0"/>
      <w:marTop w:val="0"/>
      <w:marBottom w:val="0"/>
      <w:divBdr>
        <w:top w:val="none" w:sz="0" w:space="0" w:color="auto"/>
        <w:left w:val="none" w:sz="0" w:space="0" w:color="auto"/>
        <w:bottom w:val="none" w:sz="0" w:space="0" w:color="auto"/>
        <w:right w:val="none" w:sz="0" w:space="0" w:color="auto"/>
      </w:divBdr>
    </w:div>
    <w:div w:id="777217173">
      <w:bodyDiv w:val="1"/>
      <w:marLeft w:val="0"/>
      <w:marRight w:val="0"/>
      <w:marTop w:val="0"/>
      <w:marBottom w:val="0"/>
      <w:divBdr>
        <w:top w:val="none" w:sz="0" w:space="0" w:color="auto"/>
        <w:left w:val="none" w:sz="0" w:space="0" w:color="auto"/>
        <w:bottom w:val="none" w:sz="0" w:space="0" w:color="auto"/>
        <w:right w:val="none" w:sz="0" w:space="0" w:color="auto"/>
      </w:divBdr>
    </w:div>
    <w:div w:id="789474855">
      <w:bodyDiv w:val="1"/>
      <w:marLeft w:val="0"/>
      <w:marRight w:val="0"/>
      <w:marTop w:val="0"/>
      <w:marBottom w:val="0"/>
      <w:divBdr>
        <w:top w:val="none" w:sz="0" w:space="0" w:color="auto"/>
        <w:left w:val="none" w:sz="0" w:space="0" w:color="auto"/>
        <w:bottom w:val="none" w:sz="0" w:space="0" w:color="auto"/>
        <w:right w:val="none" w:sz="0" w:space="0" w:color="auto"/>
      </w:divBdr>
    </w:div>
    <w:div w:id="791821132">
      <w:bodyDiv w:val="1"/>
      <w:marLeft w:val="0"/>
      <w:marRight w:val="0"/>
      <w:marTop w:val="0"/>
      <w:marBottom w:val="0"/>
      <w:divBdr>
        <w:top w:val="none" w:sz="0" w:space="0" w:color="auto"/>
        <w:left w:val="none" w:sz="0" w:space="0" w:color="auto"/>
        <w:bottom w:val="none" w:sz="0" w:space="0" w:color="auto"/>
        <w:right w:val="none" w:sz="0" w:space="0" w:color="auto"/>
      </w:divBdr>
    </w:div>
    <w:div w:id="797917482">
      <w:bodyDiv w:val="1"/>
      <w:marLeft w:val="0"/>
      <w:marRight w:val="0"/>
      <w:marTop w:val="0"/>
      <w:marBottom w:val="0"/>
      <w:divBdr>
        <w:top w:val="none" w:sz="0" w:space="0" w:color="auto"/>
        <w:left w:val="none" w:sz="0" w:space="0" w:color="auto"/>
        <w:bottom w:val="none" w:sz="0" w:space="0" w:color="auto"/>
        <w:right w:val="none" w:sz="0" w:space="0" w:color="auto"/>
      </w:divBdr>
    </w:div>
    <w:div w:id="824853926">
      <w:bodyDiv w:val="1"/>
      <w:marLeft w:val="0"/>
      <w:marRight w:val="0"/>
      <w:marTop w:val="0"/>
      <w:marBottom w:val="0"/>
      <w:divBdr>
        <w:top w:val="none" w:sz="0" w:space="0" w:color="auto"/>
        <w:left w:val="none" w:sz="0" w:space="0" w:color="auto"/>
        <w:bottom w:val="none" w:sz="0" w:space="0" w:color="auto"/>
        <w:right w:val="none" w:sz="0" w:space="0" w:color="auto"/>
      </w:divBdr>
    </w:div>
    <w:div w:id="829053857">
      <w:bodyDiv w:val="1"/>
      <w:marLeft w:val="0"/>
      <w:marRight w:val="0"/>
      <w:marTop w:val="0"/>
      <w:marBottom w:val="0"/>
      <w:divBdr>
        <w:top w:val="none" w:sz="0" w:space="0" w:color="auto"/>
        <w:left w:val="none" w:sz="0" w:space="0" w:color="auto"/>
        <w:bottom w:val="none" w:sz="0" w:space="0" w:color="auto"/>
        <w:right w:val="none" w:sz="0" w:space="0" w:color="auto"/>
      </w:divBdr>
    </w:div>
    <w:div w:id="832257572">
      <w:bodyDiv w:val="1"/>
      <w:marLeft w:val="0"/>
      <w:marRight w:val="0"/>
      <w:marTop w:val="0"/>
      <w:marBottom w:val="0"/>
      <w:divBdr>
        <w:top w:val="none" w:sz="0" w:space="0" w:color="auto"/>
        <w:left w:val="none" w:sz="0" w:space="0" w:color="auto"/>
        <w:bottom w:val="none" w:sz="0" w:space="0" w:color="auto"/>
        <w:right w:val="none" w:sz="0" w:space="0" w:color="auto"/>
      </w:divBdr>
    </w:div>
    <w:div w:id="836267157">
      <w:bodyDiv w:val="1"/>
      <w:marLeft w:val="0"/>
      <w:marRight w:val="0"/>
      <w:marTop w:val="0"/>
      <w:marBottom w:val="0"/>
      <w:divBdr>
        <w:top w:val="none" w:sz="0" w:space="0" w:color="auto"/>
        <w:left w:val="none" w:sz="0" w:space="0" w:color="auto"/>
        <w:bottom w:val="none" w:sz="0" w:space="0" w:color="auto"/>
        <w:right w:val="none" w:sz="0" w:space="0" w:color="auto"/>
      </w:divBdr>
    </w:div>
    <w:div w:id="84096956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75580475">
      <w:bodyDiv w:val="1"/>
      <w:marLeft w:val="0"/>
      <w:marRight w:val="0"/>
      <w:marTop w:val="0"/>
      <w:marBottom w:val="0"/>
      <w:divBdr>
        <w:top w:val="none" w:sz="0" w:space="0" w:color="auto"/>
        <w:left w:val="none" w:sz="0" w:space="0" w:color="auto"/>
        <w:bottom w:val="none" w:sz="0" w:space="0" w:color="auto"/>
        <w:right w:val="none" w:sz="0" w:space="0" w:color="auto"/>
      </w:divBdr>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7690765">
      <w:bodyDiv w:val="1"/>
      <w:marLeft w:val="0"/>
      <w:marRight w:val="0"/>
      <w:marTop w:val="0"/>
      <w:marBottom w:val="0"/>
      <w:divBdr>
        <w:top w:val="none" w:sz="0" w:space="0" w:color="auto"/>
        <w:left w:val="none" w:sz="0" w:space="0" w:color="auto"/>
        <w:bottom w:val="none" w:sz="0" w:space="0" w:color="auto"/>
        <w:right w:val="none" w:sz="0" w:space="0" w:color="auto"/>
      </w:divBdr>
    </w:div>
    <w:div w:id="899824175">
      <w:bodyDiv w:val="1"/>
      <w:marLeft w:val="0"/>
      <w:marRight w:val="0"/>
      <w:marTop w:val="0"/>
      <w:marBottom w:val="0"/>
      <w:divBdr>
        <w:top w:val="none" w:sz="0" w:space="0" w:color="auto"/>
        <w:left w:val="none" w:sz="0" w:space="0" w:color="auto"/>
        <w:bottom w:val="none" w:sz="0" w:space="0" w:color="auto"/>
        <w:right w:val="none" w:sz="0" w:space="0" w:color="auto"/>
      </w:divBdr>
    </w:div>
    <w:div w:id="90954001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292888">
      <w:bodyDiv w:val="1"/>
      <w:marLeft w:val="0"/>
      <w:marRight w:val="0"/>
      <w:marTop w:val="0"/>
      <w:marBottom w:val="0"/>
      <w:divBdr>
        <w:top w:val="none" w:sz="0" w:space="0" w:color="auto"/>
        <w:left w:val="none" w:sz="0" w:space="0" w:color="auto"/>
        <w:bottom w:val="none" w:sz="0" w:space="0" w:color="auto"/>
        <w:right w:val="none" w:sz="0" w:space="0" w:color="auto"/>
      </w:divBdr>
    </w:div>
    <w:div w:id="919364728">
      <w:bodyDiv w:val="1"/>
      <w:marLeft w:val="0"/>
      <w:marRight w:val="0"/>
      <w:marTop w:val="0"/>
      <w:marBottom w:val="0"/>
      <w:divBdr>
        <w:top w:val="none" w:sz="0" w:space="0" w:color="auto"/>
        <w:left w:val="none" w:sz="0" w:space="0" w:color="auto"/>
        <w:bottom w:val="none" w:sz="0" w:space="0" w:color="auto"/>
        <w:right w:val="none" w:sz="0" w:space="0" w:color="auto"/>
      </w:divBdr>
    </w:div>
    <w:div w:id="925845560">
      <w:bodyDiv w:val="1"/>
      <w:marLeft w:val="0"/>
      <w:marRight w:val="0"/>
      <w:marTop w:val="0"/>
      <w:marBottom w:val="0"/>
      <w:divBdr>
        <w:top w:val="none" w:sz="0" w:space="0" w:color="auto"/>
        <w:left w:val="none" w:sz="0" w:space="0" w:color="auto"/>
        <w:bottom w:val="none" w:sz="0" w:space="0" w:color="auto"/>
        <w:right w:val="none" w:sz="0" w:space="0" w:color="auto"/>
      </w:divBdr>
    </w:div>
    <w:div w:id="936786190">
      <w:bodyDiv w:val="1"/>
      <w:marLeft w:val="0"/>
      <w:marRight w:val="0"/>
      <w:marTop w:val="0"/>
      <w:marBottom w:val="0"/>
      <w:divBdr>
        <w:top w:val="none" w:sz="0" w:space="0" w:color="auto"/>
        <w:left w:val="none" w:sz="0" w:space="0" w:color="auto"/>
        <w:bottom w:val="none" w:sz="0" w:space="0" w:color="auto"/>
        <w:right w:val="none" w:sz="0" w:space="0" w:color="auto"/>
      </w:divBdr>
    </w:div>
    <w:div w:id="963345780">
      <w:bodyDiv w:val="1"/>
      <w:marLeft w:val="0"/>
      <w:marRight w:val="0"/>
      <w:marTop w:val="0"/>
      <w:marBottom w:val="0"/>
      <w:divBdr>
        <w:top w:val="none" w:sz="0" w:space="0" w:color="auto"/>
        <w:left w:val="none" w:sz="0" w:space="0" w:color="auto"/>
        <w:bottom w:val="none" w:sz="0" w:space="0" w:color="auto"/>
        <w:right w:val="none" w:sz="0" w:space="0" w:color="auto"/>
      </w:divBdr>
    </w:div>
    <w:div w:id="9774883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4698093">
      <w:bodyDiv w:val="1"/>
      <w:marLeft w:val="0"/>
      <w:marRight w:val="0"/>
      <w:marTop w:val="0"/>
      <w:marBottom w:val="0"/>
      <w:divBdr>
        <w:top w:val="none" w:sz="0" w:space="0" w:color="auto"/>
        <w:left w:val="none" w:sz="0" w:space="0" w:color="auto"/>
        <w:bottom w:val="none" w:sz="0" w:space="0" w:color="auto"/>
        <w:right w:val="none" w:sz="0" w:space="0" w:color="auto"/>
      </w:divBdr>
    </w:div>
    <w:div w:id="984898352">
      <w:bodyDiv w:val="1"/>
      <w:marLeft w:val="0"/>
      <w:marRight w:val="0"/>
      <w:marTop w:val="0"/>
      <w:marBottom w:val="0"/>
      <w:divBdr>
        <w:top w:val="none" w:sz="0" w:space="0" w:color="auto"/>
        <w:left w:val="none" w:sz="0" w:space="0" w:color="auto"/>
        <w:bottom w:val="none" w:sz="0" w:space="0" w:color="auto"/>
        <w:right w:val="none" w:sz="0" w:space="0" w:color="auto"/>
      </w:divBdr>
    </w:div>
    <w:div w:id="990451712">
      <w:bodyDiv w:val="1"/>
      <w:marLeft w:val="0"/>
      <w:marRight w:val="0"/>
      <w:marTop w:val="0"/>
      <w:marBottom w:val="0"/>
      <w:divBdr>
        <w:top w:val="none" w:sz="0" w:space="0" w:color="auto"/>
        <w:left w:val="none" w:sz="0" w:space="0" w:color="auto"/>
        <w:bottom w:val="none" w:sz="0" w:space="0" w:color="auto"/>
        <w:right w:val="none" w:sz="0" w:space="0" w:color="auto"/>
      </w:divBdr>
    </w:div>
    <w:div w:id="99222140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7776255">
      <w:bodyDiv w:val="1"/>
      <w:marLeft w:val="0"/>
      <w:marRight w:val="0"/>
      <w:marTop w:val="0"/>
      <w:marBottom w:val="0"/>
      <w:divBdr>
        <w:top w:val="none" w:sz="0" w:space="0" w:color="auto"/>
        <w:left w:val="none" w:sz="0" w:space="0" w:color="auto"/>
        <w:bottom w:val="none" w:sz="0" w:space="0" w:color="auto"/>
        <w:right w:val="none" w:sz="0" w:space="0" w:color="auto"/>
      </w:divBdr>
    </w:div>
    <w:div w:id="104413900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190243">
      <w:bodyDiv w:val="1"/>
      <w:marLeft w:val="0"/>
      <w:marRight w:val="0"/>
      <w:marTop w:val="0"/>
      <w:marBottom w:val="0"/>
      <w:divBdr>
        <w:top w:val="none" w:sz="0" w:space="0" w:color="auto"/>
        <w:left w:val="none" w:sz="0" w:space="0" w:color="auto"/>
        <w:bottom w:val="none" w:sz="0" w:space="0" w:color="auto"/>
        <w:right w:val="none" w:sz="0" w:space="0" w:color="auto"/>
      </w:divBdr>
    </w:div>
    <w:div w:id="1056123638">
      <w:bodyDiv w:val="1"/>
      <w:marLeft w:val="0"/>
      <w:marRight w:val="0"/>
      <w:marTop w:val="0"/>
      <w:marBottom w:val="0"/>
      <w:divBdr>
        <w:top w:val="none" w:sz="0" w:space="0" w:color="auto"/>
        <w:left w:val="none" w:sz="0" w:space="0" w:color="auto"/>
        <w:bottom w:val="none" w:sz="0" w:space="0" w:color="auto"/>
        <w:right w:val="none" w:sz="0" w:space="0" w:color="auto"/>
      </w:divBdr>
    </w:div>
    <w:div w:id="1062365761">
      <w:bodyDiv w:val="1"/>
      <w:marLeft w:val="0"/>
      <w:marRight w:val="0"/>
      <w:marTop w:val="0"/>
      <w:marBottom w:val="0"/>
      <w:divBdr>
        <w:top w:val="none" w:sz="0" w:space="0" w:color="auto"/>
        <w:left w:val="none" w:sz="0" w:space="0" w:color="auto"/>
        <w:bottom w:val="none" w:sz="0" w:space="0" w:color="auto"/>
        <w:right w:val="none" w:sz="0" w:space="0" w:color="auto"/>
      </w:divBdr>
    </w:div>
    <w:div w:id="107408634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3361244">
      <w:bodyDiv w:val="1"/>
      <w:marLeft w:val="0"/>
      <w:marRight w:val="0"/>
      <w:marTop w:val="0"/>
      <w:marBottom w:val="0"/>
      <w:divBdr>
        <w:top w:val="none" w:sz="0" w:space="0" w:color="auto"/>
        <w:left w:val="none" w:sz="0" w:space="0" w:color="auto"/>
        <w:bottom w:val="none" w:sz="0" w:space="0" w:color="auto"/>
        <w:right w:val="none" w:sz="0" w:space="0" w:color="auto"/>
      </w:divBdr>
    </w:div>
    <w:div w:id="1100447612">
      <w:bodyDiv w:val="1"/>
      <w:marLeft w:val="0"/>
      <w:marRight w:val="0"/>
      <w:marTop w:val="0"/>
      <w:marBottom w:val="0"/>
      <w:divBdr>
        <w:top w:val="none" w:sz="0" w:space="0" w:color="auto"/>
        <w:left w:val="none" w:sz="0" w:space="0" w:color="auto"/>
        <w:bottom w:val="none" w:sz="0" w:space="0" w:color="auto"/>
        <w:right w:val="none" w:sz="0" w:space="0" w:color="auto"/>
      </w:divBdr>
    </w:div>
    <w:div w:id="1103185173">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432118">
      <w:bodyDiv w:val="1"/>
      <w:marLeft w:val="0"/>
      <w:marRight w:val="0"/>
      <w:marTop w:val="0"/>
      <w:marBottom w:val="0"/>
      <w:divBdr>
        <w:top w:val="none" w:sz="0" w:space="0" w:color="auto"/>
        <w:left w:val="none" w:sz="0" w:space="0" w:color="auto"/>
        <w:bottom w:val="none" w:sz="0" w:space="0" w:color="auto"/>
        <w:right w:val="none" w:sz="0" w:space="0" w:color="auto"/>
      </w:divBdr>
    </w:div>
    <w:div w:id="1110780823">
      <w:bodyDiv w:val="1"/>
      <w:marLeft w:val="0"/>
      <w:marRight w:val="0"/>
      <w:marTop w:val="0"/>
      <w:marBottom w:val="0"/>
      <w:divBdr>
        <w:top w:val="none" w:sz="0" w:space="0" w:color="auto"/>
        <w:left w:val="none" w:sz="0" w:space="0" w:color="auto"/>
        <w:bottom w:val="none" w:sz="0" w:space="0" w:color="auto"/>
        <w:right w:val="none" w:sz="0" w:space="0" w:color="auto"/>
      </w:divBdr>
    </w:div>
    <w:div w:id="1164323700">
      <w:bodyDiv w:val="1"/>
      <w:marLeft w:val="0"/>
      <w:marRight w:val="0"/>
      <w:marTop w:val="0"/>
      <w:marBottom w:val="0"/>
      <w:divBdr>
        <w:top w:val="none" w:sz="0" w:space="0" w:color="auto"/>
        <w:left w:val="none" w:sz="0" w:space="0" w:color="auto"/>
        <w:bottom w:val="none" w:sz="0" w:space="0" w:color="auto"/>
        <w:right w:val="none" w:sz="0" w:space="0" w:color="auto"/>
      </w:divBdr>
    </w:div>
    <w:div w:id="1181579606">
      <w:bodyDiv w:val="1"/>
      <w:marLeft w:val="0"/>
      <w:marRight w:val="0"/>
      <w:marTop w:val="0"/>
      <w:marBottom w:val="0"/>
      <w:divBdr>
        <w:top w:val="none" w:sz="0" w:space="0" w:color="auto"/>
        <w:left w:val="none" w:sz="0" w:space="0" w:color="auto"/>
        <w:bottom w:val="none" w:sz="0" w:space="0" w:color="auto"/>
        <w:right w:val="none" w:sz="0" w:space="0" w:color="auto"/>
      </w:divBdr>
    </w:div>
    <w:div w:id="1185705930">
      <w:bodyDiv w:val="1"/>
      <w:marLeft w:val="0"/>
      <w:marRight w:val="0"/>
      <w:marTop w:val="0"/>
      <w:marBottom w:val="0"/>
      <w:divBdr>
        <w:top w:val="none" w:sz="0" w:space="0" w:color="auto"/>
        <w:left w:val="none" w:sz="0" w:space="0" w:color="auto"/>
        <w:bottom w:val="none" w:sz="0" w:space="0" w:color="auto"/>
        <w:right w:val="none" w:sz="0" w:space="0" w:color="auto"/>
      </w:divBdr>
    </w:div>
    <w:div w:id="1199506917">
      <w:bodyDiv w:val="1"/>
      <w:marLeft w:val="0"/>
      <w:marRight w:val="0"/>
      <w:marTop w:val="0"/>
      <w:marBottom w:val="0"/>
      <w:divBdr>
        <w:top w:val="none" w:sz="0" w:space="0" w:color="auto"/>
        <w:left w:val="none" w:sz="0" w:space="0" w:color="auto"/>
        <w:bottom w:val="none" w:sz="0" w:space="0" w:color="auto"/>
        <w:right w:val="none" w:sz="0" w:space="0" w:color="auto"/>
      </w:divBdr>
    </w:div>
    <w:div w:id="1210799703">
      <w:bodyDiv w:val="1"/>
      <w:marLeft w:val="0"/>
      <w:marRight w:val="0"/>
      <w:marTop w:val="0"/>
      <w:marBottom w:val="0"/>
      <w:divBdr>
        <w:top w:val="none" w:sz="0" w:space="0" w:color="auto"/>
        <w:left w:val="none" w:sz="0" w:space="0" w:color="auto"/>
        <w:bottom w:val="none" w:sz="0" w:space="0" w:color="auto"/>
        <w:right w:val="none" w:sz="0" w:space="0" w:color="auto"/>
      </w:divBdr>
    </w:div>
    <w:div w:id="121982443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57736">
      <w:bodyDiv w:val="1"/>
      <w:marLeft w:val="0"/>
      <w:marRight w:val="0"/>
      <w:marTop w:val="0"/>
      <w:marBottom w:val="0"/>
      <w:divBdr>
        <w:top w:val="none" w:sz="0" w:space="0" w:color="auto"/>
        <w:left w:val="none" w:sz="0" w:space="0" w:color="auto"/>
        <w:bottom w:val="none" w:sz="0" w:space="0" w:color="auto"/>
        <w:right w:val="none" w:sz="0" w:space="0" w:color="auto"/>
      </w:divBdr>
    </w:div>
    <w:div w:id="127212370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1131160">
      <w:bodyDiv w:val="1"/>
      <w:marLeft w:val="0"/>
      <w:marRight w:val="0"/>
      <w:marTop w:val="0"/>
      <w:marBottom w:val="0"/>
      <w:divBdr>
        <w:top w:val="none" w:sz="0" w:space="0" w:color="auto"/>
        <w:left w:val="none" w:sz="0" w:space="0" w:color="auto"/>
        <w:bottom w:val="none" w:sz="0" w:space="0" w:color="auto"/>
        <w:right w:val="none" w:sz="0" w:space="0" w:color="auto"/>
      </w:divBdr>
    </w:div>
    <w:div w:id="1296910193">
      <w:bodyDiv w:val="1"/>
      <w:marLeft w:val="0"/>
      <w:marRight w:val="0"/>
      <w:marTop w:val="0"/>
      <w:marBottom w:val="0"/>
      <w:divBdr>
        <w:top w:val="none" w:sz="0" w:space="0" w:color="auto"/>
        <w:left w:val="none" w:sz="0" w:space="0" w:color="auto"/>
        <w:bottom w:val="none" w:sz="0" w:space="0" w:color="auto"/>
        <w:right w:val="none" w:sz="0" w:space="0" w:color="auto"/>
      </w:divBdr>
    </w:div>
    <w:div w:id="1312829037">
      <w:bodyDiv w:val="1"/>
      <w:marLeft w:val="0"/>
      <w:marRight w:val="0"/>
      <w:marTop w:val="0"/>
      <w:marBottom w:val="0"/>
      <w:divBdr>
        <w:top w:val="none" w:sz="0" w:space="0" w:color="auto"/>
        <w:left w:val="none" w:sz="0" w:space="0" w:color="auto"/>
        <w:bottom w:val="none" w:sz="0" w:space="0" w:color="auto"/>
        <w:right w:val="none" w:sz="0" w:space="0" w:color="auto"/>
      </w:divBdr>
    </w:div>
    <w:div w:id="1317413136">
      <w:bodyDiv w:val="1"/>
      <w:marLeft w:val="0"/>
      <w:marRight w:val="0"/>
      <w:marTop w:val="0"/>
      <w:marBottom w:val="0"/>
      <w:divBdr>
        <w:top w:val="none" w:sz="0" w:space="0" w:color="auto"/>
        <w:left w:val="none" w:sz="0" w:space="0" w:color="auto"/>
        <w:bottom w:val="none" w:sz="0" w:space="0" w:color="auto"/>
        <w:right w:val="none" w:sz="0" w:space="0" w:color="auto"/>
      </w:divBdr>
    </w:div>
    <w:div w:id="1324309605">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4838905">
      <w:bodyDiv w:val="1"/>
      <w:marLeft w:val="0"/>
      <w:marRight w:val="0"/>
      <w:marTop w:val="0"/>
      <w:marBottom w:val="0"/>
      <w:divBdr>
        <w:top w:val="none" w:sz="0" w:space="0" w:color="auto"/>
        <w:left w:val="none" w:sz="0" w:space="0" w:color="auto"/>
        <w:bottom w:val="none" w:sz="0" w:space="0" w:color="auto"/>
        <w:right w:val="none" w:sz="0" w:space="0" w:color="auto"/>
      </w:divBdr>
    </w:div>
    <w:div w:id="1362900391">
      <w:bodyDiv w:val="1"/>
      <w:marLeft w:val="0"/>
      <w:marRight w:val="0"/>
      <w:marTop w:val="0"/>
      <w:marBottom w:val="0"/>
      <w:divBdr>
        <w:top w:val="none" w:sz="0" w:space="0" w:color="auto"/>
        <w:left w:val="none" w:sz="0" w:space="0" w:color="auto"/>
        <w:bottom w:val="none" w:sz="0" w:space="0" w:color="auto"/>
        <w:right w:val="none" w:sz="0" w:space="0" w:color="auto"/>
      </w:divBdr>
    </w:div>
    <w:div w:id="1378968206">
      <w:bodyDiv w:val="1"/>
      <w:marLeft w:val="0"/>
      <w:marRight w:val="0"/>
      <w:marTop w:val="0"/>
      <w:marBottom w:val="0"/>
      <w:divBdr>
        <w:top w:val="none" w:sz="0" w:space="0" w:color="auto"/>
        <w:left w:val="none" w:sz="0" w:space="0" w:color="auto"/>
        <w:bottom w:val="none" w:sz="0" w:space="0" w:color="auto"/>
        <w:right w:val="none" w:sz="0" w:space="0" w:color="auto"/>
      </w:divBdr>
    </w:div>
    <w:div w:id="1395465096">
      <w:bodyDiv w:val="1"/>
      <w:marLeft w:val="0"/>
      <w:marRight w:val="0"/>
      <w:marTop w:val="0"/>
      <w:marBottom w:val="0"/>
      <w:divBdr>
        <w:top w:val="none" w:sz="0" w:space="0" w:color="auto"/>
        <w:left w:val="none" w:sz="0" w:space="0" w:color="auto"/>
        <w:bottom w:val="none" w:sz="0" w:space="0" w:color="auto"/>
        <w:right w:val="none" w:sz="0" w:space="0" w:color="auto"/>
      </w:divBdr>
    </w:div>
    <w:div w:id="1395468470">
      <w:bodyDiv w:val="1"/>
      <w:marLeft w:val="0"/>
      <w:marRight w:val="0"/>
      <w:marTop w:val="0"/>
      <w:marBottom w:val="0"/>
      <w:divBdr>
        <w:top w:val="none" w:sz="0" w:space="0" w:color="auto"/>
        <w:left w:val="none" w:sz="0" w:space="0" w:color="auto"/>
        <w:bottom w:val="none" w:sz="0" w:space="0" w:color="auto"/>
        <w:right w:val="none" w:sz="0" w:space="0" w:color="auto"/>
      </w:divBdr>
    </w:div>
    <w:div w:id="1397432449">
      <w:bodyDiv w:val="1"/>
      <w:marLeft w:val="0"/>
      <w:marRight w:val="0"/>
      <w:marTop w:val="0"/>
      <w:marBottom w:val="0"/>
      <w:divBdr>
        <w:top w:val="none" w:sz="0" w:space="0" w:color="auto"/>
        <w:left w:val="none" w:sz="0" w:space="0" w:color="auto"/>
        <w:bottom w:val="none" w:sz="0" w:space="0" w:color="auto"/>
        <w:right w:val="none" w:sz="0" w:space="0" w:color="auto"/>
      </w:divBdr>
    </w:div>
    <w:div w:id="1399743993">
      <w:bodyDiv w:val="1"/>
      <w:marLeft w:val="0"/>
      <w:marRight w:val="0"/>
      <w:marTop w:val="0"/>
      <w:marBottom w:val="0"/>
      <w:divBdr>
        <w:top w:val="none" w:sz="0" w:space="0" w:color="auto"/>
        <w:left w:val="none" w:sz="0" w:space="0" w:color="auto"/>
        <w:bottom w:val="none" w:sz="0" w:space="0" w:color="auto"/>
        <w:right w:val="none" w:sz="0" w:space="0" w:color="auto"/>
      </w:divBdr>
    </w:div>
    <w:div w:id="1401513398">
      <w:bodyDiv w:val="1"/>
      <w:marLeft w:val="0"/>
      <w:marRight w:val="0"/>
      <w:marTop w:val="0"/>
      <w:marBottom w:val="0"/>
      <w:divBdr>
        <w:top w:val="none" w:sz="0" w:space="0" w:color="auto"/>
        <w:left w:val="none" w:sz="0" w:space="0" w:color="auto"/>
        <w:bottom w:val="none" w:sz="0" w:space="0" w:color="auto"/>
        <w:right w:val="none" w:sz="0" w:space="0" w:color="auto"/>
      </w:divBdr>
    </w:div>
    <w:div w:id="1404568474">
      <w:bodyDiv w:val="1"/>
      <w:marLeft w:val="0"/>
      <w:marRight w:val="0"/>
      <w:marTop w:val="0"/>
      <w:marBottom w:val="0"/>
      <w:divBdr>
        <w:top w:val="none" w:sz="0" w:space="0" w:color="auto"/>
        <w:left w:val="none" w:sz="0" w:space="0" w:color="auto"/>
        <w:bottom w:val="none" w:sz="0" w:space="0" w:color="auto"/>
        <w:right w:val="none" w:sz="0" w:space="0" w:color="auto"/>
      </w:divBdr>
    </w:div>
    <w:div w:id="1411973387">
      <w:bodyDiv w:val="1"/>
      <w:marLeft w:val="0"/>
      <w:marRight w:val="0"/>
      <w:marTop w:val="0"/>
      <w:marBottom w:val="0"/>
      <w:divBdr>
        <w:top w:val="none" w:sz="0" w:space="0" w:color="auto"/>
        <w:left w:val="none" w:sz="0" w:space="0" w:color="auto"/>
        <w:bottom w:val="none" w:sz="0" w:space="0" w:color="auto"/>
        <w:right w:val="none" w:sz="0" w:space="0" w:color="auto"/>
      </w:divBdr>
    </w:div>
    <w:div w:id="1421832819">
      <w:bodyDiv w:val="1"/>
      <w:marLeft w:val="0"/>
      <w:marRight w:val="0"/>
      <w:marTop w:val="0"/>
      <w:marBottom w:val="0"/>
      <w:divBdr>
        <w:top w:val="none" w:sz="0" w:space="0" w:color="auto"/>
        <w:left w:val="none" w:sz="0" w:space="0" w:color="auto"/>
        <w:bottom w:val="none" w:sz="0" w:space="0" w:color="auto"/>
        <w:right w:val="none" w:sz="0" w:space="0" w:color="auto"/>
      </w:divBdr>
    </w:div>
    <w:div w:id="1429080940">
      <w:bodyDiv w:val="1"/>
      <w:marLeft w:val="0"/>
      <w:marRight w:val="0"/>
      <w:marTop w:val="0"/>
      <w:marBottom w:val="0"/>
      <w:divBdr>
        <w:top w:val="none" w:sz="0" w:space="0" w:color="auto"/>
        <w:left w:val="none" w:sz="0" w:space="0" w:color="auto"/>
        <w:bottom w:val="none" w:sz="0" w:space="0" w:color="auto"/>
        <w:right w:val="none" w:sz="0" w:space="0" w:color="auto"/>
      </w:divBdr>
    </w:div>
    <w:div w:id="1432973697">
      <w:bodyDiv w:val="1"/>
      <w:marLeft w:val="0"/>
      <w:marRight w:val="0"/>
      <w:marTop w:val="0"/>
      <w:marBottom w:val="0"/>
      <w:divBdr>
        <w:top w:val="none" w:sz="0" w:space="0" w:color="auto"/>
        <w:left w:val="none" w:sz="0" w:space="0" w:color="auto"/>
        <w:bottom w:val="none" w:sz="0" w:space="0" w:color="auto"/>
        <w:right w:val="none" w:sz="0" w:space="0" w:color="auto"/>
      </w:divBdr>
    </w:div>
    <w:div w:id="143917711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116938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8055013">
      <w:bodyDiv w:val="1"/>
      <w:marLeft w:val="0"/>
      <w:marRight w:val="0"/>
      <w:marTop w:val="0"/>
      <w:marBottom w:val="0"/>
      <w:divBdr>
        <w:top w:val="none" w:sz="0" w:space="0" w:color="auto"/>
        <w:left w:val="none" w:sz="0" w:space="0" w:color="auto"/>
        <w:bottom w:val="none" w:sz="0" w:space="0" w:color="auto"/>
        <w:right w:val="none" w:sz="0" w:space="0" w:color="auto"/>
      </w:divBdr>
    </w:div>
    <w:div w:id="1510440250">
      <w:bodyDiv w:val="1"/>
      <w:marLeft w:val="0"/>
      <w:marRight w:val="0"/>
      <w:marTop w:val="0"/>
      <w:marBottom w:val="0"/>
      <w:divBdr>
        <w:top w:val="none" w:sz="0" w:space="0" w:color="auto"/>
        <w:left w:val="none" w:sz="0" w:space="0" w:color="auto"/>
        <w:bottom w:val="none" w:sz="0" w:space="0" w:color="auto"/>
        <w:right w:val="none" w:sz="0" w:space="0" w:color="auto"/>
      </w:divBdr>
    </w:div>
    <w:div w:id="1524394747">
      <w:bodyDiv w:val="1"/>
      <w:marLeft w:val="0"/>
      <w:marRight w:val="0"/>
      <w:marTop w:val="0"/>
      <w:marBottom w:val="0"/>
      <w:divBdr>
        <w:top w:val="none" w:sz="0" w:space="0" w:color="auto"/>
        <w:left w:val="none" w:sz="0" w:space="0" w:color="auto"/>
        <w:bottom w:val="none" w:sz="0" w:space="0" w:color="auto"/>
        <w:right w:val="none" w:sz="0" w:space="0" w:color="auto"/>
      </w:divBdr>
    </w:div>
    <w:div w:id="1526669910">
      <w:bodyDiv w:val="1"/>
      <w:marLeft w:val="0"/>
      <w:marRight w:val="0"/>
      <w:marTop w:val="0"/>
      <w:marBottom w:val="0"/>
      <w:divBdr>
        <w:top w:val="none" w:sz="0" w:space="0" w:color="auto"/>
        <w:left w:val="none" w:sz="0" w:space="0" w:color="auto"/>
        <w:bottom w:val="none" w:sz="0" w:space="0" w:color="auto"/>
        <w:right w:val="none" w:sz="0" w:space="0" w:color="auto"/>
      </w:divBdr>
    </w:div>
    <w:div w:id="1548641194">
      <w:bodyDiv w:val="1"/>
      <w:marLeft w:val="0"/>
      <w:marRight w:val="0"/>
      <w:marTop w:val="0"/>
      <w:marBottom w:val="0"/>
      <w:divBdr>
        <w:top w:val="none" w:sz="0" w:space="0" w:color="auto"/>
        <w:left w:val="none" w:sz="0" w:space="0" w:color="auto"/>
        <w:bottom w:val="none" w:sz="0" w:space="0" w:color="auto"/>
        <w:right w:val="none" w:sz="0" w:space="0" w:color="auto"/>
      </w:divBdr>
    </w:div>
    <w:div w:id="1549877733">
      <w:bodyDiv w:val="1"/>
      <w:marLeft w:val="0"/>
      <w:marRight w:val="0"/>
      <w:marTop w:val="0"/>
      <w:marBottom w:val="0"/>
      <w:divBdr>
        <w:top w:val="none" w:sz="0" w:space="0" w:color="auto"/>
        <w:left w:val="none" w:sz="0" w:space="0" w:color="auto"/>
        <w:bottom w:val="none" w:sz="0" w:space="0" w:color="auto"/>
        <w:right w:val="none" w:sz="0" w:space="0" w:color="auto"/>
      </w:divBdr>
    </w:div>
    <w:div w:id="1576281255">
      <w:bodyDiv w:val="1"/>
      <w:marLeft w:val="0"/>
      <w:marRight w:val="0"/>
      <w:marTop w:val="0"/>
      <w:marBottom w:val="0"/>
      <w:divBdr>
        <w:top w:val="none" w:sz="0" w:space="0" w:color="auto"/>
        <w:left w:val="none" w:sz="0" w:space="0" w:color="auto"/>
        <w:bottom w:val="none" w:sz="0" w:space="0" w:color="auto"/>
        <w:right w:val="none" w:sz="0" w:space="0" w:color="auto"/>
      </w:divBdr>
    </w:div>
    <w:div w:id="1595431698">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0143621">
      <w:bodyDiv w:val="1"/>
      <w:marLeft w:val="0"/>
      <w:marRight w:val="0"/>
      <w:marTop w:val="0"/>
      <w:marBottom w:val="0"/>
      <w:divBdr>
        <w:top w:val="none" w:sz="0" w:space="0" w:color="auto"/>
        <w:left w:val="none" w:sz="0" w:space="0" w:color="auto"/>
        <w:bottom w:val="none" w:sz="0" w:space="0" w:color="auto"/>
        <w:right w:val="none" w:sz="0" w:space="0" w:color="auto"/>
      </w:divBdr>
    </w:div>
    <w:div w:id="161004155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5690348">
      <w:bodyDiv w:val="1"/>
      <w:marLeft w:val="0"/>
      <w:marRight w:val="0"/>
      <w:marTop w:val="0"/>
      <w:marBottom w:val="0"/>
      <w:divBdr>
        <w:top w:val="none" w:sz="0" w:space="0" w:color="auto"/>
        <w:left w:val="none" w:sz="0" w:space="0" w:color="auto"/>
        <w:bottom w:val="none" w:sz="0" w:space="0" w:color="auto"/>
        <w:right w:val="none" w:sz="0" w:space="0" w:color="auto"/>
      </w:divBdr>
    </w:div>
    <w:div w:id="1632709773">
      <w:bodyDiv w:val="1"/>
      <w:marLeft w:val="0"/>
      <w:marRight w:val="0"/>
      <w:marTop w:val="0"/>
      <w:marBottom w:val="0"/>
      <w:divBdr>
        <w:top w:val="none" w:sz="0" w:space="0" w:color="auto"/>
        <w:left w:val="none" w:sz="0" w:space="0" w:color="auto"/>
        <w:bottom w:val="none" w:sz="0" w:space="0" w:color="auto"/>
        <w:right w:val="none" w:sz="0" w:space="0" w:color="auto"/>
      </w:divBdr>
    </w:div>
    <w:div w:id="165460389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6928369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139331">
      <w:bodyDiv w:val="1"/>
      <w:marLeft w:val="0"/>
      <w:marRight w:val="0"/>
      <w:marTop w:val="0"/>
      <w:marBottom w:val="0"/>
      <w:divBdr>
        <w:top w:val="none" w:sz="0" w:space="0" w:color="auto"/>
        <w:left w:val="none" w:sz="0" w:space="0" w:color="auto"/>
        <w:bottom w:val="none" w:sz="0" w:space="0" w:color="auto"/>
        <w:right w:val="none" w:sz="0" w:space="0" w:color="auto"/>
      </w:divBdr>
    </w:div>
    <w:div w:id="1715538144">
      <w:bodyDiv w:val="1"/>
      <w:marLeft w:val="0"/>
      <w:marRight w:val="0"/>
      <w:marTop w:val="0"/>
      <w:marBottom w:val="0"/>
      <w:divBdr>
        <w:top w:val="none" w:sz="0" w:space="0" w:color="auto"/>
        <w:left w:val="none" w:sz="0" w:space="0" w:color="auto"/>
        <w:bottom w:val="none" w:sz="0" w:space="0" w:color="auto"/>
        <w:right w:val="none" w:sz="0" w:space="0" w:color="auto"/>
      </w:divBdr>
    </w:div>
    <w:div w:id="1716344956">
      <w:bodyDiv w:val="1"/>
      <w:marLeft w:val="0"/>
      <w:marRight w:val="0"/>
      <w:marTop w:val="0"/>
      <w:marBottom w:val="0"/>
      <w:divBdr>
        <w:top w:val="none" w:sz="0" w:space="0" w:color="auto"/>
        <w:left w:val="none" w:sz="0" w:space="0" w:color="auto"/>
        <w:bottom w:val="none" w:sz="0" w:space="0" w:color="auto"/>
        <w:right w:val="none" w:sz="0" w:space="0" w:color="auto"/>
      </w:divBdr>
    </w:div>
    <w:div w:id="1726102860">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5319658">
      <w:bodyDiv w:val="1"/>
      <w:marLeft w:val="0"/>
      <w:marRight w:val="0"/>
      <w:marTop w:val="0"/>
      <w:marBottom w:val="0"/>
      <w:divBdr>
        <w:top w:val="none" w:sz="0" w:space="0" w:color="auto"/>
        <w:left w:val="none" w:sz="0" w:space="0" w:color="auto"/>
        <w:bottom w:val="none" w:sz="0" w:space="0" w:color="auto"/>
        <w:right w:val="none" w:sz="0" w:space="0" w:color="auto"/>
      </w:divBdr>
    </w:div>
    <w:div w:id="175577855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3061957">
      <w:bodyDiv w:val="1"/>
      <w:marLeft w:val="0"/>
      <w:marRight w:val="0"/>
      <w:marTop w:val="0"/>
      <w:marBottom w:val="0"/>
      <w:divBdr>
        <w:top w:val="none" w:sz="0" w:space="0" w:color="auto"/>
        <w:left w:val="none" w:sz="0" w:space="0" w:color="auto"/>
        <w:bottom w:val="none" w:sz="0" w:space="0" w:color="auto"/>
        <w:right w:val="none" w:sz="0" w:space="0" w:color="auto"/>
      </w:divBdr>
    </w:div>
    <w:div w:id="1778986960">
      <w:bodyDiv w:val="1"/>
      <w:marLeft w:val="0"/>
      <w:marRight w:val="0"/>
      <w:marTop w:val="0"/>
      <w:marBottom w:val="0"/>
      <w:divBdr>
        <w:top w:val="none" w:sz="0" w:space="0" w:color="auto"/>
        <w:left w:val="none" w:sz="0" w:space="0" w:color="auto"/>
        <w:bottom w:val="none" w:sz="0" w:space="0" w:color="auto"/>
        <w:right w:val="none" w:sz="0" w:space="0" w:color="auto"/>
      </w:divBdr>
    </w:div>
    <w:div w:id="1782609666">
      <w:bodyDiv w:val="1"/>
      <w:marLeft w:val="0"/>
      <w:marRight w:val="0"/>
      <w:marTop w:val="0"/>
      <w:marBottom w:val="0"/>
      <w:divBdr>
        <w:top w:val="none" w:sz="0" w:space="0" w:color="auto"/>
        <w:left w:val="none" w:sz="0" w:space="0" w:color="auto"/>
        <w:bottom w:val="none" w:sz="0" w:space="0" w:color="auto"/>
        <w:right w:val="none" w:sz="0" w:space="0" w:color="auto"/>
      </w:divBdr>
    </w:div>
    <w:div w:id="1794054718">
      <w:bodyDiv w:val="1"/>
      <w:marLeft w:val="0"/>
      <w:marRight w:val="0"/>
      <w:marTop w:val="0"/>
      <w:marBottom w:val="0"/>
      <w:divBdr>
        <w:top w:val="none" w:sz="0" w:space="0" w:color="auto"/>
        <w:left w:val="none" w:sz="0" w:space="0" w:color="auto"/>
        <w:bottom w:val="none" w:sz="0" w:space="0" w:color="auto"/>
        <w:right w:val="none" w:sz="0" w:space="0" w:color="auto"/>
      </w:divBdr>
    </w:div>
    <w:div w:id="1802334598">
      <w:bodyDiv w:val="1"/>
      <w:marLeft w:val="0"/>
      <w:marRight w:val="0"/>
      <w:marTop w:val="0"/>
      <w:marBottom w:val="0"/>
      <w:divBdr>
        <w:top w:val="none" w:sz="0" w:space="0" w:color="auto"/>
        <w:left w:val="none" w:sz="0" w:space="0" w:color="auto"/>
        <w:bottom w:val="none" w:sz="0" w:space="0" w:color="auto"/>
        <w:right w:val="none" w:sz="0" w:space="0" w:color="auto"/>
      </w:divBdr>
    </w:div>
    <w:div w:id="1805001545">
      <w:bodyDiv w:val="1"/>
      <w:marLeft w:val="0"/>
      <w:marRight w:val="0"/>
      <w:marTop w:val="0"/>
      <w:marBottom w:val="0"/>
      <w:divBdr>
        <w:top w:val="none" w:sz="0" w:space="0" w:color="auto"/>
        <w:left w:val="none" w:sz="0" w:space="0" w:color="auto"/>
        <w:bottom w:val="none" w:sz="0" w:space="0" w:color="auto"/>
        <w:right w:val="none" w:sz="0" w:space="0" w:color="auto"/>
      </w:divBdr>
    </w:div>
    <w:div w:id="1810971409">
      <w:bodyDiv w:val="1"/>
      <w:marLeft w:val="0"/>
      <w:marRight w:val="0"/>
      <w:marTop w:val="0"/>
      <w:marBottom w:val="0"/>
      <w:divBdr>
        <w:top w:val="none" w:sz="0" w:space="0" w:color="auto"/>
        <w:left w:val="none" w:sz="0" w:space="0" w:color="auto"/>
        <w:bottom w:val="none" w:sz="0" w:space="0" w:color="auto"/>
        <w:right w:val="none" w:sz="0" w:space="0" w:color="auto"/>
      </w:divBdr>
    </w:div>
    <w:div w:id="181575324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298291">
      <w:bodyDiv w:val="1"/>
      <w:marLeft w:val="0"/>
      <w:marRight w:val="0"/>
      <w:marTop w:val="0"/>
      <w:marBottom w:val="0"/>
      <w:divBdr>
        <w:top w:val="none" w:sz="0" w:space="0" w:color="auto"/>
        <w:left w:val="none" w:sz="0" w:space="0" w:color="auto"/>
        <w:bottom w:val="none" w:sz="0" w:space="0" w:color="auto"/>
        <w:right w:val="none" w:sz="0" w:space="0" w:color="auto"/>
      </w:divBdr>
    </w:div>
    <w:div w:id="1835949292">
      <w:bodyDiv w:val="1"/>
      <w:marLeft w:val="0"/>
      <w:marRight w:val="0"/>
      <w:marTop w:val="0"/>
      <w:marBottom w:val="0"/>
      <w:divBdr>
        <w:top w:val="none" w:sz="0" w:space="0" w:color="auto"/>
        <w:left w:val="none" w:sz="0" w:space="0" w:color="auto"/>
        <w:bottom w:val="none" w:sz="0" w:space="0" w:color="auto"/>
        <w:right w:val="none" w:sz="0" w:space="0" w:color="auto"/>
      </w:divBdr>
    </w:div>
    <w:div w:id="1840920729">
      <w:bodyDiv w:val="1"/>
      <w:marLeft w:val="0"/>
      <w:marRight w:val="0"/>
      <w:marTop w:val="0"/>
      <w:marBottom w:val="0"/>
      <w:divBdr>
        <w:top w:val="none" w:sz="0" w:space="0" w:color="auto"/>
        <w:left w:val="none" w:sz="0" w:space="0" w:color="auto"/>
        <w:bottom w:val="none" w:sz="0" w:space="0" w:color="auto"/>
        <w:right w:val="none" w:sz="0" w:space="0" w:color="auto"/>
      </w:divBdr>
    </w:div>
    <w:div w:id="1898512696">
      <w:bodyDiv w:val="1"/>
      <w:marLeft w:val="0"/>
      <w:marRight w:val="0"/>
      <w:marTop w:val="0"/>
      <w:marBottom w:val="0"/>
      <w:divBdr>
        <w:top w:val="none" w:sz="0" w:space="0" w:color="auto"/>
        <w:left w:val="none" w:sz="0" w:space="0" w:color="auto"/>
        <w:bottom w:val="none" w:sz="0" w:space="0" w:color="auto"/>
        <w:right w:val="none" w:sz="0" w:space="0" w:color="auto"/>
      </w:divBdr>
    </w:div>
    <w:div w:id="1902206599">
      <w:bodyDiv w:val="1"/>
      <w:marLeft w:val="0"/>
      <w:marRight w:val="0"/>
      <w:marTop w:val="0"/>
      <w:marBottom w:val="0"/>
      <w:divBdr>
        <w:top w:val="none" w:sz="0" w:space="0" w:color="auto"/>
        <w:left w:val="none" w:sz="0" w:space="0" w:color="auto"/>
        <w:bottom w:val="none" w:sz="0" w:space="0" w:color="auto"/>
        <w:right w:val="none" w:sz="0" w:space="0" w:color="auto"/>
      </w:divBdr>
    </w:div>
    <w:div w:id="1912353544">
      <w:bodyDiv w:val="1"/>
      <w:marLeft w:val="0"/>
      <w:marRight w:val="0"/>
      <w:marTop w:val="0"/>
      <w:marBottom w:val="0"/>
      <w:divBdr>
        <w:top w:val="none" w:sz="0" w:space="0" w:color="auto"/>
        <w:left w:val="none" w:sz="0" w:space="0" w:color="auto"/>
        <w:bottom w:val="none" w:sz="0" w:space="0" w:color="auto"/>
        <w:right w:val="none" w:sz="0" w:space="0" w:color="auto"/>
      </w:divBdr>
    </w:div>
    <w:div w:id="192245003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707915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0013469">
      <w:bodyDiv w:val="1"/>
      <w:marLeft w:val="0"/>
      <w:marRight w:val="0"/>
      <w:marTop w:val="0"/>
      <w:marBottom w:val="0"/>
      <w:divBdr>
        <w:top w:val="none" w:sz="0" w:space="0" w:color="auto"/>
        <w:left w:val="none" w:sz="0" w:space="0" w:color="auto"/>
        <w:bottom w:val="none" w:sz="0" w:space="0" w:color="auto"/>
        <w:right w:val="none" w:sz="0" w:space="0" w:color="auto"/>
      </w:divBdr>
    </w:div>
    <w:div w:id="1977489381">
      <w:bodyDiv w:val="1"/>
      <w:marLeft w:val="0"/>
      <w:marRight w:val="0"/>
      <w:marTop w:val="0"/>
      <w:marBottom w:val="0"/>
      <w:divBdr>
        <w:top w:val="none" w:sz="0" w:space="0" w:color="auto"/>
        <w:left w:val="none" w:sz="0" w:space="0" w:color="auto"/>
        <w:bottom w:val="none" w:sz="0" w:space="0" w:color="auto"/>
        <w:right w:val="none" w:sz="0" w:space="0" w:color="auto"/>
      </w:divBdr>
    </w:div>
    <w:div w:id="1987319697">
      <w:bodyDiv w:val="1"/>
      <w:marLeft w:val="0"/>
      <w:marRight w:val="0"/>
      <w:marTop w:val="0"/>
      <w:marBottom w:val="0"/>
      <w:divBdr>
        <w:top w:val="none" w:sz="0" w:space="0" w:color="auto"/>
        <w:left w:val="none" w:sz="0" w:space="0" w:color="auto"/>
        <w:bottom w:val="none" w:sz="0" w:space="0" w:color="auto"/>
        <w:right w:val="none" w:sz="0" w:space="0" w:color="auto"/>
      </w:divBdr>
    </w:div>
    <w:div w:id="2004506403">
      <w:bodyDiv w:val="1"/>
      <w:marLeft w:val="0"/>
      <w:marRight w:val="0"/>
      <w:marTop w:val="0"/>
      <w:marBottom w:val="0"/>
      <w:divBdr>
        <w:top w:val="none" w:sz="0" w:space="0" w:color="auto"/>
        <w:left w:val="none" w:sz="0" w:space="0" w:color="auto"/>
        <w:bottom w:val="none" w:sz="0" w:space="0" w:color="auto"/>
        <w:right w:val="none" w:sz="0" w:space="0" w:color="auto"/>
      </w:divBdr>
    </w:div>
    <w:div w:id="2014260160">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4886892">
      <w:bodyDiv w:val="1"/>
      <w:marLeft w:val="0"/>
      <w:marRight w:val="0"/>
      <w:marTop w:val="0"/>
      <w:marBottom w:val="0"/>
      <w:divBdr>
        <w:top w:val="none" w:sz="0" w:space="0" w:color="auto"/>
        <w:left w:val="none" w:sz="0" w:space="0" w:color="auto"/>
        <w:bottom w:val="none" w:sz="0" w:space="0" w:color="auto"/>
        <w:right w:val="none" w:sz="0" w:space="0" w:color="auto"/>
      </w:divBdr>
    </w:div>
    <w:div w:id="2113432833">
      <w:bodyDiv w:val="1"/>
      <w:marLeft w:val="0"/>
      <w:marRight w:val="0"/>
      <w:marTop w:val="0"/>
      <w:marBottom w:val="0"/>
      <w:divBdr>
        <w:top w:val="none" w:sz="0" w:space="0" w:color="auto"/>
        <w:left w:val="none" w:sz="0" w:space="0" w:color="auto"/>
        <w:bottom w:val="none" w:sz="0" w:space="0" w:color="auto"/>
        <w:right w:val="none" w:sz="0" w:space="0" w:color="auto"/>
      </w:divBdr>
    </w:div>
    <w:div w:id="2128773007">
      <w:bodyDiv w:val="1"/>
      <w:marLeft w:val="0"/>
      <w:marRight w:val="0"/>
      <w:marTop w:val="0"/>
      <w:marBottom w:val="0"/>
      <w:divBdr>
        <w:top w:val="none" w:sz="0" w:space="0" w:color="auto"/>
        <w:left w:val="none" w:sz="0" w:space="0" w:color="auto"/>
        <w:bottom w:val="none" w:sz="0" w:space="0" w:color="auto"/>
        <w:right w:val="none" w:sz="0" w:space="0" w:color="auto"/>
      </w:divBdr>
    </w:div>
    <w:div w:id="2129473502">
      <w:bodyDiv w:val="1"/>
      <w:marLeft w:val="0"/>
      <w:marRight w:val="0"/>
      <w:marTop w:val="0"/>
      <w:marBottom w:val="0"/>
      <w:divBdr>
        <w:top w:val="none" w:sz="0" w:space="0" w:color="auto"/>
        <w:left w:val="none" w:sz="0" w:space="0" w:color="auto"/>
        <w:bottom w:val="none" w:sz="0" w:space="0" w:color="auto"/>
        <w:right w:val="none" w:sz="0" w:space="0" w:color="auto"/>
      </w:divBdr>
    </w:div>
    <w:div w:id="2138257639">
      <w:bodyDiv w:val="1"/>
      <w:marLeft w:val="0"/>
      <w:marRight w:val="0"/>
      <w:marTop w:val="0"/>
      <w:marBottom w:val="0"/>
      <w:divBdr>
        <w:top w:val="none" w:sz="0" w:space="0" w:color="auto"/>
        <w:left w:val="none" w:sz="0" w:space="0" w:color="auto"/>
        <w:bottom w:val="none" w:sz="0" w:space="0" w:color="auto"/>
        <w:right w:val="none" w:sz="0" w:space="0" w:color="auto"/>
      </w:divBdr>
    </w:div>
    <w:div w:id="2141919428">
      <w:bodyDiv w:val="1"/>
      <w:marLeft w:val="0"/>
      <w:marRight w:val="0"/>
      <w:marTop w:val="0"/>
      <w:marBottom w:val="0"/>
      <w:divBdr>
        <w:top w:val="none" w:sz="0" w:space="0" w:color="auto"/>
        <w:left w:val="none" w:sz="0" w:space="0" w:color="auto"/>
        <w:bottom w:val="none" w:sz="0" w:space="0" w:color="auto"/>
        <w:right w:val="none" w:sz="0" w:space="0" w:color="auto"/>
      </w:divBdr>
    </w:div>
    <w:div w:id="21465080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2.xml><?xml version="1.0" encoding="utf-8"?>
<ds:datastoreItem xmlns:ds="http://schemas.openxmlformats.org/officeDocument/2006/customXml" ds:itemID="{DCAAD487-7B05-4006-9773-9B152961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4C3886-6B48-46FD-9173-50D31267B297}">
  <ds:schemaRefs>
    <ds:schemaRef ds:uri="http://schemas.microsoft.com/office/2006/metadata/properties"/>
    <ds:schemaRef ds:uri="92f8bd56-8465-45fb-84ac-454baa360449"/>
  </ds:schemaRefs>
</ds:datastoreItem>
</file>

<file path=customXml/itemProps4.xml><?xml version="1.0" encoding="utf-8"?>
<ds:datastoreItem xmlns:ds="http://schemas.openxmlformats.org/officeDocument/2006/customXml" ds:itemID="{8AB645DD-C742-4165-B534-7B977985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2</TotalTime>
  <Pages>23</Pages>
  <Words>3532</Words>
  <Characters>22946</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26426</CharactersWithSpaces>
  <SharedDoc>false</SharedDoc>
  <HLinks>
    <vt:vector size="24" baseType="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lastModifiedBy>Brendan Palazzi</cp:lastModifiedBy>
  <cp:revision>2</cp:revision>
  <cp:lastPrinted>2015-05-10T07:11:00Z</cp:lastPrinted>
  <dcterms:created xsi:type="dcterms:W3CDTF">2015-05-12T06:19:00Z</dcterms:created>
  <dcterms:modified xsi:type="dcterms:W3CDTF">2015-05-12T06:19:00Z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