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2EFA1" w14:textId="77777777" w:rsidR="000C2A48" w:rsidRPr="00014623" w:rsidRDefault="00BA1A95" w:rsidP="005A6C78">
      <w:pPr>
        <w:pStyle w:val="Firstpagespace"/>
        <w:rPr>
          <w:rFonts w:ascii="Calibri" w:hAnsi="Calibri"/>
        </w:rPr>
      </w:pPr>
      <w:r>
        <w:rPr>
          <w:rFonts w:ascii="Calibri" w:hAnsi="Calibri"/>
          <w:noProof/>
        </w:rPr>
        <w:pict w14:anchorId="111EF1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71.05pt;margin-top:-94.1pt;width:595.8pt;height:193.1pt;z-index:-251658752;mso-position-horizontal-relative:text;mso-position-vertical-relative:text;mso-width-relative:page;mso-height-relative:page">
            <v:imagedata r:id="rId8" o:title="Short word cover_Comcover"/>
          </v:shape>
        </w:pict>
      </w:r>
    </w:p>
    <w:p w14:paraId="377FE0F6" w14:textId="26468938" w:rsidR="00BC6AB5" w:rsidRPr="00014623" w:rsidRDefault="000412D6" w:rsidP="005A6C78">
      <w:pPr>
        <w:pStyle w:val="Title"/>
        <w:rPr>
          <w:rFonts w:ascii="Calibri" w:hAnsi="Calibri"/>
        </w:rPr>
      </w:pPr>
      <w:r w:rsidRPr="00014623">
        <w:rPr>
          <w:rFonts w:ascii="Calibri" w:hAnsi="Calibri"/>
        </w:rPr>
        <w:t xml:space="preserve">Information Bulletin – Comcover </w:t>
      </w:r>
      <w:r w:rsidR="00BC6AB5" w:rsidRPr="00014623">
        <w:rPr>
          <w:rFonts w:ascii="Calibri" w:hAnsi="Calibri"/>
        </w:rPr>
        <w:t>Statement of Cover</w:t>
      </w:r>
      <w:r w:rsidRPr="00014623">
        <w:rPr>
          <w:rFonts w:ascii="Calibri" w:hAnsi="Calibri"/>
        </w:rPr>
        <w:t xml:space="preserve"> </w:t>
      </w:r>
      <w:r w:rsidR="00882524">
        <w:rPr>
          <w:rFonts w:ascii="Calibri" w:hAnsi="Calibri"/>
        </w:rPr>
        <w:t>2019-20</w:t>
      </w:r>
      <w:r w:rsidR="00BC6AB5" w:rsidRPr="00014623">
        <w:rPr>
          <w:rFonts w:ascii="Calibri" w:hAnsi="Calibri"/>
        </w:rPr>
        <w:t xml:space="preserve"> </w:t>
      </w:r>
    </w:p>
    <w:p w14:paraId="3FE5FF61" w14:textId="1A6707F4" w:rsidR="00BC6AB5" w:rsidRPr="00014623" w:rsidRDefault="00BC6AB5" w:rsidP="00BC6AB5">
      <w:pPr>
        <w:rPr>
          <w:rFonts w:ascii="Calibri" w:hAnsi="Calibri"/>
        </w:rPr>
      </w:pPr>
      <w:r w:rsidRPr="00014623">
        <w:rPr>
          <w:rFonts w:ascii="Calibri" w:hAnsi="Calibri"/>
        </w:rPr>
        <w:t xml:space="preserve">Issue </w:t>
      </w:r>
      <w:r w:rsidR="00882524">
        <w:rPr>
          <w:rFonts w:ascii="Calibri" w:hAnsi="Calibri"/>
        </w:rPr>
        <w:t>49</w:t>
      </w:r>
      <w:r w:rsidRPr="00014623">
        <w:rPr>
          <w:rFonts w:ascii="Calibri" w:hAnsi="Calibri"/>
        </w:rPr>
        <w:t xml:space="preserve"> </w:t>
      </w:r>
      <w:r w:rsidR="00931029" w:rsidRPr="00014623">
        <w:rPr>
          <w:rFonts w:ascii="Calibri" w:hAnsi="Calibri"/>
        </w:rPr>
        <w:t>–</w:t>
      </w:r>
      <w:r w:rsidRPr="00014623">
        <w:rPr>
          <w:rFonts w:ascii="Calibri" w:hAnsi="Calibri"/>
        </w:rPr>
        <w:t xml:space="preserve"> 1</w:t>
      </w:r>
      <w:r w:rsidR="00931029" w:rsidRPr="00014623">
        <w:rPr>
          <w:rFonts w:ascii="Calibri" w:hAnsi="Calibri"/>
        </w:rPr>
        <w:t xml:space="preserve"> </w:t>
      </w:r>
      <w:r w:rsidR="00882524">
        <w:rPr>
          <w:rFonts w:ascii="Calibri" w:hAnsi="Calibri"/>
        </w:rPr>
        <w:t>July 2019</w:t>
      </w:r>
    </w:p>
    <w:p w14:paraId="3EB25D42" w14:textId="27952538" w:rsidR="00BC6AB5" w:rsidRPr="00014623" w:rsidRDefault="00BC6AB5" w:rsidP="00931029">
      <w:pPr>
        <w:spacing w:after="240"/>
        <w:rPr>
          <w:rFonts w:ascii="Calibri" w:hAnsi="Calibri"/>
          <w:b/>
        </w:rPr>
      </w:pPr>
      <w:r w:rsidRPr="00014623">
        <w:rPr>
          <w:rFonts w:ascii="Calibri" w:hAnsi="Calibri"/>
          <w:b/>
        </w:rPr>
        <w:t>Comc</w:t>
      </w:r>
      <w:r w:rsidR="000412D6" w:rsidRPr="00014623">
        <w:rPr>
          <w:rFonts w:ascii="Calibri" w:hAnsi="Calibri"/>
          <w:b/>
        </w:rPr>
        <w:t>over Statement of Cover</w:t>
      </w:r>
      <w:r w:rsidR="00D143FC">
        <w:rPr>
          <w:rFonts w:ascii="Calibri" w:hAnsi="Calibri"/>
          <w:b/>
        </w:rPr>
        <w:t xml:space="preserve"> </w:t>
      </w:r>
      <w:r w:rsidR="000412D6" w:rsidRPr="00014623">
        <w:rPr>
          <w:rFonts w:ascii="Calibri" w:hAnsi="Calibri"/>
          <w:b/>
        </w:rPr>
        <w:t xml:space="preserve">– </w:t>
      </w:r>
      <w:r w:rsidRPr="00014623">
        <w:rPr>
          <w:rFonts w:ascii="Calibri" w:hAnsi="Calibri"/>
          <w:b/>
        </w:rPr>
        <w:t>Key Changes</w:t>
      </w:r>
      <w:r w:rsidR="00D143FC">
        <w:rPr>
          <w:rFonts w:ascii="Calibri" w:hAnsi="Calibri"/>
          <w:b/>
        </w:rPr>
        <w:t xml:space="preserve"> for 2019-20</w:t>
      </w:r>
    </w:p>
    <w:p w14:paraId="44C40F62" w14:textId="43C135E1" w:rsidR="00931029" w:rsidRPr="00014623" w:rsidRDefault="00931029" w:rsidP="00931029">
      <w:pPr>
        <w:pStyle w:val="NoSpacing"/>
        <w:ind w:left="0"/>
        <w:rPr>
          <w:rFonts w:ascii="Calibri" w:hAnsi="Calibri"/>
          <w:color w:val="000000" w:themeColor="text1"/>
        </w:rPr>
      </w:pPr>
      <w:r w:rsidRPr="00014623">
        <w:rPr>
          <w:rFonts w:ascii="Calibri" w:hAnsi="Calibri"/>
          <w:color w:val="000000" w:themeColor="text1"/>
        </w:rPr>
        <w:t xml:space="preserve">The </w:t>
      </w:r>
      <w:r w:rsidRPr="00014623">
        <w:rPr>
          <w:rFonts w:ascii="Calibri" w:hAnsi="Calibri"/>
          <w:i/>
          <w:color w:val="000000" w:themeColor="text1"/>
        </w:rPr>
        <w:t xml:space="preserve">Comcover Statement of Cover </w:t>
      </w:r>
      <w:r w:rsidR="00882524">
        <w:rPr>
          <w:rFonts w:ascii="Calibri" w:hAnsi="Calibri"/>
          <w:i/>
          <w:color w:val="000000" w:themeColor="text1"/>
        </w:rPr>
        <w:t>2019-20</w:t>
      </w:r>
      <w:r w:rsidRPr="00014623">
        <w:rPr>
          <w:rFonts w:ascii="Calibri" w:hAnsi="Calibri"/>
          <w:color w:val="000000" w:themeColor="text1"/>
        </w:rPr>
        <w:t xml:space="preserve"> (the Statement of Cove</w:t>
      </w:r>
      <w:r w:rsidR="00882524">
        <w:rPr>
          <w:rFonts w:ascii="Calibri" w:hAnsi="Calibri"/>
          <w:color w:val="000000" w:themeColor="text1"/>
        </w:rPr>
        <w:t>r) takes effect from 1 July 2019</w:t>
      </w:r>
      <w:r w:rsidRPr="00014623">
        <w:rPr>
          <w:rFonts w:ascii="Calibri" w:hAnsi="Calibri"/>
          <w:color w:val="000000" w:themeColor="text1"/>
        </w:rPr>
        <w:t xml:space="preserve"> and supersedes the </w:t>
      </w:r>
      <w:r w:rsidRPr="00014623">
        <w:rPr>
          <w:rFonts w:ascii="Calibri" w:hAnsi="Calibri"/>
          <w:i/>
          <w:color w:val="000000" w:themeColor="text1"/>
        </w:rPr>
        <w:t xml:space="preserve">Comcover Statement of Cover </w:t>
      </w:r>
      <w:r w:rsidR="00882524">
        <w:rPr>
          <w:rFonts w:ascii="Calibri" w:hAnsi="Calibri"/>
          <w:i/>
          <w:color w:val="000000" w:themeColor="text1"/>
        </w:rPr>
        <w:t>2018-19</w:t>
      </w:r>
      <w:r w:rsidRPr="00014623">
        <w:rPr>
          <w:rFonts w:ascii="Calibri" w:hAnsi="Calibri"/>
          <w:i/>
          <w:color w:val="000000" w:themeColor="text1"/>
        </w:rPr>
        <w:t>.</w:t>
      </w:r>
      <w:r w:rsidRPr="00014623">
        <w:rPr>
          <w:rFonts w:ascii="Calibri" w:hAnsi="Calibri"/>
          <w:color w:val="000000" w:themeColor="text1"/>
        </w:rPr>
        <w:t xml:space="preserve"> It is important that you, as the Fund Member, carefully read the Statement of Cover and understand the changes that may affect the level and extent of your cover. </w:t>
      </w:r>
    </w:p>
    <w:p w14:paraId="38AFAAB7" w14:textId="77777777" w:rsidR="00BC6AB5" w:rsidRPr="00014623" w:rsidRDefault="00BC6AB5" w:rsidP="00BC6AB5">
      <w:pPr>
        <w:pStyle w:val="Default"/>
        <w:rPr>
          <w:rFonts w:cstheme="minorBidi"/>
          <w:color w:val="auto"/>
          <w:sz w:val="22"/>
          <w:szCs w:val="22"/>
        </w:rPr>
      </w:pPr>
    </w:p>
    <w:p w14:paraId="4634FB82" w14:textId="45347C98" w:rsidR="00BC6AB5" w:rsidRPr="00014623" w:rsidRDefault="00BC6AB5" w:rsidP="00BC6AB5">
      <w:pPr>
        <w:pStyle w:val="Default"/>
        <w:rPr>
          <w:rFonts w:cstheme="minorBidi"/>
          <w:color w:val="auto"/>
          <w:sz w:val="22"/>
          <w:szCs w:val="22"/>
        </w:rPr>
      </w:pPr>
      <w:r w:rsidRPr="00014623">
        <w:rPr>
          <w:rFonts w:cstheme="minorBidi"/>
          <w:color w:val="auto"/>
          <w:sz w:val="22"/>
          <w:szCs w:val="22"/>
        </w:rPr>
        <w:t>The Statement of Cover is a statement of the policy under which Comcover manages and settles claims for funding losses on behalf of Fund Members and th</w:t>
      </w:r>
      <w:bookmarkStart w:id="0" w:name="_GoBack"/>
      <w:bookmarkEnd w:id="0"/>
      <w:r w:rsidRPr="00014623">
        <w:rPr>
          <w:rFonts w:cstheme="minorBidi"/>
          <w:color w:val="auto"/>
          <w:sz w:val="22"/>
          <w:szCs w:val="22"/>
        </w:rPr>
        <w:t xml:space="preserve">e Commonwealth more generally. </w:t>
      </w:r>
    </w:p>
    <w:p w14:paraId="099CB395" w14:textId="77777777" w:rsidR="00D97D7D" w:rsidRPr="00014623" w:rsidRDefault="00D97D7D" w:rsidP="00BC6AB5">
      <w:pPr>
        <w:pStyle w:val="Default"/>
        <w:rPr>
          <w:rFonts w:cstheme="minorBidi"/>
          <w:color w:val="auto"/>
          <w:sz w:val="22"/>
          <w:szCs w:val="22"/>
        </w:rPr>
      </w:pPr>
    </w:p>
    <w:p w14:paraId="2352E2AE" w14:textId="77777777" w:rsidR="00BC6AB5" w:rsidRPr="00014623" w:rsidRDefault="00BC6AB5" w:rsidP="00BC6AB5">
      <w:pPr>
        <w:pStyle w:val="Default"/>
        <w:rPr>
          <w:rFonts w:cstheme="minorBidi"/>
          <w:color w:val="auto"/>
          <w:sz w:val="22"/>
          <w:szCs w:val="22"/>
        </w:rPr>
      </w:pPr>
      <w:r w:rsidRPr="00014623">
        <w:rPr>
          <w:rFonts w:cstheme="minorBidi"/>
          <w:color w:val="auto"/>
          <w:sz w:val="22"/>
          <w:szCs w:val="22"/>
        </w:rPr>
        <w:t xml:space="preserve">As always, your Relationship Manager is available to provide guidance and advice in response to any queries you may have. </w:t>
      </w:r>
    </w:p>
    <w:p w14:paraId="6442641C" w14:textId="0678C421" w:rsidR="00931029" w:rsidRDefault="00BC6AB5" w:rsidP="00771A63">
      <w:pPr>
        <w:spacing w:after="240"/>
        <w:rPr>
          <w:rFonts w:ascii="Calibri" w:hAnsi="Calibri"/>
        </w:rPr>
      </w:pPr>
      <w:r w:rsidRPr="00014623">
        <w:rPr>
          <w:rFonts w:ascii="Calibri" w:hAnsi="Calibri"/>
        </w:rPr>
        <w:t xml:space="preserve">Notable changes in the Statement of Cover from the Comcover Statement of Cover </w:t>
      </w:r>
      <w:r w:rsidR="00882524">
        <w:rPr>
          <w:rFonts w:ascii="Calibri" w:hAnsi="Calibri"/>
        </w:rPr>
        <w:t>2018-19</w:t>
      </w:r>
      <w:r w:rsidRPr="00014623">
        <w:rPr>
          <w:rFonts w:ascii="Calibri" w:hAnsi="Calibri"/>
        </w:rPr>
        <w:t xml:space="preserve"> include:</w:t>
      </w:r>
    </w:p>
    <w:p w14:paraId="59CA2F41" w14:textId="570A23BA" w:rsidR="007558FE" w:rsidRPr="00014623" w:rsidRDefault="007558FE" w:rsidP="007558FE">
      <w:pPr>
        <w:pStyle w:val="Heading3"/>
        <w:tabs>
          <w:tab w:val="left" w:pos="567"/>
        </w:tabs>
        <w:spacing w:after="240" w:line="240" w:lineRule="exact"/>
        <w:contextualSpacing w:val="0"/>
        <w:rPr>
          <w:rFonts w:ascii="Calibri" w:hAnsi="Calibri"/>
          <w:smallCaps/>
          <w:color w:val="77B6BD" w:themeColor="accent1" w:themeShade="BF"/>
          <w:sz w:val="24"/>
          <w:szCs w:val="24"/>
        </w:rPr>
      </w:pPr>
      <w:r>
        <w:rPr>
          <w:rFonts w:ascii="Calibri" w:hAnsi="Calibri"/>
          <w:smallCaps/>
          <w:color w:val="77B6BD" w:themeColor="accent1" w:themeShade="BF"/>
          <w:sz w:val="24"/>
          <w:szCs w:val="24"/>
        </w:rPr>
        <w:t>Chapter 2 – Statement of Cover</w:t>
      </w:r>
    </w:p>
    <w:p w14:paraId="3C83AD00" w14:textId="2F3475EE" w:rsidR="007558FE" w:rsidRPr="00014623" w:rsidRDefault="007558FE" w:rsidP="007558FE">
      <w:pPr>
        <w:pStyle w:val="Heading3"/>
        <w:tabs>
          <w:tab w:val="left" w:pos="993"/>
        </w:tabs>
        <w:spacing w:before="120" w:line="240" w:lineRule="auto"/>
        <w:ind w:left="851" w:hanging="851"/>
        <w:contextualSpacing w:val="0"/>
        <w:rPr>
          <w:rFonts w:ascii="Calibri" w:hAnsi="Calibri"/>
          <w:b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  <w:szCs w:val="22"/>
        </w:rPr>
        <w:t>5</w:t>
      </w:r>
      <w:r w:rsidRPr="00014623">
        <w:rPr>
          <w:rFonts w:ascii="Calibri" w:hAnsi="Calibri"/>
          <w:b/>
          <w:color w:val="000000" w:themeColor="text1"/>
          <w:sz w:val="22"/>
          <w:szCs w:val="22"/>
        </w:rPr>
        <w:t>.</w:t>
      </w:r>
      <w:r w:rsidRPr="00014623">
        <w:rPr>
          <w:rFonts w:ascii="Calibri" w:hAnsi="Calibri"/>
          <w:b/>
          <w:color w:val="000000" w:themeColor="text1"/>
          <w:sz w:val="22"/>
          <w:szCs w:val="22"/>
        </w:rPr>
        <w:tab/>
      </w:r>
      <w:r>
        <w:rPr>
          <w:rFonts w:ascii="Calibri" w:hAnsi="Calibri"/>
          <w:b/>
          <w:color w:val="000000" w:themeColor="text1"/>
          <w:sz w:val="22"/>
          <w:szCs w:val="22"/>
        </w:rPr>
        <w:t>Defined terms</w:t>
      </w:r>
    </w:p>
    <w:p w14:paraId="2290B16B" w14:textId="68E0F0FA" w:rsidR="007558FE" w:rsidRDefault="007558FE" w:rsidP="007558FE">
      <w:pPr>
        <w:pStyle w:val="Heading3"/>
        <w:tabs>
          <w:tab w:val="left" w:pos="993"/>
        </w:tabs>
        <w:spacing w:before="120" w:after="240" w:line="276" w:lineRule="auto"/>
        <w:ind w:left="851" w:hanging="851"/>
        <w:contextualSpacing w:val="0"/>
        <w:rPr>
          <w:rFonts w:ascii="Calibri" w:hAnsi="Calibri"/>
          <w:color w:val="000000" w:themeColor="text1"/>
          <w:sz w:val="22"/>
          <w:szCs w:val="22"/>
        </w:rPr>
      </w:pPr>
      <w:r w:rsidRPr="00014623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014623">
        <w:rPr>
          <w:rFonts w:ascii="Calibri" w:hAnsi="Calibri"/>
          <w:color w:val="000000" w:themeColor="text1"/>
          <w:sz w:val="22"/>
          <w:szCs w:val="22"/>
        </w:rPr>
        <w:tab/>
      </w:r>
      <w:r>
        <w:rPr>
          <w:rFonts w:ascii="Calibri" w:hAnsi="Calibri"/>
          <w:color w:val="000000" w:themeColor="text1"/>
          <w:sz w:val="22"/>
          <w:szCs w:val="22"/>
        </w:rPr>
        <w:t>Amended exclusion ‘(</w:t>
      </w:r>
      <w:proofErr w:type="spellStart"/>
      <w:r>
        <w:rPr>
          <w:rFonts w:ascii="Calibri" w:hAnsi="Calibri"/>
          <w:color w:val="000000" w:themeColor="text1"/>
          <w:sz w:val="22"/>
          <w:szCs w:val="22"/>
        </w:rPr>
        <w:t>i</w:t>
      </w:r>
      <w:proofErr w:type="spellEnd"/>
      <w:r>
        <w:rPr>
          <w:rFonts w:ascii="Calibri" w:hAnsi="Calibri"/>
          <w:color w:val="000000" w:themeColor="text1"/>
          <w:sz w:val="22"/>
          <w:szCs w:val="22"/>
        </w:rPr>
        <w:t xml:space="preserve">) land’ to clarify that </w:t>
      </w:r>
      <w:r w:rsidR="0083669C">
        <w:rPr>
          <w:rFonts w:ascii="Calibri" w:hAnsi="Calibri"/>
          <w:color w:val="000000" w:themeColor="text1"/>
          <w:sz w:val="22"/>
          <w:szCs w:val="22"/>
        </w:rPr>
        <w:t>Comcover does</w:t>
      </w:r>
      <w:r w:rsidR="00B876DA">
        <w:rPr>
          <w:rFonts w:ascii="Calibri" w:hAnsi="Calibri"/>
          <w:color w:val="000000" w:themeColor="text1"/>
          <w:sz w:val="22"/>
          <w:szCs w:val="22"/>
        </w:rPr>
        <w:t xml:space="preserve"> cover </w:t>
      </w:r>
      <w:r>
        <w:rPr>
          <w:rFonts w:ascii="Calibri" w:hAnsi="Calibri"/>
          <w:color w:val="000000" w:themeColor="text1"/>
          <w:sz w:val="22"/>
          <w:szCs w:val="22"/>
        </w:rPr>
        <w:t>structural improvements on or in the land.</w:t>
      </w:r>
      <w:r w:rsidRPr="00014623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6F239FEF" w14:textId="77777777" w:rsidR="007558FE" w:rsidRPr="00014623" w:rsidRDefault="007558FE" w:rsidP="007558FE">
      <w:pPr>
        <w:pStyle w:val="Heading3"/>
        <w:tabs>
          <w:tab w:val="left" w:pos="567"/>
        </w:tabs>
        <w:spacing w:after="240" w:line="240" w:lineRule="exact"/>
        <w:contextualSpacing w:val="0"/>
        <w:rPr>
          <w:rFonts w:ascii="Calibri" w:hAnsi="Calibri"/>
          <w:smallCaps/>
          <w:color w:val="77B6BD" w:themeColor="accent1" w:themeShade="BF"/>
          <w:sz w:val="24"/>
          <w:szCs w:val="24"/>
        </w:rPr>
      </w:pPr>
      <w:r w:rsidRPr="00014623">
        <w:rPr>
          <w:rFonts w:ascii="Calibri" w:hAnsi="Calibri"/>
          <w:smallCaps/>
          <w:color w:val="77B6BD" w:themeColor="accent1" w:themeShade="BF"/>
          <w:sz w:val="24"/>
          <w:szCs w:val="24"/>
        </w:rPr>
        <w:t>Chapter 3 – Liability</w:t>
      </w:r>
    </w:p>
    <w:p w14:paraId="44BB87F7" w14:textId="77777777" w:rsidR="007558FE" w:rsidRPr="00014623" w:rsidRDefault="007558FE" w:rsidP="007558FE">
      <w:pPr>
        <w:pStyle w:val="Heading3"/>
        <w:tabs>
          <w:tab w:val="left" w:pos="993"/>
        </w:tabs>
        <w:spacing w:before="120" w:line="240" w:lineRule="auto"/>
        <w:ind w:left="851" w:hanging="851"/>
        <w:contextualSpacing w:val="0"/>
        <w:rPr>
          <w:rFonts w:ascii="Calibri" w:hAnsi="Calibri"/>
          <w:b/>
          <w:color w:val="000000" w:themeColor="text1"/>
          <w:sz w:val="22"/>
          <w:szCs w:val="22"/>
        </w:rPr>
      </w:pPr>
      <w:r w:rsidRPr="00014623">
        <w:rPr>
          <w:rFonts w:ascii="Calibri" w:hAnsi="Calibri"/>
          <w:b/>
          <w:color w:val="000000" w:themeColor="text1"/>
          <w:sz w:val="22"/>
          <w:szCs w:val="22"/>
        </w:rPr>
        <w:t>6.</w:t>
      </w:r>
      <w:r w:rsidRPr="00014623">
        <w:rPr>
          <w:rFonts w:ascii="Calibri" w:hAnsi="Calibri"/>
          <w:b/>
          <w:color w:val="000000" w:themeColor="text1"/>
          <w:sz w:val="22"/>
          <w:szCs w:val="22"/>
        </w:rPr>
        <w:tab/>
        <w:t>General Liability and Professional Indemnity</w:t>
      </w:r>
    </w:p>
    <w:p w14:paraId="1B516E7B" w14:textId="0285F8D2" w:rsidR="008B09DC" w:rsidRDefault="008B09DC" w:rsidP="007558FE">
      <w:pPr>
        <w:pStyle w:val="Heading3"/>
        <w:tabs>
          <w:tab w:val="left" w:pos="993"/>
        </w:tabs>
        <w:spacing w:before="120" w:after="240" w:line="276" w:lineRule="auto"/>
        <w:ind w:left="851" w:hanging="851"/>
        <w:contextualSpacing w:val="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6(2)</w:t>
      </w:r>
      <w:r>
        <w:rPr>
          <w:rFonts w:ascii="Calibri" w:hAnsi="Calibri"/>
          <w:color w:val="000000" w:themeColor="text1"/>
          <w:sz w:val="22"/>
          <w:szCs w:val="22"/>
        </w:rPr>
        <w:tab/>
        <w:t xml:space="preserve">Removed references to ‘directors’ and ‘employees’ as they are </w:t>
      </w:r>
      <w:r w:rsidR="00045566">
        <w:rPr>
          <w:rFonts w:ascii="Calibri" w:hAnsi="Calibri"/>
          <w:color w:val="000000" w:themeColor="text1"/>
          <w:sz w:val="22"/>
          <w:szCs w:val="22"/>
        </w:rPr>
        <w:t xml:space="preserve">automatically </w:t>
      </w:r>
      <w:r>
        <w:rPr>
          <w:rFonts w:ascii="Calibri" w:hAnsi="Calibri"/>
          <w:color w:val="000000" w:themeColor="text1"/>
          <w:sz w:val="22"/>
          <w:szCs w:val="22"/>
        </w:rPr>
        <w:t xml:space="preserve">captured under the definition of ‘officer’ under section 5 ‘Defined terms’ of the Statement of Cover. </w:t>
      </w:r>
    </w:p>
    <w:p w14:paraId="7AE30F07" w14:textId="77777777" w:rsidR="00014623" w:rsidRPr="00014623" w:rsidRDefault="00014623" w:rsidP="00014623">
      <w:pPr>
        <w:pStyle w:val="Heading3"/>
        <w:tabs>
          <w:tab w:val="left" w:pos="567"/>
        </w:tabs>
        <w:spacing w:line="240" w:lineRule="exact"/>
        <w:rPr>
          <w:rFonts w:ascii="Calibri" w:hAnsi="Calibri"/>
          <w:smallCaps/>
          <w:color w:val="77B6BD" w:themeColor="accent1" w:themeShade="BF"/>
          <w:sz w:val="24"/>
          <w:szCs w:val="24"/>
        </w:rPr>
      </w:pPr>
      <w:r w:rsidRPr="00014623">
        <w:rPr>
          <w:rFonts w:ascii="Calibri" w:hAnsi="Calibri"/>
          <w:smallCaps/>
          <w:color w:val="77B6BD" w:themeColor="accent1" w:themeShade="BF"/>
          <w:sz w:val="24"/>
          <w:szCs w:val="24"/>
        </w:rPr>
        <w:t>Chapter 5 – Motor Vehicle</w:t>
      </w:r>
    </w:p>
    <w:p w14:paraId="73C4886F" w14:textId="77777777" w:rsidR="00014623" w:rsidRPr="00014623" w:rsidRDefault="00014623" w:rsidP="00014623">
      <w:pPr>
        <w:pStyle w:val="BodyText1"/>
        <w:tabs>
          <w:tab w:val="left" w:pos="993"/>
        </w:tabs>
        <w:spacing w:before="120" w:after="120" w:line="240" w:lineRule="auto"/>
        <w:ind w:left="851" w:hanging="851"/>
        <w:rPr>
          <w:rFonts w:ascii="Calibri" w:hAnsi="Calibri"/>
          <w:b/>
          <w:color w:val="000000" w:themeColor="text1"/>
          <w:szCs w:val="22"/>
        </w:rPr>
      </w:pPr>
      <w:r w:rsidRPr="00014623">
        <w:rPr>
          <w:rFonts w:ascii="Calibri" w:hAnsi="Calibri"/>
          <w:b/>
          <w:color w:val="000000" w:themeColor="text1"/>
          <w:szCs w:val="22"/>
        </w:rPr>
        <w:t>12.</w:t>
      </w:r>
      <w:r w:rsidRPr="00014623">
        <w:rPr>
          <w:rFonts w:ascii="Calibri" w:hAnsi="Calibri"/>
          <w:b/>
          <w:color w:val="000000" w:themeColor="text1"/>
          <w:szCs w:val="22"/>
        </w:rPr>
        <w:tab/>
        <w:t>Motor Vehicle</w:t>
      </w:r>
    </w:p>
    <w:p w14:paraId="5D56296B" w14:textId="6C16FCA3" w:rsidR="00D07C0B" w:rsidRDefault="007D4AF6" w:rsidP="00BC5DCE">
      <w:pPr>
        <w:pStyle w:val="BodyText1"/>
        <w:tabs>
          <w:tab w:val="left" w:pos="993"/>
        </w:tabs>
        <w:ind w:left="851" w:hanging="851"/>
        <w:rPr>
          <w:rFonts w:ascii="Calibri" w:hAnsi="Calibri"/>
          <w:color w:val="000000" w:themeColor="text1"/>
          <w:szCs w:val="22"/>
        </w:rPr>
      </w:pPr>
      <w:r>
        <w:rPr>
          <w:rFonts w:ascii="Calibri" w:hAnsi="Calibri"/>
          <w:color w:val="000000" w:themeColor="text1"/>
          <w:szCs w:val="22"/>
        </w:rPr>
        <w:t>12(4</w:t>
      </w:r>
      <w:proofErr w:type="gramStart"/>
      <w:r>
        <w:rPr>
          <w:rFonts w:ascii="Calibri" w:hAnsi="Calibri"/>
          <w:color w:val="000000" w:themeColor="text1"/>
          <w:szCs w:val="22"/>
        </w:rPr>
        <w:t>)(</w:t>
      </w:r>
      <w:proofErr w:type="gramEnd"/>
      <w:r>
        <w:rPr>
          <w:rFonts w:ascii="Calibri" w:hAnsi="Calibri"/>
          <w:color w:val="000000" w:themeColor="text1"/>
          <w:szCs w:val="22"/>
        </w:rPr>
        <w:t>c</w:t>
      </w:r>
      <w:r w:rsidR="00BC5DCE" w:rsidRPr="00014623">
        <w:rPr>
          <w:rFonts w:ascii="Calibri" w:hAnsi="Calibri"/>
          <w:color w:val="000000" w:themeColor="text1"/>
          <w:szCs w:val="22"/>
        </w:rPr>
        <w:t>)</w:t>
      </w:r>
      <w:r w:rsidR="00BC5DCE" w:rsidRPr="00014623">
        <w:rPr>
          <w:rFonts w:ascii="Calibri" w:hAnsi="Calibri"/>
          <w:color w:val="000000" w:themeColor="text1"/>
          <w:szCs w:val="22"/>
        </w:rPr>
        <w:tab/>
      </w:r>
      <w:r>
        <w:rPr>
          <w:rFonts w:ascii="Calibri" w:hAnsi="Calibri"/>
          <w:color w:val="000000" w:themeColor="text1"/>
          <w:szCs w:val="22"/>
        </w:rPr>
        <w:t>Addition of the term ‘recode’ to clarify that Comcover will pay the cost or replacing keys and/or locks as well as recoding, subject to the terms and conditions of cover</w:t>
      </w:r>
      <w:r w:rsidR="00BC5DCE" w:rsidRPr="00014623">
        <w:rPr>
          <w:rFonts w:ascii="Calibri" w:hAnsi="Calibri"/>
          <w:color w:val="000000" w:themeColor="text1"/>
          <w:szCs w:val="22"/>
        </w:rPr>
        <w:t xml:space="preserve">. </w:t>
      </w:r>
    </w:p>
    <w:p w14:paraId="48E6FC0A" w14:textId="77777777" w:rsidR="00D07C0B" w:rsidRDefault="00D07C0B">
      <w:pPr>
        <w:suppressAutoHyphens w:val="0"/>
        <w:spacing w:before="0" w:after="120" w:line="440" w:lineRule="atLeast"/>
        <w:rPr>
          <w:rFonts w:ascii="Calibri" w:eastAsia="Times New Roman" w:hAnsi="Calibri" w:cs="Times New Roman"/>
          <w:color w:val="000000" w:themeColor="text1"/>
        </w:rPr>
      </w:pPr>
      <w:r>
        <w:rPr>
          <w:rFonts w:ascii="Calibri" w:hAnsi="Calibri"/>
          <w:color w:val="000000" w:themeColor="text1"/>
        </w:rPr>
        <w:br w:type="page"/>
      </w:r>
    </w:p>
    <w:p w14:paraId="62B28AF1" w14:textId="20C3F4AB" w:rsidR="00821C41" w:rsidRPr="00014623" w:rsidRDefault="00821C41" w:rsidP="00821C41">
      <w:pPr>
        <w:pStyle w:val="Heading3"/>
        <w:tabs>
          <w:tab w:val="left" w:pos="567"/>
        </w:tabs>
        <w:spacing w:line="240" w:lineRule="exact"/>
        <w:rPr>
          <w:rFonts w:ascii="Calibri" w:hAnsi="Calibri"/>
          <w:smallCaps/>
          <w:color w:val="77B6BD" w:themeColor="accent1" w:themeShade="BF"/>
          <w:sz w:val="24"/>
          <w:szCs w:val="24"/>
        </w:rPr>
      </w:pPr>
      <w:r>
        <w:rPr>
          <w:rFonts w:ascii="Calibri" w:hAnsi="Calibri"/>
          <w:smallCaps/>
          <w:color w:val="77B6BD" w:themeColor="accent1" w:themeShade="BF"/>
          <w:sz w:val="24"/>
          <w:szCs w:val="24"/>
        </w:rPr>
        <w:lastRenderedPageBreak/>
        <w:t>Chapter 6</w:t>
      </w:r>
      <w:r w:rsidRPr="00014623">
        <w:rPr>
          <w:rFonts w:ascii="Calibri" w:hAnsi="Calibri"/>
          <w:smallCaps/>
          <w:color w:val="77B6BD" w:themeColor="accent1" w:themeShade="BF"/>
          <w:sz w:val="24"/>
          <w:szCs w:val="24"/>
        </w:rPr>
        <w:t xml:space="preserve"> – </w:t>
      </w:r>
      <w:r>
        <w:rPr>
          <w:rFonts w:ascii="Calibri" w:hAnsi="Calibri"/>
          <w:smallCaps/>
          <w:color w:val="77B6BD" w:themeColor="accent1" w:themeShade="BF"/>
          <w:sz w:val="24"/>
          <w:szCs w:val="24"/>
        </w:rPr>
        <w:t>Personal Accident and Travel</w:t>
      </w:r>
    </w:p>
    <w:p w14:paraId="108477E0" w14:textId="30517C12" w:rsidR="00C52670" w:rsidRDefault="00C52670" w:rsidP="00821C41">
      <w:pPr>
        <w:pStyle w:val="BodyText1"/>
        <w:tabs>
          <w:tab w:val="left" w:pos="993"/>
        </w:tabs>
        <w:spacing w:before="120" w:after="120" w:line="240" w:lineRule="auto"/>
        <w:ind w:left="851" w:hanging="851"/>
        <w:rPr>
          <w:rFonts w:ascii="Calibri" w:hAnsi="Calibri"/>
          <w:b/>
          <w:color w:val="000000" w:themeColor="text1"/>
          <w:szCs w:val="22"/>
        </w:rPr>
      </w:pPr>
      <w:r>
        <w:rPr>
          <w:rFonts w:ascii="Calibri" w:hAnsi="Calibri"/>
          <w:b/>
          <w:color w:val="000000" w:themeColor="text1"/>
          <w:szCs w:val="22"/>
        </w:rPr>
        <w:t>13.</w:t>
      </w:r>
      <w:r>
        <w:rPr>
          <w:rFonts w:ascii="Calibri" w:hAnsi="Calibri"/>
          <w:b/>
          <w:color w:val="000000" w:themeColor="text1"/>
          <w:szCs w:val="22"/>
        </w:rPr>
        <w:tab/>
        <w:t>Personal Accident</w:t>
      </w:r>
    </w:p>
    <w:p w14:paraId="3C8D50EB" w14:textId="08C6F875" w:rsidR="00C52670" w:rsidRPr="00C52670" w:rsidRDefault="009C1757" w:rsidP="00821C41">
      <w:pPr>
        <w:pStyle w:val="BodyText1"/>
        <w:tabs>
          <w:tab w:val="left" w:pos="993"/>
        </w:tabs>
        <w:spacing w:before="120" w:after="120" w:line="240" w:lineRule="auto"/>
        <w:ind w:left="851" w:hanging="851"/>
        <w:rPr>
          <w:rFonts w:ascii="Calibri" w:hAnsi="Calibri"/>
          <w:color w:val="000000" w:themeColor="text1"/>
          <w:szCs w:val="22"/>
        </w:rPr>
      </w:pPr>
      <w:r>
        <w:rPr>
          <w:rFonts w:ascii="Calibri" w:hAnsi="Calibri"/>
          <w:color w:val="000000" w:themeColor="text1"/>
          <w:szCs w:val="22"/>
        </w:rPr>
        <w:t>13(</w:t>
      </w:r>
      <w:r w:rsidR="00C52670">
        <w:rPr>
          <w:rFonts w:ascii="Calibri" w:hAnsi="Calibri"/>
          <w:color w:val="000000" w:themeColor="text1"/>
          <w:szCs w:val="22"/>
        </w:rPr>
        <w:t>1</w:t>
      </w:r>
      <w:proofErr w:type="gramStart"/>
      <w:r>
        <w:rPr>
          <w:rFonts w:ascii="Calibri" w:hAnsi="Calibri"/>
          <w:color w:val="000000" w:themeColor="text1"/>
          <w:szCs w:val="22"/>
        </w:rPr>
        <w:t>)</w:t>
      </w:r>
      <w:r w:rsidR="00C52670">
        <w:rPr>
          <w:rFonts w:ascii="Calibri" w:hAnsi="Calibri"/>
          <w:color w:val="000000" w:themeColor="text1"/>
          <w:szCs w:val="22"/>
        </w:rPr>
        <w:t>(</w:t>
      </w:r>
      <w:proofErr w:type="gramEnd"/>
      <w:r w:rsidR="00C52670">
        <w:rPr>
          <w:rFonts w:ascii="Calibri" w:hAnsi="Calibri"/>
          <w:color w:val="000000" w:themeColor="text1"/>
          <w:szCs w:val="22"/>
        </w:rPr>
        <w:t>c)</w:t>
      </w:r>
      <w:r w:rsidR="00C52670">
        <w:rPr>
          <w:rFonts w:ascii="Calibri" w:hAnsi="Calibri"/>
          <w:color w:val="000000" w:themeColor="text1"/>
          <w:szCs w:val="22"/>
        </w:rPr>
        <w:tab/>
        <w:t xml:space="preserve">The previous wording could be incorrectly interpreted as </w:t>
      </w:r>
      <w:proofErr w:type="spellStart"/>
      <w:r w:rsidR="00C52670">
        <w:rPr>
          <w:rFonts w:ascii="Calibri" w:hAnsi="Calibri"/>
          <w:color w:val="000000" w:themeColor="text1"/>
          <w:szCs w:val="22"/>
        </w:rPr>
        <w:t>Comcare</w:t>
      </w:r>
      <w:proofErr w:type="spellEnd"/>
      <w:r w:rsidR="00C52670">
        <w:rPr>
          <w:rFonts w:ascii="Calibri" w:hAnsi="Calibri"/>
          <w:color w:val="000000" w:themeColor="text1"/>
          <w:szCs w:val="22"/>
        </w:rPr>
        <w:t xml:space="preserve"> administering both the </w:t>
      </w:r>
      <w:r w:rsidR="00C52670" w:rsidRPr="00C52670">
        <w:rPr>
          <w:rFonts w:ascii="Calibri" w:hAnsi="Calibri"/>
          <w:i/>
          <w:color w:val="000000" w:themeColor="text1"/>
          <w:szCs w:val="22"/>
        </w:rPr>
        <w:t xml:space="preserve">Safety, Rehabilitation and Compensation Act 1988 </w:t>
      </w:r>
      <w:r w:rsidR="00C52670">
        <w:rPr>
          <w:rFonts w:ascii="Calibri" w:hAnsi="Calibri"/>
          <w:color w:val="000000" w:themeColor="text1"/>
          <w:szCs w:val="22"/>
        </w:rPr>
        <w:t xml:space="preserve">and </w:t>
      </w:r>
      <w:r w:rsidR="00C52670" w:rsidRPr="00C52670">
        <w:rPr>
          <w:rFonts w:ascii="Calibri" w:hAnsi="Calibri"/>
          <w:color w:val="000000" w:themeColor="text1"/>
          <w:szCs w:val="22"/>
        </w:rPr>
        <w:t xml:space="preserve">the </w:t>
      </w:r>
      <w:r w:rsidR="00C52670" w:rsidRPr="00C52670">
        <w:rPr>
          <w:rFonts w:ascii="Calibri" w:hAnsi="Calibri"/>
          <w:i/>
          <w:color w:val="000000" w:themeColor="text1"/>
          <w:szCs w:val="22"/>
        </w:rPr>
        <w:t>Military Rehabilitation and Compensation Act 2004</w:t>
      </w:r>
      <w:r w:rsidR="00C52670">
        <w:rPr>
          <w:rFonts w:ascii="Calibri" w:hAnsi="Calibri"/>
          <w:color w:val="000000" w:themeColor="text1"/>
          <w:szCs w:val="22"/>
        </w:rPr>
        <w:t xml:space="preserve">. The latter is administered by the Department of Veterans’ Affairs. The wording has been amended to address this.  </w:t>
      </w:r>
    </w:p>
    <w:p w14:paraId="7689187D" w14:textId="186D84D3" w:rsidR="00821C41" w:rsidRPr="00014623" w:rsidRDefault="00821C41" w:rsidP="00821C41">
      <w:pPr>
        <w:pStyle w:val="BodyText1"/>
        <w:tabs>
          <w:tab w:val="left" w:pos="993"/>
        </w:tabs>
        <w:spacing w:before="120" w:after="120" w:line="240" w:lineRule="auto"/>
        <w:ind w:left="851" w:hanging="851"/>
        <w:rPr>
          <w:rFonts w:ascii="Calibri" w:hAnsi="Calibri"/>
          <w:b/>
          <w:color w:val="000000" w:themeColor="text1"/>
          <w:szCs w:val="22"/>
        </w:rPr>
      </w:pPr>
      <w:r>
        <w:rPr>
          <w:rFonts w:ascii="Calibri" w:hAnsi="Calibri"/>
          <w:b/>
          <w:color w:val="000000" w:themeColor="text1"/>
          <w:szCs w:val="22"/>
        </w:rPr>
        <w:t>14.</w:t>
      </w:r>
      <w:r>
        <w:rPr>
          <w:rFonts w:ascii="Calibri" w:hAnsi="Calibri"/>
          <w:b/>
          <w:color w:val="000000" w:themeColor="text1"/>
          <w:szCs w:val="22"/>
        </w:rPr>
        <w:tab/>
        <w:t xml:space="preserve">Travel </w:t>
      </w:r>
      <w:proofErr w:type="gramStart"/>
      <w:r>
        <w:rPr>
          <w:rFonts w:ascii="Calibri" w:hAnsi="Calibri"/>
          <w:b/>
          <w:color w:val="000000" w:themeColor="text1"/>
          <w:szCs w:val="22"/>
        </w:rPr>
        <w:t>Outside</w:t>
      </w:r>
      <w:proofErr w:type="gramEnd"/>
      <w:r>
        <w:rPr>
          <w:rFonts w:ascii="Calibri" w:hAnsi="Calibri"/>
          <w:b/>
          <w:color w:val="000000" w:themeColor="text1"/>
          <w:szCs w:val="22"/>
        </w:rPr>
        <w:t xml:space="preserve"> Country</w:t>
      </w:r>
    </w:p>
    <w:p w14:paraId="047D648E" w14:textId="6907C8BD" w:rsidR="00821C41" w:rsidRDefault="00821C41" w:rsidP="00821C41">
      <w:pPr>
        <w:pStyle w:val="BodyText1"/>
        <w:tabs>
          <w:tab w:val="left" w:pos="993"/>
        </w:tabs>
        <w:ind w:left="851" w:hanging="851"/>
        <w:rPr>
          <w:rFonts w:ascii="Calibri" w:hAnsi="Calibri"/>
          <w:color w:val="000000" w:themeColor="text1"/>
          <w:szCs w:val="22"/>
        </w:rPr>
      </w:pPr>
      <w:r w:rsidRPr="00014623">
        <w:rPr>
          <w:rFonts w:ascii="Calibri" w:hAnsi="Calibri"/>
          <w:color w:val="000000" w:themeColor="text1"/>
          <w:szCs w:val="22"/>
        </w:rPr>
        <w:tab/>
      </w:r>
      <w:r>
        <w:rPr>
          <w:rFonts w:ascii="Calibri" w:hAnsi="Calibri"/>
          <w:color w:val="000000" w:themeColor="text1"/>
          <w:szCs w:val="22"/>
        </w:rPr>
        <w:t>Title changed from ‘Travel Outside Country – Baggage and Personal Effects’ to ‘Travel Outside Country – Baggage, Personal Effects and Other Non-Medical’ to reflect that the section covers losses beyond baggage and personal</w:t>
      </w:r>
      <w:r w:rsidR="00B876DA">
        <w:rPr>
          <w:rFonts w:ascii="Calibri" w:hAnsi="Calibri"/>
          <w:color w:val="000000" w:themeColor="text1"/>
          <w:szCs w:val="22"/>
        </w:rPr>
        <w:t xml:space="preserve"> effects</w:t>
      </w:r>
      <w:r>
        <w:rPr>
          <w:rFonts w:ascii="Calibri" w:hAnsi="Calibri"/>
          <w:color w:val="000000" w:themeColor="text1"/>
          <w:szCs w:val="22"/>
        </w:rPr>
        <w:t xml:space="preserve">. </w:t>
      </w:r>
      <w:r w:rsidRPr="00014623">
        <w:rPr>
          <w:rFonts w:ascii="Calibri" w:hAnsi="Calibri"/>
          <w:color w:val="000000" w:themeColor="text1"/>
          <w:szCs w:val="22"/>
        </w:rPr>
        <w:t xml:space="preserve"> </w:t>
      </w:r>
    </w:p>
    <w:p w14:paraId="4BBA3891" w14:textId="099FF24B" w:rsidR="00287DFC" w:rsidRPr="00014623" w:rsidRDefault="00287DFC" w:rsidP="00287DFC">
      <w:pPr>
        <w:pStyle w:val="BodyText1"/>
        <w:tabs>
          <w:tab w:val="left" w:pos="993"/>
        </w:tabs>
        <w:spacing w:before="120" w:after="120" w:line="240" w:lineRule="auto"/>
        <w:ind w:left="851" w:hanging="851"/>
        <w:rPr>
          <w:rFonts w:ascii="Calibri" w:hAnsi="Calibri"/>
          <w:b/>
          <w:color w:val="000000" w:themeColor="text1"/>
          <w:szCs w:val="22"/>
        </w:rPr>
      </w:pPr>
      <w:r>
        <w:rPr>
          <w:rFonts w:ascii="Calibri" w:hAnsi="Calibri"/>
          <w:b/>
          <w:color w:val="000000" w:themeColor="text1"/>
          <w:szCs w:val="22"/>
        </w:rPr>
        <w:t>15.</w:t>
      </w:r>
      <w:r>
        <w:rPr>
          <w:rFonts w:ascii="Calibri" w:hAnsi="Calibri"/>
          <w:b/>
          <w:color w:val="000000" w:themeColor="text1"/>
          <w:szCs w:val="22"/>
        </w:rPr>
        <w:tab/>
        <w:t xml:space="preserve">Travel </w:t>
      </w:r>
      <w:proofErr w:type="gramStart"/>
      <w:r>
        <w:rPr>
          <w:rFonts w:ascii="Calibri" w:hAnsi="Calibri"/>
          <w:b/>
          <w:color w:val="000000" w:themeColor="text1"/>
          <w:szCs w:val="22"/>
        </w:rPr>
        <w:t>Outside</w:t>
      </w:r>
      <w:proofErr w:type="gramEnd"/>
      <w:r>
        <w:rPr>
          <w:rFonts w:ascii="Calibri" w:hAnsi="Calibri"/>
          <w:b/>
          <w:color w:val="000000" w:themeColor="text1"/>
          <w:szCs w:val="22"/>
        </w:rPr>
        <w:t xml:space="preserve"> Country – Medical Expenses and Medical Emergencies</w:t>
      </w:r>
    </w:p>
    <w:p w14:paraId="4218F881" w14:textId="4A20DA61" w:rsidR="00287DFC" w:rsidRDefault="009C1757" w:rsidP="00287DFC">
      <w:pPr>
        <w:pStyle w:val="BodyText1"/>
        <w:tabs>
          <w:tab w:val="left" w:pos="993"/>
        </w:tabs>
        <w:ind w:left="851" w:hanging="851"/>
        <w:rPr>
          <w:rFonts w:ascii="Calibri" w:hAnsi="Calibri"/>
          <w:color w:val="000000" w:themeColor="text1"/>
          <w:szCs w:val="22"/>
        </w:rPr>
      </w:pPr>
      <w:r>
        <w:rPr>
          <w:rFonts w:ascii="Calibri" w:hAnsi="Calibri"/>
          <w:color w:val="000000" w:themeColor="text1"/>
          <w:szCs w:val="22"/>
        </w:rPr>
        <w:t>15(</w:t>
      </w:r>
      <w:r w:rsidR="00287DFC">
        <w:rPr>
          <w:rFonts w:ascii="Calibri" w:hAnsi="Calibri"/>
          <w:color w:val="000000" w:themeColor="text1"/>
          <w:szCs w:val="22"/>
        </w:rPr>
        <w:t>1</w:t>
      </w:r>
      <w:r>
        <w:rPr>
          <w:rFonts w:ascii="Calibri" w:hAnsi="Calibri"/>
          <w:color w:val="000000" w:themeColor="text1"/>
          <w:szCs w:val="22"/>
        </w:rPr>
        <w:t>)</w:t>
      </w:r>
      <w:r w:rsidR="00287DFC">
        <w:rPr>
          <w:rFonts w:ascii="Calibri" w:hAnsi="Calibri"/>
          <w:color w:val="000000" w:themeColor="text1"/>
          <w:szCs w:val="22"/>
        </w:rPr>
        <w:t>(b)</w:t>
      </w:r>
      <w:r w:rsidR="00287DFC" w:rsidRPr="00014623">
        <w:rPr>
          <w:rFonts w:ascii="Calibri" w:hAnsi="Calibri"/>
          <w:color w:val="000000" w:themeColor="text1"/>
          <w:szCs w:val="22"/>
        </w:rPr>
        <w:tab/>
      </w:r>
      <w:r w:rsidR="009B7AAC" w:rsidRPr="009B7AAC">
        <w:rPr>
          <w:rFonts w:ascii="Calibri" w:hAnsi="Calibri"/>
          <w:color w:val="000000" w:themeColor="text1"/>
          <w:szCs w:val="22"/>
        </w:rPr>
        <w:t xml:space="preserve">The previous wording could be incorrectly interpreted as </w:t>
      </w:r>
      <w:proofErr w:type="spellStart"/>
      <w:r w:rsidR="009B7AAC" w:rsidRPr="009B7AAC">
        <w:rPr>
          <w:rFonts w:ascii="Calibri" w:hAnsi="Calibri"/>
          <w:color w:val="000000" w:themeColor="text1"/>
          <w:szCs w:val="22"/>
        </w:rPr>
        <w:t>Comcare</w:t>
      </w:r>
      <w:proofErr w:type="spellEnd"/>
      <w:r w:rsidR="009B7AAC" w:rsidRPr="009B7AAC">
        <w:rPr>
          <w:rFonts w:ascii="Calibri" w:hAnsi="Calibri"/>
          <w:color w:val="000000" w:themeColor="text1"/>
          <w:szCs w:val="22"/>
        </w:rPr>
        <w:t xml:space="preserve"> administering both the </w:t>
      </w:r>
      <w:r w:rsidR="009B7AAC" w:rsidRPr="009B7AAC">
        <w:rPr>
          <w:rFonts w:ascii="Calibri" w:hAnsi="Calibri"/>
          <w:i/>
          <w:color w:val="000000" w:themeColor="text1"/>
          <w:szCs w:val="22"/>
        </w:rPr>
        <w:t xml:space="preserve">Safety, Rehabilitation and Compensation Act 1988 </w:t>
      </w:r>
      <w:r w:rsidR="009B7AAC" w:rsidRPr="009B7AAC">
        <w:rPr>
          <w:rFonts w:ascii="Calibri" w:hAnsi="Calibri"/>
          <w:color w:val="000000" w:themeColor="text1"/>
          <w:szCs w:val="22"/>
        </w:rPr>
        <w:t xml:space="preserve">and the </w:t>
      </w:r>
      <w:r w:rsidR="009B7AAC" w:rsidRPr="009B7AAC">
        <w:rPr>
          <w:rFonts w:ascii="Calibri" w:hAnsi="Calibri"/>
          <w:i/>
          <w:color w:val="000000" w:themeColor="text1"/>
          <w:szCs w:val="22"/>
        </w:rPr>
        <w:t>Military Rehabilitation and Compensation Act 2004</w:t>
      </w:r>
      <w:r w:rsidR="009B7AAC" w:rsidRPr="009B7AAC">
        <w:rPr>
          <w:rFonts w:ascii="Calibri" w:hAnsi="Calibri"/>
          <w:color w:val="000000" w:themeColor="text1"/>
          <w:szCs w:val="22"/>
        </w:rPr>
        <w:t>. The latter is administered by the Department of Veterans’ Affairs. The wording has been amended to address this</w:t>
      </w:r>
      <w:r w:rsidR="009B7AAC">
        <w:rPr>
          <w:rFonts w:ascii="Calibri" w:hAnsi="Calibri"/>
          <w:color w:val="000000" w:themeColor="text1"/>
          <w:szCs w:val="22"/>
        </w:rPr>
        <w:t xml:space="preserve"> and to reflect the intent of cover for travellers</w:t>
      </w:r>
      <w:r w:rsidR="009B7AAC" w:rsidRPr="009B7AAC">
        <w:rPr>
          <w:rFonts w:ascii="Calibri" w:hAnsi="Calibri"/>
          <w:color w:val="000000" w:themeColor="text1"/>
          <w:szCs w:val="22"/>
        </w:rPr>
        <w:t>.</w:t>
      </w:r>
      <w:r w:rsidR="00B876DA">
        <w:rPr>
          <w:rFonts w:ascii="Calibri" w:hAnsi="Calibri"/>
          <w:color w:val="000000" w:themeColor="text1"/>
          <w:szCs w:val="22"/>
        </w:rPr>
        <w:t xml:space="preserve">  </w:t>
      </w:r>
      <w:r w:rsidR="00287DFC">
        <w:rPr>
          <w:rFonts w:ascii="Calibri" w:hAnsi="Calibri"/>
          <w:color w:val="000000" w:themeColor="text1"/>
          <w:szCs w:val="22"/>
        </w:rPr>
        <w:t xml:space="preserve"> </w:t>
      </w:r>
      <w:r w:rsidR="00287DFC" w:rsidRPr="00014623">
        <w:rPr>
          <w:rFonts w:ascii="Calibri" w:hAnsi="Calibri"/>
          <w:color w:val="000000" w:themeColor="text1"/>
          <w:szCs w:val="22"/>
        </w:rPr>
        <w:t xml:space="preserve"> </w:t>
      </w:r>
    </w:p>
    <w:p w14:paraId="04C09290" w14:textId="3F793092" w:rsidR="00287DFC" w:rsidRPr="00014623" w:rsidRDefault="00A042B2" w:rsidP="00287DFC">
      <w:pPr>
        <w:pStyle w:val="Heading3"/>
        <w:tabs>
          <w:tab w:val="left" w:pos="993"/>
        </w:tabs>
        <w:spacing w:before="120" w:line="240" w:lineRule="auto"/>
        <w:ind w:left="851" w:hanging="851"/>
        <w:contextualSpacing w:val="0"/>
        <w:rPr>
          <w:rFonts w:ascii="Calibri" w:hAnsi="Calibri"/>
          <w:b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  <w:szCs w:val="22"/>
        </w:rPr>
        <w:t>17.</w:t>
      </w:r>
      <w:r>
        <w:rPr>
          <w:rFonts w:ascii="Calibri" w:hAnsi="Calibri"/>
          <w:b/>
          <w:color w:val="000000" w:themeColor="text1"/>
          <w:sz w:val="22"/>
          <w:szCs w:val="22"/>
        </w:rPr>
        <w:tab/>
        <w:t xml:space="preserve">Personal Effects and Travel </w:t>
      </w:r>
      <w:proofErr w:type="gramStart"/>
      <w:r>
        <w:rPr>
          <w:rFonts w:ascii="Calibri" w:hAnsi="Calibri"/>
          <w:b/>
          <w:color w:val="000000" w:themeColor="text1"/>
          <w:sz w:val="22"/>
          <w:szCs w:val="22"/>
        </w:rPr>
        <w:t>Inside</w:t>
      </w:r>
      <w:proofErr w:type="gramEnd"/>
      <w:r>
        <w:rPr>
          <w:rFonts w:ascii="Calibri" w:hAnsi="Calibri"/>
          <w:b/>
          <w:color w:val="000000" w:themeColor="text1"/>
          <w:sz w:val="22"/>
          <w:szCs w:val="22"/>
        </w:rPr>
        <w:t xml:space="preserve"> Country</w:t>
      </w:r>
    </w:p>
    <w:p w14:paraId="6AC343ED" w14:textId="594AC967" w:rsidR="00287DFC" w:rsidRDefault="00A042B2" w:rsidP="00E671F2">
      <w:pPr>
        <w:pStyle w:val="Heading3"/>
        <w:tabs>
          <w:tab w:val="left" w:pos="993"/>
        </w:tabs>
        <w:spacing w:before="120" w:after="240" w:line="276" w:lineRule="auto"/>
        <w:ind w:left="851" w:hanging="851"/>
        <w:contextualSpacing w:val="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1</w:t>
      </w:r>
      <w:r w:rsidR="008130A5">
        <w:rPr>
          <w:rFonts w:ascii="Calibri" w:hAnsi="Calibri"/>
          <w:color w:val="000000" w:themeColor="text1"/>
          <w:sz w:val="22"/>
          <w:szCs w:val="22"/>
        </w:rPr>
        <w:t>7(1</w:t>
      </w:r>
      <w:proofErr w:type="gramStart"/>
      <w:r w:rsidR="008130A5">
        <w:rPr>
          <w:rFonts w:ascii="Calibri" w:hAnsi="Calibri"/>
          <w:color w:val="000000" w:themeColor="text1"/>
          <w:sz w:val="22"/>
          <w:szCs w:val="22"/>
        </w:rPr>
        <w:t>)</w:t>
      </w:r>
      <w:r>
        <w:rPr>
          <w:rFonts w:ascii="Calibri" w:hAnsi="Calibri"/>
          <w:color w:val="000000" w:themeColor="text1"/>
          <w:sz w:val="22"/>
          <w:szCs w:val="22"/>
        </w:rPr>
        <w:t>(</w:t>
      </w:r>
      <w:proofErr w:type="gramEnd"/>
      <w:r>
        <w:rPr>
          <w:rFonts w:ascii="Calibri" w:hAnsi="Calibri"/>
          <w:color w:val="000000" w:themeColor="text1"/>
          <w:sz w:val="22"/>
          <w:szCs w:val="22"/>
        </w:rPr>
        <w:t>b</w:t>
      </w:r>
      <w:r w:rsidR="00287DFC" w:rsidRPr="00014623">
        <w:rPr>
          <w:rFonts w:ascii="Calibri" w:hAnsi="Calibri"/>
          <w:color w:val="000000" w:themeColor="text1"/>
          <w:sz w:val="22"/>
          <w:szCs w:val="22"/>
        </w:rPr>
        <w:t xml:space="preserve">) </w:t>
      </w:r>
      <w:r w:rsidR="00287DFC" w:rsidRPr="00014623">
        <w:rPr>
          <w:rFonts w:ascii="Calibri" w:hAnsi="Calibri"/>
          <w:color w:val="000000" w:themeColor="text1"/>
          <w:sz w:val="22"/>
          <w:szCs w:val="22"/>
        </w:rPr>
        <w:tab/>
      </w:r>
      <w:r w:rsidR="00E671F2">
        <w:rPr>
          <w:rFonts w:ascii="Calibri" w:hAnsi="Calibri"/>
          <w:color w:val="000000" w:themeColor="text1"/>
          <w:sz w:val="22"/>
          <w:szCs w:val="22"/>
        </w:rPr>
        <w:t xml:space="preserve">Replaced the wording ‘approved travel’ with ‘travel approved by </w:t>
      </w:r>
      <w:r w:rsidR="00E671F2" w:rsidRPr="00E671F2">
        <w:rPr>
          <w:rFonts w:ascii="Calibri" w:hAnsi="Calibri"/>
          <w:b/>
          <w:color w:val="000000" w:themeColor="text1"/>
          <w:sz w:val="22"/>
          <w:szCs w:val="22"/>
        </w:rPr>
        <w:t>you</w:t>
      </w:r>
      <w:r w:rsidR="00E671F2">
        <w:rPr>
          <w:rFonts w:ascii="Calibri" w:hAnsi="Calibri"/>
          <w:color w:val="000000" w:themeColor="text1"/>
          <w:sz w:val="22"/>
          <w:szCs w:val="22"/>
        </w:rPr>
        <w:t xml:space="preserve"> [i.e. the Fund Member]’ to clarify that this section relates to travel that is approved by the Fund Member. </w:t>
      </w:r>
      <w:r w:rsidR="00287DF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287DFC" w:rsidRPr="00014623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27E03C5E" w14:textId="76B52767" w:rsidR="00E671F2" w:rsidRPr="00014623" w:rsidRDefault="00B476D1" w:rsidP="00E671F2">
      <w:pPr>
        <w:pStyle w:val="Heading3"/>
        <w:tabs>
          <w:tab w:val="left" w:pos="567"/>
        </w:tabs>
        <w:spacing w:line="240" w:lineRule="exact"/>
        <w:rPr>
          <w:rFonts w:ascii="Calibri" w:hAnsi="Calibri"/>
          <w:smallCaps/>
          <w:color w:val="77B6BD" w:themeColor="accent1" w:themeShade="BF"/>
          <w:sz w:val="24"/>
          <w:szCs w:val="24"/>
        </w:rPr>
      </w:pPr>
      <w:r>
        <w:rPr>
          <w:rFonts w:ascii="Calibri" w:hAnsi="Calibri"/>
          <w:smallCaps/>
          <w:color w:val="77B6BD" w:themeColor="accent1" w:themeShade="BF"/>
          <w:sz w:val="24"/>
          <w:szCs w:val="24"/>
        </w:rPr>
        <w:t>Chapter 7</w:t>
      </w:r>
      <w:r w:rsidR="00E671F2" w:rsidRPr="00014623">
        <w:rPr>
          <w:rFonts w:ascii="Calibri" w:hAnsi="Calibri"/>
          <w:smallCaps/>
          <w:color w:val="77B6BD" w:themeColor="accent1" w:themeShade="BF"/>
          <w:sz w:val="24"/>
          <w:szCs w:val="24"/>
        </w:rPr>
        <w:t xml:space="preserve"> – </w:t>
      </w:r>
      <w:r>
        <w:rPr>
          <w:rFonts w:ascii="Calibri" w:hAnsi="Calibri"/>
          <w:smallCaps/>
          <w:color w:val="77B6BD" w:themeColor="accent1" w:themeShade="BF"/>
          <w:sz w:val="24"/>
          <w:szCs w:val="24"/>
        </w:rPr>
        <w:t>General Exclusions</w:t>
      </w:r>
    </w:p>
    <w:p w14:paraId="6078B684" w14:textId="29137C14" w:rsidR="00E671F2" w:rsidRDefault="00B476D1" w:rsidP="00E671F2">
      <w:pPr>
        <w:pStyle w:val="BodyText1"/>
        <w:tabs>
          <w:tab w:val="left" w:pos="993"/>
        </w:tabs>
        <w:spacing w:before="120" w:after="120" w:line="240" w:lineRule="auto"/>
        <w:ind w:left="851" w:hanging="851"/>
        <w:rPr>
          <w:rFonts w:ascii="Calibri" w:hAnsi="Calibri"/>
          <w:b/>
          <w:color w:val="000000" w:themeColor="text1"/>
          <w:szCs w:val="22"/>
        </w:rPr>
      </w:pPr>
      <w:r>
        <w:rPr>
          <w:rFonts w:ascii="Calibri" w:hAnsi="Calibri"/>
          <w:b/>
          <w:color w:val="000000" w:themeColor="text1"/>
          <w:szCs w:val="22"/>
        </w:rPr>
        <w:t>18</w:t>
      </w:r>
      <w:r w:rsidR="00E671F2">
        <w:rPr>
          <w:rFonts w:ascii="Calibri" w:hAnsi="Calibri"/>
          <w:b/>
          <w:color w:val="000000" w:themeColor="text1"/>
          <w:szCs w:val="22"/>
        </w:rPr>
        <w:tab/>
      </w:r>
      <w:r w:rsidR="00CE29FD">
        <w:rPr>
          <w:rFonts w:ascii="Calibri" w:hAnsi="Calibri"/>
          <w:b/>
          <w:color w:val="000000" w:themeColor="text1"/>
          <w:szCs w:val="22"/>
        </w:rPr>
        <w:t>Other Liabilities and Costs</w:t>
      </w:r>
    </w:p>
    <w:p w14:paraId="11FED407" w14:textId="128EDC49" w:rsidR="00E671F2" w:rsidRPr="00C52670" w:rsidRDefault="009C1757" w:rsidP="00E671F2">
      <w:pPr>
        <w:pStyle w:val="BodyText1"/>
        <w:tabs>
          <w:tab w:val="left" w:pos="993"/>
        </w:tabs>
        <w:spacing w:before="120" w:after="120" w:line="240" w:lineRule="auto"/>
        <w:ind w:left="851" w:hanging="851"/>
        <w:rPr>
          <w:rFonts w:ascii="Calibri" w:hAnsi="Calibri"/>
          <w:color w:val="000000" w:themeColor="text1"/>
          <w:szCs w:val="22"/>
        </w:rPr>
      </w:pPr>
      <w:r>
        <w:rPr>
          <w:rFonts w:ascii="Calibri" w:hAnsi="Calibri"/>
          <w:color w:val="000000" w:themeColor="text1"/>
          <w:szCs w:val="22"/>
        </w:rPr>
        <w:t>2</w:t>
      </w:r>
      <w:r w:rsidR="00E671F2">
        <w:rPr>
          <w:rFonts w:ascii="Calibri" w:hAnsi="Calibri"/>
          <w:color w:val="000000" w:themeColor="text1"/>
          <w:szCs w:val="22"/>
        </w:rPr>
        <w:t>(c</w:t>
      </w:r>
      <w:proofErr w:type="gramStart"/>
      <w:r w:rsidR="00E671F2">
        <w:rPr>
          <w:rFonts w:ascii="Calibri" w:hAnsi="Calibri"/>
          <w:color w:val="000000" w:themeColor="text1"/>
          <w:szCs w:val="22"/>
        </w:rPr>
        <w:t>)</w:t>
      </w:r>
      <w:r>
        <w:rPr>
          <w:rFonts w:ascii="Calibri" w:hAnsi="Calibri"/>
          <w:color w:val="000000" w:themeColor="text1"/>
          <w:szCs w:val="22"/>
        </w:rPr>
        <w:t>(</w:t>
      </w:r>
      <w:proofErr w:type="gramEnd"/>
      <w:r>
        <w:rPr>
          <w:rFonts w:ascii="Calibri" w:hAnsi="Calibri"/>
          <w:color w:val="000000" w:themeColor="text1"/>
          <w:szCs w:val="22"/>
        </w:rPr>
        <w:t>ii)</w:t>
      </w:r>
      <w:r w:rsidR="00E671F2">
        <w:rPr>
          <w:rFonts w:ascii="Calibri" w:hAnsi="Calibri"/>
          <w:color w:val="000000" w:themeColor="text1"/>
          <w:szCs w:val="22"/>
        </w:rPr>
        <w:tab/>
      </w:r>
      <w:r>
        <w:rPr>
          <w:rFonts w:ascii="Calibri" w:hAnsi="Calibri"/>
          <w:color w:val="000000" w:themeColor="text1"/>
          <w:szCs w:val="22"/>
        </w:rPr>
        <w:t xml:space="preserve">Added a specific exclusion that Comcover will not pay for any liabilities or costs connected with any claim or request relating to a review of a Fund Member’s actions under the </w:t>
      </w:r>
      <w:r w:rsidRPr="009C1757">
        <w:rPr>
          <w:rFonts w:ascii="Calibri" w:hAnsi="Calibri"/>
          <w:i/>
          <w:color w:val="000000" w:themeColor="text1"/>
          <w:szCs w:val="22"/>
        </w:rPr>
        <w:t>Government Procurement (Judicial Review) Act 2018</w:t>
      </w:r>
      <w:r>
        <w:rPr>
          <w:rFonts w:ascii="Calibri" w:hAnsi="Calibri"/>
          <w:i/>
          <w:color w:val="000000" w:themeColor="text1"/>
          <w:szCs w:val="22"/>
        </w:rPr>
        <w:t xml:space="preserve"> </w:t>
      </w:r>
      <w:r>
        <w:rPr>
          <w:rFonts w:ascii="Calibri" w:hAnsi="Calibri"/>
          <w:color w:val="000000" w:themeColor="text1"/>
          <w:szCs w:val="22"/>
        </w:rPr>
        <w:t xml:space="preserve">(Judicial Review Act). Reviews under the Judicial Review Act assess actions and processes, rather than decisions, in undertaking procurements. </w:t>
      </w:r>
      <w:r w:rsidR="00E671F2">
        <w:rPr>
          <w:rFonts w:ascii="Calibri" w:hAnsi="Calibri"/>
          <w:color w:val="000000" w:themeColor="text1"/>
          <w:szCs w:val="22"/>
        </w:rPr>
        <w:t xml:space="preserve">  </w:t>
      </w:r>
    </w:p>
    <w:p w14:paraId="3EA2C840" w14:textId="3EBAA494" w:rsidR="009C1757" w:rsidRPr="00C52670" w:rsidRDefault="009C1757" w:rsidP="009C1757">
      <w:pPr>
        <w:pStyle w:val="BodyText1"/>
        <w:tabs>
          <w:tab w:val="left" w:pos="993"/>
        </w:tabs>
        <w:spacing w:before="120" w:after="120" w:line="240" w:lineRule="auto"/>
        <w:ind w:left="851" w:hanging="851"/>
        <w:rPr>
          <w:rFonts w:ascii="Calibri" w:hAnsi="Calibri"/>
          <w:color w:val="000000" w:themeColor="text1"/>
          <w:szCs w:val="22"/>
        </w:rPr>
      </w:pPr>
      <w:r>
        <w:rPr>
          <w:rFonts w:ascii="Calibri" w:hAnsi="Calibri"/>
          <w:color w:val="000000" w:themeColor="text1"/>
          <w:szCs w:val="22"/>
        </w:rPr>
        <w:t>2</w:t>
      </w:r>
      <w:r w:rsidR="008F621A">
        <w:rPr>
          <w:rFonts w:ascii="Calibri" w:hAnsi="Calibri"/>
          <w:color w:val="000000" w:themeColor="text1"/>
          <w:szCs w:val="22"/>
        </w:rPr>
        <w:t>(k)</w:t>
      </w:r>
      <w:r>
        <w:rPr>
          <w:rFonts w:ascii="Calibri" w:hAnsi="Calibri"/>
          <w:color w:val="000000" w:themeColor="text1"/>
          <w:szCs w:val="22"/>
        </w:rPr>
        <w:tab/>
      </w:r>
      <w:proofErr w:type="gramStart"/>
      <w:r w:rsidR="008F621A">
        <w:rPr>
          <w:rFonts w:ascii="Calibri" w:hAnsi="Calibri"/>
          <w:color w:val="000000" w:themeColor="text1"/>
          <w:szCs w:val="22"/>
        </w:rPr>
        <w:t>Replicated</w:t>
      </w:r>
      <w:proofErr w:type="gramEnd"/>
      <w:r w:rsidR="008F621A">
        <w:rPr>
          <w:rFonts w:ascii="Calibri" w:hAnsi="Calibri"/>
          <w:color w:val="000000" w:themeColor="text1"/>
          <w:szCs w:val="22"/>
        </w:rPr>
        <w:t xml:space="preserve"> the exclusion under section 17(3) to reflect that Comcover does not pay for anything that occurs as a result of actions associated with breaches of Accountable Authority In</w:t>
      </w:r>
      <w:r w:rsidR="00883E36">
        <w:rPr>
          <w:rFonts w:ascii="Calibri" w:hAnsi="Calibri"/>
          <w:color w:val="000000" w:themeColor="text1"/>
          <w:szCs w:val="22"/>
        </w:rPr>
        <w:t>structions or their equivalent and other relevant circumstances</w:t>
      </w:r>
      <w:r>
        <w:rPr>
          <w:rFonts w:ascii="Calibri" w:hAnsi="Calibri"/>
          <w:color w:val="000000" w:themeColor="text1"/>
          <w:szCs w:val="22"/>
        </w:rPr>
        <w:t xml:space="preserve">.   </w:t>
      </w:r>
    </w:p>
    <w:p w14:paraId="5AD6CF1A" w14:textId="19FDA2CE" w:rsidR="00014623" w:rsidRPr="001B2283" w:rsidRDefault="00B67B81" w:rsidP="00014623">
      <w:pPr>
        <w:pStyle w:val="BodyText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Note: </w:t>
      </w:r>
      <w:r w:rsidR="00014623" w:rsidRPr="001B2283">
        <w:rPr>
          <w:rFonts w:ascii="Calibri" w:hAnsi="Calibri"/>
          <w:szCs w:val="22"/>
        </w:rPr>
        <w:t>This is only a sum</w:t>
      </w:r>
      <w:r w:rsidR="001B2283" w:rsidRPr="001B2283">
        <w:rPr>
          <w:rFonts w:ascii="Calibri" w:hAnsi="Calibri"/>
          <w:szCs w:val="22"/>
        </w:rPr>
        <w:t>mary of</w:t>
      </w:r>
      <w:r>
        <w:rPr>
          <w:rFonts w:ascii="Calibri" w:hAnsi="Calibri"/>
          <w:szCs w:val="22"/>
        </w:rPr>
        <w:t xml:space="preserve"> the</w:t>
      </w:r>
      <w:r w:rsidR="007B324C">
        <w:rPr>
          <w:rFonts w:ascii="Calibri" w:hAnsi="Calibri"/>
          <w:szCs w:val="22"/>
        </w:rPr>
        <w:t xml:space="preserve"> key</w:t>
      </w:r>
      <w:r>
        <w:rPr>
          <w:rFonts w:ascii="Calibri" w:hAnsi="Calibri"/>
          <w:szCs w:val="22"/>
        </w:rPr>
        <w:t xml:space="preserve"> changes </w:t>
      </w:r>
      <w:proofErr w:type="gramStart"/>
      <w:r>
        <w:rPr>
          <w:rFonts w:ascii="Calibri" w:hAnsi="Calibri"/>
          <w:szCs w:val="22"/>
        </w:rPr>
        <w:t xml:space="preserve">between the </w:t>
      </w:r>
      <w:r w:rsidR="00A042B2">
        <w:rPr>
          <w:rFonts w:ascii="Calibri" w:hAnsi="Calibri"/>
          <w:szCs w:val="22"/>
        </w:rPr>
        <w:t>2018-19</w:t>
      </w:r>
      <w:proofErr w:type="gramEnd"/>
      <w:r w:rsidR="00014623" w:rsidRPr="001B2283">
        <w:rPr>
          <w:rFonts w:ascii="Calibri" w:hAnsi="Calibri"/>
          <w:szCs w:val="22"/>
        </w:rPr>
        <w:t xml:space="preserve"> and </w:t>
      </w:r>
      <w:r w:rsidR="00A042B2">
        <w:rPr>
          <w:rFonts w:ascii="Calibri" w:hAnsi="Calibri"/>
          <w:szCs w:val="22"/>
        </w:rPr>
        <w:t>2019-20</w:t>
      </w:r>
      <w:r w:rsidR="00014623" w:rsidRPr="001B2283">
        <w:rPr>
          <w:rFonts w:ascii="Calibri" w:hAnsi="Calibri"/>
          <w:szCs w:val="22"/>
        </w:rPr>
        <w:t xml:space="preserve"> Statement of Cover. This summary is not definitive and decisions relating to coverage in specific circumstances will be determined in accordance with the wording of the Statement of Cover.  </w:t>
      </w:r>
    </w:p>
    <w:p w14:paraId="131DAE63" w14:textId="2AF32704" w:rsidR="00014623" w:rsidRPr="00B67B81" w:rsidRDefault="00014623" w:rsidP="00B67B81">
      <w:pPr>
        <w:pStyle w:val="BodyText1"/>
        <w:spacing w:after="0"/>
        <w:rPr>
          <w:rFonts w:ascii="Calibri" w:hAnsi="Calibri"/>
          <w:szCs w:val="22"/>
        </w:rPr>
      </w:pPr>
      <w:r w:rsidRPr="00B67B81">
        <w:rPr>
          <w:rFonts w:ascii="Calibri" w:hAnsi="Calibri"/>
          <w:szCs w:val="22"/>
        </w:rPr>
        <w:t>If you require any further information, please contact your Relationship Manager at Comcover on 1800 651 540 (selecting option 3)</w:t>
      </w:r>
      <w:r w:rsidR="00B67B81" w:rsidRPr="00B67B81">
        <w:rPr>
          <w:rFonts w:ascii="Calibri" w:hAnsi="Calibri"/>
          <w:szCs w:val="22"/>
        </w:rPr>
        <w:t>.</w:t>
      </w:r>
    </w:p>
    <w:p w14:paraId="027F8622" w14:textId="55DA674C" w:rsidR="00931029" w:rsidRPr="00014623" w:rsidRDefault="00931029" w:rsidP="00BC6AB5">
      <w:pPr>
        <w:rPr>
          <w:rFonts w:ascii="Calibri" w:hAnsi="Calibri"/>
        </w:rPr>
      </w:pPr>
    </w:p>
    <w:p w14:paraId="36B9A215" w14:textId="68FFF86B" w:rsidR="00931029" w:rsidRPr="00014623" w:rsidRDefault="00931029" w:rsidP="00BC6AB5">
      <w:pPr>
        <w:rPr>
          <w:rFonts w:ascii="Calibri" w:hAnsi="Calibri"/>
        </w:rPr>
      </w:pPr>
    </w:p>
    <w:sectPr w:rsidR="00931029" w:rsidRPr="00014623" w:rsidSect="0039715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68869" w14:textId="77777777" w:rsidR="00802117" w:rsidRDefault="00802117" w:rsidP="00EF4574">
      <w:pPr>
        <w:spacing w:before="0" w:after="0" w:line="240" w:lineRule="auto"/>
      </w:pPr>
      <w:r>
        <w:separator/>
      </w:r>
    </w:p>
  </w:endnote>
  <w:endnote w:type="continuationSeparator" w:id="0">
    <w:p w14:paraId="74DB5D1C" w14:textId="77777777" w:rsidR="00802117" w:rsidRDefault="00802117" w:rsidP="00EF45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6B3CB" w14:textId="007FC3FD" w:rsidR="00DB6D69" w:rsidRDefault="005970EA" w:rsidP="0039715A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BA1A95">
      <w:rPr>
        <w:noProof/>
      </w:rPr>
      <w:t>1</w:t>
    </w:r>
    <w:r>
      <w:rPr>
        <w:noProof/>
      </w:rPr>
      <w:fldChar w:fldCharType="end"/>
    </w:r>
  </w:p>
  <w:p w14:paraId="779C3A14" w14:textId="105453D0" w:rsidR="000A6A8B" w:rsidRPr="000A6A8B" w:rsidRDefault="000A6A8B" w:rsidP="000A6A8B">
    <w:pPr>
      <w:pStyle w:val="Footer"/>
      <w:jc w:val="center"/>
      <w:rPr>
        <w:rStyle w:val="Classificatio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0650D" w14:textId="77777777" w:rsidR="000A6A8B" w:rsidRDefault="000A6A8B">
    <w:pPr>
      <w:pStyle w:val="Footer"/>
    </w:pPr>
  </w:p>
  <w:sdt>
    <w:sdtPr>
      <w:rPr>
        <w:rStyle w:val="Classification"/>
      </w:rPr>
      <w:alias w:val="Status"/>
      <w:tag w:val=""/>
      <w:id w:val="2082102769"/>
      <w:placeholder>
        <w:docPart w:val="85FCF50EFA584C32A9291D76744CD17A"/>
      </w:placeholder>
      <w:showingPlcHdr/>
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<w:text/>
    </w:sdtPr>
    <w:sdtEndPr>
      <w:rPr>
        <w:rStyle w:val="Classification"/>
      </w:rPr>
    </w:sdtEndPr>
    <w:sdtContent>
      <w:p w14:paraId="24115CBF" w14:textId="4BAF8E6D" w:rsidR="000A6A8B" w:rsidRDefault="000412D6" w:rsidP="000A6A8B">
        <w:pPr>
          <w:pStyle w:val="Footer"/>
          <w:jc w:val="center"/>
          <w:rPr>
            <w:rStyle w:val="Classification"/>
          </w:rPr>
        </w:pPr>
        <w:r w:rsidRPr="006009C9">
          <w:rPr>
            <w:rStyle w:val="PlaceholderText"/>
          </w:rPr>
          <w:t>[Status]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0FD44" w14:textId="77777777" w:rsidR="00802117" w:rsidRDefault="00802117" w:rsidP="0020122A">
      <w:pPr>
        <w:pStyle w:val="FootnoteSeparator"/>
      </w:pPr>
    </w:p>
  </w:footnote>
  <w:footnote w:type="continuationSeparator" w:id="0">
    <w:p w14:paraId="5C004C94" w14:textId="77777777" w:rsidR="00802117" w:rsidRDefault="00802117" w:rsidP="00EF457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C793E" w14:textId="0467F7B2" w:rsidR="000A6A8B" w:rsidRPr="000A6A8B" w:rsidRDefault="000A6A8B" w:rsidP="000A6A8B">
    <w:pPr>
      <w:pStyle w:val="Header"/>
      <w:jc w:val="center"/>
      <w:rPr>
        <w:rStyle w:val="Classification"/>
      </w:rPr>
    </w:pPr>
  </w:p>
  <w:p w14:paraId="58B40D99" w14:textId="21C7305F" w:rsidR="00DB6D69" w:rsidRPr="00DB6D69" w:rsidRDefault="00DB6D69" w:rsidP="00014623">
    <w:pPr>
      <w:pStyle w:val="Header"/>
      <w:jc w:val="left"/>
      <w:rPr>
        <w:b/>
      </w:rPr>
    </w:pPr>
  </w:p>
  <w:p w14:paraId="0E7A8AC4" w14:textId="05122378" w:rsidR="00DB6D69" w:rsidRDefault="00BA1A95" w:rsidP="0039715A">
    <w:pPr>
      <w:pStyle w:val="Header"/>
      <w:spacing w:after="680"/>
    </w:pPr>
    <w:r>
      <w:fldChar w:fldCharType="begin"/>
    </w:r>
    <w:r>
      <w:instrText xml:space="preserve"> STYLEREF  Title  \* MERGEFORMAT </w:instrText>
    </w:r>
    <w:r>
      <w:fldChar w:fldCharType="separate"/>
    </w:r>
    <w:r>
      <w:rPr>
        <w:noProof/>
      </w:rPr>
      <w:t>Information Bulletin – Comcover Statement of Cover 2019-20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3BA19" w14:textId="2997DB50" w:rsidR="000C2A48" w:rsidRDefault="00BA1A95" w:rsidP="000A6A8B">
    <w:pPr>
      <w:pStyle w:val="Header"/>
      <w:jc w:val="center"/>
    </w:pPr>
    <w:sdt>
      <w:sdtPr>
        <w:rPr>
          <w:rStyle w:val="Classification"/>
        </w:rPr>
        <w:alias w:val="Status"/>
        <w:tag w:val=""/>
        <w:id w:val="2018492011"/>
        <w:placeholder>
          <w:docPart w:val="9D808996CD2146019246D2031F05F10B"/>
        </w:placeholder>
        <w:showingPlcHd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>
        <w:rPr>
          <w:rStyle w:val="Classification"/>
        </w:rPr>
      </w:sdtEndPr>
      <w:sdtContent>
        <w:r w:rsidR="000412D6" w:rsidRPr="006009C9">
          <w:rPr>
            <w:rStyle w:val="PlaceholderText"/>
          </w:rPr>
          <w:t>[Status]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5C99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02A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861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4A13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12B2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181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1830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0C8C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143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364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3023480"/>
    <w:multiLevelType w:val="hybridMultilevel"/>
    <w:tmpl w:val="9CACEBEC"/>
    <w:lvl w:ilvl="0" w:tplc="61A42E50">
      <w:start w:val="1"/>
      <w:numFmt w:val="decimal"/>
      <w:lvlText w:val="%1."/>
      <w:lvlJc w:val="left"/>
      <w:pPr>
        <w:ind w:hanging="567"/>
      </w:pPr>
      <w:rPr>
        <w:rFonts w:ascii="Calibri" w:eastAsia="Calibri" w:hAnsi="Calibri" w:hint="default"/>
        <w:b/>
        <w:bCs/>
        <w:spacing w:val="-7"/>
        <w:w w:val="99"/>
        <w:sz w:val="26"/>
        <w:szCs w:val="26"/>
      </w:rPr>
    </w:lvl>
    <w:lvl w:ilvl="1" w:tplc="008A133E">
      <w:start w:val="1"/>
      <w:numFmt w:val="lowerLetter"/>
      <w:lvlText w:val="(%2)"/>
      <w:lvlJc w:val="left"/>
      <w:pPr>
        <w:ind w:hanging="425"/>
      </w:pPr>
      <w:rPr>
        <w:rFonts w:ascii="Calibri" w:eastAsia="Calibri" w:hAnsi="Calibri" w:hint="default"/>
        <w:sz w:val="24"/>
        <w:szCs w:val="24"/>
      </w:rPr>
    </w:lvl>
    <w:lvl w:ilvl="2" w:tplc="8E2A4BAE">
      <w:start w:val="1"/>
      <w:numFmt w:val="bullet"/>
      <w:lvlText w:val="•"/>
      <w:lvlJc w:val="left"/>
      <w:rPr>
        <w:rFonts w:hint="default"/>
      </w:rPr>
    </w:lvl>
    <w:lvl w:ilvl="3" w:tplc="D77C57D0">
      <w:start w:val="1"/>
      <w:numFmt w:val="bullet"/>
      <w:lvlText w:val="•"/>
      <w:lvlJc w:val="left"/>
      <w:rPr>
        <w:rFonts w:hint="default"/>
      </w:rPr>
    </w:lvl>
    <w:lvl w:ilvl="4" w:tplc="451CB116">
      <w:start w:val="1"/>
      <w:numFmt w:val="bullet"/>
      <w:lvlText w:val="•"/>
      <w:lvlJc w:val="left"/>
      <w:rPr>
        <w:rFonts w:hint="default"/>
      </w:rPr>
    </w:lvl>
    <w:lvl w:ilvl="5" w:tplc="182E12BA">
      <w:start w:val="1"/>
      <w:numFmt w:val="bullet"/>
      <w:lvlText w:val="•"/>
      <w:lvlJc w:val="left"/>
      <w:rPr>
        <w:rFonts w:hint="default"/>
      </w:rPr>
    </w:lvl>
    <w:lvl w:ilvl="6" w:tplc="EB86296C">
      <w:start w:val="1"/>
      <w:numFmt w:val="bullet"/>
      <w:lvlText w:val="•"/>
      <w:lvlJc w:val="left"/>
      <w:rPr>
        <w:rFonts w:hint="default"/>
      </w:rPr>
    </w:lvl>
    <w:lvl w:ilvl="7" w:tplc="6194D2FE">
      <w:start w:val="1"/>
      <w:numFmt w:val="bullet"/>
      <w:lvlText w:val="•"/>
      <w:lvlJc w:val="left"/>
      <w:rPr>
        <w:rFonts w:hint="default"/>
      </w:rPr>
    </w:lvl>
    <w:lvl w:ilvl="8" w:tplc="0EE49610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4" w15:restartNumberingAfterBreak="0">
    <w:nsid w:val="3A465ABD"/>
    <w:multiLevelType w:val="hybridMultilevel"/>
    <w:tmpl w:val="1F56A0B6"/>
    <w:lvl w:ilvl="0" w:tplc="DCC880E0">
      <w:start w:val="1"/>
      <w:numFmt w:val="lowerLetter"/>
      <w:lvlText w:val="(%1)"/>
      <w:lvlJc w:val="left"/>
      <w:pPr>
        <w:ind w:left="1650" w:hanging="360"/>
      </w:pPr>
      <w:rPr>
        <w:rFonts w:ascii="Calibri" w:eastAsia="Calibri" w:hAnsi="Calibri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5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6" w15:restartNumberingAfterBreak="0">
    <w:nsid w:val="5C707CBA"/>
    <w:multiLevelType w:val="hybridMultilevel"/>
    <w:tmpl w:val="879C10C8"/>
    <w:lvl w:ilvl="0" w:tplc="401026D0">
      <w:start w:val="1"/>
      <w:numFmt w:val="decimal"/>
      <w:lvlText w:val="(%1)"/>
      <w:lvlJc w:val="left"/>
      <w:pPr>
        <w:ind w:hanging="567"/>
      </w:pPr>
      <w:rPr>
        <w:rFonts w:ascii="Calibri" w:eastAsia="Calibri" w:hAnsi="Calibri" w:hint="default"/>
        <w:sz w:val="24"/>
        <w:szCs w:val="24"/>
      </w:rPr>
    </w:lvl>
    <w:lvl w:ilvl="1" w:tplc="52CE2838">
      <w:start w:val="1"/>
      <w:numFmt w:val="lowerLetter"/>
      <w:lvlText w:val="(%2)"/>
      <w:lvlJc w:val="left"/>
      <w:pPr>
        <w:ind w:hanging="425"/>
      </w:pPr>
      <w:rPr>
        <w:rFonts w:ascii="Calibri" w:eastAsia="Calibri" w:hAnsi="Calibri" w:hint="default"/>
        <w:sz w:val="24"/>
        <w:szCs w:val="24"/>
      </w:rPr>
    </w:lvl>
    <w:lvl w:ilvl="2" w:tplc="3A6A3CD6">
      <w:start w:val="1"/>
      <w:numFmt w:val="lowerRoman"/>
      <w:lvlText w:val="(%3)"/>
      <w:lvlJc w:val="left"/>
      <w:pPr>
        <w:ind w:hanging="428"/>
      </w:pPr>
      <w:rPr>
        <w:rFonts w:ascii="Calibri" w:eastAsia="Calibri" w:hAnsi="Calibri" w:hint="default"/>
        <w:sz w:val="24"/>
        <w:szCs w:val="24"/>
      </w:rPr>
    </w:lvl>
    <w:lvl w:ilvl="3" w:tplc="38382FA0">
      <w:start w:val="1"/>
      <w:numFmt w:val="bullet"/>
      <w:lvlText w:val="•"/>
      <w:lvlJc w:val="left"/>
      <w:rPr>
        <w:rFonts w:hint="default"/>
      </w:rPr>
    </w:lvl>
    <w:lvl w:ilvl="4" w:tplc="602C098E">
      <w:start w:val="1"/>
      <w:numFmt w:val="bullet"/>
      <w:lvlText w:val="•"/>
      <w:lvlJc w:val="left"/>
      <w:rPr>
        <w:rFonts w:hint="default"/>
      </w:rPr>
    </w:lvl>
    <w:lvl w:ilvl="5" w:tplc="053E7144">
      <w:start w:val="1"/>
      <w:numFmt w:val="bullet"/>
      <w:lvlText w:val="•"/>
      <w:lvlJc w:val="left"/>
      <w:rPr>
        <w:rFonts w:hint="default"/>
      </w:rPr>
    </w:lvl>
    <w:lvl w:ilvl="6" w:tplc="C232A694">
      <w:start w:val="1"/>
      <w:numFmt w:val="bullet"/>
      <w:lvlText w:val="•"/>
      <w:lvlJc w:val="left"/>
      <w:rPr>
        <w:rFonts w:hint="default"/>
      </w:rPr>
    </w:lvl>
    <w:lvl w:ilvl="7" w:tplc="FD5C7F02">
      <w:start w:val="1"/>
      <w:numFmt w:val="bullet"/>
      <w:lvlText w:val="•"/>
      <w:lvlJc w:val="left"/>
      <w:rPr>
        <w:rFonts w:hint="default"/>
      </w:rPr>
    </w:lvl>
    <w:lvl w:ilvl="8" w:tplc="13E8EC1A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8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7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5"/>
  </w:num>
  <w:num w:numId="35">
    <w:abstractNumId w:val="12"/>
  </w:num>
  <w:num w:numId="36">
    <w:abstractNumId w:val="1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6C"/>
    <w:rsid w:val="0000142F"/>
    <w:rsid w:val="00014623"/>
    <w:rsid w:val="00021B85"/>
    <w:rsid w:val="0002782F"/>
    <w:rsid w:val="000412D6"/>
    <w:rsid w:val="00045566"/>
    <w:rsid w:val="00054E4D"/>
    <w:rsid w:val="00060073"/>
    <w:rsid w:val="00080457"/>
    <w:rsid w:val="000926A1"/>
    <w:rsid w:val="000A4B30"/>
    <w:rsid w:val="000A6A8B"/>
    <w:rsid w:val="000C2A48"/>
    <w:rsid w:val="000D60B1"/>
    <w:rsid w:val="00104C0B"/>
    <w:rsid w:val="00122B22"/>
    <w:rsid w:val="001541EA"/>
    <w:rsid w:val="001612A4"/>
    <w:rsid w:val="001B2283"/>
    <w:rsid w:val="001D5316"/>
    <w:rsid w:val="001E1DC0"/>
    <w:rsid w:val="0020122A"/>
    <w:rsid w:val="00223F89"/>
    <w:rsid w:val="00284623"/>
    <w:rsid w:val="0028602A"/>
    <w:rsid w:val="00287DFC"/>
    <w:rsid w:val="002D107F"/>
    <w:rsid w:val="002D4ED2"/>
    <w:rsid w:val="00301144"/>
    <w:rsid w:val="003148B7"/>
    <w:rsid w:val="003158C3"/>
    <w:rsid w:val="0032314A"/>
    <w:rsid w:val="003274CD"/>
    <w:rsid w:val="0035119D"/>
    <w:rsid w:val="00394834"/>
    <w:rsid w:val="0039715A"/>
    <w:rsid w:val="003B4F12"/>
    <w:rsid w:val="0041534F"/>
    <w:rsid w:val="00420E33"/>
    <w:rsid w:val="00421926"/>
    <w:rsid w:val="00423F31"/>
    <w:rsid w:val="00431899"/>
    <w:rsid w:val="004665D6"/>
    <w:rsid w:val="00486804"/>
    <w:rsid w:val="00494B23"/>
    <w:rsid w:val="004B3775"/>
    <w:rsid w:val="004E058F"/>
    <w:rsid w:val="004E3B87"/>
    <w:rsid w:val="00510921"/>
    <w:rsid w:val="00510AD3"/>
    <w:rsid w:val="00513348"/>
    <w:rsid w:val="00533B5D"/>
    <w:rsid w:val="00543C53"/>
    <w:rsid w:val="005506BA"/>
    <w:rsid w:val="005511AB"/>
    <w:rsid w:val="0057002E"/>
    <w:rsid w:val="005970EA"/>
    <w:rsid w:val="005A6C78"/>
    <w:rsid w:val="005C37F0"/>
    <w:rsid w:val="005E45E3"/>
    <w:rsid w:val="00606937"/>
    <w:rsid w:val="00623BA1"/>
    <w:rsid w:val="006346BC"/>
    <w:rsid w:val="0066652A"/>
    <w:rsid w:val="0067348E"/>
    <w:rsid w:val="0068028B"/>
    <w:rsid w:val="00682167"/>
    <w:rsid w:val="006C42AF"/>
    <w:rsid w:val="006C4DD1"/>
    <w:rsid w:val="006D3EB3"/>
    <w:rsid w:val="006D4FCF"/>
    <w:rsid w:val="006D5BF8"/>
    <w:rsid w:val="006F3319"/>
    <w:rsid w:val="00701B49"/>
    <w:rsid w:val="0071012D"/>
    <w:rsid w:val="00711D8E"/>
    <w:rsid w:val="00712672"/>
    <w:rsid w:val="00734E3F"/>
    <w:rsid w:val="00736985"/>
    <w:rsid w:val="00750EB1"/>
    <w:rsid w:val="007550DB"/>
    <w:rsid w:val="007558FE"/>
    <w:rsid w:val="00771A63"/>
    <w:rsid w:val="007B324C"/>
    <w:rsid w:val="007B6200"/>
    <w:rsid w:val="007D134E"/>
    <w:rsid w:val="007D4AF6"/>
    <w:rsid w:val="00801B9F"/>
    <w:rsid w:val="00802117"/>
    <w:rsid w:val="00802DB0"/>
    <w:rsid w:val="008130A5"/>
    <w:rsid w:val="0081532C"/>
    <w:rsid w:val="00816F61"/>
    <w:rsid w:val="00821C41"/>
    <w:rsid w:val="00826EE7"/>
    <w:rsid w:val="0083669C"/>
    <w:rsid w:val="00877122"/>
    <w:rsid w:val="00880B3F"/>
    <w:rsid w:val="00882524"/>
    <w:rsid w:val="00883E36"/>
    <w:rsid w:val="008B09DC"/>
    <w:rsid w:val="008D66E1"/>
    <w:rsid w:val="008F621A"/>
    <w:rsid w:val="00931029"/>
    <w:rsid w:val="00956294"/>
    <w:rsid w:val="009802BF"/>
    <w:rsid w:val="00983530"/>
    <w:rsid w:val="009B4D3B"/>
    <w:rsid w:val="009B53C8"/>
    <w:rsid w:val="009B7AAC"/>
    <w:rsid w:val="009C1757"/>
    <w:rsid w:val="009D62B2"/>
    <w:rsid w:val="009D7407"/>
    <w:rsid w:val="009E0866"/>
    <w:rsid w:val="00A042B2"/>
    <w:rsid w:val="00A24A62"/>
    <w:rsid w:val="00A31C9F"/>
    <w:rsid w:val="00A76378"/>
    <w:rsid w:val="00AC164A"/>
    <w:rsid w:val="00AD69CC"/>
    <w:rsid w:val="00AF2050"/>
    <w:rsid w:val="00B07619"/>
    <w:rsid w:val="00B476D1"/>
    <w:rsid w:val="00B52851"/>
    <w:rsid w:val="00B67B81"/>
    <w:rsid w:val="00B71D04"/>
    <w:rsid w:val="00B876DA"/>
    <w:rsid w:val="00BA1A95"/>
    <w:rsid w:val="00BB26C5"/>
    <w:rsid w:val="00BC5DCE"/>
    <w:rsid w:val="00BC6AB5"/>
    <w:rsid w:val="00BE6B22"/>
    <w:rsid w:val="00BF4DE6"/>
    <w:rsid w:val="00BF5611"/>
    <w:rsid w:val="00C42CDE"/>
    <w:rsid w:val="00C52670"/>
    <w:rsid w:val="00CA37B1"/>
    <w:rsid w:val="00CB1959"/>
    <w:rsid w:val="00CE29FD"/>
    <w:rsid w:val="00D0296C"/>
    <w:rsid w:val="00D07C0B"/>
    <w:rsid w:val="00D143FC"/>
    <w:rsid w:val="00D517B9"/>
    <w:rsid w:val="00D71FF0"/>
    <w:rsid w:val="00D76E1A"/>
    <w:rsid w:val="00D97D7D"/>
    <w:rsid w:val="00DA6ED9"/>
    <w:rsid w:val="00DB35A3"/>
    <w:rsid w:val="00DB6D69"/>
    <w:rsid w:val="00DC430B"/>
    <w:rsid w:val="00DC4477"/>
    <w:rsid w:val="00E24DAC"/>
    <w:rsid w:val="00E357B7"/>
    <w:rsid w:val="00E53800"/>
    <w:rsid w:val="00E6081F"/>
    <w:rsid w:val="00E671F2"/>
    <w:rsid w:val="00E82745"/>
    <w:rsid w:val="00EA04B2"/>
    <w:rsid w:val="00EA20F3"/>
    <w:rsid w:val="00EB1D29"/>
    <w:rsid w:val="00EB2793"/>
    <w:rsid w:val="00EC421E"/>
    <w:rsid w:val="00ED43D1"/>
    <w:rsid w:val="00EE4EE1"/>
    <w:rsid w:val="00EF18FC"/>
    <w:rsid w:val="00EF264F"/>
    <w:rsid w:val="00EF4574"/>
    <w:rsid w:val="00F017F4"/>
    <w:rsid w:val="00F0219E"/>
    <w:rsid w:val="00F2684E"/>
    <w:rsid w:val="00F33736"/>
    <w:rsid w:val="00F36ABE"/>
    <w:rsid w:val="00F4562B"/>
    <w:rsid w:val="00F729EF"/>
    <w:rsid w:val="00F77CAE"/>
    <w:rsid w:val="00F96BB9"/>
    <w:rsid w:val="00FD5A74"/>
    <w:rsid w:val="00FE6AE0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0791DC2"/>
  <w15:docId w15:val="{9B3D9A84-8831-4BE1-A87C-A2E0FB43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B85"/>
    <w:pPr>
      <w:suppressAutoHyphens/>
      <w:spacing w:before="180" w:after="60"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1B85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21B85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1B85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21B85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021B85"/>
    <w:pPr>
      <w:outlineLvl w:val="4"/>
    </w:pPr>
    <w:rPr>
      <w:i/>
      <w:color w:val="77B6BD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021B85"/>
    <w:pPr>
      <w:spacing w:before="40"/>
      <w:outlineLvl w:val="5"/>
    </w:pPr>
    <w:rPr>
      <w:color w:val="43838A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021B85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021B85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021B85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B85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1B85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1B85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021B85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5A6C78"/>
    <w:pPr>
      <w:keepNext w:val="0"/>
      <w:spacing w:line="480" w:lineRule="atLeast"/>
    </w:pPr>
    <w:rPr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6C78"/>
    <w:rPr>
      <w:rFonts w:asciiTheme="majorHAnsi" w:eastAsiaTheme="majorEastAsia" w:hAnsiTheme="majorHAnsi" w:cstheme="majorBidi"/>
      <w:bCs/>
      <w:color w:val="1C1C1C" w:themeColor="text2"/>
      <w:kern w:val="28"/>
      <w:sz w:val="40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021B85"/>
    <w:pPr>
      <w:numPr>
        <w:ilvl w:val="1"/>
      </w:numPr>
      <w:spacing w:line="260" w:lineRule="atLeast"/>
      <w:jc w:val="right"/>
    </w:pPr>
    <w:rPr>
      <w:b/>
      <w:iCs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1B85"/>
    <w:rPr>
      <w:rFonts w:asciiTheme="majorHAnsi" w:eastAsiaTheme="majorEastAsia" w:hAnsiTheme="majorHAnsi" w:cstheme="majorBidi"/>
      <w:b/>
      <w:bCs/>
      <w:iCs/>
      <w:color w:val="1C1C1C" w:themeColor="text2"/>
      <w:kern w:val="28"/>
      <w:sz w:val="20"/>
      <w:szCs w:val="24"/>
    </w:rPr>
  </w:style>
  <w:style w:type="paragraph" w:customStyle="1" w:styleId="Bullet1">
    <w:name w:val="Bullet 1"/>
    <w:basedOn w:val="Normal"/>
    <w:qFormat/>
    <w:rsid w:val="00021B85"/>
    <w:pPr>
      <w:numPr>
        <w:numId w:val="24"/>
      </w:numPr>
      <w:spacing w:before="120"/>
    </w:pPr>
  </w:style>
  <w:style w:type="paragraph" w:customStyle="1" w:styleId="Bullet2">
    <w:name w:val="Bullet 2"/>
    <w:basedOn w:val="Bullet1"/>
    <w:qFormat/>
    <w:rsid w:val="00021B85"/>
    <w:pPr>
      <w:numPr>
        <w:ilvl w:val="1"/>
      </w:numPr>
    </w:pPr>
  </w:style>
  <w:style w:type="paragraph" w:customStyle="1" w:styleId="Bullet3">
    <w:name w:val="Bullet 3"/>
    <w:basedOn w:val="Bullet2"/>
    <w:qFormat/>
    <w:rsid w:val="00021B85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39715A"/>
    <w:pPr>
      <w:numPr>
        <w:numId w:val="33"/>
      </w:numPr>
      <w:ind w:left="397" w:hanging="397"/>
    </w:pPr>
  </w:style>
  <w:style w:type="paragraph" w:customStyle="1" w:styleId="NumberedList2">
    <w:name w:val="Numbered List 2"/>
    <w:basedOn w:val="NumberedList1"/>
    <w:qFormat/>
    <w:rsid w:val="0039715A"/>
    <w:pPr>
      <w:numPr>
        <w:ilvl w:val="1"/>
      </w:numPr>
      <w:spacing w:before="120"/>
      <w:ind w:left="681" w:hanging="397"/>
    </w:pPr>
  </w:style>
  <w:style w:type="paragraph" w:customStyle="1" w:styleId="NumberedList3">
    <w:name w:val="Numbered List 3"/>
    <w:basedOn w:val="NumberedList2"/>
    <w:qFormat/>
    <w:rsid w:val="0039715A"/>
    <w:pPr>
      <w:numPr>
        <w:ilvl w:val="2"/>
      </w:numPr>
      <w:ind w:left="964" w:hanging="397"/>
    </w:pPr>
  </w:style>
  <w:style w:type="paragraph" w:customStyle="1" w:styleId="Heading1Numbered">
    <w:name w:val="Heading 1 Numbered"/>
    <w:basedOn w:val="Heading1"/>
    <w:next w:val="Normal"/>
    <w:qFormat/>
    <w:rsid w:val="00021B85"/>
    <w:pPr>
      <w:numPr>
        <w:numId w:val="29"/>
      </w:numPr>
    </w:pPr>
  </w:style>
  <w:style w:type="paragraph" w:customStyle="1" w:styleId="Heading2Numbered">
    <w:name w:val="Heading 2 Numbered"/>
    <w:basedOn w:val="Heading2"/>
    <w:next w:val="Normal"/>
    <w:qFormat/>
    <w:rsid w:val="00021B85"/>
    <w:pPr>
      <w:numPr>
        <w:ilvl w:val="1"/>
        <w:numId w:val="29"/>
      </w:numPr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021B85"/>
    <w:pPr>
      <w:numPr>
        <w:ilvl w:val="2"/>
        <w:numId w:val="29"/>
      </w:numPr>
    </w:pPr>
    <w:rPr>
      <w:szCs w:val="22"/>
    </w:rPr>
  </w:style>
  <w:style w:type="numbering" w:customStyle="1" w:styleId="BulletsList">
    <w:name w:val="Bullets List"/>
    <w:uiPriority w:val="99"/>
    <w:rsid w:val="00021B85"/>
    <w:pPr>
      <w:numPr>
        <w:numId w:val="1"/>
      </w:numPr>
    </w:pPr>
  </w:style>
  <w:style w:type="numbering" w:customStyle="1" w:styleId="Numberedlist">
    <w:name w:val="Numbered list"/>
    <w:uiPriority w:val="99"/>
    <w:rsid w:val="00021B85"/>
    <w:pPr>
      <w:numPr>
        <w:numId w:val="3"/>
      </w:numPr>
    </w:pPr>
  </w:style>
  <w:style w:type="numbering" w:customStyle="1" w:styleId="HeadingsList">
    <w:name w:val="Headings List"/>
    <w:uiPriority w:val="99"/>
    <w:rsid w:val="00021B85"/>
    <w:pPr>
      <w:numPr>
        <w:numId w:val="5"/>
      </w:numPr>
    </w:pPr>
  </w:style>
  <w:style w:type="table" w:styleId="PlainTable2">
    <w:name w:val="Plain Table 2"/>
    <w:basedOn w:val="TableNormal"/>
    <w:uiPriority w:val="42"/>
    <w:rsid w:val="00021B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21B85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21B85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21B85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021B85"/>
    <w:pPr>
      <w:tabs>
        <w:tab w:val="left" w:pos="454"/>
        <w:tab w:val="right" w:pos="9072"/>
      </w:tabs>
      <w:spacing w:after="180" w:line="230" w:lineRule="atLeast"/>
      <w:ind w:left="454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021B85"/>
    <w:pPr>
      <w:tabs>
        <w:tab w:val="left" w:pos="1134"/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021B85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021B85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021B85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021B85"/>
    <w:pPr>
      <w:pBdr>
        <w:bottom w:val="single" w:sz="4" w:space="6" w:color="BDDCDF" w:themeColor="accent1"/>
      </w:pBdr>
    </w:pPr>
    <w:rPr>
      <w:sz w:val="24"/>
    </w:rPr>
  </w:style>
  <w:style w:type="table" w:styleId="TableGrid">
    <w:name w:val="Table Grid"/>
    <w:basedOn w:val="TableNormal"/>
    <w:uiPriority w:val="59"/>
    <w:rsid w:val="0002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21B85"/>
    <w:rPr>
      <w:sz w:val="14"/>
    </w:rPr>
  </w:style>
  <w:style w:type="numbering" w:customStyle="1" w:styleId="FigureTitles">
    <w:name w:val="Figure Titles"/>
    <w:uiPriority w:val="99"/>
    <w:rsid w:val="00021B85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021B85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021B85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021B85"/>
    <w:rPr>
      <w:b/>
      <w:bCs/>
    </w:rPr>
  </w:style>
  <w:style w:type="character" w:styleId="Emphasis">
    <w:name w:val="Emphasis"/>
    <w:basedOn w:val="DefaultParagraphFont"/>
    <w:uiPriority w:val="20"/>
    <w:qFormat/>
    <w:rsid w:val="00021B8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77B6BD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21B85"/>
    <w:pPr>
      <w:spacing w:before="20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021B85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21B85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43838A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B85"/>
    <w:rPr>
      <w:rFonts w:asciiTheme="majorHAnsi" w:eastAsiaTheme="majorEastAsia" w:hAnsiTheme="majorHAnsi" w:cstheme="majorBidi"/>
      <w:bCs/>
      <w:color w:val="43838A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B85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qFormat/>
    <w:rsid w:val="00021B85"/>
    <w:pPr>
      <w:pBdr>
        <w:top w:val="single" w:sz="4" w:space="14" w:color="F1F8F8" w:themeColor="accent1" w:themeTint="33"/>
        <w:left w:val="single" w:sz="4" w:space="14" w:color="F1F8F8" w:themeColor="accent1" w:themeTint="33"/>
        <w:bottom w:val="single" w:sz="4" w:space="14" w:color="F1F8F8" w:themeColor="accent1" w:themeTint="33"/>
        <w:right w:val="single" w:sz="4" w:space="14" w:color="F1F8F8" w:themeColor="accent1" w:themeTint="33"/>
      </w:pBdr>
      <w:shd w:val="clear" w:color="auto" w:fill="F1F8F8" w:themeFill="accent1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021B85"/>
    <w:rPr>
      <w:b/>
      <w:sz w:val="24"/>
    </w:rPr>
  </w:style>
  <w:style w:type="paragraph" w:customStyle="1" w:styleId="Boxed2Text">
    <w:name w:val="Boxed 2 Text"/>
    <w:basedOn w:val="Boxed1Text"/>
    <w:qFormat/>
    <w:rsid w:val="00021B85"/>
    <w:pPr>
      <w:pBdr>
        <w:top w:val="single" w:sz="4" w:space="14" w:color="BDDCDF" w:themeColor="accent1"/>
        <w:left w:val="single" w:sz="4" w:space="14" w:color="BDDCDF" w:themeColor="accent1"/>
        <w:bottom w:val="single" w:sz="4" w:space="14" w:color="BDDCDF" w:themeColor="accent1"/>
        <w:right w:val="single" w:sz="4" w:space="14" w:color="BDDCDF" w:themeColor="accent1"/>
      </w:pBdr>
      <w:shd w:val="clear" w:color="auto" w:fill="BDDCDF" w:themeFill="accent1"/>
    </w:pPr>
  </w:style>
  <w:style w:type="paragraph" w:customStyle="1" w:styleId="Boxed2Heading">
    <w:name w:val="Boxed 2 Heading"/>
    <w:basedOn w:val="Boxed2Text"/>
    <w:qFormat/>
    <w:rsid w:val="00021B85"/>
    <w:rPr>
      <w:b/>
      <w:sz w:val="24"/>
    </w:rPr>
  </w:style>
  <w:style w:type="character" w:styleId="PageNumber">
    <w:name w:val="page number"/>
    <w:basedOn w:val="DefaultParagraphFont"/>
    <w:uiPriority w:val="99"/>
    <w:unhideWhenUsed/>
    <w:rsid w:val="00021B85"/>
  </w:style>
  <w:style w:type="table" w:styleId="TableGridLight">
    <w:name w:val="Grid Table Light"/>
    <w:basedOn w:val="TableNormal"/>
    <w:uiPriority w:val="40"/>
    <w:rsid w:val="00021B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021B85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qFormat/>
    <w:rsid w:val="00021B85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qFormat/>
    <w:rsid w:val="00021B85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21B85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B8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1B85"/>
    <w:rPr>
      <w:vertAlign w:val="superscript"/>
    </w:rPr>
  </w:style>
  <w:style w:type="paragraph" w:customStyle="1" w:styleId="FootnoteSeparator">
    <w:name w:val="Footnote Separator"/>
    <w:basedOn w:val="Normal"/>
    <w:qFormat/>
    <w:rsid w:val="00021B85"/>
    <w:pPr>
      <w:pBdr>
        <w:top w:val="single" w:sz="2" w:space="1" w:color="auto"/>
      </w:pBd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21B85"/>
    <w:rPr>
      <w:color w:val="808080"/>
    </w:rPr>
  </w:style>
  <w:style w:type="character" w:customStyle="1" w:styleId="Classification">
    <w:name w:val="Classification"/>
    <w:basedOn w:val="DefaultParagraphFont"/>
    <w:uiPriority w:val="1"/>
    <w:qFormat/>
    <w:rsid w:val="00021B85"/>
    <w:rPr>
      <w:b/>
      <w:caps/>
      <w:smallCaps w:val="0"/>
      <w:sz w:val="24"/>
    </w:rPr>
  </w:style>
  <w:style w:type="paragraph" w:customStyle="1" w:styleId="Firstpagespace">
    <w:name w:val="First page space"/>
    <w:basedOn w:val="Normal"/>
    <w:qFormat/>
    <w:rsid w:val="005A6C78"/>
    <w:pPr>
      <w:spacing w:after="1200"/>
    </w:pPr>
  </w:style>
  <w:style w:type="paragraph" w:styleId="BodyText">
    <w:name w:val="Body Text"/>
    <w:basedOn w:val="Normal"/>
    <w:link w:val="BodyTextChar"/>
    <w:uiPriority w:val="1"/>
    <w:qFormat/>
    <w:rsid w:val="00BC6AB5"/>
    <w:pPr>
      <w:widowControl w:val="0"/>
      <w:suppressAutoHyphens w:val="0"/>
      <w:spacing w:before="0" w:after="0" w:line="240" w:lineRule="auto"/>
      <w:ind w:left="1293" w:hanging="425"/>
    </w:pPr>
    <w:rPr>
      <w:rFonts w:ascii="Calibri" w:eastAsia="Calibri" w:hAnsi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C6AB5"/>
    <w:rPr>
      <w:rFonts w:ascii="Calibri" w:eastAsia="Calibri" w:hAnsi="Calibri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BC6AB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C6AB5"/>
    <w:pPr>
      <w:widowControl w:val="0"/>
      <w:suppressAutoHyphens w:val="0"/>
      <w:spacing w:before="0"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BC6AB5"/>
    <w:rPr>
      <w:sz w:val="20"/>
      <w:szCs w:val="20"/>
      <w:lang w:val="en-US"/>
    </w:rPr>
  </w:style>
  <w:style w:type="paragraph" w:customStyle="1" w:styleId="Default">
    <w:name w:val="Default"/>
    <w:rsid w:val="00BC6A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AB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AB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31029"/>
    <w:pPr>
      <w:spacing w:after="0" w:line="240" w:lineRule="auto"/>
      <w:ind w:left="567"/>
    </w:pPr>
  </w:style>
  <w:style w:type="paragraph" w:customStyle="1" w:styleId="BodyText1">
    <w:name w:val="Body Text1"/>
    <w:basedOn w:val="Normal"/>
    <w:qFormat/>
    <w:rsid w:val="00931029"/>
    <w:pPr>
      <w:suppressAutoHyphens w:val="0"/>
      <w:spacing w:before="0" w:after="200" w:line="260" w:lineRule="exact"/>
    </w:pPr>
    <w:rPr>
      <w:rFonts w:ascii="Cambria" w:eastAsia="Times New Roman" w:hAnsi="Cambr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808996CD2146019246D2031F05F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C08E9-82F0-4806-B66A-59428F7C0270}"/>
      </w:docPartPr>
      <w:docPartBody>
        <w:p w:rsidR="00A60ABE" w:rsidRDefault="00751FB6" w:rsidP="00751FB6">
          <w:pPr>
            <w:pStyle w:val="9D808996CD2146019246D2031F05F10B"/>
          </w:pPr>
          <w:r w:rsidRPr="006009C9">
            <w:rPr>
              <w:rStyle w:val="PlaceholderText"/>
            </w:rPr>
            <w:t>[Status]</w:t>
          </w:r>
        </w:p>
      </w:docPartBody>
    </w:docPart>
    <w:docPart>
      <w:docPartPr>
        <w:name w:val="85FCF50EFA584C32A9291D76744CD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7575D-38F6-42DA-B1C8-F6AC6B3FB305}"/>
      </w:docPartPr>
      <w:docPartBody>
        <w:p w:rsidR="00A60ABE" w:rsidRDefault="00751FB6" w:rsidP="00751FB6">
          <w:pPr>
            <w:pStyle w:val="85FCF50EFA584C32A9291D76744CD17A"/>
          </w:pPr>
          <w:r w:rsidRPr="006009C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B6"/>
    <w:rsid w:val="00751FB6"/>
    <w:rsid w:val="0096476C"/>
    <w:rsid w:val="00A60ABE"/>
    <w:rsid w:val="00D60D6E"/>
    <w:rsid w:val="00DC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FB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1FB6"/>
    <w:rPr>
      <w:color w:val="808080"/>
    </w:rPr>
  </w:style>
  <w:style w:type="paragraph" w:customStyle="1" w:styleId="9D808996CD2146019246D2031F05F10B">
    <w:name w:val="9D808996CD2146019246D2031F05F10B"/>
    <w:rsid w:val="00751FB6"/>
  </w:style>
  <w:style w:type="paragraph" w:customStyle="1" w:styleId="5C4B31DB2C8C4092A163BC9FC728C771">
    <w:name w:val="5C4B31DB2C8C4092A163BC9FC728C771"/>
    <w:rsid w:val="00751FB6"/>
  </w:style>
  <w:style w:type="paragraph" w:customStyle="1" w:styleId="85FCF50EFA584C32A9291D76744CD17A">
    <w:name w:val="85FCF50EFA584C32A9291D76744CD17A"/>
    <w:rsid w:val="00751F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Finance 1 Blue">
  <a:themeElements>
    <a:clrScheme name="Finance - Blue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BDDCDF"/>
      </a:accent1>
      <a:accent2>
        <a:srgbClr val="BBBADB"/>
      </a:accent2>
      <a:accent3>
        <a:srgbClr val="E6E4BA"/>
      </a:accent3>
      <a:accent4>
        <a:srgbClr val="D78B83"/>
      </a:accent4>
      <a:accent5>
        <a:srgbClr val="BEBFC0"/>
      </a:accent5>
      <a:accent6>
        <a:srgbClr val="ED7D31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75879E95-76ED-4952-8793-7BDF17E91F97}" vid="{CD9CE17E-63B8-45F8-B600-89410B4EF6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2B33B-D026-4F74-BC9A-FA7E6635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FF3CA342</Template>
  <TotalTime>0</TotalTime>
  <Pages>2</Pages>
  <Words>585</Words>
  <Characters>3340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Power, Jade</cp:lastModifiedBy>
  <cp:revision>2</cp:revision>
  <cp:lastPrinted>2013-10-29T09:49:00Z</cp:lastPrinted>
  <dcterms:created xsi:type="dcterms:W3CDTF">2019-11-06T04:47:00Z</dcterms:created>
  <dcterms:modified xsi:type="dcterms:W3CDTF">2019-11-06T04:47:00Z</dcterms:modified>
  <cp:contentStatus/>
</cp:coreProperties>
</file>