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7271" w:rsidRPr="00833154" w:rsidRDefault="00757271" w:rsidP="0075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154">
        <w:rPr>
          <w:rFonts w:ascii="Times New Roman" w:hAnsi="Times New Roman" w:cs="Times New Roman"/>
          <w:sz w:val="24"/>
          <w:szCs w:val="24"/>
        </w:rPr>
        <w:t>Mr Chris Jordan AO</w:t>
      </w:r>
    </w:p>
    <w:p w:rsidR="00757271" w:rsidRPr="00833154" w:rsidRDefault="00757271" w:rsidP="0075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of Taxation</w:t>
      </w:r>
    </w:p>
    <w:p w:rsidR="00757271" w:rsidRPr="00833154" w:rsidRDefault="00757271" w:rsidP="0075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154">
        <w:rPr>
          <w:rFonts w:ascii="Times New Roman" w:hAnsi="Times New Roman" w:cs="Times New Roman"/>
          <w:sz w:val="24"/>
          <w:szCs w:val="24"/>
        </w:rPr>
        <w:t>Australian Taxation Office</w:t>
      </w:r>
    </w:p>
    <w:p w:rsidR="00757271" w:rsidRDefault="00757271" w:rsidP="0075727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9977</w:t>
      </w:r>
    </w:p>
    <w:p w:rsidR="00757271" w:rsidRPr="00C877AE" w:rsidRDefault="00757271" w:rsidP="0075727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Civic Square ACT 2608</w:t>
      </w:r>
      <w:r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</w:p>
    <w:p w:rsidR="00757271" w:rsidRDefault="00757271" w:rsidP="0075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71" w:rsidRDefault="00757271" w:rsidP="0075727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57271" w:rsidRPr="00F724AC" w:rsidRDefault="00757271" w:rsidP="0075727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Mr Jordan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757271">
        <w:rPr>
          <w:rFonts w:ascii="Times New Roman" w:hAnsi="Times New Roman" w:cs="Times New Roman"/>
          <w:b/>
          <w:caps/>
          <w:sz w:val="24"/>
          <w:szCs w:val="24"/>
        </w:rPr>
        <w:t>PHOENIX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57271">
        <w:rPr>
          <w:rFonts w:ascii="Times New Roman" w:hAnsi="Times New Roman" w:cs="Times New Roman"/>
          <w:b/>
          <w:caps/>
          <w:sz w:val="24"/>
          <w:szCs w:val="24"/>
        </w:rPr>
        <w:t>2018</w:t>
      </w:r>
      <w:r w:rsidR="0030788E">
        <w:rPr>
          <w:rFonts w:ascii="Times New Roman" w:hAnsi="Times New Roman" w:cs="Times New Roman"/>
          <w:b/>
          <w:caps/>
          <w:sz w:val="24"/>
          <w:szCs w:val="24"/>
        </w:rPr>
        <w:t>–19</w:t>
      </w:r>
      <w:r w:rsidR="007572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C2E47">
        <w:rPr>
          <w:rFonts w:ascii="Times New Roman" w:hAnsi="Times New Roman" w:cs="Times New Roman"/>
          <w:b/>
          <w:caps/>
          <w:sz w:val="24"/>
          <w:szCs w:val="24"/>
        </w:rPr>
        <w:t xml:space="preserve">(phase </w:t>
      </w:r>
      <w:r w:rsidR="00447A40">
        <w:rPr>
          <w:rFonts w:ascii="Times New Roman" w:hAnsi="Times New Roman" w:cs="Times New Roman"/>
          <w:b/>
          <w:caps/>
          <w:sz w:val="24"/>
          <w:szCs w:val="24"/>
        </w:rPr>
        <w:t>1.1</w:t>
      </w:r>
      <w:r w:rsidR="005C2E47">
        <w:rPr>
          <w:rFonts w:ascii="Times New Roman" w:hAnsi="Times New Roman" w:cs="Times New Roman"/>
          <w:b/>
          <w:caps/>
          <w:sz w:val="24"/>
          <w:szCs w:val="24"/>
        </w:rPr>
        <w:t xml:space="preserve">)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447A40">
        <w:rPr>
          <w:rFonts w:ascii="Times New Roman" w:hAnsi="Times New Roman" w:cs="Times New Roman"/>
          <w:sz w:val="24"/>
          <w:szCs w:val="24"/>
        </w:rPr>
        <w:t>27 November</w:t>
      </w:r>
      <w:r w:rsidR="00757271">
        <w:rPr>
          <w:rFonts w:ascii="Times New Roman" w:hAnsi="Times New Roman" w:cs="Times New Roman"/>
          <w:sz w:val="24"/>
          <w:szCs w:val="24"/>
        </w:rPr>
        <w:t xml:space="preserve"> 2018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757271">
        <w:rPr>
          <w:rFonts w:ascii="Times New Roman" w:hAnsi="Times New Roman" w:cs="Times New Roman"/>
          <w:sz w:val="24"/>
          <w:szCs w:val="24"/>
        </w:rPr>
        <w:t>Phoenix 2018</w:t>
      </w:r>
      <w:r w:rsidR="0030788E">
        <w:rPr>
          <w:rFonts w:ascii="Times New Roman" w:hAnsi="Times New Roman" w:cs="Times New Roman"/>
          <w:sz w:val="24"/>
          <w:szCs w:val="24"/>
        </w:rPr>
        <w:t>–19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5C2E47">
        <w:rPr>
          <w:rFonts w:ascii="Times New Roman" w:hAnsi="Times New Roman" w:cs="Times New Roman"/>
          <w:sz w:val="24"/>
          <w:szCs w:val="24"/>
        </w:rPr>
        <w:t xml:space="preserve">(Phase </w:t>
      </w:r>
      <w:r w:rsidR="00447A40">
        <w:rPr>
          <w:rFonts w:ascii="Times New Roman" w:hAnsi="Times New Roman" w:cs="Times New Roman"/>
          <w:sz w:val="24"/>
          <w:szCs w:val="24"/>
        </w:rPr>
        <w:t>1.1</w:t>
      </w:r>
      <w:r w:rsidR="005C2E47">
        <w:rPr>
          <w:rFonts w:ascii="Times New Roman" w:hAnsi="Times New Roman" w:cs="Times New Roman"/>
          <w:sz w:val="24"/>
          <w:szCs w:val="24"/>
        </w:rPr>
        <w:t xml:space="preserve">)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757271">
        <w:rPr>
          <w:rFonts w:ascii="Times New Roman" w:hAnsi="Times New Roman" w:cs="Times New Roman"/>
          <w:sz w:val="24"/>
          <w:szCs w:val="24"/>
        </w:rPr>
        <w:t xml:space="preserve">the Australian Taxation Office. </w:t>
      </w:r>
      <w:r w:rsidR="00A0392C">
        <w:rPr>
          <w:rFonts w:ascii="Times New Roman" w:hAnsi="Times New Roman" w:cs="Times New Roman"/>
          <w:sz w:val="24"/>
          <w:szCs w:val="24"/>
        </w:rPr>
        <w:t xml:space="preserve">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F3203D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>research</w:t>
      </w:r>
      <w:r w:rsidR="00540FFE">
        <w:rPr>
          <w:rFonts w:ascii="Times New Roman" w:hAnsi="Times New Roman" w:cs="Times New Roman"/>
        </w:rPr>
        <w:t>/industry data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</w:t>
      </w:r>
      <w:r w:rsidR="00497415" w:rsidRPr="00902DF5">
        <w:rPr>
          <w:rFonts w:ascii="Times New Roman" w:hAnsi="Times New Roman" w:cs="Times New Roman"/>
          <w:sz w:val="24"/>
          <w:szCs w:val="24"/>
        </w:rPr>
        <w:t>materials</w:t>
      </w:r>
      <w:r w:rsidR="00497415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757271">
        <w:rPr>
          <w:rFonts w:ascii="Times New Roman" w:hAnsi="Times New Roman" w:cs="Times New Roman"/>
          <w:sz w:val="24"/>
          <w:szCs w:val="24"/>
        </w:rPr>
        <w:t>Phoenix 2018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</w:t>
      </w:r>
      <w:r w:rsidR="005C2E47">
        <w:rPr>
          <w:rFonts w:ascii="Times New Roman" w:hAnsi="Times New Roman" w:cs="Times New Roman"/>
          <w:sz w:val="24"/>
          <w:szCs w:val="24"/>
        </w:rPr>
        <w:t xml:space="preserve">(Phase </w:t>
      </w:r>
      <w:r w:rsidR="00447A40">
        <w:rPr>
          <w:rFonts w:ascii="Times New Roman" w:hAnsi="Times New Roman" w:cs="Times New Roman"/>
          <w:sz w:val="24"/>
          <w:szCs w:val="24"/>
        </w:rPr>
        <w:t>1.1</w:t>
      </w:r>
      <w:r w:rsidR="005C2E47">
        <w:rPr>
          <w:rFonts w:ascii="Times New Roman" w:hAnsi="Times New Roman" w:cs="Times New Roman"/>
          <w:sz w:val="24"/>
          <w:szCs w:val="24"/>
        </w:rPr>
        <w:t xml:space="preserve">)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0A137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447A4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313CB1" w:rsidRDefault="000A137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="00447A40">
        <w:rPr>
          <w:rFonts w:ascii="Times New Roman" w:hAnsi="Times New Roman" w:cs="Times New Roman"/>
          <w:sz w:val="24"/>
          <w:szCs w:val="24"/>
        </w:rPr>
        <w:t>November</w:t>
      </w:r>
      <w:r w:rsidR="00757271">
        <w:rPr>
          <w:rFonts w:ascii="Times New Roman" w:hAnsi="Times New Roman" w:cs="Times New Roman"/>
          <w:sz w:val="24"/>
          <w:szCs w:val="24"/>
        </w:rPr>
        <w:t xml:space="preserve"> 2018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C9" w:rsidRDefault="00DE19C9" w:rsidP="00FF01B4">
      <w:pPr>
        <w:spacing w:after="0" w:line="240" w:lineRule="auto"/>
      </w:pPr>
      <w:r>
        <w:separator/>
      </w:r>
    </w:p>
  </w:endnote>
  <w:endnote w:type="continuationSeparator" w:id="0">
    <w:p w:rsidR="00DE19C9" w:rsidRDefault="00DE19C9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C9" w:rsidRDefault="00DE19C9" w:rsidP="00FF01B4">
      <w:pPr>
        <w:spacing w:after="0" w:line="240" w:lineRule="auto"/>
      </w:pPr>
      <w:r>
        <w:separator/>
      </w:r>
    </w:p>
  </w:footnote>
  <w:footnote w:type="continuationSeparator" w:id="0">
    <w:p w:rsidR="00DE19C9" w:rsidRDefault="00DE19C9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A1378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0788E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14DF"/>
    <w:rsid w:val="004324DE"/>
    <w:rsid w:val="00440A11"/>
    <w:rsid w:val="00444EFC"/>
    <w:rsid w:val="00447A40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0FFE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2E47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57271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902DF5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D16FC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36A28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19C9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FB4129-6B85-4951-AE3C-6104F55C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296A15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847EBB-86AA-4077-AD73-EC19D48E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BB36EE5C.dotm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2019-11-11T04:54:00Z</dcterms:created>
  <dcterms:modified xsi:type="dcterms:W3CDTF">2019-11-11T04:54:00Z</dcterms:modified>
</cp:coreProperties>
</file>