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64"/>
        <w:ind w:left="2890" w:right="2888" w:firstLine="0"/>
        <w:jc w:val="center"/>
        <w:rPr>
          <w:rFonts w:ascii="Arial" w:hAnsi="Arial" w:cs="Arial" w:eastAsia="Arial"/>
          <w:sz w:val="42"/>
          <w:szCs w:val="42"/>
        </w:rPr>
      </w:pPr>
      <w:r>
        <w:rPr>
          <w:rFonts w:ascii="Arial"/>
          <w:b/>
          <w:sz w:val="52"/>
        </w:rPr>
        <w:t>U</w:t>
      </w:r>
      <w:r>
        <w:rPr>
          <w:rFonts w:ascii="Arial"/>
          <w:b/>
          <w:sz w:val="42"/>
        </w:rPr>
        <w:t>SER</w:t>
      </w:r>
      <w:r>
        <w:rPr>
          <w:rFonts w:ascii="Arial"/>
          <w:b/>
          <w:spacing w:val="-2"/>
          <w:sz w:val="42"/>
        </w:rPr>
        <w:t> </w:t>
      </w:r>
      <w:r>
        <w:rPr>
          <w:rFonts w:ascii="Arial"/>
          <w:b/>
          <w:sz w:val="52"/>
        </w:rPr>
        <w:t>G</w:t>
      </w:r>
      <w:r>
        <w:rPr>
          <w:rFonts w:ascii="Arial"/>
          <w:b/>
          <w:sz w:val="42"/>
        </w:rPr>
        <w:t>UIDE</w:t>
      </w:r>
      <w:r>
        <w:rPr>
          <w:rFonts w:ascii="Arial"/>
          <w:b/>
          <w:sz w:val="42"/>
        </w:rPr>
        <w:t> </w:t>
      </w:r>
      <w:r>
        <w:rPr>
          <w:rFonts w:ascii="Arial"/>
          <w:b/>
          <w:spacing w:val="-5"/>
          <w:sz w:val="52"/>
        </w:rPr>
        <w:t>T</w:t>
      </w:r>
      <w:r>
        <w:rPr>
          <w:rFonts w:ascii="Arial"/>
          <w:b/>
          <w:spacing w:val="-5"/>
          <w:sz w:val="42"/>
        </w:rPr>
        <w:t>O</w:t>
      </w:r>
      <w:r>
        <w:rPr>
          <w:rFonts w:ascii="Arial"/>
          <w:b/>
          <w:spacing w:val="1"/>
          <w:sz w:val="42"/>
        </w:rPr>
        <w:t> </w:t>
      </w:r>
      <w:r>
        <w:rPr>
          <w:rFonts w:ascii="Arial"/>
          <w:b/>
          <w:sz w:val="52"/>
        </w:rPr>
        <w:t>T</w:t>
      </w:r>
      <w:r>
        <w:rPr>
          <w:rFonts w:ascii="Arial"/>
          <w:b/>
          <w:sz w:val="42"/>
        </w:rPr>
        <w:t>HE</w:t>
      </w:r>
      <w:r>
        <w:rPr>
          <w:rFonts w:ascii="Arial"/>
          <w:sz w:val="42"/>
        </w:rPr>
      </w:r>
    </w:p>
    <w:p>
      <w:pPr>
        <w:pStyle w:val="Heading1"/>
        <w:spacing w:line="598" w:lineRule="exact"/>
        <w:ind w:right="533"/>
        <w:jc w:val="center"/>
        <w:rPr>
          <w:b w:val="0"/>
          <w:bCs w:val="0"/>
        </w:rPr>
      </w:pPr>
      <w:r>
        <w:rPr>
          <w:sz w:val="52"/>
        </w:rPr>
        <w:t>P</w:t>
      </w:r>
      <w:r>
        <w:rPr/>
        <w:t>ORTFOLIO </w:t>
      </w:r>
      <w:r>
        <w:rPr>
          <w:sz w:val="52"/>
        </w:rPr>
        <w:t>B</w:t>
      </w:r>
      <w:r>
        <w:rPr/>
        <w:t>UDGET</w:t>
      </w:r>
      <w:r>
        <w:rPr>
          <w:spacing w:val="1"/>
        </w:rPr>
        <w:t> </w:t>
      </w:r>
      <w:r>
        <w:rPr>
          <w:spacing w:val="-7"/>
          <w:sz w:val="52"/>
        </w:rPr>
        <w:t>S</w:t>
      </w:r>
      <w:r>
        <w:rPr>
          <w:spacing w:val="-7"/>
        </w:rPr>
        <w:t>TATEMENTS</w:t>
      </w:r>
      <w:r>
        <w:rPr>
          <w:b w:val="0"/>
          <w:spacing w:val="-7"/>
        </w:rPr>
      </w:r>
    </w:p>
    <w:p>
      <w:pPr>
        <w:spacing w:after="0" w:line="598" w:lineRule="exact"/>
        <w:jc w:val="center"/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/>
        <w:ind w:left="2890" w:right="2886"/>
        <w:jc w:val="center"/>
        <w:rPr>
          <w:b w:val="0"/>
          <w:bCs w:val="0"/>
        </w:rPr>
      </w:pPr>
      <w:r>
        <w:rPr>
          <w:sz w:val="34"/>
        </w:rPr>
        <w:t>U</w:t>
      </w:r>
      <w:r>
        <w:rPr/>
        <w:t>SER</w:t>
      </w:r>
      <w:r>
        <w:rPr>
          <w:spacing w:val="-2"/>
        </w:rPr>
        <w:t> </w:t>
      </w:r>
      <w:r>
        <w:rPr/>
        <w:t>GUIDE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52" w:lineRule="auto"/>
        <w:ind w:left="418" w:right="416" w:firstLine="0"/>
        <w:jc w:val="both"/>
      </w:pPr>
      <w:r>
        <w:rPr/>
        <w:t>The</w:t>
      </w:r>
      <w:r>
        <w:rPr>
          <w:spacing w:val="37"/>
        </w:rPr>
        <w:t> </w:t>
      </w:r>
      <w:r>
        <w:rPr/>
        <w:t>purpose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rFonts w:ascii="Book Antiqua"/>
          <w:i/>
        </w:rPr>
        <w:t>2018-19</w:t>
      </w:r>
      <w:r>
        <w:rPr>
          <w:rFonts w:ascii="Book Antiqua"/>
          <w:i/>
          <w:spacing w:val="38"/>
        </w:rPr>
        <w:t> </w:t>
      </w:r>
      <w:r>
        <w:rPr>
          <w:rFonts w:ascii="Book Antiqua"/>
          <w:i/>
        </w:rPr>
        <w:t>Portfolio</w:t>
      </w:r>
      <w:r>
        <w:rPr>
          <w:rFonts w:ascii="Book Antiqua"/>
          <w:i/>
          <w:spacing w:val="37"/>
        </w:rPr>
        <w:t> </w:t>
      </w:r>
      <w:r>
        <w:rPr>
          <w:rFonts w:ascii="Book Antiqua"/>
          <w:i/>
        </w:rPr>
        <w:t>Budget</w:t>
      </w:r>
      <w:r>
        <w:rPr>
          <w:rFonts w:ascii="Book Antiqua"/>
          <w:i/>
          <w:spacing w:val="35"/>
        </w:rPr>
        <w:t> </w:t>
      </w:r>
      <w:r>
        <w:rPr>
          <w:rFonts w:ascii="Book Antiqua"/>
          <w:i/>
        </w:rPr>
        <w:t>Statements</w:t>
      </w:r>
      <w:r>
        <w:rPr>
          <w:rFonts w:ascii="Book Antiqua"/>
          <w:i/>
          <w:spacing w:val="39"/>
        </w:rPr>
        <w:t> </w:t>
      </w:r>
      <w:r>
        <w:rPr/>
        <w:t>(PB</w:t>
      </w:r>
      <w:r>
        <w:rPr>
          <w:spacing w:val="37"/>
        </w:rPr>
        <w:t> </w:t>
      </w:r>
      <w:r>
        <w:rPr/>
        <w:t>Statements)</w:t>
      </w:r>
      <w:r>
        <w:rPr>
          <w:spacing w:val="37"/>
        </w:rPr>
        <w:t> </w:t>
      </w:r>
      <w:r>
        <w:rPr/>
        <w:t>is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inform</w:t>
      </w:r>
      <w:r>
        <w:rPr>
          <w:w w:val="99"/>
        </w:rPr>
        <w:t> </w:t>
      </w:r>
      <w:r>
        <w:rPr/>
        <w:t>Senators and Members of Parliament of the proposed allocation of resources</w:t>
      </w:r>
      <w:r>
        <w:rPr>
          <w:spacing w:val="12"/>
        </w:rPr>
        <w:t> </w:t>
      </w:r>
      <w:r>
        <w:rPr/>
        <w:t>to</w:t>
      </w:r>
      <w:r>
        <w:rPr>
          <w:spacing w:val="-1"/>
          <w:w w:val="99"/>
        </w:rPr>
        <w:t> </w:t>
      </w:r>
      <w:r>
        <w:rPr/>
        <w:t>government outcomes by entities within the portfolio. Entities receive resources</w:t>
      </w:r>
      <w:r>
        <w:rPr>
          <w:spacing w:val="48"/>
        </w:rPr>
        <w:t> </w:t>
      </w:r>
      <w:r>
        <w:rPr/>
        <w:t>from</w:t>
      </w:r>
      <w:r>
        <w:rPr>
          <w:w w:val="99"/>
        </w:rPr>
        <w:t> </w:t>
      </w:r>
      <w:r>
        <w:rPr/>
        <w:t>the annual appropriations, special appropriations (including standing</w:t>
      </w:r>
      <w:r>
        <w:rPr>
          <w:spacing w:val="38"/>
        </w:rPr>
        <w:t> </w:t>
      </w:r>
      <w:r>
        <w:rPr/>
        <w:t>appropriations</w:t>
      </w:r>
      <w:r>
        <w:rPr>
          <w:w w:val="99"/>
        </w:rPr>
        <w:t> </w:t>
      </w:r>
      <w:r>
        <w:rPr/>
        <w:t>and special accounts) and revenue from other</w:t>
      </w:r>
      <w:r>
        <w:rPr>
          <w:spacing w:val="-18"/>
        </w:rPr>
        <w:t> </w:t>
      </w:r>
      <w:r>
        <w:rPr/>
        <w:t>sources.</w:t>
      </w:r>
    </w:p>
    <w:p>
      <w:pPr>
        <w:spacing w:line="240" w:lineRule="auto" w:before="2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BodyText"/>
        <w:spacing w:line="252" w:lineRule="auto"/>
        <w:ind w:left="418" w:right="417" w:firstLine="0"/>
        <w:jc w:val="both"/>
      </w:pPr>
      <w:r>
        <w:rPr/>
        <w:t>A</w:t>
      </w:r>
      <w:r>
        <w:rPr>
          <w:spacing w:val="14"/>
        </w:rPr>
        <w:t> </w:t>
      </w:r>
      <w:r>
        <w:rPr/>
        <w:t>key</w:t>
      </w:r>
      <w:r>
        <w:rPr>
          <w:spacing w:val="14"/>
        </w:rPr>
        <w:t> </w:t>
      </w:r>
      <w:r>
        <w:rPr/>
        <w:t>role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PB</w:t>
      </w:r>
      <w:r>
        <w:rPr>
          <w:spacing w:val="14"/>
        </w:rPr>
        <w:t> </w:t>
      </w:r>
      <w:r>
        <w:rPr/>
        <w:t>Statements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facilitate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understanding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proposed</w:t>
      </w:r>
      <w:r>
        <w:rPr>
          <w:spacing w:val="14"/>
        </w:rPr>
        <w:t> </w:t>
      </w:r>
      <w:r>
        <w:rPr/>
        <w:t>annual</w:t>
      </w:r>
      <w:r>
        <w:rPr>
          <w:w w:val="99"/>
        </w:rPr>
        <w:t> </w:t>
      </w:r>
      <w:r>
        <w:rPr/>
        <w:t>appropriations in Appropriation Bills (No. 1 and No. 2) 2018-19 (or</w:t>
      </w:r>
      <w:r>
        <w:rPr>
          <w:spacing w:val="34"/>
        </w:rPr>
        <w:t> </w:t>
      </w:r>
      <w:r>
        <w:rPr/>
        <w:t>Appropriation</w:t>
      </w:r>
      <w:r>
        <w:rPr>
          <w:w w:val="99"/>
        </w:rPr>
        <w:t> </w:t>
      </w:r>
      <w:r>
        <w:rPr/>
        <w:t>(Parliamentary Departments) Bill </w:t>
      </w:r>
      <w:r>
        <w:rPr>
          <w:rFonts w:ascii="Book Antiqua" w:hAnsi="Book Antiqua" w:cs="Book Antiqua" w:eastAsia="Book Antiqua"/>
          <w:i/>
        </w:rPr>
        <w:t>(</w:t>
      </w:r>
      <w:r>
        <w:rPr/>
        <w:t>No. 1) 2018-19 for the parliamentary</w:t>
      </w:r>
      <w:r>
        <w:rPr>
          <w:spacing w:val="37"/>
        </w:rPr>
        <w:t> </w:t>
      </w:r>
      <w:r>
        <w:rPr/>
        <w:t>departments).</w:t>
      </w:r>
      <w:r>
        <w:rPr>
          <w:w w:val="99"/>
        </w:rPr>
        <w:t> </w:t>
      </w:r>
      <w:r>
        <w:rPr/>
        <w:t>In</w:t>
      </w:r>
      <w:r>
        <w:rPr>
          <w:spacing w:val="31"/>
        </w:rPr>
        <w:t> </w:t>
      </w:r>
      <w:r>
        <w:rPr/>
        <w:t>this</w:t>
      </w:r>
      <w:r>
        <w:rPr>
          <w:spacing w:val="31"/>
        </w:rPr>
        <w:t> </w:t>
      </w:r>
      <w:r>
        <w:rPr/>
        <w:t>sense,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PB</w:t>
      </w:r>
      <w:r>
        <w:rPr>
          <w:spacing w:val="32"/>
        </w:rPr>
        <w:t> </w:t>
      </w:r>
      <w:r>
        <w:rPr/>
        <w:t>Statements</w:t>
      </w:r>
      <w:r>
        <w:rPr>
          <w:spacing w:val="31"/>
        </w:rPr>
        <w:t> </w:t>
      </w:r>
      <w:r>
        <w:rPr/>
        <w:t>are</w:t>
      </w:r>
      <w:r>
        <w:rPr>
          <w:spacing w:val="32"/>
        </w:rPr>
        <w:t> </w:t>
      </w:r>
      <w:r>
        <w:rPr/>
        <w:t>Budget</w:t>
      </w:r>
      <w:r>
        <w:rPr>
          <w:spacing w:val="31"/>
        </w:rPr>
        <w:t> </w:t>
      </w:r>
      <w:r>
        <w:rPr/>
        <w:t>related</w:t>
      </w:r>
      <w:r>
        <w:rPr>
          <w:spacing w:val="35"/>
        </w:rPr>
        <w:t> </w:t>
      </w:r>
      <w:r>
        <w:rPr/>
        <w:t>papers</w:t>
      </w:r>
      <w:r>
        <w:rPr>
          <w:spacing w:val="31"/>
        </w:rPr>
        <w:t> </w:t>
      </w:r>
      <w:r>
        <w:rPr/>
        <w:t>and</w:t>
      </w:r>
      <w:r>
        <w:rPr>
          <w:spacing w:val="32"/>
        </w:rPr>
        <w:t> </w:t>
      </w:r>
      <w:r>
        <w:rPr/>
        <w:t>are</w:t>
      </w:r>
      <w:r>
        <w:rPr>
          <w:spacing w:val="32"/>
        </w:rPr>
        <w:t> </w:t>
      </w:r>
      <w:r>
        <w:rPr/>
        <w:t>declared</w:t>
      </w:r>
      <w:r>
        <w:rPr>
          <w:spacing w:val="32"/>
        </w:rPr>
        <w:t> </w:t>
      </w:r>
      <w:r>
        <w:rPr/>
        <w:t>by</w:t>
      </w:r>
      <w:r>
        <w:rPr>
          <w:spacing w:val="31"/>
        </w:rPr>
        <w:t> </w:t>
      </w:r>
      <w:r>
        <w:rPr/>
        <w:t>the</w:t>
      </w:r>
      <w:r>
        <w:rPr>
          <w:w w:val="99"/>
        </w:rPr>
        <w:t> </w:t>
      </w:r>
      <w:r>
        <w:rPr/>
        <w:t>Appropriati</w:t>
      </w:r>
      <w:r>
        <w:rPr>
          <w:rFonts w:ascii="Book Antiqua" w:hAnsi="Book Antiqua" w:cs="Book Antiqua" w:eastAsia="Book Antiqua"/>
        </w:rPr>
        <w:t>on Acts to be ‘relevant documents’ to the interpretation of the</w:t>
      </w:r>
      <w:r>
        <w:rPr>
          <w:rFonts w:ascii="Book Antiqua" w:hAnsi="Book Antiqua" w:cs="Book Antiqua" w:eastAsia="Book Antiqua"/>
          <w:spacing w:val="33"/>
        </w:rPr>
        <w:t> </w:t>
      </w:r>
      <w:r>
        <w:rPr>
          <w:rFonts w:ascii="Book Antiqua" w:hAnsi="Book Antiqua" w:cs="Book Antiqua" w:eastAsia="Book Antiqua"/>
        </w:rPr>
        <w:t>Acts</w:t>
      </w:r>
      <w:r>
        <w:rPr>
          <w:rFonts w:ascii="Book Antiqua" w:hAnsi="Book Antiqua" w:cs="Book Antiqua" w:eastAsia="Book Antiqua"/>
          <w:w w:val="99"/>
        </w:rPr>
        <w:t> </w:t>
      </w:r>
      <w:r>
        <w:rPr/>
        <w:t>according to section 15AB of the </w:t>
      </w:r>
      <w:r>
        <w:rPr>
          <w:rFonts w:ascii="Book Antiqua" w:hAnsi="Book Antiqua" w:cs="Book Antiqua" w:eastAsia="Book Antiqua"/>
          <w:i/>
        </w:rPr>
        <w:t>Acts Interpretation Act</w:t>
      </w:r>
      <w:r>
        <w:rPr>
          <w:rFonts w:ascii="Book Antiqua" w:hAnsi="Book Antiqua" w:cs="Book Antiqua" w:eastAsia="Book Antiqua"/>
          <w:i/>
          <w:spacing w:val="-16"/>
        </w:rPr>
        <w:t> </w:t>
      </w:r>
      <w:r>
        <w:rPr>
          <w:rFonts w:ascii="Book Antiqua" w:hAnsi="Book Antiqua" w:cs="Book Antiqua" w:eastAsia="Book Antiqua"/>
          <w:i/>
        </w:rPr>
        <w:t>1901</w:t>
      </w:r>
      <w:r>
        <w:rPr/>
        <w:t>.</w:t>
      </w:r>
    </w:p>
    <w:p>
      <w:pPr>
        <w:spacing w:line="240" w:lineRule="auto" w:before="2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BodyText"/>
        <w:spacing w:line="249" w:lineRule="auto"/>
        <w:ind w:left="418" w:right="424" w:firstLine="0"/>
        <w:jc w:val="both"/>
      </w:pPr>
      <w:r>
        <w:rPr/>
        <w:t>The PB Statements provide information, explanation and justification to</w:t>
      </w:r>
      <w:r>
        <w:rPr>
          <w:spacing w:val="3"/>
        </w:rPr>
        <w:t> </w:t>
      </w:r>
      <w:r>
        <w:rPr/>
        <w:t>enable</w:t>
      </w:r>
      <w:r>
        <w:rPr>
          <w:spacing w:val="-1"/>
          <w:w w:val="99"/>
        </w:rPr>
        <w:t> </w:t>
      </w:r>
      <w:r>
        <w:rPr/>
        <w:t>Parliament to understand the purpose of each outcome proposed in the</w:t>
      </w:r>
      <w:r>
        <w:rPr>
          <w:spacing w:val="-24"/>
        </w:rPr>
        <w:t> </w:t>
      </w:r>
      <w:r>
        <w:rPr/>
        <w:t>Bills.</w:t>
      </w:r>
    </w:p>
    <w:p>
      <w:pPr>
        <w:spacing w:line="240" w:lineRule="auto" w:before="7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BodyText"/>
        <w:spacing w:line="252" w:lineRule="auto"/>
        <w:ind w:left="418" w:right="415" w:firstLine="0"/>
        <w:jc w:val="both"/>
      </w:pPr>
      <w:r>
        <w:rPr/>
        <w:t>As</w:t>
      </w:r>
      <w:r>
        <w:rPr>
          <w:spacing w:val="25"/>
        </w:rPr>
        <w:t> </w:t>
      </w:r>
      <w:r>
        <w:rPr/>
        <w:t>required</w:t>
      </w:r>
      <w:r>
        <w:rPr>
          <w:spacing w:val="26"/>
        </w:rPr>
        <w:t> </w:t>
      </w:r>
      <w:r>
        <w:rPr/>
        <w:t>under</w:t>
      </w:r>
      <w:r>
        <w:rPr>
          <w:spacing w:val="27"/>
        </w:rPr>
        <w:t> </w:t>
      </w:r>
      <w:r>
        <w:rPr/>
        <w:t>section</w:t>
      </w:r>
      <w:r>
        <w:rPr>
          <w:spacing w:val="27"/>
        </w:rPr>
        <w:t> </w:t>
      </w:r>
      <w:r>
        <w:rPr/>
        <w:t>12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30"/>
        </w:rPr>
        <w:t> </w:t>
      </w:r>
      <w:r>
        <w:rPr>
          <w:rFonts w:ascii="Book Antiqua"/>
          <w:i/>
        </w:rPr>
        <w:t>Charter</w:t>
      </w:r>
      <w:r>
        <w:rPr>
          <w:rFonts w:ascii="Book Antiqua"/>
          <w:i/>
          <w:spacing w:val="25"/>
        </w:rPr>
        <w:t> </w:t>
      </w:r>
      <w:r>
        <w:rPr>
          <w:rFonts w:ascii="Book Antiqua"/>
          <w:i/>
        </w:rPr>
        <w:t>of</w:t>
      </w:r>
      <w:r>
        <w:rPr>
          <w:rFonts w:ascii="Book Antiqua"/>
          <w:i/>
          <w:spacing w:val="26"/>
        </w:rPr>
        <w:t> </w:t>
      </w:r>
      <w:r>
        <w:rPr>
          <w:rFonts w:ascii="Book Antiqua"/>
          <w:i/>
        </w:rPr>
        <w:t>Budget</w:t>
      </w:r>
      <w:r>
        <w:rPr>
          <w:rFonts w:ascii="Book Antiqua"/>
          <w:i/>
          <w:spacing w:val="26"/>
        </w:rPr>
        <w:t> </w:t>
      </w:r>
      <w:r>
        <w:rPr>
          <w:rFonts w:ascii="Book Antiqua"/>
          <w:i/>
        </w:rPr>
        <w:t>Honesty</w:t>
      </w:r>
      <w:r>
        <w:rPr>
          <w:rFonts w:ascii="Book Antiqua"/>
          <w:i/>
          <w:spacing w:val="27"/>
        </w:rPr>
        <w:t> </w:t>
      </w:r>
      <w:r>
        <w:rPr>
          <w:rFonts w:ascii="Book Antiqua"/>
          <w:i/>
        </w:rPr>
        <w:t>Act</w:t>
      </w:r>
      <w:r>
        <w:rPr>
          <w:rFonts w:ascii="Book Antiqua"/>
          <w:i/>
          <w:spacing w:val="26"/>
        </w:rPr>
        <w:t> </w:t>
      </w:r>
      <w:r>
        <w:rPr>
          <w:rFonts w:ascii="Book Antiqua"/>
          <w:i/>
        </w:rPr>
        <w:t>1998</w:t>
      </w:r>
      <w:r>
        <w:rPr/>
        <w:t>,</w:t>
      </w:r>
      <w:r>
        <w:rPr>
          <w:spacing w:val="26"/>
        </w:rPr>
        <w:t> </w:t>
      </w:r>
      <w:r>
        <w:rPr/>
        <w:t>only</w:t>
      </w:r>
      <w:r>
        <w:rPr>
          <w:spacing w:val="26"/>
        </w:rPr>
        <w:t> </w:t>
      </w:r>
      <w:r>
        <w:rPr/>
        <w:t>entities</w:t>
      </w:r>
      <w:r>
        <w:rPr>
          <w:w w:val="99"/>
        </w:rPr>
        <w:t> </w:t>
      </w:r>
      <w:r>
        <w:rPr/>
        <w:t>within the general government sector are included as part of the</w:t>
      </w:r>
      <w:r>
        <w:rPr>
          <w:spacing w:val="32"/>
        </w:rPr>
        <w:t> </w:t>
      </w:r>
      <w:r>
        <w:rPr/>
        <w:t>Commonwealth</w:t>
      </w:r>
      <w:r>
        <w:rPr>
          <w:w w:val="99"/>
        </w:rPr>
        <w:t> </w:t>
      </w:r>
      <w:r>
        <w:rPr/>
        <w:t>general government sector fiscal estimates and produce PB Statements where</w:t>
      </w:r>
      <w:r>
        <w:rPr>
          <w:spacing w:val="12"/>
        </w:rPr>
        <w:t> </w:t>
      </w:r>
      <w:r>
        <w:rPr/>
        <w:t>they</w:t>
      </w:r>
      <w:r>
        <w:rPr>
          <w:w w:val="99"/>
        </w:rPr>
        <w:t> </w:t>
      </w:r>
      <w:r>
        <w:rPr/>
        <w:t>receive funding (either directly or via portfolio departments) through the</w:t>
      </w:r>
      <w:r>
        <w:rPr>
          <w:spacing w:val="16"/>
        </w:rPr>
        <w:t> </w:t>
      </w:r>
      <w:r>
        <w:rPr/>
        <w:t>annual</w:t>
      </w:r>
      <w:r>
        <w:rPr>
          <w:w w:val="99"/>
        </w:rPr>
        <w:t> </w:t>
      </w:r>
      <w:r>
        <w:rPr/>
        <w:t>appropriations</w:t>
      </w:r>
      <w:r>
        <w:rPr>
          <w:spacing w:val="-8"/>
        </w:rPr>
        <w:t> </w:t>
      </w:r>
      <w:r>
        <w:rPr/>
        <w:t>acts.</w:t>
      </w:r>
    </w:p>
    <w:p>
      <w:pPr>
        <w:spacing w:line="240" w:lineRule="auto" w:before="6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before="0"/>
        <w:ind w:left="418" w:right="0" w:firstLine="0"/>
        <w:jc w:val="both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b/>
          <w:sz w:val="20"/>
        </w:rPr>
        <w:t>The Enhanced Commonwealth Performance</w:t>
      </w:r>
      <w:r>
        <w:rPr>
          <w:rFonts w:ascii="Book Antiqua"/>
          <w:b/>
          <w:spacing w:val="-27"/>
          <w:sz w:val="20"/>
        </w:rPr>
        <w:t> </w:t>
      </w:r>
      <w:r>
        <w:rPr>
          <w:rFonts w:ascii="Book Antiqua"/>
          <w:b/>
          <w:sz w:val="20"/>
        </w:rPr>
        <w:t>Framework</w:t>
      </w:r>
      <w:r>
        <w:rPr>
          <w:rFonts w:ascii="Book Antiqua"/>
          <w:sz w:val="20"/>
        </w:rPr>
      </w:r>
    </w:p>
    <w:p>
      <w:pPr>
        <w:spacing w:line="240" w:lineRule="auto" w:before="4"/>
        <w:rPr>
          <w:rFonts w:ascii="Book Antiqua" w:hAnsi="Book Antiqua" w:cs="Book Antiqua" w:eastAsia="Book Antiqua"/>
          <w:b/>
          <w:bCs/>
          <w:sz w:val="21"/>
          <w:szCs w:val="21"/>
        </w:rPr>
      </w:pPr>
    </w:p>
    <w:p>
      <w:pPr>
        <w:pStyle w:val="BodyText"/>
        <w:spacing w:line="252" w:lineRule="auto"/>
        <w:ind w:left="418" w:right="422" w:firstLine="0"/>
        <w:jc w:val="both"/>
      </w:pPr>
      <w:r>
        <w:rPr/>
        <w:t>The following diagram outlines the key components of the enhanced</w:t>
      </w:r>
      <w:r>
        <w:rPr>
          <w:spacing w:val="21"/>
        </w:rPr>
        <w:t> </w:t>
      </w:r>
      <w:r>
        <w:rPr/>
        <w:t>Commonwealth</w:t>
      </w:r>
      <w:r>
        <w:rPr>
          <w:w w:val="99"/>
        </w:rPr>
        <w:t> </w:t>
      </w:r>
      <w:r>
        <w:rPr/>
        <w:t>performance framework. The diagram identifies the content of each of the</w:t>
      </w:r>
      <w:r>
        <w:rPr>
          <w:spacing w:val="8"/>
        </w:rPr>
        <w:t> </w:t>
      </w:r>
      <w:r>
        <w:rPr/>
        <w:t>publications</w:t>
      </w:r>
      <w:r>
        <w:rPr>
          <w:w w:val="99"/>
        </w:rPr>
        <w:t> </w:t>
      </w:r>
      <w:r>
        <w:rPr/>
        <w:t>and the relationship between them. Links to the publications for each entity within</w:t>
      </w:r>
      <w:r>
        <w:rPr>
          <w:spacing w:val="30"/>
        </w:rPr>
        <w:t> </w:t>
      </w:r>
      <w:r>
        <w:rPr/>
        <w:t>the</w:t>
      </w:r>
      <w:r>
        <w:rPr>
          <w:w w:val="99"/>
        </w:rPr>
        <w:t> </w:t>
      </w:r>
      <w:r>
        <w:rPr/>
        <w:t>portfolio can be found in the introduction to Section 2: Outcomes and</w:t>
      </w:r>
      <w:r>
        <w:rPr>
          <w:spacing w:val="16"/>
        </w:rPr>
        <w:t> </w:t>
      </w:r>
      <w:r>
        <w:rPr/>
        <w:t>planned</w:t>
      </w:r>
      <w:r>
        <w:rPr>
          <w:w w:val="99"/>
        </w:rPr>
        <w:t> </w:t>
      </w:r>
      <w:r>
        <w:rPr/>
        <w:t>performance.</w:t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3"/>
        <w:rPr>
          <w:rFonts w:ascii="Book Antiqua" w:hAnsi="Book Antiqua" w:cs="Book Antiqua" w:eastAsia="Book Antiqua"/>
          <w:sz w:val="20"/>
          <w:szCs w:val="20"/>
        </w:rPr>
      </w:pPr>
    </w:p>
    <w:p>
      <w:pPr>
        <w:pStyle w:val="BodyText"/>
        <w:spacing w:line="240" w:lineRule="auto" w:before="74"/>
        <w:ind w:left="2888" w:right="2888" w:firstLine="0"/>
        <w:jc w:val="center"/>
        <w:rPr>
          <w:rFonts w:ascii="Arial" w:hAnsi="Arial" w:cs="Arial" w:eastAsia="Arial"/>
        </w:rPr>
      </w:pPr>
      <w:r>
        <w:rPr>
          <w:rFonts w:ascii="Arial"/>
        </w:rPr>
        <w:t>vii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line="8863" w:lineRule="exact"/>
        <w:ind w:left="44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76"/>
          <w:sz w:val="20"/>
          <w:szCs w:val="20"/>
        </w:rPr>
        <w:drawing>
          <wp:inline distT="0" distB="0" distL="0" distR="0">
            <wp:extent cx="4858928" cy="562813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928" cy="562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position w:val="-176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40" w:lineRule="auto" w:before="74"/>
        <w:ind w:left="2888" w:right="2888" w:firstLine="0"/>
        <w:jc w:val="center"/>
        <w:rPr>
          <w:rFonts w:ascii="Arial" w:hAnsi="Arial" w:cs="Arial" w:eastAsia="Arial"/>
        </w:rPr>
      </w:pPr>
      <w:r>
        <w:rPr>
          <w:rFonts w:ascii="Arial"/>
        </w:rPr>
        <w:t>viii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 w:before="34"/>
        <w:ind w:left="1788" w:right="298"/>
        <w:jc w:val="left"/>
        <w:rPr>
          <w:b w:val="0"/>
          <w:bCs w:val="0"/>
        </w:rPr>
      </w:pPr>
      <w:r>
        <w:rPr>
          <w:sz w:val="52"/>
        </w:rPr>
        <w:t>P</w:t>
      </w:r>
      <w:r>
        <w:rPr/>
        <w:t>ORTFOLIO</w:t>
      </w:r>
      <w:r>
        <w:rPr>
          <w:spacing w:val="-8"/>
        </w:rPr>
        <w:t> </w:t>
      </w:r>
      <w:r>
        <w:rPr>
          <w:sz w:val="52"/>
        </w:rPr>
        <w:t>O</w:t>
      </w:r>
      <w:r>
        <w:rPr/>
        <w:t>VERVIEW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top="1580" w:bottom="280" w:left="1680" w:right="1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/>
        <w:ind w:right="298"/>
        <w:jc w:val="left"/>
        <w:rPr>
          <w:b w:val="0"/>
          <w:bCs w:val="0"/>
        </w:rPr>
      </w:pPr>
      <w:r>
        <w:rPr>
          <w:sz w:val="34"/>
        </w:rPr>
        <w:t>F</w:t>
      </w:r>
      <w:r>
        <w:rPr/>
        <w:t>INANCE </w:t>
      </w:r>
      <w:r>
        <w:rPr>
          <w:sz w:val="34"/>
        </w:rPr>
        <w:t>P</w:t>
      </w:r>
      <w:r>
        <w:rPr/>
        <w:t>ORTFOLIO</w:t>
      </w:r>
      <w:r>
        <w:rPr>
          <w:spacing w:val="-10"/>
        </w:rPr>
        <w:t> </w:t>
      </w:r>
      <w:r>
        <w:rPr/>
        <w:t>OVERVIEW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spacing w:before="0"/>
        <w:ind w:left="418" w:right="298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sz w:val="30"/>
        </w:rPr>
        <w:t>Ministers and portfolio</w:t>
      </w:r>
      <w:r>
        <w:rPr>
          <w:rFonts w:ascii="Arial"/>
          <w:spacing w:val="-17"/>
          <w:sz w:val="30"/>
        </w:rPr>
        <w:t> </w:t>
      </w:r>
      <w:r>
        <w:rPr>
          <w:rFonts w:ascii="Arial"/>
          <w:sz w:val="30"/>
        </w:rPr>
        <w:t>responsibilities</w:t>
      </w:r>
    </w:p>
    <w:p>
      <w:pPr>
        <w:spacing w:line="240" w:lineRule="auto" w:before="7"/>
        <w:rPr>
          <w:rFonts w:ascii="Arial" w:hAnsi="Arial" w:cs="Arial" w:eastAsia="Arial"/>
          <w:sz w:val="31"/>
          <w:szCs w:val="31"/>
        </w:rPr>
      </w:pPr>
    </w:p>
    <w:p>
      <w:pPr>
        <w:pStyle w:val="BodyText"/>
        <w:spacing w:line="240" w:lineRule="auto"/>
        <w:ind w:left="418" w:right="298" w:firstLine="0"/>
        <w:jc w:val="left"/>
      </w:pPr>
      <w:r>
        <w:rPr/>
        <w:t>The Minister for Finance has overall responsibility for the Finance portfolio</w:t>
      </w:r>
      <w:r>
        <w:rPr>
          <w:spacing w:val="12"/>
        </w:rPr>
        <w:t> </w:t>
      </w:r>
      <w:r>
        <w:rPr/>
        <w:t>and</w:t>
      </w:r>
      <w:r>
        <w:rPr>
          <w:w w:val="99"/>
        </w:rPr>
        <w:t> </w:t>
      </w:r>
      <w:r>
        <w:rPr/>
        <w:t>particular responsibility for the</w:t>
      </w:r>
      <w:r>
        <w:rPr>
          <w:spacing w:val="-19"/>
        </w:rPr>
        <w:t> </w:t>
      </w:r>
      <w:r>
        <w:rPr/>
        <w:t>following:</w:t>
      </w:r>
    </w:p>
    <w:p>
      <w:pPr>
        <w:spacing w:line="240" w:lineRule="auto" w:before="7"/>
        <w:rPr>
          <w:rFonts w:ascii="Book Antiqua" w:hAnsi="Book Antiqua" w:cs="Book Antiqua" w:eastAsia="Book Antiqua"/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7" w:lineRule="exact" w:before="0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Budget policy advice and process and review of government</w:t>
      </w:r>
      <w:r>
        <w:rPr>
          <w:rFonts w:ascii="Book Antiqua"/>
          <w:spacing w:val="-6"/>
          <w:sz w:val="20"/>
        </w:rPr>
        <w:t> </w:t>
      </w:r>
      <w:r>
        <w:rPr>
          <w:rFonts w:ascii="Book Antiqua"/>
          <w:sz w:val="20"/>
        </w:rPr>
        <w:t>programs.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802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Government financial accountability, governance and financial</w:t>
      </w:r>
      <w:r>
        <w:rPr>
          <w:rFonts w:ascii="Book Antiqua"/>
          <w:spacing w:val="-29"/>
          <w:sz w:val="20"/>
        </w:rPr>
        <w:t> </w:t>
      </w:r>
      <w:r>
        <w:rPr>
          <w:rFonts w:ascii="Book Antiqua"/>
          <w:sz w:val="20"/>
        </w:rPr>
        <w:t>management</w:t>
      </w:r>
      <w:r>
        <w:rPr>
          <w:rFonts w:ascii="Book Antiqua"/>
          <w:w w:val="99"/>
          <w:sz w:val="20"/>
        </w:rPr>
        <w:t> </w:t>
      </w:r>
      <w:r>
        <w:rPr>
          <w:rFonts w:ascii="Book Antiqua"/>
          <w:sz w:val="20"/>
        </w:rPr>
        <w:t>frameworks, including grants and procurement policy and</w:t>
      </w:r>
      <w:r>
        <w:rPr>
          <w:rFonts w:ascii="Book Antiqua"/>
          <w:spacing w:val="-7"/>
          <w:sz w:val="20"/>
        </w:rPr>
        <w:t> </w:t>
      </w:r>
      <w:r>
        <w:rPr>
          <w:rFonts w:ascii="Book Antiqua"/>
          <w:sz w:val="20"/>
        </w:rPr>
        <w:t>services.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1494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Shareholder advice on Government Business Enterprises (GBEs)</w:t>
      </w:r>
      <w:r>
        <w:rPr>
          <w:rFonts w:ascii="Book Antiqua"/>
          <w:spacing w:val="-23"/>
          <w:sz w:val="20"/>
        </w:rPr>
        <w:t> </w:t>
      </w:r>
      <w:r>
        <w:rPr>
          <w:rFonts w:ascii="Book Antiqua"/>
          <w:sz w:val="20"/>
        </w:rPr>
        <w:t>and</w:t>
      </w:r>
      <w:r>
        <w:rPr>
          <w:rFonts w:ascii="Book Antiqua"/>
          <w:w w:val="99"/>
          <w:sz w:val="20"/>
        </w:rPr>
        <w:t> </w:t>
      </w:r>
      <w:r>
        <w:rPr>
          <w:rFonts w:ascii="Book Antiqua"/>
          <w:sz w:val="20"/>
        </w:rPr>
        <w:t>commercial entities treated as</w:t>
      </w:r>
      <w:r>
        <w:rPr>
          <w:rFonts w:ascii="Book Antiqua"/>
          <w:spacing w:val="-3"/>
          <w:sz w:val="20"/>
        </w:rPr>
        <w:t> </w:t>
      </w:r>
      <w:r>
        <w:rPr>
          <w:rFonts w:ascii="Book Antiqua"/>
          <w:sz w:val="20"/>
        </w:rPr>
        <w:t>GBEs.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692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Policy guidance and management of act of grace requests and waiver of</w:t>
      </w:r>
      <w:r>
        <w:rPr>
          <w:rFonts w:ascii="Book Antiqua"/>
          <w:spacing w:val="-28"/>
          <w:sz w:val="20"/>
        </w:rPr>
        <w:t> </w:t>
      </w:r>
      <w:r>
        <w:rPr>
          <w:rFonts w:ascii="Book Antiqua"/>
          <w:sz w:val="20"/>
        </w:rPr>
        <w:t>debts</w:t>
      </w:r>
      <w:r>
        <w:rPr>
          <w:rFonts w:ascii="Book Antiqua"/>
          <w:spacing w:val="-1"/>
          <w:w w:val="99"/>
          <w:sz w:val="20"/>
        </w:rPr>
        <w:t> </w:t>
      </w:r>
      <w:r>
        <w:rPr>
          <w:rFonts w:ascii="Book Antiqua"/>
          <w:sz w:val="20"/>
        </w:rPr>
        <w:t>owed to the</w:t>
      </w:r>
      <w:r>
        <w:rPr>
          <w:rFonts w:ascii="Book Antiqua"/>
          <w:spacing w:val="-2"/>
          <w:sz w:val="20"/>
        </w:rPr>
        <w:t> </w:t>
      </w:r>
      <w:r>
        <w:rPr>
          <w:rFonts w:ascii="Book Antiqua"/>
          <w:sz w:val="20"/>
        </w:rPr>
        <w:t>Commonwealth.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6" w:lineRule="exact" w:before="0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General policy guidelines for Commonwealth statutory</w:t>
      </w:r>
      <w:r>
        <w:rPr>
          <w:rFonts w:ascii="Book Antiqua"/>
          <w:spacing w:val="-8"/>
          <w:sz w:val="20"/>
        </w:rPr>
        <w:t> </w:t>
      </w:r>
      <w:r>
        <w:rPr>
          <w:rFonts w:ascii="Book Antiqua"/>
          <w:sz w:val="20"/>
        </w:rPr>
        <w:t>authorities.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706" w:hanging="139"/>
        <w:jc w:val="both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Superannuation arrangements for Australian Government civilian</w:t>
      </w:r>
      <w:r>
        <w:rPr>
          <w:rFonts w:ascii="Book Antiqua"/>
          <w:spacing w:val="-24"/>
          <w:sz w:val="20"/>
        </w:rPr>
        <w:t> </w:t>
      </w:r>
      <w:r>
        <w:rPr>
          <w:rFonts w:ascii="Book Antiqua"/>
          <w:sz w:val="20"/>
        </w:rPr>
        <w:t>employees</w:t>
      </w:r>
      <w:r>
        <w:rPr>
          <w:rFonts w:ascii="Book Antiqua"/>
          <w:w w:val="99"/>
          <w:sz w:val="20"/>
        </w:rPr>
        <w:t> </w:t>
      </w:r>
      <w:r>
        <w:rPr>
          <w:rFonts w:ascii="Book Antiqua"/>
          <w:sz w:val="20"/>
        </w:rPr>
        <w:t>and parliamentarians and retirement benefits for Governors-General,</w:t>
      </w:r>
      <w:r>
        <w:rPr>
          <w:rFonts w:ascii="Book Antiqua"/>
          <w:spacing w:val="-15"/>
          <w:sz w:val="20"/>
        </w:rPr>
        <w:t> </w:t>
      </w:r>
      <w:r>
        <w:rPr>
          <w:rFonts w:ascii="Book Antiqua"/>
          <w:sz w:val="20"/>
        </w:rPr>
        <w:t>Federal</w:t>
      </w:r>
      <w:r>
        <w:rPr>
          <w:rFonts w:ascii="Book Antiqua"/>
          <w:w w:val="99"/>
          <w:sz w:val="20"/>
        </w:rPr>
        <w:t> </w:t>
      </w:r>
      <w:r>
        <w:rPr>
          <w:rFonts w:ascii="Book Antiqua"/>
          <w:sz w:val="20"/>
        </w:rPr>
        <w:t>Judges and Federal Court</w:t>
      </w:r>
      <w:r>
        <w:rPr>
          <w:rFonts w:ascii="Book Antiqua"/>
          <w:spacing w:val="-3"/>
          <w:sz w:val="20"/>
        </w:rPr>
        <w:t> </w:t>
      </w:r>
      <w:r>
        <w:rPr>
          <w:rFonts w:ascii="Book Antiqua"/>
          <w:sz w:val="20"/>
        </w:rPr>
        <w:t>Judges.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6" w:lineRule="exact" w:before="0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Asset</w:t>
      </w:r>
      <w:r>
        <w:rPr>
          <w:rFonts w:ascii="Book Antiqua"/>
          <w:spacing w:val="-1"/>
          <w:sz w:val="20"/>
        </w:rPr>
        <w:t> </w:t>
      </w:r>
      <w:r>
        <w:rPr>
          <w:rFonts w:ascii="Book Antiqua"/>
          <w:sz w:val="20"/>
        </w:rPr>
        <w:t>sales.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430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Policy advice on the Future Fund and Australian Government Investment</w:t>
      </w:r>
      <w:r>
        <w:rPr>
          <w:rFonts w:ascii="Book Antiqua"/>
          <w:spacing w:val="-30"/>
          <w:sz w:val="20"/>
        </w:rPr>
        <w:t> </w:t>
      </w:r>
      <w:r>
        <w:rPr>
          <w:rFonts w:ascii="Book Antiqua"/>
          <w:sz w:val="20"/>
        </w:rPr>
        <w:t>Funds</w:t>
      </w:r>
      <w:r>
        <w:rPr>
          <w:rFonts w:ascii="Book Antiqua"/>
          <w:w w:val="99"/>
          <w:sz w:val="20"/>
        </w:rPr>
        <w:t> </w:t>
      </w:r>
      <w:r>
        <w:rPr>
          <w:rFonts w:ascii="Book Antiqua"/>
          <w:sz w:val="20"/>
        </w:rPr>
        <w:t>and authorisation of payments from Australian Government Investment</w:t>
      </w:r>
      <w:r>
        <w:rPr>
          <w:rFonts w:ascii="Book Antiqua"/>
          <w:spacing w:val="-19"/>
          <w:sz w:val="20"/>
        </w:rPr>
        <w:t> </w:t>
      </w:r>
      <w:r>
        <w:rPr>
          <w:rFonts w:ascii="Book Antiqua"/>
          <w:sz w:val="20"/>
        </w:rPr>
        <w:t>Funds</w:t>
      </w:r>
      <w:r>
        <w:rPr>
          <w:rFonts w:ascii="Book Antiqua"/>
          <w:w w:val="99"/>
          <w:sz w:val="20"/>
        </w:rPr>
        <w:t> </w:t>
      </w:r>
      <w:r>
        <w:rPr>
          <w:rFonts w:ascii="Book Antiqua"/>
          <w:sz w:val="20"/>
        </w:rPr>
        <w:t>to</w:t>
      </w:r>
      <w:r>
        <w:rPr>
          <w:rFonts w:ascii="Book Antiqua"/>
          <w:spacing w:val="-2"/>
          <w:sz w:val="20"/>
        </w:rPr>
        <w:t> </w:t>
      </w:r>
      <w:r>
        <w:rPr>
          <w:rFonts w:ascii="Book Antiqua"/>
          <w:sz w:val="20"/>
        </w:rPr>
        <w:t>entities.</w:t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2"/>
        <w:rPr>
          <w:rFonts w:ascii="Book Antiqua" w:hAnsi="Book Antiqua" w:cs="Book Antiqua" w:eastAsia="Book Antiqua"/>
          <w:sz w:val="23"/>
          <w:szCs w:val="23"/>
        </w:rPr>
      </w:pPr>
    </w:p>
    <w:p>
      <w:pPr>
        <w:pStyle w:val="BodyText"/>
        <w:spacing w:line="240" w:lineRule="auto"/>
        <w:ind w:left="418" w:right="298" w:firstLine="0"/>
        <w:jc w:val="left"/>
      </w:pPr>
      <w:r>
        <w:rPr/>
        <w:t>The Special Minister of State has responsibility for the</w:t>
      </w:r>
      <w:r>
        <w:rPr>
          <w:spacing w:val="-33"/>
        </w:rPr>
        <w:t> </w:t>
      </w:r>
      <w:r>
        <w:rPr/>
        <w:t>following:</w:t>
      </w:r>
    </w:p>
    <w:p>
      <w:pPr>
        <w:spacing w:line="240" w:lineRule="auto" w:before="12"/>
        <w:rPr>
          <w:rFonts w:ascii="Book Antiqua" w:hAnsi="Book Antiqua" w:cs="Book Antiqua" w:eastAsia="Book Antiqua"/>
          <w:sz w:val="21"/>
          <w:szCs w:val="21"/>
        </w:rPr>
      </w:pP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Administration of Parliamentary</w:t>
      </w:r>
      <w:r>
        <w:rPr>
          <w:rFonts w:ascii="Book Antiqua"/>
          <w:spacing w:val="-2"/>
          <w:sz w:val="20"/>
        </w:rPr>
        <w:t> </w:t>
      </w:r>
      <w:r>
        <w:rPr>
          <w:rFonts w:ascii="Book Antiqua"/>
          <w:sz w:val="20"/>
        </w:rPr>
        <w:t>entitlements.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7" w:lineRule="exact" w:before="1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z w:val="20"/>
        </w:rPr>
        <w:t>Members of Parliament (Staff) Act 1984 </w:t>
      </w:r>
      <w:r>
        <w:rPr>
          <w:rFonts w:ascii="Book Antiqua"/>
          <w:sz w:val="20"/>
        </w:rPr>
        <w:t>(MOP(S)) Act employment</w:t>
      </w:r>
      <w:r>
        <w:rPr>
          <w:rFonts w:ascii="Book Antiqua"/>
          <w:spacing w:val="-7"/>
          <w:sz w:val="20"/>
        </w:rPr>
        <w:t> </w:t>
      </w:r>
      <w:r>
        <w:rPr>
          <w:rFonts w:ascii="Book Antiqua"/>
          <w:sz w:val="20"/>
        </w:rPr>
        <w:t>framework</w:t>
      </w:r>
      <w:r>
        <w:rPr>
          <w:rFonts w:ascii="Book Antiqua"/>
          <w:position w:val="5"/>
          <w:sz w:val="13"/>
        </w:rPr>
        <w:t>1</w:t>
      </w:r>
      <w:r>
        <w:rPr>
          <w:rFonts w:ascii="Book Antiqua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7" w:lineRule="exact" w:before="0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Electoral administration and electoral</w:t>
      </w:r>
      <w:r>
        <w:rPr>
          <w:rFonts w:ascii="Book Antiqua"/>
          <w:spacing w:val="-4"/>
          <w:sz w:val="20"/>
        </w:rPr>
        <w:t> </w:t>
      </w:r>
      <w:r>
        <w:rPr>
          <w:rFonts w:ascii="Book Antiqua"/>
          <w:sz w:val="20"/>
        </w:rPr>
        <w:t>policy.</w:t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9"/>
        <w:rPr>
          <w:rFonts w:ascii="Book Antiqua" w:hAnsi="Book Antiqua" w:cs="Book Antiqua" w:eastAsia="Book Antiqua"/>
          <w:sz w:val="15"/>
          <w:szCs w:val="15"/>
        </w:rPr>
      </w:pPr>
    </w:p>
    <w:p>
      <w:pPr>
        <w:spacing w:before="0"/>
        <w:ind w:left="778" w:right="298" w:firstLine="0"/>
        <w:jc w:val="left"/>
        <w:rPr>
          <w:rFonts w:ascii="Book Antiqua" w:hAnsi="Book Antiqua" w:cs="Book Antiqua" w:eastAsia="Book Antiqua"/>
          <w:sz w:val="16"/>
          <w:szCs w:val="16"/>
        </w:rPr>
      </w:pPr>
      <w:r>
        <w:rPr>
          <w:rFonts w:ascii="Book Antiqua"/>
          <w:position w:val="4"/>
          <w:sz w:val="10"/>
        </w:rPr>
        <w:t>1.     </w:t>
      </w:r>
      <w:r>
        <w:rPr>
          <w:rFonts w:ascii="Book Antiqua"/>
          <w:sz w:val="16"/>
        </w:rPr>
        <w:t>Shared responsibility with the Hon Malcolm Turnbull MP, Prime</w:t>
      </w:r>
      <w:r>
        <w:rPr>
          <w:rFonts w:ascii="Book Antiqua"/>
          <w:spacing w:val="-24"/>
          <w:sz w:val="16"/>
        </w:rPr>
        <w:t> </w:t>
      </w:r>
      <w:r>
        <w:rPr>
          <w:rFonts w:ascii="Book Antiqua"/>
          <w:sz w:val="16"/>
        </w:rPr>
        <w:t>Minister</w:t>
      </w:r>
    </w:p>
    <w:p>
      <w:pPr>
        <w:spacing w:after="0"/>
        <w:jc w:val="left"/>
        <w:rPr>
          <w:rFonts w:ascii="Book Antiqua" w:hAnsi="Book Antiqua" w:cs="Book Antiqua" w:eastAsia="Book Antiqua"/>
          <w:sz w:val="16"/>
          <w:szCs w:val="16"/>
        </w:rPr>
        <w:sectPr>
          <w:footerReference w:type="default" r:id="rId6"/>
          <w:pgSz w:w="11910" w:h="16840"/>
          <w:pgMar w:footer="1901" w:header="0" w:top="1580" w:bottom="2100" w:left="1680" w:right="1680"/>
          <w:pgNumType w:start="3"/>
        </w:sectPr>
      </w:pPr>
    </w:p>
    <w:p>
      <w:pPr>
        <w:spacing w:line="240" w:lineRule="auto" w:before="9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before="67"/>
        <w:ind w:left="418" w:right="298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z w:val="20"/>
        </w:rPr>
        <w:t>Portfolio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Book Antiqua"/>
          <w:i/>
          <w:sz w:val="20"/>
        </w:rPr>
        <w:t>overview</w:t>
      </w:r>
      <w:r>
        <w:rPr>
          <w:rFonts w:ascii="Book Antiqua"/>
          <w:sz w:val="20"/>
        </w:rPr>
      </w:r>
    </w:p>
    <w:p>
      <w:pPr>
        <w:spacing w:line="240" w:lineRule="auto" w:before="2"/>
        <w:rPr>
          <w:rFonts w:ascii="Book Antiqua" w:hAnsi="Book Antiqua" w:cs="Book Antiqua" w:eastAsia="Book Antiqua"/>
          <w:i/>
          <w:sz w:val="22"/>
          <w:szCs w:val="22"/>
        </w:rPr>
      </w:pPr>
    </w:p>
    <w:p>
      <w:pPr>
        <w:pStyle w:val="BodyText"/>
        <w:spacing w:line="240" w:lineRule="auto" w:before="60"/>
        <w:ind w:left="418" w:right="298" w:firstLine="0"/>
        <w:jc w:val="left"/>
      </w:pPr>
      <w:r>
        <w:rPr/>
        <w:t>The Assistant Minister for Finance assists the Finance Minister in performing</w:t>
      </w:r>
      <w:r>
        <w:rPr>
          <w:spacing w:val="1"/>
        </w:rPr>
        <w:t> </w:t>
      </w:r>
      <w:r>
        <w:rPr/>
        <w:t>functions</w:t>
      </w:r>
      <w:r>
        <w:rPr>
          <w:w w:val="99"/>
        </w:rPr>
        <w:t> </w:t>
      </w:r>
      <w:r>
        <w:rPr/>
        <w:t>in relation</w:t>
      </w:r>
      <w:r>
        <w:rPr>
          <w:spacing w:val="-9"/>
        </w:rPr>
        <w:t> </w:t>
      </w:r>
      <w:r>
        <w:rPr/>
        <w:t>to:</w:t>
      </w:r>
    </w:p>
    <w:p>
      <w:pPr>
        <w:spacing w:line="240" w:lineRule="auto" w:before="7"/>
        <w:rPr>
          <w:rFonts w:ascii="Book Antiqua" w:hAnsi="Book Antiqua" w:cs="Book Antiqua" w:eastAsia="Book Antiqua"/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1434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Whole-of-Government property policy and administration,</w:t>
      </w:r>
      <w:r>
        <w:rPr>
          <w:rFonts w:ascii="Book Antiqua"/>
          <w:spacing w:val="-25"/>
          <w:sz w:val="20"/>
        </w:rPr>
        <w:t> </w:t>
      </w:r>
      <w:r>
        <w:rPr>
          <w:rFonts w:ascii="Book Antiqua"/>
          <w:sz w:val="20"/>
        </w:rPr>
        <w:t>including</w:t>
      </w:r>
      <w:r>
        <w:rPr>
          <w:rFonts w:ascii="Book Antiqua"/>
          <w:w w:val="99"/>
          <w:sz w:val="20"/>
        </w:rPr>
        <w:t> </w:t>
      </w:r>
      <w:r>
        <w:rPr>
          <w:rFonts w:ascii="Book Antiqua"/>
          <w:sz w:val="20"/>
        </w:rPr>
        <w:t>non Defence owned</w:t>
      </w:r>
      <w:r>
        <w:rPr>
          <w:rFonts w:ascii="Book Antiqua"/>
          <w:spacing w:val="-1"/>
          <w:sz w:val="20"/>
        </w:rPr>
        <w:t> </w:t>
      </w:r>
      <w:r>
        <w:rPr>
          <w:rFonts w:ascii="Book Antiqua"/>
          <w:sz w:val="20"/>
        </w:rPr>
        <w:t>estate.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6" w:lineRule="exact" w:before="0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The Public Works</w:t>
      </w:r>
      <w:r>
        <w:rPr>
          <w:rFonts w:ascii="Book Antiqua"/>
          <w:spacing w:val="-3"/>
          <w:sz w:val="20"/>
        </w:rPr>
        <w:t> </w:t>
      </w:r>
      <w:r>
        <w:rPr>
          <w:rFonts w:ascii="Book Antiqua"/>
          <w:sz w:val="20"/>
        </w:rPr>
        <w:t>Committee.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7" w:lineRule="exact" w:before="0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Western Sydney Airport (excluding</w:t>
      </w:r>
      <w:r>
        <w:rPr>
          <w:rFonts w:ascii="Book Antiqua"/>
          <w:spacing w:val="-4"/>
          <w:sz w:val="20"/>
        </w:rPr>
        <w:t> </w:t>
      </w:r>
      <w:r>
        <w:rPr>
          <w:rFonts w:ascii="Book Antiqua"/>
          <w:sz w:val="20"/>
        </w:rPr>
        <w:t>appointments).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7" w:lineRule="exact" w:before="1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Moorebank Intermodal Terminal (excluding</w:t>
      </w:r>
      <w:r>
        <w:rPr>
          <w:rFonts w:ascii="Book Antiqua"/>
          <w:spacing w:val="-6"/>
          <w:sz w:val="20"/>
        </w:rPr>
        <w:t> </w:t>
      </w:r>
      <w:r>
        <w:rPr>
          <w:rFonts w:ascii="Book Antiqua"/>
          <w:sz w:val="20"/>
        </w:rPr>
        <w:t>appointments).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7" w:lineRule="exact" w:before="0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Government campaign</w:t>
      </w:r>
      <w:r>
        <w:rPr>
          <w:rFonts w:ascii="Book Antiqua"/>
          <w:spacing w:val="-3"/>
          <w:sz w:val="20"/>
        </w:rPr>
        <w:t> </w:t>
      </w:r>
      <w:r>
        <w:rPr>
          <w:rFonts w:ascii="Book Antiqua"/>
          <w:sz w:val="20"/>
        </w:rPr>
        <w:t>advertising.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859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t>Service Delivery and Coordination Committee (SDCC) on the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government’s</w:t>
      </w:r>
      <w:r>
        <w:rPr>
          <w:rFonts w:ascii="Book Antiqua" w:hAnsi="Book Antiqua" w:cs="Book Antiqua" w:eastAsia="Book Antiqua"/>
          <w:w w:val="99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campaign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advertising.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1204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Requests for act of grace payments and waivers of debt under the</w:t>
      </w:r>
      <w:r>
        <w:rPr>
          <w:rFonts w:ascii="Book Antiqua"/>
          <w:spacing w:val="-22"/>
          <w:sz w:val="20"/>
        </w:rPr>
        <w:t> </w:t>
      </w:r>
      <w:r>
        <w:rPr>
          <w:rFonts w:ascii="Book Antiqua"/>
          <w:i/>
          <w:sz w:val="20"/>
        </w:rPr>
        <w:t>Public</w:t>
      </w:r>
      <w:r>
        <w:rPr>
          <w:rFonts w:ascii="Book Antiqua"/>
          <w:i/>
          <w:w w:val="99"/>
          <w:sz w:val="20"/>
        </w:rPr>
        <w:t> </w:t>
      </w:r>
      <w:r>
        <w:rPr>
          <w:rFonts w:ascii="Book Antiqua"/>
          <w:i/>
          <w:sz w:val="20"/>
        </w:rPr>
        <w:t>Governance, Performance and Accountability Act</w:t>
      </w:r>
      <w:r>
        <w:rPr>
          <w:rFonts w:ascii="Book Antiqua"/>
          <w:i/>
          <w:spacing w:val="-3"/>
          <w:sz w:val="20"/>
        </w:rPr>
        <w:t> </w:t>
      </w:r>
      <w:r>
        <w:rPr>
          <w:rFonts w:ascii="Book Antiqua"/>
          <w:i/>
          <w:sz w:val="20"/>
        </w:rPr>
        <w:t>2013</w:t>
      </w:r>
      <w:r>
        <w:rPr>
          <w:rFonts w:ascii="Book Antiqua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56" w:lineRule="exact" w:before="0" w:after="0"/>
        <w:ind w:left="984" w:right="298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t>Comcover, the government’s self</w:t>
      </w:r>
      <w:r>
        <w:rPr>
          <w:rFonts w:ascii="Book Antiqua" w:hAnsi="Book Antiqua" w:cs="Book Antiqua" w:eastAsia="Book Antiqua"/>
          <w:sz w:val="20"/>
          <w:szCs w:val="20"/>
        </w:rPr>
        <w:t>-managed insurance fund.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4" w:right="824" w:hanging="139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Responding to correspondence relating to the administration of</w:t>
      </w:r>
      <w:r>
        <w:rPr>
          <w:rFonts w:ascii="Book Antiqua"/>
          <w:spacing w:val="-30"/>
          <w:sz w:val="20"/>
        </w:rPr>
        <w:t> </w:t>
      </w:r>
      <w:r>
        <w:rPr>
          <w:rFonts w:ascii="Book Antiqua"/>
          <w:sz w:val="20"/>
        </w:rPr>
        <w:t>government</w:t>
      </w:r>
      <w:r>
        <w:rPr>
          <w:rFonts w:ascii="Book Antiqua"/>
          <w:w w:val="99"/>
          <w:sz w:val="20"/>
        </w:rPr>
        <w:t> </w:t>
      </w:r>
      <w:r>
        <w:rPr>
          <w:rFonts w:ascii="Book Antiqua"/>
          <w:sz w:val="20"/>
        </w:rPr>
        <w:t>superannuation.</w:t>
      </w:r>
    </w:p>
    <w:p>
      <w:pPr>
        <w:spacing w:line="240" w:lineRule="auto" w:before="12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before="0"/>
        <w:ind w:left="418" w:right="298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z w:val="20"/>
        </w:rPr>
        <w:t>For information on resourcing across the portfolio, please refer to part 1:</w:t>
      </w:r>
      <w:r>
        <w:rPr>
          <w:rFonts w:ascii="Book Antiqua"/>
          <w:spacing w:val="-30"/>
          <w:sz w:val="20"/>
        </w:rPr>
        <w:t> </w:t>
      </w:r>
      <w:r>
        <w:rPr>
          <w:rFonts w:ascii="Book Antiqua"/>
          <w:sz w:val="20"/>
        </w:rPr>
        <w:t>Agency</w:t>
      </w:r>
      <w:r>
        <w:rPr>
          <w:rFonts w:ascii="Book Antiqua"/>
          <w:spacing w:val="-1"/>
          <w:w w:val="99"/>
          <w:sz w:val="20"/>
        </w:rPr>
        <w:t> </w:t>
      </w:r>
      <w:r>
        <w:rPr>
          <w:rFonts w:ascii="Book Antiqua"/>
          <w:sz w:val="20"/>
        </w:rPr>
        <w:t>Financial Resourcing in </w:t>
      </w:r>
      <w:r>
        <w:rPr>
          <w:rFonts w:ascii="Book Antiqua"/>
          <w:i/>
          <w:sz w:val="20"/>
        </w:rPr>
        <w:t>Budget Paper No. 4: Agency</w:t>
      </w:r>
      <w:r>
        <w:rPr>
          <w:rFonts w:ascii="Book Antiqua"/>
          <w:i/>
          <w:spacing w:val="-25"/>
          <w:sz w:val="20"/>
        </w:rPr>
        <w:t> </w:t>
      </w:r>
      <w:r>
        <w:rPr>
          <w:rFonts w:ascii="Book Antiqua"/>
          <w:i/>
          <w:sz w:val="20"/>
        </w:rPr>
        <w:t>Resourcing.</w:t>
      </w:r>
      <w:r>
        <w:rPr>
          <w:rFonts w:ascii="Book Antiqua"/>
          <w:sz w:val="20"/>
        </w:rPr>
      </w:r>
    </w:p>
    <w:p>
      <w:pPr>
        <w:spacing w:after="0"/>
        <w:jc w:val="left"/>
        <w:rPr>
          <w:rFonts w:ascii="Book Antiqua" w:hAnsi="Book Antiqua" w:cs="Book Antiqua" w:eastAsia="Book Antiqua"/>
          <w:sz w:val="20"/>
          <w:szCs w:val="20"/>
        </w:rPr>
        <w:sectPr>
          <w:pgSz w:w="11910" w:h="16840"/>
          <w:pgMar w:header="0" w:footer="1901" w:top="1580" w:bottom="2100" w:left="1680" w:right="1680"/>
        </w:sectPr>
      </w:pPr>
    </w:p>
    <w:p>
      <w:pPr>
        <w:spacing w:line="240" w:lineRule="auto" w:before="4"/>
        <w:rPr>
          <w:rFonts w:ascii="Book Antiqua" w:hAnsi="Book Antiqua" w:cs="Book Antiqua" w:eastAsia="Book Antiqua"/>
          <w:i/>
          <w:sz w:val="19"/>
          <w:szCs w:val="19"/>
        </w:rPr>
      </w:pPr>
    </w:p>
    <w:p>
      <w:pPr>
        <w:spacing w:before="67"/>
        <w:ind w:left="0" w:right="417" w:firstLine="0"/>
        <w:jc w:val="righ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z w:val="20"/>
        </w:rPr>
        <w:t>Portfolio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Book Antiqua"/>
          <w:i/>
          <w:sz w:val="20"/>
        </w:rPr>
        <w:t>overview</w:t>
      </w:r>
      <w:r>
        <w:rPr>
          <w:rFonts w:ascii="Book Antiqua"/>
          <w:sz w:val="20"/>
        </w:rPr>
      </w:r>
    </w:p>
    <w:p>
      <w:pPr>
        <w:spacing w:line="240" w:lineRule="auto" w:before="4"/>
        <w:rPr>
          <w:rFonts w:ascii="Book Antiqua" w:hAnsi="Book Antiqua" w:cs="Book Antiqua" w:eastAsia="Book Antiqua"/>
          <w:i/>
          <w:sz w:val="22"/>
          <w:szCs w:val="22"/>
        </w:rPr>
      </w:pPr>
    </w:p>
    <w:p>
      <w:pPr>
        <w:spacing w:before="56"/>
        <w:ind w:left="418" w:right="29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Figure 1: Finance portfolio structure and</w:t>
      </w:r>
      <w:r>
        <w:rPr>
          <w:rFonts w:ascii="Calibri"/>
          <w:spacing w:val="-16"/>
          <w:sz w:val="22"/>
        </w:rPr>
        <w:t> </w:t>
      </w:r>
      <w:r>
        <w:rPr>
          <w:rFonts w:ascii="Calibri"/>
          <w:sz w:val="22"/>
        </w:rPr>
        <w:t>outcomes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0"/>
          <w:szCs w:val="10"/>
        </w:rPr>
      </w:pPr>
    </w:p>
    <w:tbl>
      <w:tblPr>
        <w:tblW w:w="0" w:type="auto"/>
        <w:jc w:val="left"/>
        <w:tblInd w:w="3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684"/>
        <w:gridCol w:w="2210"/>
        <w:gridCol w:w="4221"/>
      </w:tblGrid>
      <w:tr>
        <w:trPr>
          <w:trHeight w:val="1424" w:hRule="exact"/>
        </w:trPr>
        <w:tc>
          <w:tcPr>
            <w:tcW w:w="3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64"/>
              <w:ind w:left="137" w:right="1702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Minister for</w:t>
            </w:r>
            <w:r>
              <w:rPr>
                <w:rFonts w:ascii="Arial Narrow"/>
                <w:b/>
                <w:spacing w:val="-6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Finance</w:t>
            </w:r>
            <w:r>
              <w:rPr>
                <w:rFonts w:ascii="Arial Narrow"/>
                <w:b/>
                <w:w w:val="100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Special Minister of</w:t>
            </w:r>
            <w:r>
              <w:rPr>
                <w:rFonts w:ascii="Arial Narrow"/>
                <w:b/>
                <w:spacing w:val="-16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State</w:t>
            </w:r>
            <w:r>
              <w:rPr>
                <w:rFonts w:ascii="Arial Narrow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Senator the Hon Mathias</w:t>
            </w:r>
            <w:r>
              <w:rPr>
                <w:rFonts w:ascii="Arial Narrow"/>
                <w:spacing w:val="-17"/>
                <w:sz w:val="16"/>
              </w:rPr>
              <w:t> </w:t>
            </w:r>
            <w:r>
              <w:rPr>
                <w:rFonts w:ascii="Arial Narrow"/>
                <w:sz w:val="16"/>
              </w:rPr>
              <w:t>Cormann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spacing w:line="183" w:lineRule="exact"/>
              <w:ind w:left="13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Assistant Minister for</w:t>
            </w:r>
            <w:r>
              <w:rPr>
                <w:rFonts w:ascii="Arial Narrow"/>
                <w:b/>
                <w:spacing w:val="-20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Finance</w:t>
            </w:r>
            <w:r>
              <w:rPr>
                <w:rFonts w:ascii="Arial Narrow"/>
                <w:sz w:val="16"/>
              </w:rPr>
            </w:r>
          </w:p>
          <w:p>
            <w:pPr>
              <w:pStyle w:val="TableParagraph"/>
              <w:spacing w:line="183" w:lineRule="exact"/>
              <w:ind w:left="13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The Hon David Coleman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z w:val="16"/>
              </w:rPr>
              <w:t>MP</w:t>
            </w:r>
          </w:p>
        </w:tc>
        <w:tc>
          <w:tcPr>
            <w:tcW w:w="4221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85" w:hRule="exact"/>
        </w:trPr>
        <w:tc>
          <w:tcPr>
            <w:tcW w:w="470" w:type="dxa"/>
            <w:vMerge w:val="restart"/>
            <w:tcBorders>
              <w:top w:val="single" w:sz="2" w:space="0" w:color="000000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14"/>
              <w:ind w:left="8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Department of</w:t>
            </w:r>
            <w:r>
              <w:rPr>
                <w:rFonts w:ascii="Arial Narrow"/>
                <w:b/>
                <w:spacing w:val="-14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Finance</w:t>
            </w:r>
            <w:r>
              <w:rPr>
                <w:rFonts w:ascii="Arial Narrow"/>
                <w:sz w:val="16"/>
              </w:rPr>
            </w:r>
          </w:p>
          <w:p>
            <w:pPr>
              <w:pStyle w:val="TableParagraph"/>
              <w:spacing w:line="240" w:lineRule="auto" w:before="90"/>
              <w:ind w:left="8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Portfolio Secretary: Rosemary Huxtable</w:t>
            </w:r>
            <w:r>
              <w:rPr>
                <w:rFonts w:ascii="Arial Narrow"/>
                <w:spacing w:val="-24"/>
                <w:sz w:val="16"/>
              </w:rPr>
              <w:t> </w:t>
            </w:r>
            <w:r>
              <w:rPr>
                <w:rFonts w:ascii="Arial Narrow"/>
                <w:sz w:val="16"/>
              </w:rPr>
              <w:t>PSM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tabs>
                <w:tab w:pos="1160" w:val="left" w:leader="none"/>
              </w:tabs>
              <w:spacing w:line="240" w:lineRule="auto"/>
              <w:ind w:left="1160" w:right="38" w:hanging="1079"/>
              <w:jc w:val="both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Outcome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1</w:t>
              <w:tab/>
            </w:r>
            <w:r>
              <w:rPr>
                <w:rFonts w:ascii="Arial Narrow"/>
                <w:sz w:val="16"/>
              </w:rPr>
              <w:t>Support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sustainable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Australian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Government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finances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through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providing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high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quality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policy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advice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operational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support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the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government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Commonwealth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entities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maintain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effective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efficient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z w:val="16"/>
              </w:rPr>
              <w:t>use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resources.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tabs>
                <w:tab w:pos="1160" w:val="left" w:leader="none"/>
              </w:tabs>
              <w:spacing w:line="240" w:lineRule="auto"/>
              <w:ind w:left="1160" w:right="151" w:hanging="107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Outcome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2</w:t>
              <w:tab/>
            </w:r>
            <w:r>
              <w:rPr>
                <w:rFonts w:ascii="Arial Narrow"/>
                <w:sz w:val="16"/>
              </w:rPr>
              <w:t>Support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an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efficient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high-performing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sector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through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providing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leadership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Commonwealth</w:t>
            </w:r>
            <w:r>
              <w:rPr>
                <w:rFonts w:ascii="Arial Narrow"/>
                <w:spacing w:val="7"/>
                <w:sz w:val="16"/>
              </w:rPr>
              <w:t> </w:t>
            </w:r>
            <w:r>
              <w:rPr>
                <w:rFonts w:ascii="Arial Narrow"/>
                <w:sz w:val="16"/>
              </w:rPr>
              <w:t>entities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in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ongoing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improvements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sector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governance,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including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through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systems,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frameworks,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policy,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advice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service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delivery.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tabs>
                <w:tab w:pos="1160" w:val="left" w:leader="none"/>
              </w:tabs>
              <w:spacing w:line="242" w:lineRule="auto"/>
              <w:ind w:left="1160" w:right="172" w:hanging="107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Outcome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3</w:t>
              <w:tab/>
            </w:r>
            <w:r>
              <w:rPr>
                <w:rFonts w:ascii="Arial Narrow"/>
                <w:sz w:val="16"/>
              </w:rPr>
              <w:t>Support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for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Parliamentarians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others</w:t>
            </w:r>
            <w:r>
              <w:rPr>
                <w:rFonts w:ascii="Arial Narrow"/>
                <w:spacing w:val="9"/>
                <w:sz w:val="16"/>
              </w:rPr>
              <w:t> </w:t>
            </w:r>
            <w:r>
              <w:rPr>
                <w:rFonts w:ascii="Arial Narrow"/>
                <w:sz w:val="16"/>
              </w:rPr>
              <w:t>as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required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by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the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Australian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Government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through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the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delivery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advice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on,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work</w:t>
            </w:r>
            <w:r>
              <w:rPr>
                <w:rFonts w:ascii="Arial Narrow"/>
                <w:spacing w:val="9"/>
                <w:sz w:val="16"/>
              </w:rPr>
              <w:t> </w:t>
            </w:r>
            <w:r>
              <w:rPr>
                <w:rFonts w:ascii="Arial Narrow"/>
                <w:sz w:val="16"/>
              </w:rPr>
              <w:t>expenses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allowances,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entitlements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targeted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z w:val="16"/>
              </w:rPr>
              <w:t>programs.</w:t>
            </w:r>
          </w:p>
        </w:tc>
      </w:tr>
      <w:tr>
        <w:trPr>
          <w:trHeight w:val="1353" w:hRule="exact"/>
        </w:trPr>
        <w:tc>
          <w:tcPr>
            <w:tcW w:w="470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663" w:hRule="exact"/>
        </w:trPr>
        <w:tc>
          <w:tcPr>
            <w:tcW w:w="470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67"/>
              <w:ind w:left="13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Australian Electoral</w:t>
            </w:r>
            <w:r>
              <w:rPr>
                <w:rFonts w:ascii="Arial Narrow"/>
                <w:b/>
                <w:spacing w:val="-19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Commission</w:t>
            </w:r>
            <w:r>
              <w:rPr>
                <w:rFonts w:ascii="Arial Narrow"/>
                <w:sz w:val="16"/>
              </w:rPr>
            </w:r>
          </w:p>
          <w:p>
            <w:pPr>
              <w:pStyle w:val="TableParagraph"/>
              <w:spacing w:line="240" w:lineRule="auto" w:before="90"/>
              <w:ind w:left="13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Electoral Commissioner: Tom</w:t>
            </w:r>
            <w:r>
              <w:rPr>
                <w:rFonts w:ascii="Arial Narrow"/>
                <w:spacing w:val="-19"/>
                <w:sz w:val="16"/>
              </w:rPr>
              <w:t> </w:t>
            </w:r>
            <w:r>
              <w:rPr>
                <w:rFonts w:ascii="Arial Narrow"/>
                <w:sz w:val="16"/>
              </w:rPr>
              <w:t>Rogers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tabs>
                <w:tab w:pos="1208" w:val="left" w:leader="none"/>
              </w:tabs>
              <w:spacing w:line="240" w:lineRule="auto"/>
              <w:ind w:left="1208" w:right="119" w:hanging="107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Outcome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1</w:t>
              <w:tab/>
            </w:r>
            <w:r>
              <w:rPr>
                <w:rFonts w:ascii="Arial Narrow"/>
                <w:sz w:val="16"/>
              </w:rPr>
              <w:t>Maintain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an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impartial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independent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electoral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system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for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eligible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voters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through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electoral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roll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management,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efficient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delivery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polling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services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targeted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education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and public awareness</w:t>
            </w:r>
            <w:r>
              <w:rPr>
                <w:rFonts w:ascii="Arial Narrow"/>
                <w:spacing w:val="-17"/>
                <w:sz w:val="16"/>
              </w:rPr>
              <w:t> </w:t>
            </w:r>
            <w:r>
              <w:rPr>
                <w:rFonts w:ascii="Arial Narrow"/>
                <w:sz w:val="16"/>
              </w:rPr>
              <w:t>programs.</w:t>
            </w:r>
          </w:p>
        </w:tc>
      </w:tr>
      <w:tr>
        <w:trPr>
          <w:trHeight w:val="660" w:hRule="exact"/>
        </w:trPr>
        <w:tc>
          <w:tcPr>
            <w:tcW w:w="470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755" w:hRule="exact"/>
        </w:trPr>
        <w:tc>
          <w:tcPr>
            <w:tcW w:w="470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64"/>
              <w:ind w:left="13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Commonwealth Superannuation</w:t>
            </w:r>
            <w:r>
              <w:rPr>
                <w:rFonts w:ascii="Arial Narrow"/>
                <w:b/>
                <w:spacing w:val="-2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Corporation</w:t>
            </w:r>
            <w:r>
              <w:rPr>
                <w:rFonts w:ascii="Arial Narrow"/>
                <w:sz w:val="16"/>
              </w:rPr>
            </w:r>
          </w:p>
          <w:p>
            <w:pPr>
              <w:pStyle w:val="TableParagraph"/>
              <w:spacing w:line="240" w:lineRule="auto" w:before="92"/>
              <w:ind w:left="13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Chair: Patricia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z w:val="16"/>
              </w:rPr>
              <w:t>Cross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tabs>
                <w:tab w:pos="1208" w:val="left" w:leader="none"/>
              </w:tabs>
              <w:spacing w:line="240" w:lineRule="auto"/>
              <w:ind w:left="1208" w:right="313" w:hanging="107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Outcome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1</w:t>
              <w:tab/>
            </w:r>
            <w:r>
              <w:rPr>
                <w:rFonts w:ascii="Arial Narrow"/>
                <w:sz w:val="16"/>
              </w:rPr>
              <w:t>Retirement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9"/>
                <w:sz w:val="16"/>
              </w:rPr>
              <w:t> </w:t>
            </w:r>
            <w:r>
              <w:rPr>
                <w:rFonts w:ascii="Arial Narrow"/>
                <w:sz w:val="16"/>
              </w:rPr>
              <w:t>insurance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benefits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for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scheme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members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beneficiaries,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including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past,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present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future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employees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the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Australian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Government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other</w:t>
            </w:r>
            <w:r>
              <w:rPr>
                <w:rFonts w:ascii="Arial Narrow"/>
                <w:spacing w:val="-1"/>
                <w:sz w:val="16"/>
              </w:rPr>
              <w:t> </w:t>
            </w:r>
            <w:r>
              <w:rPr>
                <w:rFonts w:ascii="Arial Narrow"/>
                <w:sz w:val="16"/>
              </w:rPr>
              <w:t>eligible</w:t>
            </w:r>
            <w:r>
              <w:rPr>
                <w:rFonts w:ascii="Arial Narrow"/>
                <w:spacing w:val="-1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employers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members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the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Australian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Defence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Force,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through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investment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administration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their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superannuation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funds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schemes.</w:t>
            </w:r>
          </w:p>
        </w:tc>
      </w:tr>
      <w:tr>
        <w:trPr>
          <w:trHeight w:val="774" w:hRule="exact"/>
        </w:trPr>
        <w:tc>
          <w:tcPr>
            <w:tcW w:w="470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470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64"/>
              <w:ind w:left="13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Future Fund Management</w:t>
            </w:r>
            <w:r>
              <w:rPr>
                <w:rFonts w:ascii="Arial Narrow"/>
                <w:b/>
                <w:spacing w:val="-16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Agency</w:t>
            </w:r>
            <w:r>
              <w:rPr>
                <w:rFonts w:ascii="Arial Narrow"/>
                <w:sz w:val="16"/>
              </w:rPr>
            </w:r>
          </w:p>
          <w:p>
            <w:pPr>
              <w:pStyle w:val="TableParagraph"/>
              <w:spacing w:line="240" w:lineRule="auto" w:before="92"/>
              <w:ind w:left="13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Chair: Hon Peter Costello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z w:val="16"/>
              </w:rPr>
              <w:t>AC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tabs>
                <w:tab w:pos="1208" w:val="left" w:leader="none"/>
              </w:tabs>
              <w:spacing w:line="242" w:lineRule="auto"/>
              <w:ind w:left="1208" w:right="57" w:hanging="107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 w:hAnsi="Arial Narrow" w:cs="Arial Narrow" w:eastAsia="Arial Narrow"/>
                <w:b/>
                <w:bCs/>
                <w:sz w:val="16"/>
                <w:szCs w:val="16"/>
              </w:rPr>
              <w:t>Outcome</w:t>
            </w:r>
            <w:r>
              <w:rPr>
                <w:rFonts w:ascii="Arial Narrow" w:hAnsi="Arial Narrow" w:cs="Arial Narrow" w:eastAsia="Arial Narrow"/>
                <w:b/>
                <w:bCs/>
                <w:spacing w:val="-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z w:val="16"/>
                <w:szCs w:val="16"/>
              </w:rPr>
              <w:t>1</w:t>
              <w:tab/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Make</w:t>
            </w:r>
            <w:r>
              <w:rPr>
                <w:rFonts w:ascii="Arial Narrow" w:hAnsi="Arial Narrow" w:cs="Arial Narrow" w:eastAsia="Arial Narrow"/>
                <w:spacing w:val="-7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provision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for</w:t>
            </w:r>
            <w:r>
              <w:rPr>
                <w:rFonts w:ascii="Arial Narrow" w:hAnsi="Arial Narrow" w:cs="Arial Narrow" w:eastAsia="Arial Narrow"/>
                <w:spacing w:val="-7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the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Commonwealth’s</w:t>
            </w:r>
            <w:r>
              <w:rPr>
                <w:rFonts w:ascii="Arial Narrow" w:hAnsi="Arial Narrow" w:cs="Arial Narrow" w:eastAsia="Arial Narrow"/>
                <w:spacing w:val="-8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unfunded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super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annuation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liabilities,</w:t>
            </w:r>
            <w:r>
              <w:rPr>
                <w:rFonts w:ascii="Arial Narrow" w:hAnsi="Arial Narrow" w:cs="Arial Narrow" w:eastAsia="Arial Narrow"/>
                <w:spacing w:val="-7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payments</w:t>
            </w:r>
            <w:r>
              <w:rPr>
                <w:rFonts w:ascii="Arial Narrow" w:hAnsi="Arial Narrow" w:cs="Arial Narrow" w:eastAsia="Arial Narrow"/>
                <w:w w:val="100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for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the</w:t>
            </w:r>
            <w:r>
              <w:rPr>
                <w:rFonts w:ascii="Arial Narrow" w:hAnsi="Arial Narrow" w:cs="Arial Narrow" w:eastAsia="Arial Narrow"/>
                <w:spacing w:val="-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creation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and</w:t>
            </w:r>
            <w:r>
              <w:rPr>
                <w:rFonts w:ascii="Arial Narrow" w:hAnsi="Arial Narrow" w:cs="Arial Narrow" w:eastAsia="Arial Narrow"/>
                <w:spacing w:val="-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development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of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infrastructure</w:t>
            </w:r>
            <w:r>
              <w:rPr>
                <w:rFonts w:ascii="Arial Narrow" w:hAnsi="Arial Narrow" w:cs="Arial Narrow" w:eastAsia="Arial Narrow"/>
                <w:spacing w:val="-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and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payments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from</w:t>
            </w:r>
            <w:r>
              <w:rPr>
                <w:rFonts w:ascii="Arial Narrow" w:hAnsi="Arial Narrow" w:cs="Arial Narrow" w:eastAsia="Arial Narrow"/>
                <w:spacing w:val="-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the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DisabilityCare</w:t>
            </w:r>
            <w:r>
              <w:rPr>
                <w:rFonts w:ascii="Arial Narrow" w:hAnsi="Arial Narrow" w:cs="Arial Narrow" w:eastAsia="Arial Narrow"/>
                <w:w w:val="100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Australia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Fund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and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Medical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Research</w:t>
            </w:r>
            <w:r>
              <w:rPr>
                <w:rFonts w:ascii="Arial Narrow" w:hAnsi="Arial Narrow" w:cs="Arial Narrow" w:eastAsia="Arial Narrow"/>
                <w:spacing w:val="1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Future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Fund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by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managing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the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investment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activities</w:t>
            </w:r>
            <w:r>
              <w:rPr>
                <w:rFonts w:ascii="Arial Narrow" w:hAnsi="Arial Narrow" w:cs="Arial Narrow" w:eastAsia="Arial Narrow"/>
                <w:w w:val="100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of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the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Future</w:t>
            </w:r>
            <w:r>
              <w:rPr>
                <w:rFonts w:ascii="Arial Narrow" w:hAnsi="Arial Narrow" w:cs="Arial Narrow" w:eastAsia="Arial Narrow"/>
                <w:spacing w:val="-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Fund,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Nation-building</w:t>
            </w:r>
            <w:r>
              <w:rPr>
                <w:rFonts w:ascii="Arial Narrow" w:hAnsi="Arial Narrow" w:cs="Arial Narrow" w:eastAsia="Arial Narrow"/>
                <w:spacing w:val="-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Funds,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DisabilityCare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Australia</w:t>
            </w:r>
            <w:r>
              <w:rPr>
                <w:rFonts w:ascii="Arial Narrow" w:hAnsi="Arial Narrow" w:cs="Arial Narrow" w:eastAsia="Arial Narrow"/>
                <w:spacing w:val="-4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Fund</w:t>
            </w:r>
            <w:r>
              <w:rPr>
                <w:rFonts w:ascii="Arial Narrow" w:hAnsi="Arial Narrow" w:cs="Arial Narrow" w:eastAsia="Arial Narrow"/>
                <w:spacing w:val="-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and</w:t>
            </w:r>
            <w:r>
              <w:rPr>
                <w:rFonts w:ascii="Arial Narrow" w:hAnsi="Arial Narrow" w:cs="Arial Narrow" w:eastAsia="Arial Narrow"/>
                <w:spacing w:val="-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Medical</w:t>
            </w:r>
            <w:r>
              <w:rPr>
                <w:rFonts w:ascii="Arial Narrow" w:hAnsi="Arial Narrow" w:cs="Arial Narrow" w:eastAsia="Arial Narrow"/>
                <w:w w:val="100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Research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Future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Fund,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in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line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with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the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Government’s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investment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mandates.</w:t>
            </w:r>
          </w:p>
        </w:tc>
      </w:tr>
      <w:tr>
        <w:trPr>
          <w:trHeight w:val="821" w:hRule="exact"/>
        </w:trPr>
        <w:tc>
          <w:tcPr>
            <w:tcW w:w="470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990" w:hRule="exact"/>
        </w:trPr>
        <w:tc>
          <w:tcPr>
            <w:tcW w:w="470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9"/>
              <w:ind w:left="1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Independent Parliamentary Expenses</w:t>
            </w:r>
            <w:r>
              <w:rPr>
                <w:rFonts w:ascii="Arial Narrow"/>
                <w:b/>
                <w:spacing w:val="-27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Authority</w:t>
            </w:r>
            <w:r>
              <w:rPr>
                <w:rFonts w:ascii="Arial Narrow"/>
                <w:sz w:val="16"/>
              </w:rPr>
            </w:r>
          </w:p>
          <w:p>
            <w:pPr>
              <w:pStyle w:val="TableParagraph"/>
              <w:spacing w:line="240" w:lineRule="auto" w:before="75"/>
              <w:ind w:left="1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CEO: Annwyn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z w:val="16"/>
              </w:rPr>
              <w:t>Godwin</w:t>
            </w:r>
          </w:p>
          <w:p>
            <w:pPr>
              <w:pStyle w:val="TableParagraph"/>
              <w:tabs>
                <w:tab w:pos="1210" w:val="left" w:leader="none"/>
              </w:tabs>
              <w:spacing w:line="242" w:lineRule="auto" w:before="114"/>
              <w:ind w:left="1211" w:right="56" w:hanging="107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Outcome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1</w:t>
              <w:tab/>
            </w:r>
            <w:r>
              <w:rPr>
                <w:rFonts w:ascii="Arial Narrow"/>
                <w:sz w:val="16"/>
              </w:rPr>
              <w:t>Support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for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current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former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Parliamentarians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others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as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required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by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Australian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Government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through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the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delivery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of,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independent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oversight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advice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on,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work</w:t>
            </w:r>
            <w:r>
              <w:rPr>
                <w:rFonts w:ascii="Arial Narrow"/>
                <w:w w:val="100"/>
                <w:sz w:val="16"/>
              </w:rPr>
              <w:t> </w:t>
            </w:r>
            <w:r>
              <w:rPr>
                <w:rFonts w:ascii="Arial Narrow"/>
                <w:sz w:val="16"/>
              </w:rPr>
              <w:t>resources and travel</w:t>
            </w:r>
            <w:r>
              <w:rPr>
                <w:rFonts w:ascii="Arial Narrow"/>
                <w:spacing w:val="-17"/>
                <w:sz w:val="16"/>
              </w:rPr>
              <w:t> </w:t>
            </w:r>
            <w:r>
              <w:rPr>
                <w:rFonts w:ascii="Arial Narrow"/>
                <w:sz w:val="16"/>
              </w:rPr>
              <w:t>resources.</w:t>
            </w:r>
          </w:p>
        </w:tc>
      </w:tr>
      <w:tr>
        <w:trPr>
          <w:trHeight w:val="436" w:hRule="exact"/>
        </w:trPr>
        <w:tc>
          <w:tcPr>
            <w:tcW w:w="115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64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0" w:footer="1901" w:top="1580" w:bottom="2100" w:left="1680" w:right="1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footerReference w:type="default" r:id="rId7"/>
      <w:pgSz w:w="11910" w:h="16840"/>
      <w:pgMar w:footer="0" w:header="0"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890015pt;margin-top:735.865234pt;width:9.550pt;height:12pt;mso-position-horizontal-relative:page;mso-position-vertical-relative:page;z-index:-9544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40" w:right="0" w:firstLine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984" w:hanging="14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36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3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9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3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9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6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3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84" w:hanging="139"/>
    </w:pPr>
    <w:rPr>
      <w:rFonts w:ascii="Book Antiqua" w:hAnsi="Book Antiqua" w:eastAsia="Book Antiqua"/>
      <w:sz w:val="20"/>
      <w:szCs w:val="20"/>
    </w:rPr>
  </w:style>
  <w:style w:styleId="Heading1" w:type="paragraph">
    <w:name w:val="Heading 1"/>
    <w:basedOn w:val="Normal"/>
    <w:uiPriority w:val="1"/>
    <w:qFormat/>
    <w:pPr>
      <w:ind w:left="533"/>
      <w:outlineLvl w:val="1"/>
    </w:pPr>
    <w:rPr>
      <w:rFonts w:ascii="Arial" w:hAnsi="Arial" w:eastAsia="Arial"/>
      <w:b/>
      <w:bCs/>
      <w:sz w:val="42"/>
      <w:szCs w:val="42"/>
    </w:rPr>
  </w:style>
  <w:style w:styleId="Heading2" w:type="paragraph">
    <w:name w:val="Heading 2"/>
    <w:basedOn w:val="Normal"/>
    <w:uiPriority w:val="1"/>
    <w:qFormat/>
    <w:pPr>
      <w:spacing w:before="174"/>
      <w:ind w:left="2040"/>
      <w:outlineLvl w:val="2"/>
    </w:pPr>
    <w:rPr>
      <w:rFonts w:ascii="Arial" w:hAnsi="Arial" w:eastAsia="Arial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Finance</dc:creator>
  <dc:title>Portfolio Budget Statements</dc:title>
  <dcterms:created xsi:type="dcterms:W3CDTF">2018-05-09T13:32:06Z</dcterms:created>
  <dcterms:modified xsi:type="dcterms:W3CDTF">2018-05-09T13:32:06Z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2018-05-09T00:00:00Z</vt:filetime>
  </property>
</Properties>
</file>