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A1C36" w14:textId="2BEA178F" w:rsidR="00932453" w:rsidRPr="003B036A" w:rsidRDefault="00932453" w:rsidP="00932453">
      <w:pPr>
        <w:pStyle w:val="Heading4"/>
        <w:spacing w:before="0" w:after="0"/>
        <w:rPr>
          <w:sz w:val="16"/>
          <w:szCs w:val="16"/>
        </w:rPr>
      </w:pPr>
    </w:p>
    <w:p w14:paraId="55B1A881" w14:textId="77777777" w:rsidR="003C3C29" w:rsidRPr="003C3C29" w:rsidRDefault="003C3C29" w:rsidP="003C3C29">
      <w:pPr>
        <w:spacing w:after="480" w:line="240" w:lineRule="auto"/>
        <w:rPr>
          <w:rFonts w:ascii="Arial" w:hAnsi="Arial" w:cs="Arial"/>
          <w:b/>
          <w:bCs/>
          <w:smallCaps/>
          <w:kern w:val="28"/>
          <w:sz w:val="52"/>
          <w:szCs w:val="32"/>
        </w:rPr>
      </w:pPr>
      <w:bookmarkStart w:id="0" w:name="_GoBack"/>
      <w:r w:rsidRPr="003C3C29">
        <w:rPr>
          <w:rFonts w:ascii="Arial" w:hAnsi="Arial" w:cs="Arial"/>
          <w:b/>
          <w:bCs/>
          <w:smallCaps/>
          <w:kern w:val="28"/>
          <w:sz w:val="52"/>
          <w:szCs w:val="32"/>
        </w:rPr>
        <w:t>Australian Electoral Commission</w:t>
      </w:r>
    </w:p>
    <w:bookmarkEnd w:id="0"/>
    <w:p w14:paraId="1B9A5101" w14:textId="77777777" w:rsidR="003C3C29" w:rsidRPr="003C3C29" w:rsidRDefault="003C3C29" w:rsidP="003C3C29">
      <w:pPr>
        <w:spacing w:after="480" w:line="240" w:lineRule="auto"/>
        <w:rPr>
          <w:rFonts w:ascii="Arial" w:hAnsi="Arial" w:cs="Arial"/>
          <w:b/>
          <w:bCs/>
          <w:smallCaps/>
          <w:kern w:val="28"/>
          <w:sz w:val="52"/>
          <w:szCs w:val="32"/>
        </w:rPr>
      </w:pPr>
    </w:p>
    <w:p w14:paraId="0A225BAC" w14:textId="77777777" w:rsidR="003C3C29" w:rsidRPr="003C3C29" w:rsidRDefault="003C3C29" w:rsidP="003C3C29">
      <w:pPr>
        <w:spacing w:after="480" w:line="240" w:lineRule="auto"/>
        <w:rPr>
          <w:rFonts w:ascii="Arial" w:hAnsi="Arial" w:cs="Arial"/>
          <w:b/>
          <w:bCs/>
          <w:smallCaps/>
          <w:kern w:val="28"/>
          <w:sz w:val="52"/>
          <w:szCs w:val="32"/>
        </w:rPr>
      </w:pPr>
    </w:p>
    <w:p w14:paraId="632393D3" w14:textId="77777777" w:rsidR="003C3C29" w:rsidRPr="003C3C29" w:rsidRDefault="003C3C29" w:rsidP="003C3C29">
      <w:pPr>
        <w:spacing w:after="480" w:line="240" w:lineRule="auto"/>
        <w:rPr>
          <w:rFonts w:ascii="Arial" w:hAnsi="Arial" w:cs="Arial"/>
          <w:b/>
          <w:bCs/>
          <w:smallCaps/>
          <w:kern w:val="28"/>
          <w:sz w:val="52"/>
          <w:szCs w:val="32"/>
        </w:rPr>
      </w:pPr>
      <w:bookmarkStart w:id="1" w:name="_Toc476562552"/>
      <w:r w:rsidRPr="003C3C29">
        <w:rPr>
          <w:rFonts w:ascii="Arial" w:hAnsi="Arial" w:cs="Arial"/>
          <w:b/>
          <w:bCs/>
          <w:smallCaps/>
          <w:kern w:val="28"/>
          <w:sz w:val="52"/>
          <w:szCs w:val="32"/>
        </w:rPr>
        <w:t>Entity resources and planned performance</w:t>
      </w:r>
      <w:bookmarkEnd w:id="1"/>
    </w:p>
    <w:p w14:paraId="66EAE449" w14:textId="77777777" w:rsidR="003C3C29" w:rsidRPr="003C3C29" w:rsidRDefault="003C3C29" w:rsidP="003C3C29">
      <w:pPr>
        <w:spacing w:after="480" w:line="240" w:lineRule="auto"/>
        <w:rPr>
          <w:rFonts w:ascii="Arial" w:hAnsi="Arial" w:cs="Arial"/>
          <w:b/>
          <w:bCs/>
          <w:smallCaps/>
          <w:kern w:val="28"/>
          <w:sz w:val="52"/>
          <w:szCs w:val="32"/>
        </w:rPr>
        <w:sectPr w:rsidR="003C3C29" w:rsidRPr="003C3C29" w:rsidSect="00566D5A">
          <w:footerReference w:type="first" r:id="rId13"/>
          <w:type w:val="oddPage"/>
          <w:pgSz w:w="11906" w:h="16838" w:code="9"/>
          <w:pgMar w:top="2466" w:right="2098" w:bottom="2466" w:left="2098" w:header="1899" w:footer="1899" w:gutter="0"/>
          <w:cols w:space="708"/>
          <w:vAlign w:val="center"/>
          <w:titlePg/>
          <w:docGrid w:linePitch="360"/>
        </w:sectPr>
      </w:pPr>
    </w:p>
    <w:p w14:paraId="5C44AE2B" w14:textId="77777777" w:rsidR="003C3C29" w:rsidRPr="003C3C29" w:rsidRDefault="003C3C29" w:rsidP="003C3C29">
      <w:pPr>
        <w:keepNext/>
        <w:spacing w:after="600" w:line="240" w:lineRule="auto"/>
        <w:rPr>
          <w:rFonts w:ascii="Arial" w:hAnsi="Arial"/>
          <w:b/>
          <w:smallCaps/>
          <w:sz w:val="34"/>
          <w:szCs w:val="20"/>
        </w:rPr>
      </w:pPr>
      <w:r w:rsidRPr="003C3C29">
        <w:rPr>
          <w:rFonts w:ascii="Arial" w:hAnsi="Arial"/>
          <w:b/>
          <w:smallCaps/>
          <w:sz w:val="34"/>
          <w:szCs w:val="20"/>
        </w:rPr>
        <w:t>Australian Electoral Commission</w:t>
      </w:r>
    </w:p>
    <w:p w14:paraId="51DA85CE" w14:textId="6D47CC6B" w:rsidR="003C3C29" w:rsidRPr="003C3C29" w:rsidRDefault="003C3C29" w:rsidP="003C3C29">
      <w:pPr>
        <w:tabs>
          <w:tab w:val="right" w:leader="dot" w:pos="7700"/>
        </w:tabs>
        <w:spacing w:before="240" w:after="0" w:line="240" w:lineRule="auto"/>
        <w:ind w:right="851"/>
        <w:jc w:val="left"/>
        <w:rPr>
          <w:rFonts w:ascii="Calibri" w:hAnsi="Calibri"/>
          <w:noProof/>
          <w:sz w:val="22"/>
          <w:szCs w:val="22"/>
        </w:rPr>
      </w:pPr>
      <w:r w:rsidRPr="003C3C29">
        <w:rPr>
          <w:rFonts w:ascii="Arial Bold" w:hAnsi="Arial Bold"/>
          <w:b/>
          <w:caps/>
          <w:sz w:val="20"/>
          <w:szCs w:val="20"/>
        </w:rPr>
        <w:fldChar w:fldCharType="begin"/>
      </w:r>
      <w:r w:rsidRPr="003C3C29">
        <w:rPr>
          <w:rFonts w:ascii="Arial Bold" w:hAnsi="Arial Bold"/>
          <w:b/>
          <w:caps/>
          <w:sz w:val="20"/>
          <w:szCs w:val="20"/>
        </w:rPr>
        <w:instrText xml:space="preserve"> TOC \h \z \t "Heading 2,1,Heading 3,2" </w:instrText>
      </w:r>
      <w:r w:rsidRPr="003C3C29">
        <w:rPr>
          <w:rFonts w:ascii="Arial Bold" w:hAnsi="Arial Bold"/>
          <w:b/>
          <w:caps/>
          <w:sz w:val="20"/>
          <w:szCs w:val="20"/>
        </w:rPr>
        <w:fldChar w:fldCharType="separate"/>
      </w:r>
      <w:hyperlink w:anchor="_Toc477957987" w:history="1">
        <w:r w:rsidRPr="003C3C29">
          <w:rPr>
            <w:rFonts w:ascii="Arial Bold" w:hAnsi="Arial Bold"/>
            <w:b/>
            <w:caps/>
            <w:noProof/>
            <w:color w:val="000000"/>
            <w:sz w:val="20"/>
            <w:szCs w:val="20"/>
          </w:rPr>
          <w:t>Section 1: Entity overview and resources</w:t>
        </w:r>
        <w:r w:rsidRPr="003C3C29">
          <w:rPr>
            <w:rFonts w:ascii="Arial Bold" w:hAnsi="Arial Bold"/>
            <w:b/>
            <w:caps/>
            <w:noProof/>
            <w:webHidden/>
            <w:sz w:val="20"/>
            <w:szCs w:val="20"/>
          </w:rPr>
          <w:tab/>
        </w:r>
        <w:r w:rsidRPr="003C3C29">
          <w:rPr>
            <w:rFonts w:ascii="Arial Bold" w:hAnsi="Arial Bold"/>
            <w:b/>
            <w:caps/>
            <w:noProof/>
            <w:webHidden/>
            <w:sz w:val="20"/>
            <w:szCs w:val="20"/>
          </w:rPr>
          <w:fldChar w:fldCharType="begin"/>
        </w:r>
        <w:r w:rsidRPr="003C3C29">
          <w:rPr>
            <w:rFonts w:ascii="Arial Bold" w:hAnsi="Arial Bold"/>
            <w:b/>
            <w:caps/>
            <w:noProof/>
            <w:webHidden/>
            <w:sz w:val="20"/>
            <w:szCs w:val="20"/>
          </w:rPr>
          <w:instrText xml:space="preserve"> PAGEREF _Toc477957987 \h </w:instrText>
        </w:r>
        <w:r w:rsidRPr="003C3C29">
          <w:rPr>
            <w:rFonts w:ascii="Arial Bold" w:hAnsi="Arial Bold"/>
            <w:b/>
            <w:caps/>
            <w:noProof/>
            <w:webHidden/>
            <w:sz w:val="20"/>
            <w:szCs w:val="20"/>
          </w:rPr>
        </w:r>
        <w:r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Pr="003C3C29">
          <w:rPr>
            <w:rFonts w:ascii="Arial Bold" w:hAnsi="Arial Bold"/>
            <w:b/>
            <w:caps/>
            <w:noProof/>
            <w:webHidden/>
            <w:sz w:val="20"/>
            <w:szCs w:val="20"/>
          </w:rPr>
          <w:fldChar w:fldCharType="end"/>
        </w:r>
      </w:hyperlink>
    </w:p>
    <w:p w14:paraId="474C160A" w14:textId="69FA5DB3" w:rsidR="003C3C29" w:rsidRPr="003C3C29" w:rsidRDefault="0080186B"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88" w:history="1">
        <w:r w:rsidR="003C3C29" w:rsidRPr="003C3C29">
          <w:rPr>
            <w:rFonts w:ascii="Arial" w:hAnsi="Arial"/>
            <w:noProof/>
            <w:color w:val="000000"/>
            <w:sz w:val="20"/>
            <w:szCs w:val="20"/>
          </w:rPr>
          <w:t>1.1</w:t>
        </w:r>
        <w:r w:rsidR="003C3C29" w:rsidRPr="003C3C29">
          <w:rPr>
            <w:rFonts w:ascii="Calibri" w:hAnsi="Calibri"/>
            <w:noProof/>
            <w:sz w:val="22"/>
            <w:szCs w:val="22"/>
          </w:rPr>
          <w:tab/>
        </w:r>
        <w:r w:rsidR="003C3C29" w:rsidRPr="003C3C29">
          <w:rPr>
            <w:rFonts w:ascii="Arial" w:hAnsi="Arial"/>
            <w:noProof/>
            <w:color w:val="000000"/>
            <w:sz w:val="20"/>
            <w:szCs w:val="20"/>
          </w:rPr>
          <w:t>Strategic direction statement</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_Toc477957988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4CF64E2E" w14:textId="51325412" w:rsidR="003C3C29" w:rsidRPr="003C3C29" w:rsidRDefault="0080186B"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89" w:history="1">
        <w:r w:rsidR="003C3C29" w:rsidRPr="003C3C29">
          <w:rPr>
            <w:rFonts w:ascii="Arial" w:hAnsi="Arial"/>
            <w:noProof/>
            <w:color w:val="000000"/>
            <w:sz w:val="20"/>
            <w:szCs w:val="20"/>
          </w:rPr>
          <w:t>1.2</w:t>
        </w:r>
        <w:r w:rsidR="003C3C29" w:rsidRPr="003C3C29">
          <w:rPr>
            <w:rFonts w:ascii="Calibri" w:hAnsi="Calibri"/>
            <w:noProof/>
            <w:sz w:val="22"/>
            <w:szCs w:val="22"/>
          </w:rPr>
          <w:tab/>
        </w:r>
        <w:r w:rsidR="003C3C29" w:rsidRPr="003C3C29">
          <w:rPr>
            <w:rFonts w:ascii="Arial" w:hAnsi="Arial"/>
            <w:noProof/>
            <w:color w:val="000000"/>
            <w:sz w:val="20"/>
            <w:szCs w:val="20"/>
          </w:rPr>
          <w:t>Entity resource statement</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_Toc477957989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20221EAB" w14:textId="578AA43B" w:rsidR="003C3C29" w:rsidRPr="003C3C29" w:rsidRDefault="0080186B"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0" w:history="1">
        <w:r w:rsidR="003C3C29" w:rsidRPr="003C3C29">
          <w:rPr>
            <w:rFonts w:ascii="Arial" w:hAnsi="Arial"/>
            <w:noProof/>
            <w:color w:val="000000"/>
            <w:sz w:val="20"/>
            <w:szCs w:val="20"/>
          </w:rPr>
          <w:t>1.3</w:t>
        </w:r>
        <w:r w:rsidR="003C3C29" w:rsidRPr="003C3C29">
          <w:rPr>
            <w:rFonts w:ascii="Calibri" w:hAnsi="Calibri"/>
            <w:noProof/>
            <w:sz w:val="22"/>
            <w:szCs w:val="22"/>
          </w:rPr>
          <w:tab/>
        </w:r>
        <w:r w:rsidR="003C3C29" w:rsidRPr="003C3C29">
          <w:rPr>
            <w:rFonts w:ascii="Arial" w:hAnsi="Arial"/>
            <w:noProof/>
            <w:color w:val="000000"/>
            <w:sz w:val="20"/>
            <w:szCs w:val="20"/>
          </w:rPr>
          <w:t>Budget measures</w:t>
        </w:r>
        <w:r w:rsidR="003C3C29" w:rsidRPr="003C3C29">
          <w:rPr>
            <w:rFonts w:ascii="Arial" w:hAnsi="Arial"/>
            <w:noProof/>
            <w:webHidden/>
            <w:sz w:val="20"/>
            <w:szCs w:val="20"/>
          </w:rPr>
          <w:tab/>
        </w:r>
        <w:r w:rsidR="00706452">
          <w:rPr>
            <w:rFonts w:ascii="Arial" w:hAnsi="Arial"/>
            <w:noProof/>
            <w:webHidden/>
            <w:sz w:val="20"/>
            <w:szCs w:val="20"/>
          </w:rPr>
          <w:t>73</w:t>
        </w:r>
      </w:hyperlink>
    </w:p>
    <w:p w14:paraId="57FF456F" w14:textId="53CEE260" w:rsidR="003C3C29" w:rsidRPr="003C3C29" w:rsidRDefault="0080186B" w:rsidP="003C3C29">
      <w:pPr>
        <w:tabs>
          <w:tab w:val="right" w:leader="dot" w:pos="7700"/>
        </w:tabs>
        <w:spacing w:before="240" w:after="0" w:line="240" w:lineRule="auto"/>
        <w:ind w:right="851"/>
        <w:jc w:val="left"/>
        <w:rPr>
          <w:rFonts w:ascii="Calibri" w:hAnsi="Calibri"/>
          <w:noProof/>
          <w:sz w:val="22"/>
          <w:szCs w:val="22"/>
        </w:rPr>
      </w:pPr>
      <w:hyperlink w:anchor="_Toc477957991" w:history="1">
        <w:r w:rsidR="003C3C29" w:rsidRPr="003C3C29">
          <w:rPr>
            <w:rFonts w:ascii="Arial Bold" w:hAnsi="Arial Bold"/>
            <w:b/>
            <w:caps/>
            <w:noProof/>
            <w:color w:val="000000"/>
            <w:sz w:val="20"/>
            <w:szCs w:val="20"/>
          </w:rPr>
          <w:t>Section 2: Outcomes and planned performance</w:t>
        </w:r>
        <w:r w:rsidR="003C3C29" w:rsidRPr="003C3C29">
          <w:rPr>
            <w:rFonts w:ascii="Arial Bold" w:hAnsi="Arial Bold"/>
            <w:b/>
            <w:caps/>
            <w:noProof/>
            <w:webHidden/>
            <w:sz w:val="20"/>
            <w:szCs w:val="20"/>
          </w:rPr>
          <w:tab/>
        </w:r>
        <w:r w:rsidR="003C3C29" w:rsidRPr="003C3C29">
          <w:rPr>
            <w:rFonts w:ascii="Arial Bold" w:hAnsi="Arial Bold"/>
            <w:b/>
            <w:caps/>
            <w:noProof/>
            <w:webHidden/>
            <w:sz w:val="20"/>
            <w:szCs w:val="20"/>
          </w:rPr>
          <w:fldChar w:fldCharType="begin"/>
        </w:r>
        <w:r w:rsidR="003C3C29" w:rsidRPr="003C3C29">
          <w:rPr>
            <w:rFonts w:ascii="Arial Bold" w:hAnsi="Arial Bold"/>
            <w:b/>
            <w:caps/>
            <w:noProof/>
            <w:webHidden/>
            <w:sz w:val="20"/>
            <w:szCs w:val="20"/>
          </w:rPr>
          <w:instrText xml:space="preserve"> PAGEREF _Toc477957991 \h </w:instrText>
        </w:r>
        <w:r w:rsidR="003C3C29" w:rsidRPr="003C3C29">
          <w:rPr>
            <w:rFonts w:ascii="Arial Bold" w:hAnsi="Arial Bold"/>
            <w:b/>
            <w:caps/>
            <w:noProof/>
            <w:webHidden/>
            <w:sz w:val="20"/>
            <w:szCs w:val="20"/>
          </w:rPr>
        </w:r>
        <w:r w:rsidR="003C3C29"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003C3C29" w:rsidRPr="003C3C29">
          <w:rPr>
            <w:rFonts w:ascii="Arial Bold" w:hAnsi="Arial Bold"/>
            <w:b/>
            <w:caps/>
            <w:noProof/>
            <w:webHidden/>
            <w:sz w:val="20"/>
            <w:szCs w:val="20"/>
          </w:rPr>
          <w:fldChar w:fldCharType="end"/>
        </w:r>
      </w:hyperlink>
    </w:p>
    <w:p w14:paraId="77179FD1" w14:textId="26A902E1" w:rsidR="003C3C29" w:rsidRPr="003C3C29" w:rsidRDefault="0080186B"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2" w:history="1">
        <w:r w:rsidR="003C3C29" w:rsidRPr="003C3C29">
          <w:rPr>
            <w:rFonts w:ascii="Arial" w:hAnsi="Arial"/>
            <w:noProof/>
            <w:color w:val="000000"/>
            <w:sz w:val="20"/>
            <w:szCs w:val="20"/>
          </w:rPr>
          <w:t xml:space="preserve">2.1 </w:t>
        </w:r>
        <w:r w:rsidR="003C3C29" w:rsidRPr="003C3C29">
          <w:rPr>
            <w:rFonts w:ascii="Calibri" w:hAnsi="Calibri"/>
            <w:noProof/>
            <w:sz w:val="22"/>
            <w:szCs w:val="22"/>
          </w:rPr>
          <w:tab/>
        </w:r>
        <w:r w:rsidR="003C3C29" w:rsidRPr="003C3C29">
          <w:rPr>
            <w:rFonts w:ascii="Arial" w:hAnsi="Arial"/>
            <w:noProof/>
            <w:color w:val="000000"/>
            <w:sz w:val="20"/>
            <w:szCs w:val="20"/>
          </w:rPr>
          <w:t>Budgeted expenses and performance for Outcome 1</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_Toc477957992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605B15BA" w14:textId="4CFE4EEC" w:rsidR="003C3C29" w:rsidRPr="003C3C29" w:rsidRDefault="0080186B" w:rsidP="003C3C29">
      <w:pPr>
        <w:tabs>
          <w:tab w:val="right" w:leader="dot" w:pos="7700"/>
        </w:tabs>
        <w:spacing w:before="240" w:after="0" w:line="240" w:lineRule="auto"/>
        <w:ind w:right="851"/>
        <w:jc w:val="left"/>
        <w:rPr>
          <w:rFonts w:ascii="Calibri" w:hAnsi="Calibri"/>
          <w:noProof/>
          <w:sz w:val="22"/>
          <w:szCs w:val="22"/>
        </w:rPr>
      </w:pPr>
      <w:hyperlink w:anchor="_Toc477957993" w:history="1">
        <w:r w:rsidR="003C3C29" w:rsidRPr="003C3C29">
          <w:rPr>
            <w:rFonts w:ascii="Arial Bold" w:hAnsi="Arial Bold"/>
            <w:b/>
            <w:caps/>
            <w:noProof/>
            <w:color w:val="000000"/>
            <w:sz w:val="20"/>
            <w:szCs w:val="20"/>
          </w:rPr>
          <w:t>Section 3: Budgeted financial statements</w:t>
        </w:r>
        <w:r w:rsidR="003C3C29" w:rsidRPr="003C3C29">
          <w:rPr>
            <w:rFonts w:ascii="Arial Bold" w:hAnsi="Arial Bold"/>
            <w:b/>
            <w:caps/>
            <w:noProof/>
            <w:webHidden/>
            <w:sz w:val="20"/>
            <w:szCs w:val="20"/>
          </w:rPr>
          <w:tab/>
        </w:r>
        <w:r w:rsidR="00706452">
          <w:rPr>
            <w:rFonts w:ascii="Arial Bold" w:hAnsi="Arial Bold"/>
            <w:b/>
            <w:caps/>
            <w:noProof/>
            <w:webHidden/>
            <w:sz w:val="20"/>
            <w:szCs w:val="20"/>
          </w:rPr>
          <w:t>80</w:t>
        </w:r>
      </w:hyperlink>
    </w:p>
    <w:p w14:paraId="215D63B4" w14:textId="014D9AA2" w:rsidR="003C3C29" w:rsidRPr="003C3C29" w:rsidRDefault="0080186B"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4" w:history="1">
        <w:r w:rsidR="003C3C29" w:rsidRPr="003C3C29">
          <w:rPr>
            <w:rFonts w:ascii="Arial" w:hAnsi="Arial"/>
            <w:noProof/>
            <w:color w:val="000000"/>
            <w:sz w:val="20"/>
            <w:szCs w:val="20"/>
          </w:rPr>
          <w:t>3.1</w:t>
        </w:r>
        <w:r w:rsidR="003C3C29" w:rsidRPr="003C3C29">
          <w:rPr>
            <w:rFonts w:ascii="Calibri" w:hAnsi="Calibri"/>
            <w:noProof/>
            <w:sz w:val="22"/>
            <w:szCs w:val="22"/>
          </w:rPr>
          <w:tab/>
        </w:r>
        <w:r w:rsidR="003C3C29" w:rsidRPr="003C3C29">
          <w:rPr>
            <w:rFonts w:ascii="Arial" w:hAnsi="Arial"/>
            <w:noProof/>
            <w:color w:val="000000"/>
            <w:sz w:val="20"/>
            <w:szCs w:val="20"/>
          </w:rPr>
          <w:t>Budgeted financial statements</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_Toc477957994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16C6AFC8" w14:textId="2D9A094A" w:rsidR="003C3C29" w:rsidRPr="003C3C29" w:rsidRDefault="0080186B"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5" w:history="1">
        <w:r w:rsidR="003C3C29" w:rsidRPr="003C3C29">
          <w:rPr>
            <w:rFonts w:ascii="Arial" w:hAnsi="Arial"/>
            <w:noProof/>
            <w:color w:val="000000"/>
            <w:sz w:val="20"/>
            <w:szCs w:val="20"/>
          </w:rPr>
          <w:t>3.2</w:t>
        </w:r>
        <w:r w:rsidR="003C3C29" w:rsidRPr="003C3C29">
          <w:rPr>
            <w:rFonts w:ascii="Calibri" w:hAnsi="Calibri"/>
            <w:noProof/>
            <w:sz w:val="22"/>
            <w:szCs w:val="22"/>
          </w:rPr>
          <w:tab/>
        </w:r>
        <w:r w:rsidR="003C3C29" w:rsidRPr="003C3C29">
          <w:rPr>
            <w:rFonts w:ascii="Arial" w:hAnsi="Arial"/>
            <w:noProof/>
            <w:color w:val="000000"/>
            <w:sz w:val="20"/>
            <w:szCs w:val="20"/>
          </w:rPr>
          <w:t>Budgeted financial statements tables</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_Toc477957995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5F5258C2" w14:textId="77777777" w:rsidR="003C3C29" w:rsidRPr="003C3C29" w:rsidRDefault="003C3C29" w:rsidP="003C3C29">
      <w:pPr>
        <w:tabs>
          <w:tab w:val="right" w:leader="dot" w:pos="7700"/>
        </w:tabs>
        <w:spacing w:before="240" w:after="0" w:line="240" w:lineRule="auto"/>
        <w:ind w:right="851"/>
        <w:jc w:val="left"/>
        <w:rPr>
          <w:rFonts w:ascii="Arial Bold" w:hAnsi="Arial Bold"/>
          <w:b/>
          <w:caps/>
          <w:sz w:val="20"/>
          <w:szCs w:val="20"/>
        </w:rPr>
      </w:pPr>
      <w:r w:rsidRPr="003C3C29">
        <w:rPr>
          <w:rFonts w:ascii="Arial Bold" w:hAnsi="Arial Bold"/>
          <w:b/>
          <w:caps/>
          <w:sz w:val="20"/>
          <w:szCs w:val="20"/>
        </w:rPr>
        <w:fldChar w:fldCharType="end"/>
      </w:r>
    </w:p>
    <w:p w14:paraId="7523E0CB" w14:textId="77777777" w:rsidR="003C3C29" w:rsidRPr="003C3C29" w:rsidRDefault="003C3C29" w:rsidP="003C3C29">
      <w:pPr>
        <w:jc w:val="both"/>
        <w:rPr>
          <w:rFonts w:ascii="Book Antiqua" w:hAnsi="Book Antiqua"/>
          <w:sz w:val="20"/>
          <w:szCs w:val="20"/>
        </w:rPr>
      </w:pPr>
    </w:p>
    <w:p w14:paraId="4535F272" w14:textId="77777777" w:rsidR="00673438" w:rsidRDefault="00673438">
      <w:pPr>
        <w:spacing w:after="0" w:line="240" w:lineRule="auto"/>
        <w:jc w:val="left"/>
        <w:rPr>
          <w:rFonts w:ascii="Arial" w:hAnsi="Arial"/>
          <w:b/>
          <w:smallCaps/>
          <w:kern w:val="28"/>
          <w:sz w:val="34"/>
          <w:szCs w:val="20"/>
        </w:rPr>
      </w:pPr>
      <w:r>
        <w:rPr>
          <w:rFonts w:ascii="Arial" w:hAnsi="Arial"/>
          <w:b/>
          <w:smallCaps/>
          <w:kern w:val="28"/>
          <w:sz w:val="34"/>
          <w:szCs w:val="20"/>
        </w:rPr>
        <w:br w:type="page"/>
      </w:r>
    </w:p>
    <w:p w14:paraId="7D142CAF" w14:textId="3B945963" w:rsidR="003C3C29" w:rsidRPr="003C3C29" w:rsidRDefault="003C3C29" w:rsidP="003C3C29">
      <w:pPr>
        <w:keepNext/>
        <w:spacing w:after="360" w:line="240" w:lineRule="auto"/>
        <w:outlineLvl w:val="0"/>
        <w:rPr>
          <w:rFonts w:ascii="Arial" w:hAnsi="Arial"/>
          <w:b/>
          <w:smallCaps/>
          <w:kern w:val="28"/>
          <w:sz w:val="34"/>
          <w:szCs w:val="20"/>
        </w:rPr>
      </w:pPr>
      <w:r w:rsidRPr="003C3C29">
        <w:rPr>
          <w:rFonts w:ascii="Arial" w:hAnsi="Arial"/>
          <w:b/>
          <w:smallCaps/>
          <w:kern w:val="28"/>
          <w:sz w:val="34"/>
          <w:szCs w:val="20"/>
        </w:rPr>
        <w:t>Australian Electoral Commission</w:t>
      </w:r>
    </w:p>
    <w:p w14:paraId="0A031F9A" w14:textId="77777777" w:rsidR="003C3C29" w:rsidRPr="003C3C29" w:rsidRDefault="003C3C29" w:rsidP="003C3C29">
      <w:pPr>
        <w:keepNext/>
        <w:spacing w:after="480" w:line="240" w:lineRule="auto"/>
        <w:jc w:val="left"/>
        <w:outlineLvl w:val="1"/>
        <w:rPr>
          <w:rFonts w:ascii="Arial" w:hAnsi="Arial"/>
          <w:sz w:val="30"/>
          <w:szCs w:val="20"/>
        </w:rPr>
      </w:pPr>
      <w:bookmarkStart w:id="2" w:name="_Toc444523508"/>
      <w:bookmarkStart w:id="3" w:name="_Toc477957987"/>
      <w:r w:rsidRPr="003C3C29">
        <w:rPr>
          <w:rFonts w:ascii="Arial" w:hAnsi="Arial"/>
          <w:sz w:val="30"/>
          <w:szCs w:val="20"/>
        </w:rPr>
        <w:t>Section 1: Entity overview and resources</w:t>
      </w:r>
      <w:bookmarkEnd w:id="2"/>
      <w:bookmarkEnd w:id="3"/>
    </w:p>
    <w:p w14:paraId="34E00B52"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4" w:name="_Toc444523509"/>
      <w:bookmarkStart w:id="5" w:name="_Toc477957988"/>
      <w:r w:rsidRPr="003C3C29">
        <w:rPr>
          <w:rFonts w:ascii="Arial" w:hAnsi="Arial"/>
          <w:b/>
          <w:smallCaps/>
          <w:sz w:val="26"/>
          <w:szCs w:val="20"/>
        </w:rPr>
        <w:t>1.1</w:t>
      </w:r>
      <w:r w:rsidRPr="003C3C29">
        <w:rPr>
          <w:rFonts w:ascii="Arial" w:hAnsi="Arial"/>
          <w:b/>
          <w:smallCaps/>
          <w:sz w:val="26"/>
          <w:szCs w:val="20"/>
        </w:rPr>
        <w:tab/>
        <w:t>Strategic direction statement</w:t>
      </w:r>
      <w:bookmarkEnd w:id="4"/>
      <w:bookmarkEnd w:id="5"/>
    </w:p>
    <w:p w14:paraId="121F215C" w14:textId="77777777"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cs="Arial"/>
          <w:sz w:val="20"/>
          <w:szCs w:val="20"/>
        </w:rPr>
        <w:t xml:space="preserve">The Australian Electoral Commission (AEC) administers the </w:t>
      </w:r>
      <w:r w:rsidRPr="003C3C29">
        <w:rPr>
          <w:rFonts w:ascii="Book Antiqua" w:hAnsi="Book Antiqua" w:cs="Arial"/>
          <w:i/>
          <w:sz w:val="20"/>
          <w:szCs w:val="20"/>
        </w:rPr>
        <w:t>Commonwealth Electoral Act 1918</w:t>
      </w:r>
      <w:r w:rsidRPr="003C3C29">
        <w:rPr>
          <w:rFonts w:ascii="Book Antiqua" w:hAnsi="Book Antiqua" w:cs="Arial"/>
          <w:sz w:val="20"/>
          <w:szCs w:val="20"/>
        </w:rPr>
        <w:t xml:space="preserve"> (the Electoral Act), making it responsible for conducting federal elections and referendums, maintaining the Commonwealth Electoral Roll and administering Part XX of the Electoral Act dealing with political funding and disclosure. The AEC must also provide a range of electoral information and education programs both in Australia and in support of Australia’s international interests.  </w:t>
      </w:r>
    </w:p>
    <w:p w14:paraId="4F4F6E5C" w14:textId="77777777" w:rsidR="003C3C29" w:rsidRPr="003C3C29" w:rsidRDefault="003C3C29" w:rsidP="003C3C29">
      <w:pPr>
        <w:jc w:val="both"/>
        <w:rPr>
          <w:rFonts w:ascii="Book Antiqua" w:hAnsi="Book Antiqua" w:cs="Arial"/>
          <w:sz w:val="20"/>
          <w:szCs w:val="20"/>
        </w:rPr>
      </w:pPr>
      <w:r w:rsidRPr="003C3C29">
        <w:rPr>
          <w:rFonts w:ascii="Book Antiqua" w:hAnsi="Book Antiqua" w:cs="Arial"/>
          <w:sz w:val="20"/>
          <w:szCs w:val="20"/>
        </w:rPr>
        <w:t>The AEC’s actions impact on the Australian community as stated in its outcome:</w:t>
      </w:r>
    </w:p>
    <w:p w14:paraId="35499225" w14:textId="77777777" w:rsidR="003C3C29" w:rsidRPr="003C3C29" w:rsidRDefault="003C3C29" w:rsidP="003C3C29">
      <w:pPr>
        <w:jc w:val="both"/>
        <w:rPr>
          <w:rFonts w:ascii="Book Antiqua" w:hAnsi="Book Antiqua" w:cs="Arial"/>
          <w:sz w:val="20"/>
          <w:szCs w:val="20"/>
        </w:rPr>
      </w:pPr>
      <w:r w:rsidRPr="003C3C29">
        <w:rPr>
          <w:rFonts w:ascii="Book Antiqua" w:hAnsi="Book Antiqua" w:cs="Arial"/>
          <w:i/>
          <w:sz w:val="20"/>
          <w:szCs w:val="20"/>
        </w:rPr>
        <w:t>Maintain an impartial and independent electoral system for eligible voters through active electoral roll management, efficient delivery of polling services, and targeted education and public awareness programs</w:t>
      </w:r>
      <w:r w:rsidRPr="003C3C29">
        <w:rPr>
          <w:rFonts w:ascii="Book Antiqua" w:hAnsi="Book Antiqua" w:cs="Arial"/>
          <w:sz w:val="20"/>
          <w:szCs w:val="20"/>
        </w:rPr>
        <w:t>.</w:t>
      </w:r>
    </w:p>
    <w:p w14:paraId="62785D4C" w14:textId="77777777" w:rsidR="003C3C29" w:rsidRPr="003C3C29" w:rsidRDefault="003C3C29" w:rsidP="003C3C29">
      <w:pPr>
        <w:jc w:val="both"/>
        <w:rPr>
          <w:rFonts w:ascii="Book Antiqua" w:hAnsi="Book Antiqua"/>
          <w:sz w:val="20"/>
          <w:szCs w:val="20"/>
        </w:rPr>
      </w:pPr>
    </w:p>
    <w:p w14:paraId="3EA00DDE"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6" w:name="_Toc444523510"/>
      <w:bookmarkStart w:id="7" w:name="_Toc477957989"/>
      <w:r w:rsidRPr="003C3C29">
        <w:rPr>
          <w:rFonts w:ascii="Arial" w:hAnsi="Arial"/>
          <w:b/>
          <w:smallCaps/>
          <w:sz w:val="26"/>
          <w:szCs w:val="20"/>
        </w:rPr>
        <w:t>1.2</w:t>
      </w:r>
      <w:r w:rsidRPr="003C3C29">
        <w:rPr>
          <w:rFonts w:ascii="Arial" w:hAnsi="Arial"/>
          <w:b/>
          <w:smallCaps/>
          <w:sz w:val="26"/>
          <w:szCs w:val="20"/>
        </w:rPr>
        <w:tab/>
        <w:t>Entity resource statement</w:t>
      </w:r>
      <w:bookmarkEnd w:id="6"/>
      <w:bookmarkEnd w:id="7"/>
    </w:p>
    <w:p w14:paraId="1D40CEA6"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Table 1.1 shows the total funding from all sources available to AEC for its operations and to deliver programs and services on behalf of the government.</w:t>
      </w:r>
    </w:p>
    <w:p w14:paraId="5A447757"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table summarises how resources will be applied by outcome (government strategic policy objectives) and by administered (on behalf of the government or the public) and departmental (for the AEC’s operations) classification.</w:t>
      </w:r>
    </w:p>
    <w:p w14:paraId="0FA337EC"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For more detailed information on special accounts and special appropriations, please refer to </w:t>
      </w:r>
      <w:r w:rsidRPr="003C3C29">
        <w:rPr>
          <w:rFonts w:ascii="Book Antiqua" w:hAnsi="Book Antiqua"/>
          <w:i/>
          <w:sz w:val="20"/>
          <w:szCs w:val="20"/>
        </w:rPr>
        <w:t>Budget Paper No. 4 – Agency Resourcing</w:t>
      </w:r>
      <w:r w:rsidRPr="003C3C29">
        <w:rPr>
          <w:rFonts w:ascii="Book Antiqua" w:hAnsi="Book Antiqua"/>
          <w:sz w:val="20"/>
          <w:szCs w:val="20"/>
        </w:rPr>
        <w:t>.</w:t>
      </w:r>
    </w:p>
    <w:p w14:paraId="03A5211E"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Information in this table is presented on a resourcing (that is, appropriations/cash available) basis, whilst the ‘Budgeted expenses by Outcome 1’ tables in Section 2 and the financial statements in Section 3 are presented on an accrual basis. </w:t>
      </w:r>
    </w:p>
    <w:p w14:paraId="70F44134"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 xml:space="preserve">Table 1.1: </w:t>
      </w:r>
      <w:r w:rsidRPr="003C3C29">
        <w:rPr>
          <w:rFonts w:ascii="Arial" w:hAnsi="Arial"/>
          <w:b/>
          <w:color w:val="000000"/>
          <w:sz w:val="20"/>
          <w:szCs w:val="20"/>
          <w:lang w:eastAsia="x-none"/>
        </w:rPr>
        <w:t xml:space="preserve">Australian Electoral Commission </w:t>
      </w:r>
      <w:r w:rsidRPr="003C3C29">
        <w:rPr>
          <w:rFonts w:ascii="Arial" w:hAnsi="Arial"/>
          <w:b/>
          <w:color w:val="000000"/>
          <w:sz w:val="20"/>
          <w:szCs w:val="20"/>
          <w:lang w:val="x-none" w:eastAsia="x-none"/>
        </w:rPr>
        <w:t>resource statement — Budget estimates for 2017-18 as at Budget May 201</w:t>
      </w:r>
      <w:r w:rsidRPr="003C3C29">
        <w:rPr>
          <w:rFonts w:ascii="Arial" w:hAnsi="Arial"/>
          <w:b/>
          <w:color w:val="000000"/>
          <w:sz w:val="20"/>
          <w:szCs w:val="20"/>
          <w:lang w:eastAsia="x-none"/>
        </w:rPr>
        <w:t>7</w:t>
      </w:r>
    </w:p>
    <w:p w14:paraId="657668C4" w14:textId="6F14D0DB"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11046D9D" wp14:editId="038DB992">
            <wp:extent cx="4739640" cy="282702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9640" cy="2827020"/>
                    </a:xfrm>
                    <a:prstGeom prst="rect">
                      <a:avLst/>
                    </a:prstGeom>
                    <a:noFill/>
                    <a:ln>
                      <a:noFill/>
                    </a:ln>
                  </pic:spPr>
                </pic:pic>
              </a:graphicData>
            </a:graphic>
          </wp:inline>
        </w:drawing>
      </w:r>
    </w:p>
    <w:p w14:paraId="0A9E113B" w14:textId="77777777" w:rsidR="003C3C29" w:rsidRPr="003C3C29" w:rsidRDefault="003C3C29" w:rsidP="003C3C29">
      <w:pPr>
        <w:spacing w:after="0" w:line="240" w:lineRule="auto"/>
        <w:ind w:right="-113"/>
        <w:jc w:val="both"/>
        <w:rPr>
          <w:rFonts w:ascii="Arial" w:hAnsi="Arial" w:cs="Arial"/>
          <w:sz w:val="20"/>
          <w:szCs w:val="20"/>
        </w:rPr>
      </w:pPr>
      <w:r w:rsidRPr="003C3C29">
        <w:rPr>
          <w:rFonts w:ascii="Arial" w:hAnsi="Arial" w:cs="Arial"/>
        </w:rPr>
        <w:t>Prepared on a resourcing (that is, appropriations available) basis.</w:t>
      </w:r>
    </w:p>
    <w:p w14:paraId="6D07B8BB" w14:textId="58641EDD" w:rsidR="003C3C29" w:rsidRPr="003D42EC" w:rsidRDefault="003C3C29" w:rsidP="003D42EC">
      <w:pPr>
        <w:pStyle w:val="ChartandTableFootnoteAlpha"/>
        <w:numPr>
          <w:ilvl w:val="0"/>
          <w:numId w:val="48"/>
        </w:numPr>
        <w:tabs>
          <w:tab w:val="left" w:pos="0"/>
        </w:tabs>
        <w:jc w:val="left"/>
      </w:pPr>
      <w:r w:rsidRPr="003D42EC">
        <w:t>Appropriation Bill (No.1) 2017-18.</w:t>
      </w:r>
    </w:p>
    <w:p w14:paraId="5C46D5E4" w14:textId="77777777" w:rsidR="003C3C29" w:rsidRPr="003C3C29" w:rsidRDefault="003C3C29" w:rsidP="003C3C29">
      <w:pPr>
        <w:keepNext/>
        <w:numPr>
          <w:ilvl w:val="0"/>
          <w:numId w:val="19"/>
        </w:numPr>
        <w:tabs>
          <w:tab w:val="clear" w:pos="284"/>
          <w:tab w:val="left" w:pos="0"/>
        </w:tabs>
        <w:spacing w:after="0" w:line="240" w:lineRule="auto"/>
        <w:jc w:val="left"/>
        <w:rPr>
          <w:rFonts w:ascii="Arial" w:hAnsi="Arial"/>
        </w:rPr>
      </w:pPr>
      <w:r w:rsidRPr="003C3C29">
        <w:rPr>
          <w:rFonts w:ascii="Arial" w:hAnsi="Arial"/>
        </w:rPr>
        <w:t>Excludes departmental capital budget (DCB).</w:t>
      </w:r>
    </w:p>
    <w:p w14:paraId="248884B1" w14:textId="77777777" w:rsidR="003C3C29" w:rsidRPr="003C3C29" w:rsidRDefault="003C3C29" w:rsidP="003C3C29">
      <w:pPr>
        <w:keepNext/>
        <w:numPr>
          <w:ilvl w:val="0"/>
          <w:numId w:val="19"/>
        </w:numPr>
        <w:tabs>
          <w:tab w:val="clear" w:pos="284"/>
          <w:tab w:val="left" w:pos="0"/>
        </w:tabs>
        <w:spacing w:after="0" w:line="240" w:lineRule="auto"/>
        <w:jc w:val="left"/>
        <w:rPr>
          <w:rFonts w:ascii="Arial" w:hAnsi="Arial"/>
        </w:rPr>
      </w:pPr>
      <w:r w:rsidRPr="003C3C29">
        <w:rPr>
          <w:rFonts w:ascii="Arial" w:hAnsi="Arial"/>
        </w:rPr>
        <w:t xml:space="preserve">Estimated retained revenue receipts under section 74 of the </w:t>
      </w:r>
      <w:r w:rsidRPr="003C3C29">
        <w:rPr>
          <w:rFonts w:ascii="Arial" w:hAnsi="Arial"/>
          <w:i/>
        </w:rPr>
        <w:t>Public Governance, Performance and Accountability Act 2013</w:t>
      </w:r>
      <w:r w:rsidRPr="003C3C29">
        <w:rPr>
          <w:rFonts w:ascii="Arial" w:hAnsi="Arial"/>
        </w:rPr>
        <w:t xml:space="preserve"> (PGPA Act).</w:t>
      </w:r>
    </w:p>
    <w:p w14:paraId="24572D41" w14:textId="77777777" w:rsidR="003C3C29" w:rsidRPr="003C3C29" w:rsidRDefault="003C3C29" w:rsidP="003C3C29">
      <w:pPr>
        <w:keepNext/>
        <w:numPr>
          <w:ilvl w:val="0"/>
          <w:numId w:val="19"/>
        </w:numPr>
        <w:tabs>
          <w:tab w:val="clear" w:pos="284"/>
          <w:tab w:val="left" w:pos="0"/>
        </w:tabs>
        <w:spacing w:after="0" w:line="240" w:lineRule="auto"/>
        <w:jc w:val="left"/>
        <w:rPr>
          <w:rFonts w:ascii="Arial" w:hAnsi="Arial"/>
        </w:rPr>
      </w:pPr>
      <w:r w:rsidRPr="003C3C29">
        <w:rPr>
          <w:rFonts w:ascii="Arial" w:hAnsi="Arial"/>
        </w:rPr>
        <w:t>Departmental capital budgets are not separately identified in Appropriation Bill (No.1) and form part of ordinary annual services items. Please refer to Table 3.5 for further details. For accounting purposes, this amount has been designated as a 'contribution by owner’.</w:t>
      </w:r>
      <w:bookmarkStart w:id="8" w:name="_Toc444523511"/>
      <w:bookmarkStart w:id="9" w:name="_Toc477957990"/>
    </w:p>
    <w:p w14:paraId="3F6FDDDF" w14:textId="77777777" w:rsidR="003C3C29" w:rsidRPr="003C3C29" w:rsidRDefault="003C3C29" w:rsidP="003C3C29">
      <w:pPr>
        <w:spacing w:after="0"/>
        <w:jc w:val="both"/>
        <w:rPr>
          <w:rFonts w:ascii="Book Antiqua" w:hAnsi="Book Antiqua"/>
          <w:sz w:val="20"/>
          <w:szCs w:val="20"/>
        </w:rPr>
      </w:pPr>
    </w:p>
    <w:p w14:paraId="419F83E3" w14:textId="77777777" w:rsidR="003C3C29" w:rsidRPr="003C3C29" w:rsidRDefault="003C3C29" w:rsidP="003C3C29">
      <w:pPr>
        <w:spacing w:after="0" w:line="240" w:lineRule="auto"/>
        <w:ind w:left="284" w:hanging="284"/>
        <w:jc w:val="both"/>
        <w:rPr>
          <w:rFonts w:ascii="Arial" w:hAnsi="Arial"/>
          <w:szCs w:val="20"/>
        </w:rPr>
      </w:pPr>
      <w:r w:rsidRPr="003C3C29">
        <w:rPr>
          <w:rFonts w:ascii="Arial" w:hAnsi="Arial"/>
          <w:szCs w:val="20"/>
          <w:u w:val="single"/>
        </w:rPr>
        <w:t>Note</w:t>
      </w:r>
      <w:r w:rsidRPr="003C3C29">
        <w:rPr>
          <w:rFonts w:ascii="Arial" w:hAnsi="Arial"/>
          <w:szCs w:val="20"/>
        </w:rPr>
        <w:t>: All figures shown above are GST exclusive – these may not match figures in the cash flow statement.</w:t>
      </w:r>
    </w:p>
    <w:p w14:paraId="1F936712" w14:textId="77777777" w:rsidR="003C3C29" w:rsidRPr="003C3C29" w:rsidRDefault="003C3C29" w:rsidP="003C3C29">
      <w:pPr>
        <w:keepNext/>
        <w:tabs>
          <w:tab w:val="left" w:pos="709"/>
        </w:tabs>
        <w:spacing w:after="0" w:line="240" w:lineRule="auto"/>
        <w:jc w:val="left"/>
        <w:outlineLvl w:val="2"/>
        <w:rPr>
          <w:rFonts w:ascii="Arial" w:hAnsi="Arial"/>
          <w:b/>
          <w:smallCaps/>
          <w:sz w:val="26"/>
          <w:szCs w:val="20"/>
        </w:rPr>
      </w:pPr>
    </w:p>
    <w:p w14:paraId="74E5DB94" w14:textId="77777777" w:rsidR="003C3C29" w:rsidRPr="003C3C29" w:rsidRDefault="003C3C29" w:rsidP="003C3C29">
      <w:pPr>
        <w:jc w:val="both"/>
        <w:rPr>
          <w:rFonts w:ascii="Book Antiqua" w:hAnsi="Book Antiqua"/>
          <w:sz w:val="20"/>
          <w:szCs w:val="20"/>
        </w:rPr>
      </w:pPr>
    </w:p>
    <w:p w14:paraId="3125A5E4" w14:textId="77777777" w:rsidR="003C3C29" w:rsidRPr="003C3C29" w:rsidRDefault="003C3C29" w:rsidP="003C3C29">
      <w:pPr>
        <w:jc w:val="both"/>
        <w:rPr>
          <w:rFonts w:ascii="Book Antiqua" w:hAnsi="Book Antiqua"/>
          <w:sz w:val="20"/>
          <w:szCs w:val="20"/>
        </w:rPr>
      </w:pPr>
    </w:p>
    <w:p w14:paraId="0C59EFAD" w14:textId="77777777" w:rsidR="003C3C29" w:rsidRPr="003C3C29" w:rsidRDefault="003C3C29" w:rsidP="003C3C29">
      <w:pPr>
        <w:jc w:val="both"/>
        <w:rPr>
          <w:rFonts w:ascii="Book Antiqua" w:hAnsi="Book Antiqua"/>
          <w:sz w:val="20"/>
          <w:szCs w:val="20"/>
        </w:rPr>
      </w:pPr>
    </w:p>
    <w:p w14:paraId="714C7D23" w14:textId="77777777" w:rsidR="003C3C29" w:rsidRPr="003C3C29" w:rsidRDefault="003C3C29" w:rsidP="003C3C29">
      <w:pPr>
        <w:keepNext/>
        <w:tabs>
          <w:tab w:val="left" w:pos="709"/>
        </w:tabs>
        <w:spacing w:line="240" w:lineRule="auto"/>
        <w:jc w:val="left"/>
        <w:outlineLvl w:val="2"/>
        <w:rPr>
          <w:rFonts w:ascii="Arial" w:hAnsi="Arial"/>
          <w:b/>
          <w:smallCaps/>
          <w:sz w:val="26"/>
          <w:szCs w:val="20"/>
        </w:rPr>
      </w:pPr>
      <w:r w:rsidRPr="003C3C29">
        <w:rPr>
          <w:rFonts w:ascii="Arial" w:hAnsi="Arial"/>
          <w:b/>
          <w:smallCaps/>
          <w:sz w:val="26"/>
          <w:szCs w:val="20"/>
        </w:rPr>
        <w:br w:type="page"/>
        <w:t>1.3</w:t>
      </w:r>
      <w:r w:rsidRPr="003C3C29">
        <w:rPr>
          <w:rFonts w:ascii="Arial" w:hAnsi="Arial"/>
          <w:b/>
          <w:smallCaps/>
          <w:sz w:val="26"/>
          <w:szCs w:val="20"/>
        </w:rPr>
        <w:tab/>
        <w:t>Budget measures</w:t>
      </w:r>
      <w:bookmarkEnd w:id="8"/>
      <w:bookmarkEnd w:id="9"/>
    </w:p>
    <w:p w14:paraId="1E6997E3"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Budget measures in Part 1 relating to the AEC are detailed in </w:t>
      </w:r>
      <w:r w:rsidRPr="003C3C29">
        <w:rPr>
          <w:rFonts w:ascii="Book Antiqua" w:hAnsi="Book Antiqua"/>
          <w:i/>
          <w:sz w:val="20"/>
          <w:szCs w:val="20"/>
        </w:rPr>
        <w:t>Budget Paper No. 2</w:t>
      </w:r>
      <w:r w:rsidRPr="003C3C29">
        <w:rPr>
          <w:rFonts w:ascii="Book Antiqua" w:hAnsi="Book Antiqua"/>
          <w:sz w:val="20"/>
          <w:szCs w:val="20"/>
        </w:rPr>
        <w:t xml:space="preserve"> and are summarised below.</w:t>
      </w:r>
    </w:p>
    <w:p w14:paraId="53F48FCB" w14:textId="77777777" w:rsidR="003C3C29" w:rsidRPr="003C3C29" w:rsidRDefault="003C3C29" w:rsidP="003C3C29">
      <w:pPr>
        <w:spacing w:after="0"/>
        <w:jc w:val="both"/>
        <w:rPr>
          <w:rFonts w:ascii="Book Antiqua" w:hAnsi="Book Antiqua"/>
          <w:sz w:val="20"/>
          <w:szCs w:val="20"/>
        </w:rPr>
      </w:pPr>
    </w:p>
    <w:p w14:paraId="683D3EA7" w14:textId="77777777" w:rsidR="003C3C29" w:rsidRPr="003C3C29" w:rsidRDefault="003C3C29" w:rsidP="003C3C29">
      <w:pPr>
        <w:keepNext/>
        <w:spacing w:after="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 xml:space="preserve">Table 1.2: </w:t>
      </w:r>
      <w:r w:rsidRPr="003C3C29">
        <w:rPr>
          <w:rFonts w:ascii="Arial" w:hAnsi="Arial"/>
          <w:b/>
          <w:color w:val="000000"/>
          <w:sz w:val="20"/>
          <w:szCs w:val="20"/>
          <w:lang w:eastAsia="x-none"/>
        </w:rPr>
        <w:t xml:space="preserve">Australian Electoral Commission </w:t>
      </w:r>
      <w:r w:rsidRPr="003C3C29">
        <w:rPr>
          <w:rFonts w:ascii="Arial" w:hAnsi="Arial"/>
          <w:b/>
          <w:color w:val="000000"/>
          <w:sz w:val="20"/>
          <w:szCs w:val="20"/>
          <w:lang w:val="x-none" w:eastAsia="x-none"/>
        </w:rPr>
        <w:t>2017</w:t>
      </w:r>
      <w:r w:rsidRPr="003C3C29">
        <w:rPr>
          <w:rFonts w:ascii="Arial" w:hAnsi="Arial"/>
          <w:b/>
          <w:color w:val="000000"/>
          <w:sz w:val="20"/>
          <w:szCs w:val="20"/>
          <w:lang w:val="x-none" w:eastAsia="x-none"/>
        </w:rPr>
        <w:noBreakHyphen/>
        <w:t>18 Budget measures</w:t>
      </w:r>
    </w:p>
    <w:p w14:paraId="109979B1" w14:textId="77777777" w:rsidR="003C3C29" w:rsidRPr="003C3C29" w:rsidRDefault="003C3C29" w:rsidP="003C3C29">
      <w:pPr>
        <w:keepNext/>
        <w:spacing w:before="120" w:after="20" w:line="240" w:lineRule="auto"/>
        <w:jc w:val="left"/>
        <w:rPr>
          <w:rFonts w:ascii="Arial Bold" w:hAnsi="Arial Bold"/>
          <w:b/>
          <w:sz w:val="20"/>
          <w:szCs w:val="20"/>
        </w:rPr>
      </w:pPr>
      <w:r w:rsidRPr="003C3C29">
        <w:rPr>
          <w:rFonts w:ascii="Arial Bold" w:hAnsi="Arial Bold"/>
          <w:b/>
          <w:sz w:val="20"/>
          <w:szCs w:val="20"/>
        </w:rPr>
        <w:t>Part 1: Measures announced since the 2016</w:t>
      </w:r>
      <w:r w:rsidRPr="003C3C29">
        <w:rPr>
          <w:rFonts w:ascii="Arial Bold" w:hAnsi="Arial Bold"/>
          <w:b/>
          <w:sz w:val="20"/>
          <w:szCs w:val="20"/>
        </w:rPr>
        <w:noBreakHyphen/>
        <w:t>17 Mid-Year Economic and Fiscal Outlook (MYEFO)</w:t>
      </w:r>
    </w:p>
    <w:p w14:paraId="6ADE39CA" w14:textId="5259AC89" w:rsidR="003C3C29" w:rsidRPr="003C3C29" w:rsidRDefault="001A116F" w:rsidP="003C3C29">
      <w:pPr>
        <w:spacing w:after="0" w:line="240" w:lineRule="auto"/>
        <w:ind w:right="-113"/>
        <w:jc w:val="both"/>
        <w:rPr>
          <w:rFonts w:ascii="Book Antiqua" w:hAnsi="Book Antiqua"/>
          <w:sz w:val="20"/>
          <w:szCs w:val="20"/>
        </w:rPr>
      </w:pPr>
      <w:r w:rsidRPr="001A116F">
        <w:rPr>
          <w:noProof/>
        </w:rPr>
        <w:drawing>
          <wp:inline distT="0" distB="0" distL="0" distR="0" wp14:anchorId="0E7B6F86" wp14:editId="403BD4A6">
            <wp:extent cx="4747260" cy="23622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7260" cy="2362200"/>
                    </a:xfrm>
                    <a:prstGeom prst="rect">
                      <a:avLst/>
                    </a:prstGeom>
                    <a:noFill/>
                    <a:ln>
                      <a:noFill/>
                    </a:ln>
                  </pic:spPr>
                </pic:pic>
              </a:graphicData>
            </a:graphic>
          </wp:inline>
        </w:drawing>
      </w:r>
    </w:p>
    <w:p w14:paraId="6A5BE6F4" w14:textId="77777777" w:rsidR="003C3C29" w:rsidRPr="003C3C29" w:rsidRDefault="003C3C29" w:rsidP="003C3C29">
      <w:pPr>
        <w:spacing w:after="0" w:line="240" w:lineRule="auto"/>
        <w:ind w:right="-113"/>
        <w:jc w:val="both"/>
        <w:rPr>
          <w:rFonts w:ascii="Book Antiqua" w:hAnsi="Book Antiqua"/>
          <w:i/>
          <w:color w:val="FF0000"/>
          <w:sz w:val="20"/>
          <w:szCs w:val="20"/>
        </w:rPr>
      </w:pPr>
      <w:r w:rsidRPr="003C3C29">
        <w:rPr>
          <w:rFonts w:ascii="Arial" w:hAnsi="Arial" w:cs="Arial"/>
        </w:rPr>
        <w:t>Prepared on a Government Finance Statistics (fiscal) basis. Figures displayed as a negative (-) represent a decrease in funds and a positive (+) represent an increase in funds.</w:t>
      </w:r>
    </w:p>
    <w:p w14:paraId="0144D545" w14:textId="1264D882" w:rsidR="003D42EC" w:rsidRPr="003D42EC" w:rsidRDefault="003D42EC" w:rsidP="003D42EC">
      <w:pPr>
        <w:pStyle w:val="ChartandTableFootnoteAlpha"/>
        <w:numPr>
          <w:ilvl w:val="0"/>
          <w:numId w:val="47"/>
        </w:numPr>
        <w:jc w:val="left"/>
        <w:rPr>
          <w:szCs w:val="16"/>
        </w:rPr>
      </w:pPr>
      <w:r w:rsidRPr="003D42EC">
        <w:rPr>
          <w:szCs w:val="16"/>
        </w:rPr>
        <w:t xml:space="preserve">The AEC will receive funding of $1.3 million over the forward estimates through </w:t>
      </w:r>
      <w:r w:rsidR="002A07F9">
        <w:rPr>
          <w:szCs w:val="16"/>
        </w:rPr>
        <w:t xml:space="preserve">the </w:t>
      </w:r>
      <w:r w:rsidRPr="003D42EC">
        <w:rPr>
          <w:szCs w:val="16"/>
        </w:rPr>
        <w:t xml:space="preserve">measure, </w:t>
      </w:r>
      <w:r w:rsidRPr="003D42EC">
        <w:rPr>
          <w:i/>
          <w:szCs w:val="16"/>
        </w:rPr>
        <w:t>Public Service Modernisation Fund – agency sustainability</w:t>
      </w:r>
      <w:r w:rsidRPr="003D42EC">
        <w:rPr>
          <w:szCs w:val="16"/>
        </w:rPr>
        <w:t xml:space="preserve">. The full measure description and package details appear in </w:t>
      </w:r>
      <w:r w:rsidRPr="003D42EC">
        <w:rPr>
          <w:i/>
          <w:szCs w:val="16"/>
        </w:rPr>
        <w:t>Budget Paper No. 2</w:t>
      </w:r>
      <w:r w:rsidRPr="003D42EC">
        <w:rPr>
          <w:szCs w:val="16"/>
        </w:rPr>
        <w:t xml:space="preserve"> </w:t>
      </w:r>
      <w:r w:rsidR="002A07F9">
        <w:rPr>
          <w:szCs w:val="16"/>
        </w:rPr>
        <w:t>as a</w:t>
      </w:r>
      <w:r w:rsidRPr="003D42EC">
        <w:rPr>
          <w:szCs w:val="16"/>
        </w:rPr>
        <w:t xml:space="preserve"> cross portfolio</w:t>
      </w:r>
      <w:r w:rsidR="002A07F9">
        <w:rPr>
          <w:szCs w:val="16"/>
        </w:rPr>
        <w:t xml:space="preserve"> measure</w:t>
      </w:r>
      <w:r w:rsidRPr="003D42EC">
        <w:rPr>
          <w:szCs w:val="16"/>
        </w:rPr>
        <w:t>.</w:t>
      </w:r>
    </w:p>
    <w:p w14:paraId="47E98B2A" w14:textId="77777777" w:rsidR="003C3C29" w:rsidRPr="003C3C29" w:rsidRDefault="003C3C29" w:rsidP="003C3C29">
      <w:pPr>
        <w:jc w:val="both"/>
        <w:rPr>
          <w:rFonts w:ascii="Book Antiqua" w:hAnsi="Book Antiqua"/>
          <w:sz w:val="20"/>
          <w:szCs w:val="20"/>
          <w:lang w:eastAsia="x-none"/>
        </w:rPr>
      </w:pPr>
    </w:p>
    <w:p w14:paraId="658CA54B" w14:textId="77777777" w:rsidR="003C3C29" w:rsidRPr="003C3C29" w:rsidRDefault="003C3C29" w:rsidP="003C3C29">
      <w:pPr>
        <w:spacing w:after="0" w:line="240" w:lineRule="auto"/>
        <w:ind w:right="-113"/>
        <w:jc w:val="both"/>
        <w:rPr>
          <w:rFonts w:ascii="Book Antiqua" w:hAnsi="Book Antiqua"/>
          <w:sz w:val="20"/>
          <w:szCs w:val="20"/>
        </w:rPr>
      </w:pPr>
    </w:p>
    <w:p w14:paraId="5FAE22AF" w14:textId="77777777" w:rsidR="003C3C29" w:rsidRPr="003C3C29" w:rsidRDefault="003C3C29" w:rsidP="003C3C29">
      <w:pPr>
        <w:keepNext/>
        <w:spacing w:after="480" w:line="240" w:lineRule="auto"/>
        <w:jc w:val="left"/>
        <w:outlineLvl w:val="1"/>
        <w:rPr>
          <w:rFonts w:ascii="Arial" w:hAnsi="Arial"/>
          <w:sz w:val="30"/>
          <w:szCs w:val="20"/>
        </w:rPr>
      </w:pPr>
      <w:bookmarkStart w:id="10" w:name="_Toc444523512"/>
      <w:bookmarkStart w:id="11" w:name="_Toc477957991"/>
      <w:r w:rsidRPr="003C3C29">
        <w:rPr>
          <w:rFonts w:ascii="Arial" w:hAnsi="Arial"/>
          <w:sz w:val="30"/>
          <w:szCs w:val="20"/>
        </w:rPr>
        <w:br w:type="page"/>
        <w:t>Section 2: Outcomes and planned performance</w:t>
      </w:r>
      <w:bookmarkEnd w:id="10"/>
      <w:bookmarkEnd w:id="11"/>
    </w:p>
    <w:p w14:paraId="367577C1"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37FFB55"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Each outcome is described below together with its related programs. The following provides detailed information on expenses for each outcome and program, further broken down by funding source. </w:t>
      </w:r>
    </w:p>
    <w:p w14:paraId="6FD9CC02" w14:textId="77777777" w:rsidR="003C3C29" w:rsidRPr="003C3C29" w:rsidRDefault="003C3C29" w:rsidP="003C3C29">
      <w:pPr>
        <w:pBdr>
          <w:top w:val="single" w:sz="2" w:space="6" w:color="auto"/>
          <w:left w:val="single" w:sz="2" w:space="4" w:color="auto"/>
          <w:bottom w:val="single" w:sz="2" w:space="6" w:color="auto"/>
          <w:right w:val="single" w:sz="2" w:space="4" w:color="auto"/>
        </w:pBdr>
        <w:spacing w:after="120" w:line="240" w:lineRule="auto"/>
        <w:jc w:val="both"/>
        <w:rPr>
          <w:rFonts w:ascii="Book Antiqua" w:hAnsi="Book Antiqua"/>
          <w:b/>
          <w:sz w:val="20"/>
          <w:szCs w:val="20"/>
        </w:rPr>
      </w:pPr>
      <w:r w:rsidRPr="003C3C29">
        <w:rPr>
          <w:rFonts w:ascii="Book Antiqua" w:hAnsi="Book Antiqua"/>
          <w:b/>
          <w:sz w:val="20"/>
          <w:szCs w:val="20"/>
        </w:rPr>
        <w:t>Note:</w:t>
      </w:r>
    </w:p>
    <w:p w14:paraId="11746AA8"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Performance reporting requirements in the Portfolio Budget Statements are part of the enhanced Commonwealth performance framework established by the </w:t>
      </w:r>
      <w:r w:rsidRPr="003C3C29">
        <w:rPr>
          <w:rFonts w:ascii="Book Antiqua" w:hAnsi="Book Antiqua"/>
          <w:i/>
          <w:sz w:val="20"/>
          <w:szCs w:val="20"/>
        </w:rPr>
        <w:t>Public Governance, Performance and Accountability Act 2013</w:t>
      </w:r>
      <w:r w:rsidRPr="003C3C29">
        <w:rPr>
          <w:rFonts w:ascii="Book Antiqua" w:hAnsi="Book Antiqua"/>
          <w:sz w:val="20"/>
          <w:szCs w:val="20"/>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3A2C614F"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u w:val="single"/>
        </w:rPr>
      </w:pPr>
      <w:r w:rsidRPr="003C3C29">
        <w:rPr>
          <w:rFonts w:ascii="Book Antiqua" w:hAnsi="Book Antiqua"/>
          <w:sz w:val="20"/>
          <w:szCs w:val="20"/>
        </w:rPr>
        <w:t xml:space="preserve">The most recent corporate plan for the AEC can be found at: </w:t>
      </w:r>
      <w:hyperlink r:id="rId16" w:history="1">
        <w:r w:rsidRPr="003C3C29">
          <w:rPr>
            <w:rFonts w:ascii="Book Antiqua" w:hAnsi="Book Antiqua"/>
            <w:color w:val="000000"/>
            <w:sz w:val="20"/>
            <w:szCs w:val="20"/>
          </w:rPr>
          <w:t>http://www.aec.gov.au/About_AEC/Publications/corporate-plan/index.html</w:t>
        </w:r>
      </w:hyperlink>
      <w:r w:rsidRPr="003C3C29">
        <w:rPr>
          <w:rFonts w:ascii="Book Antiqua" w:hAnsi="Book Antiqua"/>
          <w:sz w:val="20"/>
          <w:szCs w:val="20"/>
        </w:rPr>
        <w:t xml:space="preserve">. </w:t>
      </w:r>
    </w:p>
    <w:p w14:paraId="539DE8F7"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The most recent annual performance statement can be found at: </w:t>
      </w:r>
      <w:hyperlink r:id="rId17" w:history="1">
        <w:r w:rsidRPr="003C3C29">
          <w:rPr>
            <w:rFonts w:ascii="Book Antiqua" w:hAnsi="Book Antiqua"/>
            <w:color w:val="000000"/>
            <w:sz w:val="20"/>
            <w:szCs w:val="20"/>
          </w:rPr>
          <w:t>http://annualreport.aec.gov.au/annual-reports.html</w:t>
        </w:r>
      </w:hyperlink>
      <w:r w:rsidRPr="003C3C29">
        <w:rPr>
          <w:rFonts w:ascii="Book Antiqua" w:hAnsi="Book Antiqua"/>
          <w:sz w:val="20"/>
          <w:szCs w:val="20"/>
        </w:rPr>
        <w:t>.</w:t>
      </w:r>
    </w:p>
    <w:p w14:paraId="6BFF40B1"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highlight w:val="yellow"/>
        </w:rPr>
      </w:pPr>
    </w:p>
    <w:p w14:paraId="3A61B4E5" w14:textId="77777777" w:rsidR="003C3C29" w:rsidRPr="003C3C29" w:rsidRDefault="003C3C29" w:rsidP="003C3C29">
      <w:pPr>
        <w:jc w:val="both"/>
        <w:rPr>
          <w:rFonts w:ascii="Book Antiqua" w:hAnsi="Book Antiqua"/>
          <w:sz w:val="20"/>
          <w:szCs w:val="20"/>
          <w:highlight w:val="yellow"/>
        </w:rPr>
      </w:pPr>
    </w:p>
    <w:p w14:paraId="204868F3" w14:textId="77777777" w:rsidR="00A97674" w:rsidRDefault="00A97674" w:rsidP="003C3C29">
      <w:pPr>
        <w:keepNext/>
        <w:tabs>
          <w:tab w:val="left" w:pos="709"/>
        </w:tabs>
        <w:spacing w:before="240" w:line="240" w:lineRule="auto"/>
        <w:jc w:val="left"/>
        <w:outlineLvl w:val="2"/>
        <w:rPr>
          <w:rFonts w:ascii="Arial" w:hAnsi="Arial"/>
          <w:b/>
          <w:smallCaps/>
          <w:sz w:val="26"/>
          <w:szCs w:val="20"/>
        </w:rPr>
      </w:pPr>
      <w:bookmarkStart w:id="12" w:name="_Toc477957992"/>
      <w:r>
        <w:rPr>
          <w:rFonts w:ascii="Arial" w:hAnsi="Arial"/>
          <w:b/>
          <w:smallCaps/>
          <w:sz w:val="26"/>
          <w:szCs w:val="20"/>
        </w:rPr>
        <w:br w:type="page"/>
      </w:r>
    </w:p>
    <w:p w14:paraId="40C270DA" w14:textId="0612F4DD"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 xml:space="preserve">2.1 </w:t>
      </w:r>
      <w:r w:rsidRPr="003C3C29">
        <w:rPr>
          <w:rFonts w:ascii="Arial" w:hAnsi="Arial"/>
          <w:b/>
          <w:smallCaps/>
          <w:sz w:val="26"/>
          <w:szCs w:val="20"/>
        </w:rPr>
        <w:tab/>
        <w:t>Budgeted expenses and performance for Outcome 1</w:t>
      </w:r>
      <w:bookmarkEnd w:id="1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3C3C29" w:rsidRPr="003C3C29" w14:paraId="33FF914D" w14:textId="77777777" w:rsidTr="00566D5A">
        <w:tc>
          <w:tcPr>
            <w:tcW w:w="7713" w:type="dxa"/>
            <w:shd w:val="clear" w:color="auto" w:fill="E6E6E6"/>
          </w:tcPr>
          <w:p w14:paraId="7E704477" w14:textId="77777777" w:rsidR="003C3C29" w:rsidRPr="003C3C29" w:rsidRDefault="003C3C29" w:rsidP="003C3C29">
            <w:pPr>
              <w:spacing w:before="60" w:after="60" w:line="240" w:lineRule="auto"/>
              <w:jc w:val="left"/>
              <w:rPr>
                <w:rFonts w:ascii="Arial" w:hAnsi="Arial"/>
                <w:b/>
                <w:sz w:val="20"/>
                <w:szCs w:val="20"/>
              </w:rPr>
            </w:pPr>
            <w:r w:rsidRPr="003C3C29">
              <w:rPr>
                <w:rFonts w:ascii="Arial" w:hAnsi="Arial"/>
                <w:b/>
                <w:sz w:val="20"/>
                <w:szCs w:val="20"/>
              </w:rPr>
              <w:t xml:space="preserve">Outcome 1: </w:t>
            </w:r>
            <w:r w:rsidRPr="003C3C29">
              <w:rPr>
                <w:rFonts w:ascii="Arial" w:hAnsi="Arial" w:cs="Arial"/>
                <w:sz w:val="20"/>
                <w:szCs w:val="20"/>
              </w:rPr>
              <w:t xml:space="preserve">Maintain an impartial and independent electoral system for eligible voters through active electoral roll management, efficient delivery of polling services, and targeted education and public awareness programs. </w:t>
            </w:r>
          </w:p>
        </w:tc>
      </w:tr>
    </w:tbl>
    <w:p w14:paraId="6E760B6A" w14:textId="77777777" w:rsidR="003C3C29" w:rsidRPr="003C3C29" w:rsidRDefault="003C3C29" w:rsidP="003C3C29">
      <w:pPr>
        <w:keepNext/>
        <w:spacing w:after="120" w:line="240" w:lineRule="auto"/>
        <w:jc w:val="left"/>
        <w:outlineLvl w:val="4"/>
        <w:rPr>
          <w:rFonts w:ascii="Arial" w:hAnsi="Arial"/>
          <w:b/>
          <w:bCs/>
          <w:iCs/>
          <w:sz w:val="20"/>
          <w:szCs w:val="26"/>
        </w:rPr>
      </w:pPr>
    </w:p>
    <w:p w14:paraId="41A0D68C" w14:textId="77777777" w:rsidR="003C3C29" w:rsidRPr="003C3C29" w:rsidRDefault="003C3C29" w:rsidP="003C3C29">
      <w:pPr>
        <w:keepNext/>
        <w:spacing w:after="120" w:line="240" w:lineRule="auto"/>
        <w:jc w:val="left"/>
        <w:outlineLvl w:val="4"/>
        <w:rPr>
          <w:rFonts w:ascii="Arial" w:hAnsi="Arial"/>
          <w:b/>
          <w:bCs/>
          <w:iCs/>
          <w:sz w:val="20"/>
          <w:szCs w:val="26"/>
        </w:rPr>
      </w:pPr>
      <w:r w:rsidRPr="003C3C29">
        <w:rPr>
          <w:rFonts w:ascii="Arial" w:hAnsi="Arial"/>
          <w:b/>
          <w:bCs/>
          <w:iCs/>
          <w:sz w:val="20"/>
          <w:szCs w:val="26"/>
        </w:rPr>
        <w:t>Budgeted expenses for Outcome 1</w:t>
      </w:r>
    </w:p>
    <w:p w14:paraId="52538835"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This table shows how much the AEC intends to spend (on an accrual basis) on achieving the outcome, broken down by program, as well as by Administered and Departmental funding sources. </w:t>
      </w:r>
    </w:p>
    <w:p w14:paraId="699D40CD"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                                                          </w:t>
      </w:r>
    </w:p>
    <w:p w14:paraId="50CBF9B9"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2.</w:t>
      </w:r>
      <w:r w:rsidRPr="003C3C29">
        <w:rPr>
          <w:rFonts w:ascii="Arial" w:hAnsi="Arial"/>
          <w:b/>
          <w:color w:val="000000"/>
          <w:sz w:val="20"/>
          <w:szCs w:val="20"/>
          <w:lang w:eastAsia="x-none"/>
        </w:rPr>
        <w:t>1</w:t>
      </w:r>
      <w:r w:rsidRPr="003C3C29">
        <w:rPr>
          <w:rFonts w:ascii="Arial" w:hAnsi="Arial"/>
          <w:b/>
          <w:color w:val="000000"/>
          <w:sz w:val="20"/>
          <w:szCs w:val="20"/>
          <w:lang w:val="x-none" w:eastAsia="x-none"/>
        </w:rPr>
        <w:t>.1: Budgeted expenses for Outcome 1</w:t>
      </w:r>
    </w:p>
    <w:p w14:paraId="3C3814B6" w14:textId="14ADC049" w:rsidR="003C3C29" w:rsidRPr="003C3C29" w:rsidRDefault="003C3C29" w:rsidP="003C3C29">
      <w:pPr>
        <w:spacing w:after="0" w:line="240" w:lineRule="auto"/>
        <w:jc w:val="both"/>
        <w:rPr>
          <w:rFonts w:ascii="Arial" w:hAnsi="Arial"/>
        </w:rPr>
      </w:pPr>
      <w:r w:rsidRPr="003C3C29">
        <w:rPr>
          <w:rFonts w:ascii="Arial" w:hAnsi="Arial"/>
        </w:rPr>
        <w:fldChar w:fldCharType="begin"/>
      </w:r>
      <w:r w:rsidRPr="003C3C29">
        <w:rPr>
          <w:rFonts w:ascii="Arial" w:hAnsi="Arial"/>
        </w:rPr>
        <w:instrText xml:space="preserve"> LINK \\mercury.network\DFS\Groups\COOG\CFOD\FSB\Budget\2017-18 Budget\PBS\Other entities\AEC\EM2017-08 - Attachment F - 2017-18 PBS Excel Tables_AEC_FINAL_NM.xlsx "Table 2.X.1 NCCE!R5C1:R33C6" "" \p </w:instrText>
      </w:r>
      <w:r w:rsidRPr="003C3C29">
        <w:rPr>
          <w:rFonts w:ascii="Arial" w:hAnsi="Arial"/>
        </w:rPr>
        <w:fldChar w:fldCharType="separate"/>
      </w:r>
      <w:r w:rsidR="0080186B">
        <w:rPr>
          <w:rFonts w:ascii="Arial" w:hAnsi="Arial"/>
        </w:rPr>
        <w:object w:dxaOrig="8379" w:dyaOrig="8282" w14:anchorId="4C79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8pt;height:414pt" o:ole="">
            <v:imagedata r:id="rId18" o:title=""/>
          </v:shape>
        </w:object>
      </w:r>
      <w:r w:rsidRPr="003C3C29">
        <w:rPr>
          <w:rFonts w:ascii="Arial" w:hAnsi="Arial"/>
        </w:rPr>
        <w:fldChar w:fldCharType="end"/>
      </w:r>
      <w:r w:rsidRPr="003C3C29">
        <w:rPr>
          <w:rFonts w:ascii="Arial" w:hAnsi="Arial"/>
        </w:rPr>
        <w:t xml:space="preserve">(a)  Estimated expenses incurred in relation to receipts retained under section 74 of the </w:t>
      </w:r>
      <w:r w:rsidRPr="003C3C29">
        <w:rPr>
          <w:rFonts w:ascii="Arial" w:hAnsi="Arial"/>
          <w:i/>
        </w:rPr>
        <w:t>PGPA Act 2013</w:t>
      </w:r>
      <w:r w:rsidRPr="003C3C29">
        <w:rPr>
          <w:rFonts w:ascii="Arial" w:hAnsi="Arial"/>
        </w:rPr>
        <w:t>.</w:t>
      </w:r>
    </w:p>
    <w:p w14:paraId="4E7F502D" w14:textId="77777777" w:rsidR="003C3C29" w:rsidRPr="003C3C29" w:rsidRDefault="003C3C29" w:rsidP="003C3C29">
      <w:pPr>
        <w:keepNext/>
        <w:numPr>
          <w:ilvl w:val="0"/>
          <w:numId w:val="38"/>
        </w:numPr>
        <w:tabs>
          <w:tab w:val="left" w:pos="0"/>
        </w:tabs>
        <w:spacing w:after="0" w:line="240" w:lineRule="auto"/>
        <w:jc w:val="left"/>
        <w:rPr>
          <w:rFonts w:ascii="Arial" w:hAnsi="Arial"/>
        </w:rPr>
      </w:pPr>
      <w:r w:rsidRPr="003C3C29">
        <w:rPr>
          <w:rFonts w:ascii="Arial" w:hAnsi="Arial"/>
        </w:rPr>
        <w:t>Expenses not requiring appropriation in the Budget year are made up of depreciation expenses,             amortisation expenses, make good expenses, and audit fees.</w:t>
      </w:r>
    </w:p>
    <w:p w14:paraId="0533A1D2" w14:textId="77777777" w:rsidR="003C3C29" w:rsidRPr="003C3C29" w:rsidRDefault="003C3C29" w:rsidP="003C3C29">
      <w:pPr>
        <w:spacing w:after="0" w:line="240" w:lineRule="auto"/>
        <w:jc w:val="left"/>
        <w:rPr>
          <w:rFonts w:ascii="Book Antiqua" w:hAnsi="Book Antiqua"/>
          <w:sz w:val="20"/>
          <w:szCs w:val="20"/>
        </w:rPr>
      </w:pPr>
    </w:p>
    <w:p w14:paraId="28D3B61B" w14:textId="77777777" w:rsidR="003C3C29" w:rsidRPr="003C3C29" w:rsidRDefault="003C3C29" w:rsidP="003C3C29">
      <w:pPr>
        <w:spacing w:after="0" w:line="240" w:lineRule="auto"/>
        <w:jc w:val="left"/>
        <w:rPr>
          <w:rFonts w:ascii="Arial" w:hAnsi="Arial" w:cs="Arial"/>
          <w:lang w:val="x-none" w:eastAsia="x-none"/>
        </w:rPr>
      </w:pPr>
      <w:r w:rsidRPr="003C3C29">
        <w:rPr>
          <w:rFonts w:ascii="Arial" w:hAnsi="Arial" w:cs="Arial"/>
          <w:u w:val="single"/>
          <w:lang w:val="x-none" w:eastAsia="x-none"/>
        </w:rPr>
        <w:t>Note:</w:t>
      </w:r>
      <w:r w:rsidRPr="003C3C29">
        <w:rPr>
          <w:rFonts w:ascii="Arial" w:hAnsi="Arial" w:cs="Arial"/>
          <w:lang w:val="x-none" w:eastAsia="x-none"/>
        </w:rPr>
        <w:t xml:space="preserve"> Departmental appropriation splits and totals are indicative estimates and may change in the course of the </w:t>
      </w:r>
      <w:r w:rsidRPr="003C3C29">
        <w:rPr>
          <w:rFonts w:ascii="Arial" w:hAnsi="Arial" w:cs="Arial"/>
          <w:lang w:eastAsia="x-none"/>
        </w:rPr>
        <w:t>B</w:t>
      </w:r>
      <w:r w:rsidRPr="003C3C29">
        <w:rPr>
          <w:rFonts w:ascii="Arial" w:hAnsi="Arial" w:cs="Arial"/>
          <w:lang w:val="x-none" w:eastAsia="x-none"/>
        </w:rPr>
        <w:t>udget year as government priorities change.</w:t>
      </w:r>
    </w:p>
    <w:p w14:paraId="5CFDE1DB" w14:textId="77777777" w:rsidR="003C3C29" w:rsidRPr="003C3C29" w:rsidRDefault="003C3C29" w:rsidP="003C3C29">
      <w:pPr>
        <w:spacing w:after="0" w:line="240" w:lineRule="auto"/>
        <w:jc w:val="left"/>
        <w:rPr>
          <w:rFonts w:ascii="Arial" w:hAnsi="Arial" w:cs="Arial"/>
          <w:lang w:val="x-none" w:eastAsia="x-none"/>
        </w:rPr>
      </w:pPr>
    </w:p>
    <w:p w14:paraId="12CE634E" w14:textId="77777777" w:rsidR="003C3C29" w:rsidRPr="003C3C29" w:rsidRDefault="003C3C29" w:rsidP="003C3C29">
      <w:pPr>
        <w:spacing w:after="0" w:line="240" w:lineRule="auto"/>
        <w:jc w:val="left"/>
        <w:rPr>
          <w:rFonts w:ascii="Arial" w:hAnsi="Arial" w:cs="Arial"/>
          <w:lang w:val="x-none" w:eastAsia="x-none"/>
        </w:rPr>
      </w:pPr>
    </w:p>
    <w:p w14:paraId="12C46B86" w14:textId="77777777" w:rsidR="003C3C29" w:rsidRPr="003C3C29" w:rsidRDefault="003C3C29" w:rsidP="003C3C29">
      <w:pPr>
        <w:spacing w:after="0" w:line="240" w:lineRule="auto"/>
        <w:jc w:val="left"/>
        <w:rPr>
          <w:rFonts w:ascii="Arial" w:hAnsi="Arial" w:cs="Arial"/>
          <w:lang w:val="x-none" w:eastAsia="x-none"/>
        </w:rPr>
      </w:pPr>
    </w:p>
    <w:p w14:paraId="145DB266" w14:textId="77777777" w:rsidR="003C3C29" w:rsidRPr="003C3C29" w:rsidRDefault="003C3C29" w:rsidP="003C3C29">
      <w:pPr>
        <w:spacing w:after="0" w:line="240" w:lineRule="auto"/>
        <w:jc w:val="left"/>
        <w:rPr>
          <w:rFonts w:ascii="Arial" w:hAnsi="Arial" w:cs="Arial"/>
          <w:lang w:val="x-none" w:eastAsia="x-none"/>
        </w:rPr>
      </w:pPr>
    </w:p>
    <w:p w14:paraId="6991A7CD" w14:textId="77777777" w:rsidR="003C3C29" w:rsidRPr="003C3C29" w:rsidRDefault="003C3C29" w:rsidP="003C3C29">
      <w:pPr>
        <w:spacing w:after="0" w:line="240" w:lineRule="auto"/>
        <w:jc w:val="left"/>
        <w:rPr>
          <w:rFonts w:ascii="Arial" w:hAnsi="Arial" w:cs="Arial"/>
          <w:lang w:val="x-none" w:eastAsia="x-none"/>
        </w:rPr>
      </w:pPr>
    </w:p>
    <w:p w14:paraId="30C701A3" w14:textId="77777777" w:rsidR="00A97674" w:rsidRDefault="00A97674">
      <w:pPr>
        <w:spacing w:after="0" w:line="240" w:lineRule="auto"/>
        <w:jc w:val="left"/>
        <w:rPr>
          <w:rFonts w:ascii="Arial" w:hAnsi="Arial"/>
          <w:b/>
          <w:color w:val="000000"/>
          <w:sz w:val="20"/>
          <w:szCs w:val="20"/>
          <w:lang w:val="x-none" w:eastAsia="x-none"/>
        </w:rPr>
        <w:sectPr w:rsidR="00A97674" w:rsidSect="003C3C29">
          <w:headerReference w:type="even" r:id="rId19"/>
          <w:headerReference w:type="default" r:id="rId20"/>
          <w:headerReference w:type="first" r:id="rId21"/>
          <w:type w:val="oddPage"/>
          <w:pgSz w:w="11906" w:h="16838" w:code="9"/>
          <w:pgMar w:top="2466" w:right="2125" w:bottom="2466" w:left="2098" w:header="1899" w:footer="1899" w:gutter="0"/>
          <w:cols w:space="708"/>
          <w:titlePg/>
          <w:docGrid w:linePitch="360"/>
        </w:sectPr>
      </w:pPr>
      <w:r>
        <w:rPr>
          <w:rFonts w:ascii="Arial" w:hAnsi="Arial"/>
          <w:b/>
          <w:color w:val="000000"/>
          <w:sz w:val="20"/>
          <w:szCs w:val="20"/>
          <w:lang w:val="x-none" w:eastAsia="x-none"/>
        </w:rPr>
        <w:br w:type="page"/>
      </w:r>
    </w:p>
    <w:p w14:paraId="125BDCCD" w14:textId="223D9D44" w:rsidR="00A97674" w:rsidRDefault="00A97674">
      <w:pPr>
        <w:spacing w:after="0" w:line="240" w:lineRule="auto"/>
        <w:jc w:val="left"/>
        <w:rPr>
          <w:rFonts w:ascii="Arial" w:hAnsi="Arial"/>
          <w:b/>
          <w:color w:val="000000"/>
          <w:sz w:val="20"/>
          <w:szCs w:val="20"/>
          <w:lang w:val="x-none" w:eastAsia="x-none"/>
        </w:rPr>
      </w:pPr>
    </w:p>
    <w:p w14:paraId="7B47BDCB" w14:textId="545D1783"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2.</w:t>
      </w:r>
      <w:r w:rsidRPr="003C3C29">
        <w:rPr>
          <w:rFonts w:ascii="Arial" w:hAnsi="Arial"/>
          <w:b/>
          <w:color w:val="000000"/>
          <w:sz w:val="20"/>
          <w:szCs w:val="20"/>
          <w:lang w:eastAsia="x-none"/>
        </w:rPr>
        <w:t>1</w:t>
      </w:r>
      <w:r w:rsidRPr="003C3C29">
        <w:rPr>
          <w:rFonts w:ascii="Arial" w:hAnsi="Arial"/>
          <w:b/>
          <w:color w:val="000000"/>
          <w:sz w:val="20"/>
          <w:szCs w:val="20"/>
          <w:lang w:val="x-none" w:eastAsia="x-none"/>
        </w:rPr>
        <w:t>.</w:t>
      </w:r>
      <w:r w:rsidRPr="003C3C29">
        <w:rPr>
          <w:rFonts w:ascii="Arial" w:hAnsi="Arial"/>
          <w:b/>
          <w:color w:val="000000"/>
          <w:sz w:val="20"/>
          <w:szCs w:val="20"/>
          <w:lang w:eastAsia="x-none"/>
        </w:rPr>
        <w:t>2</w:t>
      </w:r>
      <w:r w:rsidRPr="003C3C29">
        <w:rPr>
          <w:rFonts w:ascii="Arial" w:hAnsi="Arial"/>
          <w:b/>
          <w:color w:val="000000"/>
          <w:sz w:val="20"/>
          <w:szCs w:val="20"/>
          <w:lang w:val="x-none" w:eastAsia="x-none"/>
        </w:rPr>
        <w:t>: Performance criteria for Outcome 1</w:t>
      </w:r>
    </w:p>
    <w:p w14:paraId="0A490FB5" w14:textId="77777777" w:rsidR="003C3C29" w:rsidRPr="003C3C29" w:rsidRDefault="003C3C29" w:rsidP="003C3C29">
      <w:pPr>
        <w:spacing w:after="0" w:line="240" w:lineRule="auto"/>
        <w:ind w:right="-113"/>
        <w:jc w:val="both"/>
        <w:rPr>
          <w:rFonts w:ascii="Book Antiqua" w:hAnsi="Book Antiqua"/>
          <w:sz w:val="20"/>
          <w:szCs w:val="20"/>
          <w:lang w:val="x-none" w:eastAsia="x-none"/>
        </w:rPr>
      </w:pPr>
    </w:p>
    <w:p w14:paraId="2FEC4914" w14:textId="77777777" w:rsidR="003C3C29" w:rsidRPr="003C3C29" w:rsidRDefault="003C3C29" w:rsidP="003C3C29">
      <w:pPr>
        <w:tabs>
          <w:tab w:val="left" w:pos="709"/>
        </w:tabs>
        <w:jc w:val="left"/>
        <w:rPr>
          <w:rFonts w:ascii="Book Antiqua" w:hAnsi="Book Antiqua"/>
          <w:sz w:val="20"/>
          <w:szCs w:val="20"/>
        </w:rPr>
      </w:pPr>
      <w:r w:rsidRPr="003C3C29">
        <w:rPr>
          <w:rFonts w:ascii="Book Antiqua" w:hAnsi="Book Antiqua"/>
          <w:sz w:val="20"/>
          <w:szCs w:val="20"/>
        </w:rPr>
        <w:t>Table 2.1.2 below details the performance criteria for each program associated with Outcome 1. It also summarises how each program is delivered and where 2017-18 Budget measures have created new programs or materially changed existing programs.</w:t>
      </w:r>
      <w:r w:rsidRPr="003C3C29">
        <w:rPr>
          <w:rFonts w:ascii="Book Antiqua" w:hAnsi="Book Antiqua"/>
          <w:i/>
          <w:color w:val="FF0000"/>
          <w:sz w:val="20"/>
          <w:szCs w:val="20"/>
        </w:rPr>
        <w:t xml:space="preserve"> </w:t>
      </w:r>
    </w:p>
    <w:tbl>
      <w:tblPr>
        <w:tblpPr w:leftFromText="180" w:rightFromText="180" w:vertAnchor="text" w:tblpXSpec="right"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51A9F80B" w14:textId="77777777" w:rsidTr="00566D5A">
        <w:trPr>
          <w:tblHeader/>
        </w:trPr>
        <w:tc>
          <w:tcPr>
            <w:tcW w:w="7741" w:type="dxa"/>
            <w:gridSpan w:val="3"/>
            <w:shd w:val="clear" w:color="auto" w:fill="E6E6E6"/>
          </w:tcPr>
          <w:p w14:paraId="16BC5232" w14:textId="77777777" w:rsidR="003C3C29" w:rsidRPr="003C3C29" w:rsidRDefault="003C3C29" w:rsidP="003C3C29">
            <w:pPr>
              <w:spacing w:before="60" w:after="60" w:line="240" w:lineRule="auto"/>
              <w:jc w:val="left"/>
              <w:rPr>
                <w:rFonts w:ascii="Arial" w:hAnsi="Arial" w:cs="Arial"/>
                <w:sz w:val="20"/>
                <w:szCs w:val="20"/>
              </w:rPr>
            </w:pPr>
            <w:r w:rsidRPr="003C3C29">
              <w:rPr>
                <w:rFonts w:ascii="Arial" w:hAnsi="Arial"/>
                <w:b/>
                <w:sz w:val="20"/>
                <w:szCs w:val="20"/>
              </w:rPr>
              <w:t xml:space="preserve">Outcome 1 – </w:t>
            </w:r>
            <w:r w:rsidRPr="003C3C29">
              <w:rPr>
                <w:rFonts w:ascii="Arial" w:hAnsi="Arial" w:cs="Arial"/>
                <w:sz w:val="20"/>
                <w:szCs w:val="20"/>
              </w:rPr>
              <w:t xml:space="preserve">Maintain an impartial and independent electoral system for eligible voters through active electoral roll management, efficient delivery of polling services, and targeted education and public awareness programs. </w:t>
            </w:r>
          </w:p>
        </w:tc>
      </w:tr>
      <w:tr w:rsidR="003C3C29" w:rsidRPr="003C3C29" w14:paraId="393B59E3" w14:textId="77777777" w:rsidTr="00566D5A">
        <w:trPr>
          <w:tblHeader/>
        </w:trPr>
        <w:tc>
          <w:tcPr>
            <w:tcW w:w="7741" w:type="dxa"/>
            <w:gridSpan w:val="3"/>
            <w:shd w:val="clear" w:color="auto" w:fill="E6E6E6"/>
          </w:tcPr>
          <w:p w14:paraId="009D9A76"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
              </w:rPr>
              <w:t>Program 1.1</w:t>
            </w:r>
            <w:r w:rsidRPr="003C3C29">
              <w:rPr>
                <w:rFonts w:ascii="Arial" w:hAnsi="Arial" w:cs="Arial"/>
              </w:rPr>
              <w:t xml:space="preserve"> </w:t>
            </w:r>
            <w:r w:rsidRPr="003C3C29">
              <w:rPr>
                <w:rFonts w:ascii="Arial" w:hAnsi="Arial" w:cs="Arial"/>
                <w:b/>
              </w:rPr>
              <w:t>– Deliver Electoral Events</w:t>
            </w:r>
          </w:p>
        </w:tc>
      </w:tr>
      <w:tr w:rsidR="003C3C29" w:rsidRPr="003C3C29" w14:paraId="68899C89" w14:textId="77777777" w:rsidTr="00566D5A">
        <w:tc>
          <w:tcPr>
            <w:tcW w:w="1701" w:type="dxa"/>
            <w:tcBorders>
              <w:bottom w:val="double" w:sz="4" w:space="0" w:color="auto"/>
            </w:tcBorders>
          </w:tcPr>
          <w:p w14:paraId="34F43C13"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Delivery</w:t>
            </w:r>
          </w:p>
        </w:tc>
        <w:tc>
          <w:tcPr>
            <w:tcW w:w="6040" w:type="dxa"/>
            <w:gridSpan w:val="2"/>
            <w:tcBorders>
              <w:bottom w:val="double" w:sz="4" w:space="0" w:color="auto"/>
            </w:tcBorders>
          </w:tcPr>
          <w:p w14:paraId="18B16558"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AEC’s program objective is to maintain an impartial and independent electoral system for eligible voters through active electoral roll management, efficient delivery of polling services and targeted education and public awareness programs.</w:t>
            </w:r>
          </w:p>
        </w:tc>
      </w:tr>
      <w:tr w:rsidR="003C3C29" w:rsidRPr="003C3C29" w14:paraId="7D34F092" w14:textId="77777777" w:rsidTr="00566D5A">
        <w:tc>
          <w:tcPr>
            <w:tcW w:w="7741" w:type="dxa"/>
            <w:gridSpan w:val="3"/>
            <w:tcBorders>
              <w:top w:val="double" w:sz="4" w:space="0" w:color="auto"/>
              <w:bottom w:val="double" w:sz="4" w:space="0" w:color="auto"/>
            </w:tcBorders>
          </w:tcPr>
          <w:p w14:paraId="02471D1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Program 1.1 - Deliver Electoral Events</w:t>
            </w:r>
          </w:p>
        </w:tc>
      </w:tr>
      <w:tr w:rsidR="003C3C29" w:rsidRPr="003C3C29" w14:paraId="3A947E41" w14:textId="77777777" w:rsidTr="00566D5A">
        <w:tc>
          <w:tcPr>
            <w:tcW w:w="1701" w:type="dxa"/>
            <w:tcBorders>
              <w:top w:val="double" w:sz="4" w:space="0" w:color="auto"/>
              <w:bottom w:val="single" w:sz="4" w:space="0" w:color="auto"/>
              <w:right w:val="single" w:sz="4" w:space="0" w:color="auto"/>
            </w:tcBorders>
          </w:tcPr>
          <w:p w14:paraId="72FE07B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167B50B3"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p>
        </w:tc>
        <w:tc>
          <w:tcPr>
            <w:tcW w:w="2565" w:type="dxa"/>
            <w:tcBorders>
              <w:top w:val="double" w:sz="4" w:space="0" w:color="auto"/>
              <w:left w:val="single" w:sz="4" w:space="0" w:color="auto"/>
              <w:bottom w:val="single" w:sz="4" w:space="0" w:color="auto"/>
            </w:tcBorders>
          </w:tcPr>
          <w:p w14:paraId="13D3ACA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1D7BA0FB" w14:textId="77777777" w:rsidTr="00566D5A">
        <w:trPr>
          <w:trHeight w:val="60"/>
        </w:trPr>
        <w:tc>
          <w:tcPr>
            <w:tcW w:w="1701" w:type="dxa"/>
            <w:tcBorders>
              <w:top w:val="single" w:sz="4" w:space="0" w:color="auto"/>
              <w:bottom w:val="nil"/>
              <w:right w:val="single" w:sz="4" w:space="0" w:color="auto"/>
            </w:tcBorders>
            <w:shd w:val="clear" w:color="auto" w:fill="auto"/>
          </w:tcPr>
          <w:p w14:paraId="6DBC64CB" w14:textId="77777777" w:rsidR="003C3C29" w:rsidRPr="003C3C29" w:rsidRDefault="003C3C29" w:rsidP="003C3C29">
            <w:pPr>
              <w:tabs>
                <w:tab w:val="left" w:pos="709"/>
              </w:tabs>
              <w:spacing w:before="60" w:after="60" w:line="240" w:lineRule="auto"/>
              <w:jc w:val="left"/>
              <w:rPr>
                <w:rFonts w:ascii="Arial" w:hAnsi="Arial" w:cs="Arial"/>
                <w:highlight w:val="yellow"/>
              </w:rPr>
            </w:pPr>
            <w:r w:rsidRPr="003C3C29">
              <w:rPr>
                <w:rFonts w:ascii="Arial" w:hAnsi="Arial" w:cs="Arial"/>
              </w:rPr>
              <w:t>2016-17</w:t>
            </w:r>
          </w:p>
        </w:tc>
        <w:tc>
          <w:tcPr>
            <w:tcW w:w="3475" w:type="dxa"/>
            <w:tcBorders>
              <w:top w:val="single" w:sz="4" w:space="0" w:color="auto"/>
              <w:left w:val="single" w:sz="4" w:space="0" w:color="auto"/>
              <w:bottom w:val="nil"/>
              <w:right w:val="single" w:sz="4" w:space="0" w:color="auto"/>
            </w:tcBorders>
          </w:tcPr>
          <w:p w14:paraId="6F73B023"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Elections, By-elections and Referendums</w:t>
            </w:r>
          </w:p>
          <w:p w14:paraId="44391A3D" w14:textId="77777777" w:rsidR="003C3C29" w:rsidRPr="003C3C29" w:rsidRDefault="003C3C29" w:rsidP="003C3C29">
            <w:pPr>
              <w:spacing w:after="0" w:line="240" w:lineRule="auto"/>
              <w:jc w:val="left"/>
              <w:rPr>
                <w:rFonts w:ascii="Arial" w:hAnsi="Arial" w:cs="Arial"/>
                <w:b/>
              </w:rPr>
            </w:pPr>
          </w:p>
          <w:p w14:paraId="5DB062C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Federal electoral events are successfully delivered.</w:t>
            </w:r>
          </w:p>
          <w:p w14:paraId="52CB986F"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67A3B01D"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Maintain ability to conduct a federal electoral event within a timeframe.</w:t>
            </w:r>
          </w:p>
          <w:p w14:paraId="0DA847EB"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0BDBADC2"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05A5A57A" w14:textId="77777777" w:rsidR="003C3C29" w:rsidRPr="003C3C29" w:rsidRDefault="003C3C29" w:rsidP="003C3C29">
            <w:pPr>
              <w:autoSpaceDE w:val="0"/>
              <w:autoSpaceDN w:val="0"/>
              <w:spacing w:after="0" w:line="240" w:lineRule="auto"/>
              <w:jc w:val="left"/>
              <w:rPr>
                <w:rFonts w:ascii="Arial" w:eastAsia="Calibri" w:hAnsi="Arial" w:cs="Arial"/>
                <w:i/>
                <w:lang w:val="en-US" w:eastAsia="en-US"/>
              </w:rPr>
            </w:pPr>
          </w:p>
          <w:p w14:paraId="3EC9DD10"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61327AF0"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Timely conduct of redistribution activities.</w:t>
            </w:r>
          </w:p>
          <w:p w14:paraId="68A33801"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58A87101" w14:textId="77777777" w:rsidR="003C3C29" w:rsidRPr="003C3C29" w:rsidRDefault="003C3C29" w:rsidP="003C3C29">
            <w:pPr>
              <w:autoSpaceDE w:val="0"/>
              <w:autoSpaceDN w:val="0"/>
              <w:spacing w:after="0" w:line="240" w:lineRule="auto"/>
              <w:jc w:val="left"/>
              <w:rPr>
                <w:rFonts w:ascii="Arial" w:eastAsia="Calibri" w:hAnsi="Arial" w:cs="Arial"/>
                <w:i/>
                <w:lang w:val="en-US" w:eastAsia="en-US"/>
              </w:rPr>
            </w:pPr>
          </w:p>
          <w:p w14:paraId="510409C1"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22F71B83"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Industrial elections, Protected Action Ballots, and Torres Strait Regional Authority elections are delivered in accordance with the relevant legislation and rules.</w:t>
            </w:r>
          </w:p>
        </w:tc>
        <w:tc>
          <w:tcPr>
            <w:tcW w:w="2565" w:type="dxa"/>
            <w:tcBorders>
              <w:top w:val="single" w:sz="4" w:space="0" w:color="auto"/>
              <w:left w:val="single" w:sz="4" w:space="0" w:color="auto"/>
              <w:bottom w:val="nil"/>
            </w:tcBorders>
          </w:tcPr>
          <w:p w14:paraId="7CE747BA"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4FB7B44A"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558C4F53"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Delivered a federal electoral event successfully.</w:t>
            </w:r>
          </w:p>
          <w:p w14:paraId="02CC1832"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6AC8DEF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The AEC continues to remain ready and capable of delivering a federal electoral event within required timeframes.</w:t>
            </w:r>
          </w:p>
          <w:p w14:paraId="371FDC9E"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5C5F6D3E"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Redistributions were finalised within required timeframes.</w:t>
            </w:r>
          </w:p>
          <w:p w14:paraId="53EEC72D"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0A5BF985"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Successful industrial elections, Protected Action Ballots, and Torres Strait Regional Authority elections were delivered in accordance with relevant legislation and rules.</w:t>
            </w:r>
          </w:p>
          <w:p w14:paraId="05801393"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tc>
      </w:tr>
      <w:tr w:rsidR="003C3C29" w:rsidRPr="003C3C29" w14:paraId="2B3FA55B" w14:textId="77777777" w:rsidTr="00566D5A">
        <w:trPr>
          <w:trHeight w:val="60"/>
        </w:trPr>
        <w:tc>
          <w:tcPr>
            <w:tcW w:w="1701" w:type="dxa"/>
            <w:tcBorders>
              <w:top w:val="nil"/>
              <w:left w:val="single" w:sz="4" w:space="0" w:color="auto"/>
              <w:bottom w:val="single" w:sz="4" w:space="0" w:color="auto"/>
              <w:right w:val="single" w:sz="4" w:space="0" w:color="auto"/>
            </w:tcBorders>
          </w:tcPr>
          <w:p w14:paraId="2ADB87F7" w14:textId="77777777" w:rsidR="003C3C29" w:rsidRPr="003C3C29" w:rsidRDefault="003C3C29" w:rsidP="003C3C29">
            <w:pPr>
              <w:tabs>
                <w:tab w:val="left" w:pos="709"/>
              </w:tabs>
              <w:spacing w:after="0" w:line="240" w:lineRule="auto"/>
              <w:jc w:val="left"/>
              <w:rPr>
                <w:rFonts w:ascii="Arial" w:hAnsi="Arial" w:cs="Arial"/>
                <w:highlight w:val="yellow"/>
              </w:rPr>
            </w:pPr>
          </w:p>
        </w:tc>
        <w:tc>
          <w:tcPr>
            <w:tcW w:w="3475" w:type="dxa"/>
            <w:tcBorders>
              <w:top w:val="nil"/>
              <w:left w:val="single" w:sz="4" w:space="0" w:color="auto"/>
              <w:bottom w:val="single" w:sz="4" w:space="0" w:color="auto"/>
              <w:right w:val="single" w:sz="4" w:space="0" w:color="auto"/>
            </w:tcBorders>
          </w:tcPr>
          <w:p w14:paraId="42FBCCD9"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Electoral Roll Management</w:t>
            </w:r>
          </w:p>
          <w:p w14:paraId="50EE6A90" w14:textId="77777777" w:rsidR="003C3C29" w:rsidRPr="003C3C29" w:rsidRDefault="003C3C29" w:rsidP="003C3C29">
            <w:pPr>
              <w:spacing w:after="0" w:line="240" w:lineRule="auto"/>
              <w:jc w:val="left"/>
              <w:rPr>
                <w:rFonts w:ascii="Arial" w:hAnsi="Arial" w:cs="Arial"/>
                <w:b/>
              </w:rPr>
            </w:pPr>
          </w:p>
          <w:p w14:paraId="657AE5F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High level of confidence in the Electoral Roll.</w:t>
            </w:r>
          </w:p>
        </w:tc>
        <w:tc>
          <w:tcPr>
            <w:tcW w:w="2565" w:type="dxa"/>
            <w:tcBorders>
              <w:top w:val="nil"/>
              <w:left w:val="single" w:sz="4" w:space="0" w:color="auto"/>
              <w:bottom w:val="single" w:sz="4" w:space="0" w:color="auto"/>
              <w:right w:val="single" w:sz="4" w:space="0" w:color="auto"/>
            </w:tcBorders>
          </w:tcPr>
          <w:p w14:paraId="36D4EB6E"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2158A55E"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60CCC8C9"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Completeness has increased with accuracy being maintained.</w:t>
            </w:r>
          </w:p>
        </w:tc>
      </w:tr>
    </w:tbl>
    <w:p w14:paraId="43B761D6" w14:textId="77777777" w:rsidR="003C3C29" w:rsidRPr="003C3C29" w:rsidRDefault="003C3C29" w:rsidP="003C3C29">
      <w:pPr>
        <w:jc w:val="both"/>
        <w:rPr>
          <w:rFonts w:ascii="Arial" w:hAnsi="Arial" w:cs="Arial"/>
        </w:rPr>
      </w:pPr>
      <w:r w:rsidRPr="003C3C29">
        <w:rPr>
          <w:rFonts w:ascii="Arial" w:hAnsi="Arial" w:cs="Arial"/>
        </w:rPr>
        <w:t>Table continues on next page</w:t>
      </w:r>
    </w:p>
    <w:p w14:paraId="6D31170C" w14:textId="77777777" w:rsidR="003C3C29" w:rsidRPr="003C3C29" w:rsidRDefault="003C3C29" w:rsidP="003C3C29">
      <w:pPr>
        <w:jc w:val="both"/>
        <w:rPr>
          <w:rFonts w:ascii="Arial" w:hAnsi="Arial" w:cs="Arial"/>
        </w:rPr>
      </w:pPr>
    </w:p>
    <w:p w14:paraId="0F4E0C11" w14:textId="77777777" w:rsidR="003C3C29" w:rsidRPr="003C3C29" w:rsidRDefault="003C3C29" w:rsidP="003C3C29">
      <w:pPr>
        <w:keepNext/>
        <w:spacing w:after="0" w:line="240" w:lineRule="auto"/>
        <w:jc w:val="both"/>
        <w:outlineLvl w:val="4"/>
        <w:rPr>
          <w:rFonts w:ascii="Arial" w:hAnsi="Arial"/>
          <w:b/>
          <w:bCs/>
          <w:iCs/>
          <w:sz w:val="20"/>
          <w:szCs w:val="20"/>
        </w:rPr>
      </w:pPr>
    </w:p>
    <w:p w14:paraId="4031A072" w14:textId="77777777" w:rsidR="003C3C29" w:rsidRPr="003C3C29" w:rsidRDefault="003C3C29" w:rsidP="003C3C29">
      <w:pPr>
        <w:keepNext/>
        <w:spacing w:after="0" w:line="240" w:lineRule="auto"/>
        <w:jc w:val="both"/>
        <w:outlineLvl w:val="4"/>
        <w:rPr>
          <w:rFonts w:ascii="Arial" w:hAnsi="Arial"/>
          <w:b/>
          <w:bCs/>
          <w:iCs/>
          <w:sz w:val="20"/>
          <w:szCs w:val="20"/>
        </w:rPr>
      </w:pPr>
    </w:p>
    <w:p w14:paraId="4AE51F10" w14:textId="77777777" w:rsidR="003C3C29" w:rsidRPr="003C3C29" w:rsidRDefault="003C3C29" w:rsidP="003C3C29">
      <w:pPr>
        <w:keepNext/>
        <w:spacing w:after="0" w:line="240" w:lineRule="auto"/>
        <w:jc w:val="both"/>
        <w:outlineLvl w:val="4"/>
        <w:rPr>
          <w:rFonts w:ascii="Arial" w:hAnsi="Arial"/>
          <w:b/>
          <w:bCs/>
          <w:iCs/>
          <w:sz w:val="20"/>
          <w:szCs w:val="20"/>
        </w:rPr>
      </w:pPr>
    </w:p>
    <w:p w14:paraId="52E586FF" w14:textId="77777777" w:rsidR="003C3C29" w:rsidRPr="003C3C29" w:rsidRDefault="003C3C29" w:rsidP="003C3C29">
      <w:pPr>
        <w:jc w:val="both"/>
        <w:rPr>
          <w:rFonts w:ascii="Book Antiqua" w:hAnsi="Book Antiqua"/>
          <w:sz w:val="20"/>
          <w:szCs w:val="20"/>
        </w:rPr>
      </w:pPr>
    </w:p>
    <w:p w14:paraId="4A78CAD7" w14:textId="77777777" w:rsidR="003C3C29" w:rsidRPr="003C3C29" w:rsidRDefault="003C3C29" w:rsidP="003C3C29">
      <w:pPr>
        <w:keepNext/>
        <w:spacing w:after="0" w:line="240" w:lineRule="auto"/>
        <w:jc w:val="both"/>
        <w:outlineLvl w:val="4"/>
        <w:rPr>
          <w:rFonts w:ascii="Arial" w:hAnsi="Arial"/>
          <w:b/>
          <w:bCs/>
          <w:iCs/>
          <w:sz w:val="20"/>
          <w:szCs w:val="20"/>
        </w:rPr>
      </w:pPr>
      <w:r w:rsidRPr="003C3C29">
        <w:rPr>
          <w:rFonts w:ascii="Arial" w:hAnsi="Arial"/>
          <w:b/>
          <w:bCs/>
          <w:iCs/>
          <w:sz w:val="20"/>
          <w:szCs w:val="20"/>
        </w:rPr>
        <w:t>Table 2.1.2: Performance criteria for Outcome 1 (continued)</w:t>
      </w:r>
    </w:p>
    <w:tbl>
      <w:tblPr>
        <w:tblpPr w:leftFromText="180" w:rightFromText="180" w:vertAnchor="text" w:tblpXSpec="right"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05AA6CA0" w14:textId="77777777" w:rsidTr="00566D5A">
        <w:tc>
          <w:tcPr>
            <w:tcW w:w="7741" w:type="dxa"/>
            <w:gridSpan w:val="3"/>
            <w:tcBorders>
              <w:top w:val="double" w:sz="4" w:space="0" w:color="auto"/>
              <w:bottom w:val="double" w:sz="4" w:space="0" w:color="auto"/>
            </w:tcBorders>
          </w:tcPr>
          <w:p w14:paraId="170A6AA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Program 1.1 - Deliver Electoral Events</w:t>
            </w:r>
          </w:p>
        </w:tc>
      </w:tr>
      <w:tr w:rsidR="003C3C29" w:rsidRPr="003C3C29" w14:paraId="0E229BA6" w14:textId="77777777" w:rsidTr="00566D5A">
        <w:tc>
          <w:tcPr>
            <w:tcW w:w="1701" w:type="dxa"/>
            <w:tcBorders>
              <w:top w:val="double" w:sz="4" w:space="0" w:color="auto"/>
              <w:bottom w:val="single" w:sz="4" w:space="0" w:color="auto"/>
              <w:right w:val="single" w:sz="4" w:space="0" w:color="auto"/>
            </w:tcBorders>
          </w:tcPr>
          <w:p w14:paraId="7615F570"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4375B62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p>
        </w:tc>
        <w:tc>
          <w:tcPr>
            <w:tcW w:w="2565" w:type="dxa"/>
            <w:tcBorders>
              <w:top w:val="double" w:sz="4" w:space="0" w:color="auto"/>
              <w:left w:val="single" w:sz="4" w:space="0" w:color="auto"/>
              <w:bottom w:val="single" w:sz="4" w:space="0" w:color="auto"/>
            </w:tcBorders>
          </w:tcPr>
          <w:p w14:paraId="15DB0384"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726E6312" w14:textId="77777777" w:rsidTr="00566D5A">
        <w:trPr>
          <w:trHeight w:val="60"/>
        </w:trPr>
        <w:tc>
          <w:tcPr>
            <w:tcW w:w="1701" w:type="dxa"/>
            <w:tcBorders>
              <w:top w:val="single" w:sz="4" w:space="0" w:color="auto"/>
              <w:bottom w:val="nil"/>
              <w:right w:val="single" w:sz="4" w:space="0" w:color="auto"/>
            </w:tcBorders>
          </w:tcPr>
          <w:p w14:paraId="60B9E7B9"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2016-17 (continued)</w:t>
            </w:r>
          </w:p>
        </w:tc>
        <w:tc>
          <w:tcPr>
            <w:tcW w:w="3475" w:type="dxa"/>
            <w:tcBorders>
              <w:top w:val="single" w:sz="4" w:space="0" w:color="auto"/>
              <w:left w:val="single" w:sz="4" w:space="0" w:color="auto"/>
              <w:bottom w:val="nil"/>
              <w:right w:val="single" w:sz="4" w:space="0" w:color="auto"/>
            </w:tcBorders>
          </w:tcPr>
          <w:p w14:paraId="56FB9BCB"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Party Registrations and Financial Disclosure</w:t>
            </w:r>
          </w:p>
          <w:p w14:paraId="0D9490B1" w14:textId="77777777" w:rsidR="003C3C29" w:rsidRPr="003C3C29" w:rsidRDefault="003C3C29" w:rsidP="003C3C29">
            <w:pPr>
              <w:spacing w:after="0" w:line="240" w:lineRule="auto"/>
              <w:jc w:val="left"/>
              <w:rPr>
                <w:rFonts w:ascii="Arial" w:hAnsi="Arial" w:cs="Arial"/>
                <w:b/>
              </w:rPr>
            </w:pPr>
          </w:p>
          <w:p w14:paraId="177F96E4"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Party registration processed in accordance with the Electoral Act.</w:t>
            </w:r>
          </w:p>
          <w:p w14:paraId="14CC7256"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024B07FD"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137E37F9"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6C3614BD"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Financial disclosures obtained and placed on the public record in accordance with the Electoral Act.</w:t>
            </w:r>
          </w:p>
        </w:tc>
        <w:tc>
          <w:tcPr>
            <w:tcW w:w="2565" w:type="dxa"/>
            <w:tcBorders>
              <w:top w:val="single" w:sz="4" w:space="0" w:color="auto"/>
              <w:left w:val="single" w:sz="4" w:space="0" w:color="auto"/>
              <w:bottom w:val="nil"/>
            </w:tcBorders>
          </w:tcPr>
          <w:p w14:paraId="71C679DD"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663E0001"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739315C7"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6CB77750"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The Register of Political Parties is maintained in accordance with the Electoral Act.</w:t>
            </w:r>
          </w:p>
          <w:p w14:paraId="55693A5D" w14:textId="77777777" w:rsidR="003C3C29" w:rsidRPr="003C3C29" w:rsidRDefault="003C3C29" w:rsidP="003C3C29">
            <w:pPr>
              <w:autoSpaceDE w:val="0"/>
              <w:autoSpaceDN w:val="0"/>
              <w:spacing w:after="0" w:line="240" w:lineRule="auto"/>
              <w:ind w:left="-6"/>
              <w:jc w:val="left"/>
              <w:rPr>
                <w:rFonts w:ascii="Arial" w:eastAsia="Calibri" w:hAnsi="Arial" w:cs="Arial"/>
                <w:lang w:val="en-US" w:eastAsia="en-US"/>
              </w:rPr>
            </w:pPr>
          </w:p>
          <w:p w14:paraId="40F0D6D4"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Annual and election financial disclosure returns were published on the AEC website by the required dates.</w:t>
            </w:r>
          </w:p>
        </w:tc>
      </w:tr>
      <w:tr w:rsidR="003C3C29" w:rsidRPr="003C3C29" w14:paraId="55976E1D" w14:textId="77777777" w:rsidTr="00566D5A">
        <w:trPr>
          <w:trHeight w:val="60"/>
        </w:trPr>
        <w:tc>
          <w:tcPr>
            <w:tcW w:w="1701" w:type="dxa"/>
            <w:tcBorders>
              <w:top w:val="nil"/>
              <w:bottom w:val="single" w:sz="4" w:space="0" w:color="auto"/>
              <w:right w:val="single" w:sz="4" w:space="0" w:color="auto"/>
            </w:tcBorders>
          </w:tcPr>
          <w:p w14:paraId="0FDBA480"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single" w:sz="4" w:space="0" w:color="auto"/>
              <w:right w:val="single" w:sz="4" w:space="0" w:color="auto"/>
            </w:tcBorders>
          </w:tcPr>
          <w:p w14:paraId="784278D2"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Public Awareness</w:t>
            </w:r>
          </w:p>
          <w:p w14:paraId="29220494" w14:textId="77777777" w:rsidR="003C3C29" w:rsidRPr="003C3C29" w:rsidRDefault="003C3C29" w:rsidP="003C3C29">
            <w:pPr>
              <w:spacing w:after="0" w:line="240" w:lineRule="auto"/>
              <w:jc w:val="left"/>
              <w:rPr>
                <w:rFonts w:ascii="Arial" w:hAnsi="Arial" w:cs="Arial"/>
                <w:b/>
              </w:rPr>
            </w:pPr>
          </w:p>
          <w:p w14:paraId="19167803"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Deliver communication, education and public awareness activities to inform all Australians of electoral matters.</w:t>
            </w:r>
          </w:p>
          <w:p w14:paraId="0E06C131" w14:textId="77777777" w:rsidR="003C3C29" w:rsidRPr="003C3C29" w:rsidRDefault="003C3C29" w:rsidP="003C3C29">
            <w:pPr>
              <w:autoSpaceDE w:val="0"/>
              <w:autoSpaceDN w:val="0"/>
              <w:spacing w:after="0" w:line="240" w:lineRule="auto"/>
              <w:ind w:left="280"/>
              <w:jc w:val="left"/>
              <w:rPr>
                <w:rFonts w:ascii="Calibri" w:hAnsi="Calibri"/>
                <w:sz w:val="22"/>
                <w:szCs w:val="22"/>
              </w:rPr>
            </w:pPr>
          </w:p>
          <w:p w14:paraId="342E2DD2" w14:textId="77777777" w:rsidR="003C3C29" w:rsidRPr="003C3C29" w:rsidRDefault="003C3C29" w:rsidP="003C3C29">
            <w:pPr>
              <w:autoSpaceDE w:val="0"/>
              <w:autoSpaceDN w:val="0"/>
              <w:spacing w:after="0" w:line="240" w:lineRule="auto"/>
              <w:jc w:val="left"/>
              <w:rPr>
                <w:rFonts w:ascii="Calibri" w:hAnsi="Calibri"/>
                <w:sz w:val="22"/>
                <w:szCs w:val="22"/>
              </w:rPr>
            </w:pPr>
          </w:p>
          <w:p w14:paraId="6AA0B3E4" w14:textId="77777777" w:rsidR="003C3C29" w:rsidRPr="003C3C29" w:rsidRDefault="003C3C29" w:rsidP="003C3C29">
            <w:pPr>
              <w:spacing w:after="200" w:line="276" w:lineRule="auto"/>
              <w:ind w:left="720"/>
              <w:contextualSpacing/>
              <w:jc w:val="left"/>
              <w:rPr>
                <w:rFonts w:ascii="Arial" w:hAnsi="Arial" w:cs="Arial"/>
              </w:rPr>
            </w:pPr>
          </w:p>
          <w:p w14:paraId="32223388" w14:textId="77777777" w:rsidR="003C3C29" w:rsidRPr="003C3C29" w:rsidRDefault="003C3C29" w:rsidP="003C3C29">
            <w:pPr>
              <w:numPr>
                <w:ilvl w:val="0"/>
                <w:numId w:val="11"/>
              </w:numPr>
              <w:autoSpaceDE w:val="0"/>
              <w:autoSpaceDN w:val="0"/>
              <w:spacing w:after="0" w:line="240" w:lineRule="auto"/>
              <w:ind w:left="280" w:hanging="284"/>
              <w:jc w:val="left"/>
              <w:rPr>
                <w:rFonts w:ascii="Calibri" w:hAnsi="Calibri"/>
                <w:sz w:val="22"/>
                <w:szCs w:val="22"/>
              </w:rPr>
            </w:pPr>
            <w:r w:rsidRPr="003C3C29">
              <w:rPr>
                <w:rFonts w:ascii="Arial" w:hAnsi="Arial" w:cs="Arial"/>
              </w:rPr>
              <w:t>Information is timely and accurate, uses appropriate technology and channels, and meets accessibility standards.</w:t>
            </w:r>
          </w:p>
        </w:tc>
        <w:tc>
          <w:tcPr>
            <w:tcW w:w="2565" w:type="dxa"/>
            <w:tcBorders>
              <w:top w:val="nil"/>
              <w:left w:val="single" w:sz="4" w:space="0" w:color="auto"/>
              <w:bottom w:val="single" w:sz="4" w:space="0" w:color="auto"/>
            </w:tcBorders>
          </w:tcPr>
          <w:p w14:paraId="651FABFD"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0B1602F9"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667CB9C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Appropriate strategies were implemented to deliver communication, education and public awareness activities to inform all Australians of electoral matters.</w:t>
            </w:r>
          </w:p>
          <w:p w14:paraId="59F1329C"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152F608B"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Effective use of contemporary technology to deliver modern products and services were used wherever possible and met accessibility standards.</w:t>
            </w:r>
          </w:p>
        </w:tc>
      </w:tr>
    </w:tbl>
    <w:p w14:paraId="2D684287" w14:textId="77777777" w:rsidR="003C3C29" w:rsidRPr="003C3C29" w:rsidRDefault="003C3C29" w:rsidP="003C3C29">
      <w:pPr>
        <w:jc w:val="both"/>
        <w:rPr>
          <w:rFonts w:ascii="Arial" w:hAnsi="Arial" w:cs="Arial"/>
        </w:rPr>
      </w:pPr>
      <w:r w:rsidRPr="003C3C29">
        <w:rPr>
          <w:rFonts w:ascii="Arial" w:hAnsi="Arial" w:cs="Arial"/>
        </w:rPr>
        <w:t>Table continues on next page</w:t>
      </w:r>
    </w:p>
    <w:p w14:paraId="13CCEF6A" w14:textId="77777777" w:rsidR="003C3C29" w:rsidRPr="003C3C29" w:rsidRDefault="003C3C29" w:rsidP="003C3C29">
      <w:pPr>
        <w:keepNext/>
        <w:spacing w:after="0" w:line="240" w:lineRule="auto"/>
        <w:jc w:val="both"/>
        <w:outlineLvl w:val="4"/>
        <w:rPr>
          <w:rFonts w:ascii="Arial" w:hAnsi="Arial"/>
          <w:b/>
          <w:bCs/>
          <w:iCs/>
          <w:sz w:val="20"/>
          <w:szCs w:val="20"/>
        </w:rPr>
      </w:pPr>
    </w:p>
    <w:p w14:paraId="38097C17" w14:textId="77777777" w:rsidR="003C3C29" w:rsidRPr="003C3C29" w:rsidRDefault="003C3C29" w:rsidP="003C3C29">
      <w:pPr>
        <w:jc w:val="both"/>
        <w:rPr>
          <w:rFonts w:ascii="Book Antiqua" w:hAnsi="Book Antiqua"/>
          <w:sz w:val="20"/>
          <w:szCs w:val="20"/>
        </w:rPr>
      </w:pPr>
    </w:p>
    <w:p w14:paraId="5EEA5C3D" w14:textId="77777777" w:rsidR="003C3C29" w:rsidRPr="003C3C29" w:rsidRDefault="003C3C29" w:rsidP="003C3C29">
      <w:pPr>
        <w:jc w:val="both"/>
        <w:rPr>
          <w:rFonts w:ascii="Book Antiqua" w:hAnsi="Book Antiqua"/>
          <w:sz w:val="20"/>
          <w:szCs w:val="20"/>
        </w:rPr>
      </w:pPr>
    </w:p>
    <w:p w14:paraId="5FE180DA" w14:textId="77777777" w:rsidR="003C3C29" w:rsidRPr="003C3C29" w:rsidRDefault="003C3C29" w:rsidP="003C3C29">
      <w:pPr>
        <w:jc w:val="both"/>
        <w:rPr>
          <w:rFonts w:ascii="Book Antiqua" w:hAnsi="Book Antiqua"/>
          <w:sz w:val="20"/>
          <w:szCs w:val="20"/>
        </w:rPr>
      </w:pPr>
    </w:p>
    <w:p w14:paraId="69190C3A" w14:textId="77777777" w:rsidR="003C3C29" w:rsidRPr="003C3C29" w:rsidRDefault="003C3C29" w:rsidP="003C3C29">
      <w:pPr>
        <w:keepNext/>
        <w:spacing w:after="0" w:line="240" w:lineRule="auto"/>
        <w:jc w:val="both"/>
        <w:outlineLvl w:val="4"/>
        <w:rPr>
          <w:rFonts w:ascii="Arial" w:hAnsi="Arial"/>
          <w:b/>
          <w:bCs/>
          <w:iCs/>
          <w:sz w:val="20"/>
          <w:szCs w:val="20"/>
        </w:rPr>
      </w:pPr>
      <w:bookmarkStart w:id="13" w:name="_Toc477957993"/>
      <w:r w:rsidRPr="003C3C29">
        <w:rPr>
          <w:rFonts w:ascii="Arial" w:hAnsi="Arial"/>
          <w:b/>
          <w:bCs/>
          <w:iCs/>
          <w:sz w:val="20"/>
          <w:szCs w:val="20"/>
        </w:rPr>
        <w:br w:type="page"/>
        <w:t>Table 2.1.2: Performance criteria for Outcome 1 (continued)</w:t>
      </w:r>
    </w:p>
    <w:tbl>
      <w:tblPr>
        <w:tblpPr w:leftFromText="180" w:rightFromText="180" w:vertAnchor="text" w:horzAnchor="margin" w:tblpY="42"/>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1C4FDB72" w14:textId="77777777" w:rsidTr="00566D5A">
        <w:tc>
          <w:tcPr>
            <w:tcW w:w="7741" w:type="dxa"/>
            <w:gridSpan w:val="3"/>
            <w:tcBorders>
              <w:top w:val="double" w:sz="4" w:space="0" w:color="auto"/>
              <w:bottom w:val="double" w:sz="4" w:space="0" w:color="auto"/>
            </w:tcBorders>
          </w:tcPr>
          <w:p w14:paraId="00F6EF8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Program 1.1 - Deliver Electoral Events</w:t>
            </w:r>
          </w:p>
        </w:tc>
      </w:tr>
      <w:tr w:rsidR="003C3C29" w:rsidRPr="003C3C29" w14:paraId="540AD341" w14:textId="77777777" w:rsidTr="00566D5A">
        <w:tc>
          <w:tcPr>
            <w:tcW w:w="1701" w:type="dxa"/>
            <w:tcBorders>
              <w:top w:val="double" w:sz="4" w:space="0" w:color="auto"/>
              <w:bottom w:val="single" w:sz="4" w:space="0" w:color="auto"/>
              <w:right w:val="single" w:sz="4" w:space="0" w:color="auto"/>
            </w:tcBorders>
          </w:tcPr>
          <w:p w14:paraId="3EA2703E"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78B8D8F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r w:rsidRPr="003C3C29">
              <w:rPr>
                <w:rFonts w:ascii="Arial" w:hAnsi="Arial" w:cs="Arial"/>
              </w:rPr>
              <w:t xml:space="preserve"> </w:t>
            </w:r>
          </w:p>
        </w:tc>
        <w:tc>
          <w:tcPr>
            <w:tcW w:w="2565" w:type="dxa"/>
            <w:tcBorders>
              <w:top w:val="double" w:sz="4" w:space="0" w:color="auto"/>
              <w:left w:val="single" w:sz="4" w:space="0" w:color="auto"/>
              <w:bottom w:val="single" w:sz="4" w:space="0" w:color="auto"/>
            </w:tcBorders>
          </w:tcPr>
          <w:p w14:paraId="66688D8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33D37D7A" w14:textId="77777777" w:rsidTr="00566D5A">
        <w:trPr>
          <w:trHeight w:val="1725"/>
        </w:trPr>
        <w:tc>
          <w:tcPr>
            <w:tcW w:w="1701" w:type="dxa"/>
            <w:tcBorders>
              <w:top w:val="single" w:sz="4" w:space="0" w:color="auto"/>
              <w:bottom w:val="nil"/>
              <w:right w:val="single" w:sz="4" w:space="0" w:color="auto"/>
            </w:tcBorders>
          </w:tcPr>
          <w:p w14:paraId="3E574293"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2017-18</w:t>
            </w:r>
          </w:p>
        </w:tc>
        <w:tc>
          <w:tcPr>
            <w:tcW w:w="3475" w:type="dxa"/>
            <w:tcBorders>
              <w:top w:val="single" w:sz="4" w:space="0" w:color="auto"/>
              <w:left w:val="single" w:sz="4" w:space="0" w:color="auto"/>
              <w:bottom w:val="nil"/>
              <w:right w:val="single" w:sz="4" w:space="0" w:color="auto"/>
            </w:tcBorders>
          </w:tcPr>
          <w:p w14:paraId="34A1D2B3"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Elections, By-elections and Referendums</w:t>
            </w:r>
          </w:p>
          <w:p w14:paraId="3F1CF9F0" w14:textId="77777777" w:rsidR="003C3C29" w:rsidRPr="003C3C29" w:rsidRDefault="003C3C29" w:rsidP="003C3C29">
            <w:pPr>
              <w:spacing w:after="0" w:line="240" w:lineRule="auto"/>
              <w:jc w:val="left"/>
              <w:rPr>
                <w:rFonts w:ascii="Arial" w:hAnsi="Arial" w:cs="Arial"/>
                <w:b/>
              </w:rPr>
            </w:pPr>
          </w:p>
          <w:p w14:paraId="55AD4F04"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Federal electoral events are successfully delivered.</w:t>
            </w:r>
          </w:p>
          <w:p w14:paraId="74BD3CB1"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1ACE5641"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Maintain ability to conduct a federal electoral event within a timeframe.</w:t>
            </w:r>
          </w:p>
          <w:p w14:paraId="78CFAA24"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51BF1F90"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Timely conduct of redistribution activities.</w:t>
            </w:r>
          </w:p>
          <w:p w14:paraId="2C2AB426"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7D4DF1AA"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323CFB1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Industrial elections, Protected Action Ballots, and Torres Strait Regional Authority elections are delivered in accordance with the relevant legislation and rules.</w:t>
            </w:r>
          </w:p>
        </w:tc>
        <w:tc>
          <w:tcPr>
            <w:tcW w:w="2565" w:type="dxa"/>
            <w:tcBorders>
              <w:top w:val="single" w:sz="4" w:space="0" w:color="auto"/>
              <w:left w:val="single" w:sz="4" w:space="0" w:color="auto"/>
              <w:bottom w:val="nil"/>
            </w:tcBorders>
          </w:tcPr>
          <w:p w14:paraId="687AB18C"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45FA272B"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28BD7843"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The AEC remains ready and capable of delivering a federal electoral event within required timeframes.</w:t>
            </w:r>
          </w:p>
          <w:p w14:paraId="07BB5B70"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39AF9AE6"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20D640C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Redistributions are finalised within required timeframes.</w:t>
            </w:r>
          </w:p>
          <w:p w14:paraId="567FAFE3"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7B8B8E00"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Conduct successful industrial elections, Protected Action Ballots, and Torres Strait Regional Authority elections in accordance with relevant legislation and rules.</w:t>
            </w:r>
          </w:p>
        </w:tc>
      </w:tr>
      <w:tr w:rsidR="003C3C29" w:rsidRPr="003C3C29" w14:paraId="2BE0DCFB" w14:textId="77777777" w:rsidTr="00566D5A">
        <w:trPr>
          <w:trHeight w:val="897"/>
        </w:trPr>
        <w:tc>
          <w:tcPr>
            <w:tcW w:w="1701" w:type="dxa"/>
            <w:tcBorders>
              <w:top w:val="nil"/>
              <w:bottom w:val="nil"/>
              <w:right w:val="single" w:sz="4" w:space="0" w:color="auto"/>
            </w:tcBorders>
          </w:tcPr>
          <w:p w14:paraId="53818550"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nil"/>
              <w:right w:val="single" w:sz="4" w:space="0" w:color="auto"/>
            </w:tcBorders>
          </w:tcPr>
          <w:p w14:paraId="2AE43FA8"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Electoral Roll Management</w:t>
            </w:r>
          </w:p>
          <w:p w14:paraId="116AD199" w14:textId="77777777" w:rsidR="003C3C29" w:rsidRPr="003C3C29" w:rsidRDefault="003C3C29" w:rsidP="003C3C29">
            <w:pPr>
              <w:spacing w:after="0" w:line="240" w:lineRule="auto"/>
              <w:jc w:val="left"/>
              <w:rPr>
                <w:rFonts w:ascii="Arial" w:hAnsi="Arial" w:cs="Arial"/>
                <w:b/>
              </w:rPr>
            </w:pPr>
          </w:p>
          <w:p w14:paraId="49F78B9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High level of confidence in the Electoral Roll.</w:t>
            </w:r>
          </w:p>
        </w:tc>
        <w:tc>
          <w:tcPr>
            <w:tcW w:w="2565" w:type="dxa"/>
            <w:tcBorders>
              <w:top w:val="nil"/>
              <w:left w:val="single" w:sz="4" w:space="0" w:color="auto"/>
              <w:bottom w:val="nil"/>
            </w:tcBorders>
          </w:tcPr>
          <w:p w14:paraId="38B2CB64"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3E318342"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0C856335"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 complete and accurate Electoral Roll.</w:t>
            </w:r>
          </w:p>
          <w:p w14:paraId="743B8EC4" w14:textId="77777777" w:rsidR="003C3C29" w:rsidRPr="003C3C29" w:rsidRDefault="003C3C29" w:rsidP="003C3C29">
            <w:pPr>
              <w:spacing w:after="0" w:line="240" w:lineRule="auto"/>
              <w:ind w:firstLine="567"/>
              <w:jc w:val="both"/>
              <w:rPr>
                <w:rFonts w:ascii="Arial" w:eastAsia="Calibri" w:hAnsi="Arial" w:cs="Arial"/>
                <w:lang w:val="en-US" w:eastAsia="en-US"/>
              </w:rPr>
            </w:pPr>
          </w:p>
        </w:tc>
      </w:tr>
      <w:tr w:rsidR="003C3C29" w:rsidRPr="003C3C29" w14:paraId="6D4D4AA1" w14:textId="77777777" w:rsidTr="00566D5A">
        <w:trPr>
          <w:trHeight w:val="1725"/>
        </w:trPr>
        <w:tc>
          <w:tcPr>
            <w:tcW w:w="1701" w:type="dxa"/>
            <w:tcBorders>
              <w:top w:val="nil"/>
              <w:bottom w:val="nil"/>
              <w:right w:val="single" w:sz="4" w:space="0" w:color="auto"/>
            </w:tcBorders>
          </w:tcPr>
          <w:p w14:paraId="6C8A52B0"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nil"/>
              <w:right w:val="single" w:sz="4" w:space="0" w:color="auto"/>
            </w:tcBorders>
          </w:tcPr>
          <w:p w14:paraId="11930B0C"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Party Registrations and Financial Disclosure</w:t>
            </w:r>
          </w:p>
          <w:p w14:paraId="511B8E6B" w14:textId="77777777" w:rsidR="003C3C29" w:rsidRPr="003C3C29" w:rsidRDefault="003C3C29" w:rsidP="003C3C29">
            <w:pPr>
              <w:spacing w:after="0" w:line="240" w:lineRule="auto"/>
              <w:jc w:val="left"/>
              <w:rPr>
                <w:rFonts w:ascii="Arial" w:hAnsi="Arial" w:cs="Arial"/>
                <w:b/>
              </w:rPr>
            </w:pPr>
          </w:p>
          <w:p w14:paraId="29338E84"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Party registration processed in accordance with the Electoral Act.</w:t>
            </w:r>
          </w:p>
          <w:p w14:paraId="39EF2A28"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27310FF5"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203DF22A"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037FE5AA"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Financial disclosures obtained and placed on the public record in accordance with the Electoral Act.</w:t>
            </w:r>
          </w:p>
        </w:tc>
        <w:tc>
          <w:tcPr>
            <w:tcW w:w="2565" w:type="dxa"/>
            <w:tcBorders>
              <w:top w:val="nil"/>
              <w:left w:val="single" w:sz="4" w:space="0" w:color="auto"/>
              <w:bottom w:val="nil"/>
            </w:tcBorders>
          </w:tcPr>
          <w:p w14:paraId="5C9A6B45"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2B121EF8"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713ACEF5"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7822760D"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The Register of Political Parties is maintained in accordance with the Electoral Act.</w:t>
            </w:r>
          </w:p>
          <w:p w14:paraId="5D17C409"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73C87C1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Annual and election financial disclosure returns are published on the AEC website by the required dates.</w:t>
            </w:r>
          </w:p>
        </w:tc>
      </w:tr>
      <w:tr w:rsidR="003C3C29" w:rsidRPr="003C3C29" w14:paraId="32EBB2CD" w14:textId="77777777" w:rsidTr="00566D5A">
        <w:trPr>
          <w:trHeight w:val="1725"/>
        </w:trPr>
        <w:tc>
          <w:tcPr>
            <w:tcW w:w="1701" w:type="dxa"/>
            <w:tcBorders>
              <w:top w:val="nil"/>
              <w:bottom w:val="single" w:sz="4" w:space="0" w:color="auto"/>
              <w:right w:val="single" w:sz="4" w:space="0" w:color="auto"/>
            </w:tcBorders>
          </w:tcPr>
          <w:p w14:paraId="4934FF65"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single" w:sz="4" w:space="0" w:color="auto"/>
              <w:right w:val="single" w:sz="4" w:space="0" w:color="auto"/>
            </w:tcBorders>
          </w:tcPr>
          <w:p w14:paraId="113697BE"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Public Awareness</w:t>
            </w:r>
          </w:p>
          <w:p w14:paraId="76680386" w14:textId="77777777" w:rsidR="003C3C29" w:rsidRPr="003C3C29" w:rsidRDefault="003C3C29" w:rsidP="003C3C29">
            <w:pPr>
              <w:spacing w:after="0" w:line="240" w:lineRule="auto"/>
              <w:jc w:val="left"/>
              <w:rPr>
                <w:rFonts w:ascii="Arial" w:hAnsi="Arial" w:cs="Arial"/>
                <w:b/>
              </w:rPr>
            </w:pPr>
          </w:p>
          <w:p w14:paraId="0F5C3208"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Deliver communication, education and public awareness activities to inform all Australians of electoral matters.</w:t>
            </w:r>
          </w:p>
          <w:p w14:paraId="5EF8043E" w14:textId="77777777" w:rsidR="003C3C29" w:rsidRPr="003C3C29" w:rsidRDefault="003C3C29" w:rsidP="003C3C29">
            <w:pPr>
              <w:autoSpaceDE w:val="0"/>
              <w:autoSpaceDN w:val="0"/>
              <w:spacing w:after="0" w:line="240" w:lineRule="auto"/>
              <w:ind w:left="280"/>
              <w:jc w:val="left"/>
              <w:rPr>
                <w:rFonts w:ascii="Calibri" w:hAnsi="Calibri"/>
                <w:sz w:val="22"/>
                <w:szCs w:val="22"/>
              </w:rPr>
            </w:pPr>
          </w:p>
        </w:tc>
        <w:tc>
          <w:tcPr>
            <w:tcW w:w="2565" w:type="dxa"/>
            <w:tcBorders>
              <w:top w:val="nil"/>
              <w:left w:val="single" w:sz="4" w:space="0" w:color="auto"/>
              <w:bottom w:val="single" w:sz="4" w:space="0" w:color="auto"/>
            </w:tcBorders>
          </w:tcPr>
          <w:p w14:paraId="6BC7A639"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6540C188"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004D5CB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Appropriate strategies are implemented to deliver communication, education and public awareness activities to inform all Australians of electoral matters.</w:t>
            </w:r>
          </w:p>
        </w:tc>
      </w:tr>
      <w:tr w:rsidR="003C3C29" w:rsidRPr="003C3C29" w14:paraId="185E04BA" w14:textId="77777777" w:rsidTr="00566D5A">
        <w:tc>
          <w:tcPr>
            <w:tcW w:w="1701" w:type="dxa"/>
            <w:tcBorders>
              <w:top w:val="single" w:sz="4" w:space="0" w:color="auto"/>
              <w:bottom w:val="single" w:sz="4" w:space="0" w:color="auto"/>
              <w:right w:val="single" w:sz="4" w:space="0" w:color="auto"/>
            </w:tcBorders>
          </w:tcPr>
          <w:p w14:paraId="17372AC8"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2018-19 and beyond</w:t>
            </w:r>
          </w:p>
        </w:tc>
        <w:tc>
          <w:tcPr>
            <w:tcW w:w="3475" w:type="dxa"/>
            <w:tcBorders>
              <w:top w:val="single" w:sz="4" w:space="0" w:color="auto"/>
              <w:left w:val="single" w:sz="4" w:space="0" w:color="auto"/>
              <w:bottom w:val="single" w:sz="4" w:space="0" w:color="auto"/>
              <w:right w:val="single" w:sz="4" w:space="0" w:color="auto"/>
            </w:tcBorders>
          </w:tcPr>
          <w:p w14:paraId="3A710762"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As per 2017-18</w:t>
            </w:r>
          </w:p>
        </w:tc>
        <w:tc>
          <w:tcPr>
            <w:tcW w:w="2565" w:type="dxa"/>
            <w:tcBorders>
              <w:top w:val="single" w:sz="4" w:space="0" w:color="auto"/>
              <w:left w:val="single" w:sz="4" w:space="0" w:color="auto"/>
              <w:bottom w:val="single" w:sz="4" w:space="0" w:color="auto"/>
            </w:tcBorders>
          </w:tcPr>
          <w:p w14:paraId="1D351471"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As per 2017-18</w:t>
            </w:r>
          </w:p>
        </w:tc>
      </w:tr>
      <w:tr w:rsidR="003C3C29" w:rsidRPr="003C3C29" w14:paraId="328375F4" w14:textId="77777777" w:rsidTr="00566D5A">
        <w:tc>
          <w:tcPr>
            <w:tcW w:w="1701" w:type="dxa"/>
          </w:tcPr>
          <w:p w14:paraId="69E8069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 xml:space="preserve">Purposes </w:t>
            </w:r>
          </w:p>
        </w:tc>
        <w:tc>
          <w:tcPr>
            <w:tcW w:w="6040" w:type="dxa"/>
            <w:gridSpan w:val="2"/>
          </w:tcPr>
          <w:p w14:paraId="0551E9D0"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szCs w:val="20"/>
              </w:rPr>
              <w:t>Maintain an impartial and independent electoral system for eligible voters through active Electoral Roll management, efficient delivery of polling services, and targeted education and public awareness programs.</w:t>
            </w:r>
          </w:p>
        </w:tc>
      </w:tr>
    </w:tbl>
    <w:p w14:paraId="7850DD9D" w14:textId="77777777" w:rsidR="003C3C29" w:rsidRPr="003C3C29" w:rsidRDefault="003C3C29" w:rsidP="003C3C29">
      <w:pPr>
        <w:keepNext/>
        <w:spacing w:after="480" w:line="240" w:lineRule="auto"/>
        <w:jc w:val="left"/>
        <w:outlineLvl w:val="1"/>
        <w:rPr>
          <w:rFonts w:ascii="Arial" w:hAnsi="Arial"/>
          <w:sz w:val="30"/>
          <w:szCs w:val="20"/>
        </w:rPr>
      </w:pPr>
      <w:r w:rsidRPr="003C3C29">
        <w:rPr>
          <w:rFonts w:ascii="Arial" w:hAnsi="Arial"/>
          <w:sz w:val="30"/>
          <w:szCs w:val="20"/>
        </w:rPr>
        <w:br w:type="page"/>
        <w:t>Section 3: Budgeted financial statements</w:t>
      </w:r>
      <w:bookmarkEnd w:id="13"/>
    </w:p>
    <w:p w14:paraId="5152D748"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Section 3 presents budgeted financial statements which provide a comprehensive snapshot of entity finances for the 2017-18</w:t>
      </w:r>
      <w:r w:rsidRPr="003C3C29">
        <w:rPr>
          <w:rFonts w:ascii="Book Antiqua" w:hAnsi="Book Antiqua"/>
          <w:color w:val="00B050"/>
          <w:sz w:val="20"/>
          <w:szCs w:val="20"/>
        </w:rPr>
        <w:t xml:space="preserve"> </w:t>
      </w:r>
      <w:r w:rsidRPr="003C3C29">
        <w:rPr>
          <w:rFonts w:ascii="Book Antiqua" w:hAnsi="Book Antiqua"/>
          <w:sz w:val="20"/>
          <w:szCs w:val="20"/>
        </w:rPr>
        <w:t>budget year, including the impact of budget measures and resourcing on financial statements.</w:t>
      </w:r>
    </w:p>
    <w:p w14:paraId="7219B9BF"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14" w:name="_Toc477957994"/>
      <w:r w:rsidRPr="003C3C29">
        <w:rPr>
          <w:rFonts w:ascii="Arial" w:hAnsi="Arial"/>
          <w:b/>
          <w:smallCaps/>
          <w:sz w:val="26"/>
          <w:szCs w:val="20"/>
        </w:rPr>
        <w:t>3.1</w:t>
      </w:r>
      <w:r w:rsidRPr="003C3C29">
        <w:rPr>
          <w:rFonts w:ascii="Arial" w:hAnsi="Arial"/>
          <w:b/>
          <w:smallCaps/>
          <w:sz w:val="26"/>
          <w:szCs w:val="20"/>
        </w:rPr>
        <w:tab/>
        <w:t>Budgeted financial statements</w:t>
      </w:r>
      <w:bookmarkEnd w:id="14"/>
    </w:p>
    <w:p w14:paraId="5FF7D75C"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3.1.1</w:t>
      </w:r>
      <w:r w:rsidRPr="003C3C29">
        <w:rPr>
          <w:rFonts w:ascii="Arial" w:hAnsi="Arial"/>
          <w:b/>
          <w:sz w:val="22"/>
          <w:szCs w:val="20"/>
        </w:rPr>
        <w:tab/>
        <w:t>Differences between entity resourcing and financial statements</w:t>
      </w:r>
    </w:p>
    <w:p w14:paraId="420DD1BE"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 xml:space="preserve">No material differences exist between entity resourcing and the financial statements. </w:t>
      </w:r>
    </w:p>
    <w:p w14:paraId="27344064" w14:textId="77777777" w:rsidR="003C3C29" w:rsidRPr="003C3C29" w:rsidRDefault="003C3C29" w:rsidP="003C3C29">
      <w:pPr>
        <w:keepNext/>
        <w:tabs>
          <w:tab w:val="left" w:pos="709"/>
        </w:tabs>
        <w:spacing w:after="0" w:line="240" w:lineRule="auto"/>
        <w:jc w:val="left"/>
        <w:outlineLvl w:val="3"/>
        <w:rPr>
          <w:rFonts w:ascii="Arial" w:hAnsi="Arial"/>
          <w:b/>
          <w:sz w:val="22"/>
          <w:szCs w:val="20"/>
        </w:rPr>
      </w:pPr>
      <w:r w:rsidRPr="003C3C29">
        <w:rPr>
          <w:rFonts w:ascii="Arial" w:hAnsi="Arial"/>
          <w:b/>
          <w:sz w:val="22"/>
          <w:szCs w:val="20"/>
        </w:rPr>
        <w:t>3.1.2</w:t>
      </w:r>
      <w:r w:rsidRPr="003C3C29">
        <w:rPr>
          <w:rFonts w:ascii="Arial" w:hAnsi="Arial"/>
          <w:b/>
          <w:sz w:val="22"/>
          <w:szCs w:val="20"/>
        </w:rPr>
        <w:tab/>
        <w:t>Explanatory notes and analysis of budgeted financial statements</w:t>
      </w:r>
    </w:p>
    <w:p w14:paraId="1A96F20E" w14:textId="77777777" w:rsidR="003C3C29" w:rsidRPr="003C3C29" w:rsidRDefault="003C3C29" w:rsidP="003C3C29">
      <w:pPr>
        <w:jc w:val="left"/>
        <w:rPr>
          <w:rFonts w:ascii="Book Antiqua" w:hAnsi="Book Antiqua"/>
          <w:iCs/>
          <w:sz w:val="20"/>
          <w:szCs w:val="20"/>
        </w:rPr>
      </w:pPr>
      <w:r w:rsidRPr="003C3C29">
        <w:rPr>
          <w:rFonts w:ascii="Book Antiqua" w:hAnsi="Book Antiqua"/>
          <w:iCs/>
          <w:sz w:val="20"/>
          <w:szCs w:val="20"/>
        </w:rPr>
        <w:t>The AEC’s expected actual revenue and expenses for this financial year have not changed significantly from the amounts published in the Portfolio Additional Estimates Statements 2016-17 (PAES). As part of the Budget process the AEC moved expenditure forward from 2019-20 to 2018-19 in order to align expenses with the expected timeframe of the next Federal Election.</w:t>
      </w:r>
    </w:p>
    <w:p w14:paraId="2BD0BFA1" w14:textId="77777777" w:rsidR="003C3C29" w:rsidRPr="003C3C29" w:rsidRDefault="003C3C29" w:rsidP="003C3C29">
      <w:pPr>
        <w:jc w:val="left"/>
        <w:rPr>
          <w:rFonts w:ascii="Book Antiqua" w:hAnsi="Book Antiqua"/>
          <w:iCs/>
          <w:sz w:val="20"/>
          <w:szCs w:val="20"/>
        </w:rPr>
      </w:pPr>
      <w:r w:rsidRPr="003C3C29">
        <w:rPr>
          <w:rFonts w:ascii="Book Antiqua" w:hAnsi="Book Antiqua"/>
          <w:iCs/>
          <w:sz w:val="20"/>
          <w:szCs w:val="20"/>
        </w:rPr>
        <w:t xml:space="preserve">For 2017-18 the AEC is budgeting for a deficit including depreciation. </w:t>
      </w:r>
    </w:p>
    <w:p w14:paraId="02545457"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15" w:name="_Toc444523518"/>
      <w:bookmarkStart w:id="16" w:name="_Toc477957995"/>
      <w:r w:rsidRPr="003C3C29">
        <w:rPr>
          <w:rFonts w:ascii="Arial" w:hAnsi="Arial"/>
          <w:b/>
          <w:smallCaps/>
          <w:sz w:val="26"/>
          <w:szCs w:val="20"/>
        </w:rPr>
        <w:t>3.2.</w:t>
      </w:r>
      <w:r w:rsidRPr="003C3C29">
        <w:rPr>
          <w:rFonts w:ascii="Arial" w:hAnsi="Arial"/>
          <w:b/>
          <w:smallCaps/>
          <w:sz w:val="26"/>
          <w:szCs w:val="20"/>
        </w:rPr>
        <w:tab/>
        <w:t>Budgeted financial statements tables</w:t>
      </w:r>
      <w:bookmarkEnd w:id="15"/>
      <w:bookmarkEnd w:id="16"/>
    </w:p>
    <w:p w14:paraId="783440B4" w14:textId="77777777" w:rsidR="003C3C29" w:rsidRPr="003C3C29" w:rsidRDefault="003C3C29" w:rsidP="003C3C29">
      <w:pPr>
        <w:keepNext/>
        <w:spacing w:after="20" w:line="240" w:lineRule="auto"/>
        <w:jc w:val="left"/>
        <w:rPr>
          <w:rFonts w:ascii="Arial" w:hAnsi="Arial"/>
          <w:b/>
          <w:snapToGrid w:val="0"/>
          <w:color w:val="000000"/>
          <w:sz w:val="20"/>
          <w:szCs w:val="20"/>
          <w:lang w:val="x-none" w:eastAsia="x-none"/>
        </w:rPr>
      </w:pPr>
      <w:r w:rsidRPr="003C3C29">
        <w:rPr>
          <w:rFonts w:ascii="Arial" w:hAnsi="Arial"/>
          <w:b/>
          <w:color w:val="000000"/>
          <w:sz w:val="20"/>
          <w:szCs w:val="20"/>
          <w:lang w:val="x-none" w:eastAsia="x-none"/>
        </w:rPr>
        <w:t xml:space="preserve">Table 3.1: Comprehensive income statement (showing net cost of services) </w:t>
      </w:r>
      <w:r w:rsidRPr="003C3C29">
        <w:rPr>
          <w:rFonts w:ascii="Arial" w:hAnsi="Arial"/>
          <w:b/>
          <w:snapToGrid w:val="0"/>
          <w:color w:val="000000"/>
          <w:sz w:val="20"/>
          <w:szCs w:val="20"/>
          <w:lang w:val="x-none" w:eastAsia="x-none"/>
        </w:rPr>
        <w:t>for the period ended 30 June</w:t>
      </w:r>
    </w:p>
    <w:p w14:paraId="07A334F4" w14:textId="55E2CCDE" w:rsidR="003C3C29" w:rsidRPr="003C3C29" w:rsidRDefault="003C3C29" w:rsidP="003C3C29">
      <w:pPr>
        <w:spacing w:after="0" w:line="240" w:lineRule="auto"/>
        <w:ind w:right="-113"/>
        <w:jc w:val="both"/>
        <w:rPr>
          <w:rFonts w:ascii="Arial" w:hAnsi="Arial" w:cs="Arial"/>
          <w:sz w:val="20"/>
          <w:szCs w:val="20"/>
        </w:rPr>
      </w:pPr>
      <w:r w:rsidRPr="003C3C29">
        <w:rPr>
          <w:rFonts w:ascii="Arial" w:hAnsi="Arial"/>
          <w:szCs w:val="20"/>
        </w:rPr>
        <w:fldChar w:fldCharType="begin"/>
      </w:r>
      <w:r w:rsidRPr="003C3C29">
        <w:rPr>
          <w:rFonts w:ascii="Arial" w:hAnsi="Arial"/>
          <w:szCs w:val="20"/>
        </w:rPr>
        <w:instrText xml:space="preserve"> LINK Excel.Sheet.12 "\\\\mercury.network\\dfs\\Groups\\COOG\\CFOD\\FSB\\Budget\\2017-18 Budget\\PBS\\Other entities\\AEC\\EM2017-08 - Attachment F - 2017-18 PBS Excel Tables_AEC_FINAL_NM.xlsx!Table 3.1 NCCE!R4C1:R29C6" "" \p </w:instrText>
      </w:r>
      <w:r w:rsidRPr="003C3C29">
        <w:rPr>
          <w:rFonts w:ascii="Arial" w:hAnsi="Arial"/>
          <w:szCs w:val="20"/>
        </w:rPr>
        <w:fldChar w:fldCharType="separate"/>
      </w:r>
      <w:r w:rsidRPr="003C3C29">
        <w:rPr>
          <w:rFonts w:ascii="Arial" w:hAnsi="Arial"/>
          <w:szCs w:val="20"/>
        </w:rPr>
        <w:object w:dxaOrig="7805" w:dyaOrig="8827" w14:anchorId="5BDB7FC1">
          <v:shape id="_x0000_i1026" type="#_x0000_t75" style="width:390pt;height:441.6pt" o:ole="">
            <v:imagedata r:id="rId22" o:title=""/>
          </v:shape>
        </w:object>
      </w:r>
      <w:r w:rsidRPr="003C3C29">
        <w:rPr>
          <w:rFonts w:ascii="Arial" w:hAnsi="Arial"/>
          <w:szCs w:val="20"/>
        </w:rPr>
        <w:fldChar w:fldCharType="end"/>
      </w:r>
      <w:r w:rsidRPr="003C3C29">
        <w:rPr>
          <w:rFonts w:ascii="Arial" w:hAnsi="Arial"/>
          <w:szCs w:val="20"/>
        </w:rPr>
        <w:t>Prepared on Australian Accounting Standards basis.</w:t>
      </w:r>
    </w:p>
    <w:p w14:paraId="1B332CEA" w14:textId="77777777" w:rsidR="003C3C29" w:rsidRPr="003C3C29" w:rsidRDefault="003C3C29" w:rsidP="003C3C29">
      <w:pPr>
        <w:keepNext/>
        <w:numPr>
          <w:ilvl w:val="0"/>
          <w:numId w:val="7"/>
        </w:numPr>
        <w:tabs>
          <w:tab w:val="left" w:pos="0"/>
        </w:tabs>
        <w:spacing w:after="0" w:line="240" w:lineRule="auto"/>
        <w:jc w:val="left"/>
        <w:rPr>
          <w:rFonts w:ascii="Arial" w:hAnsi="Arial"/>
        </w:rPr>
      </w:pPr>
      <w:r w:rsidRPr="003C3C29">
        <w:rPr>
          <w:rFonts w:ascii="Arial" w:hAnsi="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54ED04C" w14:textId="77777777" w:rsidR="003C3C29" w:rsidRPr="003C3C29" w:rsidRDefault="003C3C29" w:rsidP="003C3C29">
      <w:pPr>
        <w:spacing w:after="0" w:line="240" w:lineRule="auto"/>
        <w:ind w:right="-113"/>
        <w:jc w:val="both"/>
        <w:rPr>
          <w:rFonts w:ascii="Book Antiqua" w:hAnsi="Book Antiqua"/>
          <w:sz w:val="20"/>
          <w:szCs w:val="20"/>
        </w:rPr>
      </w:pPr>
    </w:p>
    <w:p w14:paraId="0B99AB6F"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3.2: Budgeted departmental balance sheet (as at 30 June)</w:t>
      </w:r>
    </w:p>
    <w:p w14:paraId="2152812A" w14:textId="397707DF"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0EC10042" wp14:editId="6D538DE2">
            <wp:extent cx="4716780" cy="4411980"/>
            <wp:effectExtent l="0" t="0" r="762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6780" cy="4411980"/>
                    </a:xfrm>
                    <a:prstGeom prst="rect">
                      <a:avLst/>
                    </a:prstGeom>
                    <a:noFill/>
                    <a:ln>
                      <a:noFill/>
                    </a:ln>
                  </pic:spPr>
                </pic:pic>
              </a:graphicData>
            </a:graphic>
          </wp:inline>
        </w:drawing>
      </w:r>
    </w:p>
    <w:p w14:paraId="7531F8CE"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1922DACB" w14:textId="77777777" w:rsidR="003C3C29" w:rsidRPr="003C3C29" w:rsidRDefault="003C3C29" w:rsidP="003C3C29">
      <w:pPr>
        <w:tabs>
          <w:tab w:val="left" w:pos="284"/>
        </w:tabs>
        <w:spacing w:after="0" w:line="240" w:lineRule="auto"/>
        <w:jc w:val="both"/>
        <w:rPr>
          <w:rFonts w:ascii="Arial" w:hAnsi="Arial"/>
          <w:color w:val="000000"/>
          <w:szCs w:val="20"/>
          <w:lang w:val="x-none" w:eastAsia="x-none"/>
        </w:rPr>
      </w:pPr>
      <w:r w:rsidRPr="003C3C29">
        <w:rPr>
          <w:rFonts w:ascii="Arial" w:hAnsi="Arial"/>
          <w:color w:val="000000"/>
          <w:szCs w:val="20"/>
          <w:lang w:eastAsia="x-none"/>
        </w:rPr>
        <w:t>*’</w:t>
      </w:r>
      <w:r w:rsidRPr="003C3C29">
        <w:rPr>
          <w:rFonts w:ascii="Arial" w:hAnsi="Arial"/>
          <w:color w:val="000000"/>
          <w:szCs w:val="20"/>
          <w:lang w:val="x-none" w:eastAsia="x-none"/>
        </w:rPr>
        <w:t>Equity’ is the residual interest in assets after deduction of liabilities.</w:t>
      </w:r>
    </w:p>
    <w:p w14:paraId="69305D35"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7F74B4AF"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3.3: Departmental statement of changes in equity — summary of movement (Budget year 2017-18)</w:t>
      </w:r>
    </w:p>
    <w:p w14:paraId="3B449622" w14:textId="773432C3" w:rsidR="003C3C29" w:rsidRPr="003C3C29" w:rsidRDefault="003C3C29" w:rsidP="003C3C29">
      <w:pPr>
        <w:spacing w:after="0" w:line="240" w:lineRule="auto"/>
        <w:jc w:val="both"/>
        <w:rPr>
          <w:rFonts w:ascii="Book Antiqua" w:hAnsi="Book Antiqua"/>
          <w:sz w:val="20"/>
          <w:szCs w:val="20"/>
        </w:rPr>
      </w:pPr>
      <w:r w:rsidRPr="003C3C29">
        <w:rPr>
          <w:rFonts w:ascii="Book Antiqua" w:hAnsi="Book Antiqua"/>
          <w:noProof/>
          <w:sz w:val="20"/>
          <w:szCs w:val="20"/>
        </w:rPr>
        <w:drawing>
          <wp:inline distT="0" distB="0" distL="0" distR="0" wp14:anchorId="1D33A218" wp14:editId="7A5A59CE">
            <wp:extent cx="4160520" cy="26136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0520" cy="2613660"/>
                    </a:xfrm>
                    <a:prstGeom prst="rect">
                      <a:avLst/>
                    </a:prstGeom>
                    <a:noFill/>
                    <a:ln>
                      <a:noFill/>
                    </a:ln>
                  </pic:spPr>
                </pic:pic>
              </a:graphicData>
            </a:graphic>
          </wp:inline>
        </w:drawing>
      </w:r>
    </w:p>
    <w:p w14:paraId="51407A3B"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319E0825" w14:textId="77777777" w:rsidR="003C3C29" w:rsidRPr="003C3C29" w:rsidRDefault="003C3C29" w:rsidP="003C3C29">
      <w:pPr>
        <w:keepNext/>
        <w:tabs>
          <w:tab w:val="left" w:pos="1260"/>
        </w:tabs>
        <w:spacing w:after="20" w:line="240" w:lineRule="auto"/>
        <w:jc w:val="left"/>
        <w:rPr>
          <w:rFonts w:ascii="Arial" w:hAnsi="Arial"/>
          <w:b/>
          <w:color w:val="000000"/>
          <w:sz w:val="20"/>
          <w:szCs w:val="20"/>
          <w:lang w:val="x-none" w:eastAsia="x-none"/>
        </w:rPr>
      </w:pPr>
    </w:p>
    <w:p w14:paraId="16AB3DB3"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3.4: Budgeted departmental statement of cash flows (for the period ended 30 June)</w:t>
      </w:r>
    </w:p>
    <w:p w14:paraId="426AAFBA" w14:textId="40353EC1" w:rsidR="003C3C29" w:rsidRPr="003C3C29" w:rsidRDefault="003C3C29" w:rsidP="003C3C29">
      <w:pPr>
        <w:spacing w:after="0" w:line="240" w:lineRule="auto"/>
        <w:ind w:right="-113"/>
        <w:jc w:val="both"/>
        <w:rPr>
          <w:rFonts w:ascii="Arial" w:hAnsi="Arial" w:cs="Arial"/>
        </w:rPr>
      </w:pPr>
      <w:r w:rsidRPr="003C3C29">
        <w:rPr>
          <w:rFonts w:ascii="Book Antiqua" w:hAnsi="Book Antiqua"/>
          <w:sz w:val="20"/>
          <w:szCs w:val="20"/>
        </w:rPr>
        <w:fldChar w:fldCharType="begin"/>
      </w:r>
      <w:r w:rsidRPr="003C3C29">
        <w:rPr>
          <w:rFonts w:ascii="Book Antiqua" w:hAnsi="Book Antiqua"/>
          <w:sz w:val="20"/>
          <w:szCs w:val="20"/>
        </w:rPr>
        <w:instrText xml:space="preserve"> LINK Excel.Sheet.12 "\\\\mercury.network\\dfs\\Groups\\COOG\\CFOD\\FSB\\Budget\\2017-18 Budget\\PBS\\Other entities\\AEC\\EM2017-08 - Attachment F - 2017-18 PBS Excel Tables_AEC_FINAL_NM.xlsx!Table 3.4!R3C1:R27C6" "" \p </w:instrText>
      </w:r>
      <w:r w:rsidRPr="003C3C29">
        <w:rPr>
          <w:rFonts w:ascii="Book Antiqua" w:hAnsi="Book Antiqua"/>
          <w:sz w:val="20"/>
          <w:szCs w:val="20"/>
        </w:rPr>
        <w:fldChar w:fldCharType="separate"/>
      </w:r>
      <w:r w:rsidRPr="003C3C29">
        <w:rPr>
          <w:rFonts w:ascii="Book Antiqua" w:hAnsi="Book Antiqua"/>
          <w:sz w:val="20"/>
          <w:szCs w:val="20"/>
        </w:rPr>
        <w:object w:dxaOrig="7829" w:dyaOrig="7387" w14:anchorId="60DE3C72">
          <v:shape id="_x0000_i1027" type="#_x0000_t75" style="width:391.2pt;height:369.6pt" o:ole="">
            <v:imagedata r:id="rId25" o:title=""/>
          </v:shape>
        </w:object>
      </w:r>
      <w:r w:rsidRPr="003C3C29">
        <w:rPr>
          <w:rFonts w:ascii="Book Antiqua" w:hAnsi="Book Antiqua"/>
          <w:sz w:val="20"/>
          <w:szCs w:val="20"/>
        </w:rPr>
        <w:fldChar w:fldCharType="end"/>
      </w:r>
      <w:r w:rsidRPr="003C3C29">
        <w:rPr>
          <w:rFonts w:ascii="Arial" w:hAnsi="Arial" w:cs="Arial"/>
        </w:rPr>
        <w:t>Prepared on Australian Accounting Standards basis.</w:t>
      </w:r>
    </w:p>
    <w:p w14:paraId="11E45926"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003CD3D6"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3.5: Departmental capital budget statement (for the period ended 30 June)</w:t>
      </w:r>
    </w:p>
    <w:p w14:paraId="389761BB" w14:textId="02C9651A"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sz w:val="20"/>
          <w:szCs w:val="20"/>
        </w:rPr>
        <w:fldChar w:fldCharType="begin"/>
      </w:r>
      <w:r w:rsidRPr="003C3C29">
        <w:rPr>
          <w:rFonts w:ascii="Book Antiqua" w:hAnsi="Book Antiqua"/>
          <w:sz w:val="20"/>
          <w:szCs w:val="20"/>
        </w:rPr>
        <w:instrText xml:space="preserve"> LINK Excel.Sheet.12 "\\\\mercury.network\\dfs\\Groups\\COOG\\CFOD\\FSB\\Budget\\2017-18 Budget\\PBS\\Other entities\\AEC\\EM2017-08 - Attachment F - 2017-18 PBS Excel Tables_AEC_FINAL_NM.xlsx!Table 3.5!R3C1:R15C6" "" \p </w:instrText>
      </w:r>
      <w:r w:rsidRPr="003C3C29">
        <w:rPr>
          <w:rFonts w:ascii="Book Antiqua" w:hAnsi="Book Antiqua"/>
          <w:sz w:val="20"/>
          <w:szCs w:val="20"/>
        </w:rPr>
        <w:fldChar w:fldCharType="separate"/>
      </w:r>
      <w:r w:rsidRPr="003C3C29">
        <w:rPr>
          <w:rFonts w:ascii="Book Antiqua" w:hAnsi="Book Antiqua"/>
          <w:sz w:val="20"/>
          <w:szCs w:val="20"/>
        </w:rPr>
        <w:object w:dxaOrig="7800" w:dyaOrig="4322" w14:anchorId="48C1D76D">
          <v:shape id="_x0000_i1028" type="#_x0000_t75" style="width:390pt;height:3in" o:ole="">
            <v:imagedata r:id="rId26" o:title=""/>
          </v:shape>
        </w:object>
      </w:r>
      <w:r w:rsidRPr="003C3C29">
        <w:rPr>
          <w:rFonts w:ascii="Book Antiqua" w:hAnsi="Book Antiqua"/>
          <w:sz w:val="20"/>
          <w:szCs w:val="20"/>
        </w:rPr>
        <w:fldChar w:fldCharType="end"/>
      </w:r>
    </w:p>
    <w:p w14:paraId="228D0420" w14:textId="77777777" w:rsidR="003C3C29" w:rsidRPr="003C3C29" w:rsidRDefault="003C3C29" w:rsidP="003C3C29">
      <w:pPr>
        <w:keepNext/>
        <w:tabs>
          <w:tab w:val="left" w:pos="0"/>
        </w:tabs>
        <w:spacing w:after="0" w:line="240" w:lineRule="auto"/>
        <w:ind w:left="284" w:hanging="284"/>
        <w:jc w:val="left"/>
        <w:rPr>
          <w:rFonts w:ascii="Arial" w:hAnsi="Arial"/>
        </w:rPr>
      </w:pPr>
      <w:r w:rsidRPr="003C3C29">
        <w:rPr>
          <w:rFonts w:ascii="Arial" w:hAnsi="Arial" w:cs="Arial"/>
          <w:szCs w:val="20"/>
        </w:rPr>
        <w:t>Prepared on Australian Accounting Standards basis.</w:t>
      </w:r>
    </w:p>
    <w:p w14:paraId="16E4028A" w14:textId="77777777" w:rsidR="003C3C29" w:rsidRPr="003C3C29" w:rsidRDefault="003C3C29" w:rsidP="003C3C29">
      <w:pPr>
        <w:keepNext/>
        <w:numPr>
          <w:ilvl w:val="0"/>
          <w:numId w:val="7"/>
        </w:numPr>
        <w:tabs>
          <w:tab w:val="left" w:pos="0"/>
        </w:tabs>
        <w:spacing w:after="0" w:line="240" w:lineRule="auto"/>
        <w:jc w:val="left"/>
        <w:rPr>
          <w:rFonts w:ascii="Arial" w:hAnsi="Arial"/>
        </w:rPr>
      </w:pPr>
      <w:r w:rsidRPr="003C3C29">
        <w:rPr>
          <w:rFonts w:ascii="Arial" w:hAnsi="Arial"/>
        </w:rPr>
        <w:t>Does not include annual finance lease costs. Includes purchases from current and previous years’ Departmental capital budgets (DCBs).</w:t>
      </w:r>
    </w:p>
    <w:p w14:paraId="4442237A" w14:textId="77777777" w:rsidR="003C3C29" w:rsidRPr="003C3C29" w:rsidRDefault="003C3C29" w:rsidP="003C3C29">
      <w:pPr>
        <w:jc w:val="both"/>
        <w:rPr>
          <w:rFonts w:ascii="Book Antiqua" w:hAnsi="Book Antiqua"/>
          <w:sz w:val="20"/>
          <w:szCs w:val="20"/>
        </w:rPr>
      </w:pPr>
    </w:p>
    <w:p w14:paraId="3857D3C4" w14:textId="77777777" w:rsidR="003C3C29" w:rsidRPr="003C3C29" w:rsidRDefault="003C3C29" w:rsidP="003C3C29">
      <w:pPr>
        <w:jc w:val="both"/>
        <w:rPr>
          <w:rFonts w:ascii="Book Antiqua" w:hAnsi="Book Antiqua"/>
          <w:sz w:val="20"/>
          <w:szCs w:val="20"/>
        </w:rPr>
      </w:pPr>
    </w:p>
    <w:p w14:paraId="1C63D4E1" w14:textId="77777777" w:rsidR="003C3C29" w:rsidRPr="003C3C29" w:rsidRDefault="003C3C29" w:rsidP="003C3C29">
      <w:pPr>
        <w:jc w:val="both"/>
        <w:rPr>
          <w:rFonts w:ascii="Book Antiqua" w:hAnsi="Book Antiqua"/>
          <w:sz w:val="20"/>
          <w:szCs w:val="20"/>
        </w:rPr>
      </w:pPr>
    </w:p>
    <w:p w14:paraId="3CEA8AF0" w14:textId="77777777" w:rsidR="003C3C29" w:rsidRPr="003C3C29" w:rsidRDefault="003C3C29" w:rsidP="003C3C29">
      <w:pPr>
        <w:jc w:val="both"/>
        <w:rPr>
          <w:rFonts w:ascii="Book Antiqua" w:hAnsi="Book Antiqua"/>
          <w:sz w:val="20"/>
          <w:szCs w:val="20"/>
        </w:rPr>
      </w:pPr>
    </w:p>
    <w:p w14:paraId="0CE0F2CE"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3.6: Statement of asset movements (Budget year 2017</w:t>
      </w:r>
      <w:r w:rsidRPr="003C3C29">
        <w:rPr>
          <w:rFonts w:ascii="Arial" w:hAnsi="Arial"/>
          <w:b/>
          <w:color w:val="000000"/>
          <w:sz w:val="20"/>
          <w:szCs w:val="20"/>
          <w:lang w:val="x-none" w:eastAsia="x-none"/>
        </w:rPr>
        <w:noBreakHyphen/>
        <w:t>18)</w:t>
      </w:r>
    </w:p>
    <w:p w14:paraId="2CCF859B" w14:textId="5858D6B5"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fldChar w:fldCharType="begin"/>
      </w:r>
      <w:r w:rsidRPr="003C3C29">
        <w:rPr>
          <w:rFonts w:ascii="Arial" w:hAnsi="Arial"/>
          <w:b/>
          <w:color w:val="000000"/>
          <w:sz w:val="20"/>
          <w:szCs w:val="20"/>
          <w:lang w:val="x-none" w:eastAsia="x-none"/>
        </w:rPr>
        <w:instrText xml:space="preserve"> LINK Excel.Sheet.12 "\\\\mercury.network\\dfs\\Groups\\COOG\\CFOD\\FSB\\Budget\\2017-18 Budget\\PBS\\Other entities\\AEC\\EM2017-08 - Attachment F - 2017-18 PBS Excel Tables_AEC_FINAL_NM.xlsx!Table 3.6!R4C1:R19C5" "" \p </w:instrText>
      </w:r>
      <w:r w:rsidRPr="003C3C29">
        <w:rPr>
          <w:rFonts w:ascii="Arial" w:hAnsi="Arial"/>
          <w:b/>
          <w:color w:val="000000"/>
          <w:sz w:val="20"/>
          <w:szCs w:val="20"/>
          <w:lang w:val="x-none" w:eastAsia="x-none"/>
        </w:rPr>
        <w:fldChar w:fldCharType="separate"/>
      </w:r>
      <w:r w:rsidRPr="003C3C29">
        <w:rPr>
          <w:rFonts w:ascii="Arial" w:hAnsi="Arial"/>
          <w:b/>
          <w:color w:val="000000"/>
          <w:sz w:val="20"/>
          <w:szCs w:val="20"/>
          <w:lang w:val="x-none" w:eastAsia="x-none"/>
        </w:rPr>
        <w:object w:dxaOrig="7426" w:dyaOrig="4752" w14:anchorId="4F724DA8">
          <v:shape id="_x0000_i1029" type="#_x0000_t75" style="width:371.4pt;height:237.6pt" o:ole="">
            <v:imagedata r:id="rId27" o:title=""/>
          </v:shape>
        </w:object>
      </w:r>
      <w:r w:rsidRPr="003C3C29">
        <w:rPr>
          <w:rFonts w:ascii="Arial" w:hAnsi="Arial"/>
          <w:b/>
          <w:color w:val="000000"/>
          <w:sz w:val="20"/>
          <w:szCs w:val="20"/>
          <w:lang w:val="x-none" w:eastAsia="x-none"/>
        </w:rPr>
        <w:fldChar w:fldCharType="end"/>
      </w:r>
    </w:p>
    <w:p w14:paraId="30454AB3"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6D4F8220" w14:textId="77777777" w:rsidR="003C3C29" w:rsidRPr="003C3C29" w:rsidRDefault="003C3C29" w:rsidP="003C3C29">
      <w:pPr>
        <w:keepNext/>
        <w:numPr>
          <w:ilvl w:val="0"/>
          <w:numId w:val="7"/>
        </w:numPr>
        <w:tabs>
          <w:tab w:val="left" w:pos="0"/>
        </w:tabs>
        <w:spacing w:after="0" w:line="240" w:lineRule="auto"/>
        <w:jc w:val="left"/>
        <w:rPr>
          <w:rFonts w:ascii="Arial" w:hAnsi="Arial"/>
        </w:rPr>
      </w:pPr>
      <w:r w:rsidRPr="003C3C29">
        <w:rPr>
          <w:rFonts w:ascii="Arial" w:hAnsi="Arial"/>
        </w:rPr>
        <w:t>‘Appropriation ordinary annual services’ refers to funding provided through Appropriation Bill (No. 1) 2017-18 for depreciation/amortisation expenses, DCBs or other operational expenses.</w:t>
      </w:r>
    </w:p>
    <w:p w14:paraId="1E40024F" w14:textId="77777777" w:rsidR="003C3C29" w:rsidRPr="003C3C29" w:rsidRDefault="003C3C29" w:rsidP="003C3C29">
      <w:pPr>
        <w:ind w:firstLine="567"/>
        <w:jc w:val="both"/>
        <w:rPr>
          <w:rFonts w:ascii="Book Antiqua" w:hAnsi="Book Antiqua"/>
          <w:sz w:val="20"/>
          <w:szCs w:val="20"/>
        </w:rPr>
      </w:pPr>
    </w:p>
    <w:p w14:paraId="18A54DC5" w14:textId="77777777" w:rsidR="003C3C29" w:rsidRPr="003C3C29" w:rsidRDefault="003C3C29" w:rsidP="003C3C29">
      <w:pPr>
        <w:jc w:val="both"/>
        <w:rPr>
          <w:rFonts w:ascii="Book Antiqua" w:hAnsi="Book Antiqua"/>
          <w:sz w:val="20"/>
          <w:szCs w:val="20"/>
        </w:rPr>
      </w:pPr>
    </w:p>
    <w:p w14:paraId="18A53378"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3.7: Schedule of budgeted income and expenses administered on behalf of Government (for the period ended 30 June)</w:t>
      </w:r>
    </w:p>
    <w:p w14:paraId="14B43F37" w14:textId="28D36AB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fldChar w:fldCharType="begin"/>
      </w:r>
      <w:r w:rsidRPr="003C3C29">
        <w:rPr>
          <w:rFonts w:ascii="Arial" w:hAnsi="Arial"/>
          <w:b/>
          <w:color w:val="000000"/>
          <w:sz w:val="20"/>
          <w:szCs w:val="20"/>
          <w:lang w:val="x-none" w:eastAsia="x-none"/>
        </w:rPr>
        <w:instrText xml:space="preserve"> LINK Excel.Sheet.12 "\\\\mercury.network\\dfs\\Groups\\COOG\\CFOD\\FSB\\Budget\\2017-18 Budget\\PBS\\Other entities\\AEC\\EM2017-08 - Attachment F - 2017-18 PBS Excel Tables_AEC_FINAL_NM.xlsx!Table 3.7!R3C1:R14C6" "" \p </w:instrText>
      </w:r>
      <w:r w:rsidRPr="003C3C29">
        <w:rPr>
          <w:rFonts w:ascii="Arial" w:hAnsi="Arial"/>
          <w:b/>
          <w:color w:val="000000"/>
          <w:sz w:val="20"/>
          <w:szCs w:val="20"/>
          <w:lang w:val="x-none" w:eastAsia="x-none"/>
        </w:rPr>
        <w:fldChar w:fldCharType="separate"/>
      </w:r>
      <w:r w:rsidRPr="003C3C29">
        <w:rPr>
          <w:rFonts w:ascii="Arial" w:hAnsi="Arial"/>
          <w:b/>
          <w:color w:val="000000"/>
          <w:sz w:val="20"/>
          <w:szCs w:val="20"/>
          <w:lang w:val="x-none" w:eastAsia="x-none"/>
        </w:rPr>
        <w:object w:dxaOrig="7812" w:dyaOrig="4118" w14:anchorId="6F1A16CC">
          <v:shape id="_x0000_i1030" type="#_x0000_t75" style="width:390.6pt;height:205.8pt" o:ole="">
            <v:imagedata r:id="rId28" o:title=""/>
          </v:shape>
        </w:object>
      </w:r>
      <w:r w:rsidRPr="003C3C29">
        <w:rPr>
          <w:rFonts w:ascii="Arial" w:hAnsi="Arial"/>
          <w:b/>
          <w:color w:val="000000"/>
          <w:sz w:val="20"/>
          <w:szCs w:val="20"/>
          <w:lang w:val="x-none" w:eastAsia="x-none"/>
        </w:rPr>
        <w:fldChar w:fldCharType="end"/>
      </w:r>
      <w:r w:rsidRPr="003C3C29">
        <w:rPr>
          <w:rFonts w:ascii="Arial" w:hAnsi="Arial"/>
          <w:color w:val="000000"/>
          <w:lang w:val="x-none" w:eastAsia="x-none"/>
        </w:rPr>
        <w:t>Prepared on Australian Accounting Standards basis.</w:t>
      </w:r>
    </w:p>
    <w:p w14:paraId="61E9D26E"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623AC1AA"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3.8: Schedule of budgeted assets and liabilities administered on behalf of Government (as at 30 June)</w:t>
      </w:r>
    </w:p>
    <w:p w14:paraId="032492B1"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AEC has no budgeted assets and liabilities administered on behalf of the Government. </w:t>
      </w:r>
    </w:p>
    <w:p w14:paraId="2D1C5469" w14:textId="77777777" w:rsidR="003C3C29" w:rsidRPr="003C3C29" w:rsidRDefault="003C3C29" w:rsidP="003C3C29">
      <w:pPr>
        <w:jc w:val="both"/>
        <w:rPr>
          <w:rFonts w:ascii="Book Antiqua" w:hAnsi="Book Antiqua"/>
          <w:sz w:val="20"/>
          <w:szCs w:val="20"/>
          <w:lang w:val="x-none" w:eastAsia="x-none"/>
        </w:rPr>
      </w:pPr>
      <w:bookmarkStart w:id="17" w:name="OLE_LINK1"/>
    </w:p>
    <w:p w14:paraId="32DF1E42"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3.9: Schedule of budgeted administered cash flows (for the period ended 30 June)</w:t>
      </w:r>
    </w:p>
    <w:bookmarkEnd w:id="17"/>
    <w:p w14:paraId="349899DA" w14:textId="00AB7156" w:rsidR="003C3C29" w:rsidRPr="003C3C29" w:rsidRDefault="003C3C29" w:rsidP="003C3C29">
      <w:pPr>
        <w:keepNext/>
        <w:spacing w:after="20" w:line="240" w:lineRule="auto"/>
        <w:jc w:val="left"/>
        <w:rPr>
          <w:rFonts w:ascii="Arial" w:hAnsi="Arial"/>
          <w:color w:val="000000"/>
          <w:lang w:eastAsia="x-none"/>
        </w:rPr>
      </w:pPr>
      <w:r w:rsidRPr="003C3C29">
        <w:rPr>
          <w:rFonts w:ascii="Book Antiqua" w:hAnsi="Book Antiqua"/>
          <w:sz w:val="20"/>
          <w:szCs w:val="20"/>
        </w:rPr>
        <w:fldChar w:fldCharType="begin"/>
      </w:r>
      <w:r w:rsidRPr="003C3C29">
        <w:rPr>
          <w:rFonts w:ascii="Book Antiqua" w:hAnsi="Book Antiqua"/>
          <w:sz w:val="20"/>
          <w:szCs w:val="20"/>
        </w:rPr>
        <w:instrText xml:space="preserve"> LINK Excel.Sheet.12 "\\\\mercury.network\\dfs\\Groups\\COOG\\CFOD\\FSB\\Budget\\2017-18 Budget\\PBS\\Other entities\\AEC\\EM2017-08 - Attachment F - 2017-18 PBS Excel Tables_AEC_FINAL_NM.xlsx!Table 3.9!R3C1:R20C6" "" \p </w:instrText>
      </w:r>
      <w:r w:rsidRPr="003C3C29">
        <w:rPr>
          <w:rFonts w:ascii="Book Antiqua" w:hAnsi="Book Antiqua"/>
          <w:sz w:val="20"/>
          <w:szCs w:val="20"/>
        </w:rPr>
        <w:fldChar w:fldCharType="separate"/>
      </w:r>
      <w:r w:rsidRPr="003C3C29">
        <w:rPr>
          <w:rFonts w:ascii="Book Antiqua" w:hAnsi="Book Antiqua"/>
          <w:sz w:val="20"/>
          <w:szCs w:val="20"/>
        </w:rPr>
        <w:object w:dxaOrig="7817" w:dyaOrig="5753" w14:anchorId="56E9781C">
          <v:shape id="_x0000_i1031" type="#_x0000_t75" style="width:390.6pt;height:287.4pt" o:ole="">
            <v:imagedata r:id="rId29" o:title=""/>
          </v:shape>
        </w:object>
      </w:r>
      <w:r w:rsidRPr="003C3C29">
        <w:rPr>
          <w:rFonts w:ascii="Book Antiqua" w:hAnsi="Book Antiqua"/>
          <w:sz w:val="20"/>
          <w:szCs w:val="20"/>
        </w:rPr>
        <w:fldChar w:fldCharType="end"/>
      </w:r>
      <w:r w:rsidRPr="003C3C29">
        <w:rPr>
          <w:rFonts w:ascii="Arial" w:hAnsi="Arial"/>
          <w:color w:val="000000"/>
          <w:lang w:val="x-none" w:eastAsia="x-none"/>
        </w:rPr>
        <w:t>Prepared on Australian Accounting Stand</w:t>
      </w:r>
      <w:r w:rsidRPr="003C3C29">
        <w:rPr>
          <w:rFonts w:ascii="Arial" w:hAnsi="Arial"/>
          <w:color w:val="000000"/>
          <w:lang w:eastAsia="x-none"/>
        </w:rPr>
        <w:t>ards.</w:t>
      </w:r>
    </w:p>
    <w:p w14:paraId="5D530BCC" w14:textId="77777777" w:rsidR="003C3C29" w:rsidRPr="003C3C29" w:rsidRDefault="003C3C29" w:rsidP="003C3C29">
      <w:pPr>
        <w:keepNext/>
        <w:spacing w:after="20" w:line="240" w:lineRule="auto"/>
        <w:jc w:val="left"/>
        <w:rPr>
          <w:rFonts w:ascii="Book Antiqua" w:hAnsi="Book Antiqua"/>
          <w:b/>
          <w:smallCaps/>
          <w:kern w:val="28"/>
          <w:sz w:val="20"/>
          <w:szCs w:val="20"/>
        </w:rPr>
      </w:pPr>
    </w:p>
    <w:p w14:paraId="55F87583" w14:textId="7478EFC0" w:rsidR="003C3C29" w:rsidRPr="003C3C29" w:rsidRDefault="003C3C29" w:rsidP="003C3C29">
      <w:pPr>
        <w:keepNext/>
        <w:spacing w:before="120" w:after="120" w:line="240" w:lineRule="auto"/>
        <w:jc w:val="left"/>
        <w:rPr>
          <w:rFonts w:ascii="Arial" w:hAnsi="Arial"/>
          <w:b/>
          <w:color w:val="000000"/>
          <w:sz w:val="20"/>
          <w:szCs w:val="20"/>
          <w:lang w:eastAsia="x-none"/>
        </w:rPr>
      </w:pPr>
      <w:r w:rsidRPr="003C3C29">
        <w:rPr>
          <w:rFonts w:ascii="Arial" w:hAnsi="Arial"/>
          <w:b/>
          <w:color w:val="000000"/>
          <w:sz w:val="20"/>
          <w:szCs w:val="20"/>
          <w:lang w:val="x-none" w:eastAsia="x-none"/>
        </w:rPr>
        <w:t>Table 3.</w:t>
      </w:r>
      <w:r w:rsidRPr="003C3C29">
        <w:rPr>
          <w:rFonts w:ascii="Arial" w:hAnsi="Arial"/>
          <w:b/>
          <w:color w:val="000000"/>
          <w:sz w:val="20"/>
          <w:szCs w:val="20"/>
          <w:lang w:eastAsia="x-none"/>
        </w:rPr>
        <w:t>10</w:t>
      </w:r>
      <w:r w:rsidRPr="003C3C29">
        <w:rPr>
          <w:rFonts w:ascii="Arial" w:hAnsi="Arial"/>
          <w:b/>
          <w:color w:val="000000"/>
          <w:sz w:val="20"/>
          <w:szCs w:val="20"/>
          <w:lang w:val="x-none" w:eastAsia="x-none"/>
        </w:rPr>
        <w:t xml:space="preserve">: </w:t>
      </w:r>
      <w:r w:rsidRPr="003C3C29">
        <w:rPr>
          <w:rFonts w:ascii="Arial" w:hAnsi="Arial"/>
          <w:b/>
          <w:color w:val="000000"/>
          <w:sz w:val="20"/>
          <w:szCs w:val="20"/>
          <w:lang w:eastAsia="x-none"/>
        </w:rPr>
        <w:t>Administered capital budget statement (for the period ended 30</w:t>
      </w:r>
      <w:r w:rsidR="00E31F4E">
        <w:rPr>
          <w:rFonts w:ascii="Arial" w:hAnsi="Arial"/>
          <w:b/>
          <w:color w:val="000000"/>
          <w:sz w:val="20"/>
          <w:szCs w:val="20"/>
          <w:lang w:eastAsia="x-none"/>
        </w:rPr>
        <w:t> </w:t>
      </w:r>
      <w:r w:rsidRPr="003C3C29">
        <w:rPr>
          <w:rFonts w:ascii="Arial" w:hAnsi="Arial"/>
          <w:b/>
          <w:color w:val="000000"/>
          <w:sz w:val="20"/>
          <w:szCs w:val="20"/>
          <w:lang w:eastAsia="x-none"/>
        </w:rPr>
        <w:t>June)</w:t>
      </w:r>
    </w:p>
    <w:p w14:paraId="37C10BB7"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AEC has no budgeted capital administered on behalf of the Government. </w:t>
      </w:r>
    </w:p>
    <w:p w14:paraId="03EB3F41"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72E656EF"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3.11: Statement of administered asset movements (Budget year 2017-18)</w:t>
      </w:r>
    </w:p>
    <w:p w14:paraId="09A2031E"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AEC has no budgeted non-financial assets administered on behalf of the Government. </w:t>
      </w:r>
    </w:p>
    <w:p w14:paraId="275E45C8"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1CDBA273" w14:textId="77777777" w:rsidR="003C3C29" w:rsidRDefault="003C3C29" w:rsidP="003C3C29">
      <w:pPr>
        <w:jc w:val="both"/>
        <w:rPr>
          <w:rFonts w:ascii="Book Antiqua" w:hAnsi="Book Antiqua"/>
          <w:sz w:val="20"/>
          <w:szCs w:val="20"/>
        </w:rPr>
        <w:sectPr w:rsidR="003C3C29" w:rsidSect="00A97674">
          <w:headerReference w:type="first" r:id="rId30"/>
          <w:pgSz w:w="11906" w:h="16838" w:code="9"/>
          <w:pgMar w:top="2466" w:right="2125" w:bottom="2466" w:left="2098" w:header="1899" w:footer="1899" w:gutter="0"/>
          <w:cols w:space="708"/>
          <w:titlePg/>
          <w:docGrid w:linePitch="360"/>
        </w:sectPr>
      </w:pPr>
    </w:p>
    <w:p w14:paraId="1985E810" w14:textId="54841CB3" w:rsidR="00F07139" w:rsidRDefault="00F07139" w:rsidP="00851347">
      <w:pPr>
        <w:jc w:val="both"/>
        <w:rPr>
          <w:rFonts w:ascii="Arial" w:hAnsi="Arial"/>
          <w:b/>
          <w:smallCaps/>
          <w:kern w:val="28"/>
          <w:sz w:val="34"/>
          <w:szCs w:val="20"/>
        </w:rPr>
      </w:pPr>
      <w:bookmarkStart w:id="18" w:name="_Toc476562553"/>
    </w:p>
    <w:bookmarkEnd w:id="18"/>
    <w:sectPr w:rsidR="00F07139" w:rsidSect="00195415">
      <w:headerReference w:type="even" r:id="rId31"/>
      <w:headerReference w:type="default" r:id="rId32"/>
      <w:headerReference w:type="first" r:id="rId33"/>
      <w:pgSz w:w="11906" w:h="16838" w:code="9"/>
      <w:pgMar w:top="2466" w:right="2125"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6BD1" w14:textId="77777777" w:rsidR="00F026E9" w:rsidRDefault="00F026E9" w:rsidP="001D7EBC">
      <w:r>
        <w:separator/>
      </w:r>
    </w:p>
  </w:endnote>
  <w:endnote w:type="continuationSeparator" w:id="0">
    <w:p w14:paraId="367B314F" w14:textId="77777777" w:rsidR="00F026E9" w:rsidRDefault="00F026E9" w:rsidP="001D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2E7F" w14:textId="79B0D5B8" w:rsidR="00F026E9" w:rsidRPr="001808A4" w:rsidRDefault="00F026E9" w:rsidP="001808A4">
    <w:pPr>
      <w:pStyle w:val="Footer"/>
    </w:pPr>
    <w:r>
      <w:fldChar w:fldCharType="begin"/>
    </w:r>
    <w:r>
      <w:instrText xml:space="preserve"> PAGE   \* MERGEFORMAT </w:instrText>
    </w:r>
    <w:r>
      <w:fldChar w:fldCharType="separate"/>
    </w:r>
    <w:r w:rsidR="00851347">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9B8A" w14:textId="77777777" w:rsidR="00F026E9" w:rsidRDefault="00F026E9" w:rsidP="001D7EBC">
      <w:r>
        <w:separator/>
      </w:r>
    </w:p>
  </w:footnote>
  <w:footnote w:type="continuationSeparator" w:id="0">
    <w:p w14:paraId="39DB5BA9" w14:textId="77777777" w:rsidR="00F026E9" w:rsidRDefault="00F026E9" w:rsidP="001D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D2EA" w14:textId="77777777" w:rsidR="00F026E9" w:rsidRPr="00F00984" w:rsidRDefault="00F026E9" w:rsidP="00566D5A">
    <w:pPr>
      <w:pStyle w:val="HeaderEven"/>
    </w:pPr>
    <w:r>
      <w:t>AEC</w:t>
    </w:r>
    <w:r w:rsidRPr="00F00984">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6D5F" w14:textId="77777777" w:rsidR="00F026E9" w:rsidRDefault="00F026E9" w:rsidP="00566D5A">
    <w:pPr>
      <w:pStyle w:val="HeaderOdd"/>
    </w:pPr>
    <w:r>
      <w:t>AEC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229A" w14:textId="1F88F348" w:rsidR="00F026E9" w:rsidRPr="00287CFF" w:rsidRDefault="00F026E9" w:rsidP="00287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F8EE" w14:textId="77777777" w:rsidR="00F026E9" w:rsidRPr="00F00984" w:rsidRDefault="00F026E9" w:rsidP="00F3289B">
    <w:pPr>
      <w:pStyle w:val="HeaderOdd"/>
    </w:pPr>
    <w:r>
      <w:t>AEC Budget Statements</w:t>
    </w:r>
  </w:p>
  <w:p w14:paraId="27105601" w14:textId="77777777" w:rsidR="00F026E9" w:rsidRPr="00287CFF" w:rsidRDefault="00F026E9" w:rsidP="00287C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6444" w14:textId="03F374DA" w:rsidR="00F026E9" w:rsidRPr="00F00984" w:rsidRDefault="00F026E9" w:rsidP="00566D5A">
    <w:pPr>
      <w:pStyle w:val="HeaderEven"/>
    </w:pPr>
    <w:r>
      <w:t>Glossary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76B5" w14:textId="43217085" w:rsidR="00F026E9" w:rsidRDefault="00F026E9" w:rsidP="00566D5A">
    <w:pPr>
      <w:pStyle w:val="HeaderOdd"/>
    </w:pPr>
    <w:r>
      <w:t>Glossary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FFD8" w14:textId="1306C58C" w:rsidR="00F026E9" w:rsidRPr="00F00984" w:rsidRDefault="00F026E9" w:rsidP="00195415">
    <w:pPr>
      <w:pStyle w:val="HeaderEven"/>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B4E4E"/>
    <w:multiLevelType w:val="hybridMultilevel"/>
    <w:tmpl w:val="A178FAB2"/>
    <w:lvl w:ilvl="0" w:tplc="C0BC64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1D07F31"/>
    <w:multiLevelType w:val="hybridMultilevel"/>
    <w:tmpl w:val="82462C12"/>
    <w:lvl w:ilvl="0" w:tplc="C0BC642A">
      <w:start w:val="1"/>
      <w:numFmt w:val="lowerLetter"/>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336C56"/>
    <w:multiLevelType w:val="hybridMultilevel"/>
    <w:tmpl w:val="C16CC3C6"/>
    <w:lvl w:ilvl="0" w:tplc="0C090003">
      <w:start w:val="1"/>
      <w:numFmt w:val="bullet"/>
      <w:lvlText w:val="o"/>
      <w:lvlJc w:val="left"/>
      <w:pPr>
        <w:ind w:left="502" w:hanging="360"/>
      </w:pPr>
      <w:rPr>
        <w:rFonts w:ascii="Courier New" w:hAnsi="Courier New" w:cs="Courier New" w:hint="default"/>
        <w:color w:val="auto"/>
        <w:sz w:val="16"/>
        <w:szCs w:val="16"/>
      </w:rPr>
    </w:lvl>
    <w:lvl w:ilvl="1" w:tplc="A0BAAF36">
      <w:start w:val="1"/>
      <w:numFmt w:val="bullet"/>
      <w:lvlText w:val="o"/>
      <w:lvlJc w:val="left"/>
      <w:pPr>
        <w:ind w:left="397" w:hanging="227"/>
      </w:pPr>
      <w:rPr>
        <w:rFonts w:ascii="Courier New" w:hAnsi="Courier New" w:hint="default"/>
        <w:color w:val="auto"/>
        <w:sz w:val="16"/>
        <w:szCs w:val="16"/>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C8D7C42"/>
    <w:multiLevelType w:val="hybridMultilevel"/>
    <w:tmpl w:val="E58CBF0C"/>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A6E18"/>
    <w:multiLevelType w:val="multilevel"/>
    <w:tmpl w:val="496E686A"/>
    <w:lvl w:ilvl="0">
      <w:start w:val="2017"/>
      <w:numFmt w:val="decimal"/>
      <w:lvlText w:val="%1"/>
      <w:lvlJc w:val="left"/>
      <w:pPr>
        <w:ind w:left="480" w:hanging="480"/>
      </w:pPr>
      <w:rPr>
        <w:rFonts w:hint="default"/>
      </w:rPr>
    </w:lvl>
    <w:lvl w:ilvl="1">
      <w:start w:val="18"/>
      <w:numFmt w:val="decimal"/>
      <w:lvlText w:val="%1-%2"/>
      <w:lvlJc w:val="left"/>
      <w:pPr>
        <w:ind w:left="480" w:hanging="48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0" w15:restartNumberingAfterBreak="0">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8151F9"/>
    <w:multiLevelType w:val="hybridMultilevel"/>
    <w:tmpl w:val="15B66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574E4C"/>
    <w:multiLevelType w:val="hybridMultilevel"/>
    <w:tmpl w:val="7F06A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5" w15:restartNumberingAfterBreak="0">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4C36094C"/>
    <w:multiLevelType w:val="hybridMultilevel"/>
    <w:tmpl w:val="B1CC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15:restartNumberingAfterBreak="0">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4"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795930C0"/>
    <w:multiLevelType w:val="hybridMultilevel"/>
    <w:tmpl w:val="82462C12"/>
    <w:lvl w:ilvl="0" w:tplc="C0BC642A">
      <w:start w:val="1"/>
      <w:numFmt w:val="lowerLetter"/>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5"/>
  </w:num>
  <w:num w:numId="3">
    <w:abstractNumId w:val="34"/>
  </w:num>
  <w:num w:numId="4">
    <w:abstractNumId w:val="38"/>
  </w:num>
  <w:num w:numId="5">
    <w:abstractNumId w:val="16"/>
  </w:num>
  <w:num w:numId="6">
    <w:abstractNumId w:val="31"/>
  </w:num>
  <w:num w:numId="7">
    <w:abstractNumId w:val="19"/>
    <w:lvlOverride w:ilvl="0">
      <w:startOverride w:val="1"/>
    </w:lvlOverride>
  </w:num>
  <w:num w:numId="8">
    <w:abstractNumId w:val="32"/>
  </w:num>
  <w:num w:numId="9">
    <w:abstractNumId w:val="33"/>
  </w:num>
  <w:num w:numId="10">
    <w:abstractNumId w:val="4"/>
  </w:num>
  <w:num w:numId="11">
    <w:abstractNumId w:val="35"/>
  </w:num>
  <w:num w:numId="12">
    <w:abstractNumId w:val="25"/>
  </w:num>
  <w:num w:numId="13">
    <w:abstractNumId w:val="2"/>
  </w:num>
  <w:num w:numId="14">
    <w:abstractNumId w:val="0"/>
  </w:num>
  <w:num w:numId="15">
    <w:abstractNumId w:val="11"/>
  </w:num>
  <w:num w:numId="16">
    <w:abstractNumId w:val="21"/>
  </w:num>
  <w:num w:numId="17">
    <w:abstractNumId w:val="29"/>
  </w:num>
  <w:num w:numId="18">
    <w:abstractNumId w:val="20"/>
  </w:num>
  <w:num w:numId="19">
    <w:abstractNumId w:val="19"/>
  </w:num>
  <w:num w:numId="20">
    <w:abstractNumId w:val="10"/>
  </w:num>
  <w:num w:numId="21">
    <w:abstractNumId w:val="13"/>
  </w:num>
  <w:num w:numId="22">
    <w:abstractNumId w:val="28"/>
  </w:num>
  <w:num w:numId="23">
    <w:abstractNumId w:val="18"/>
  </w:num>
  <w:num w:numId="24">
    <w:abstractNumId w:val="36"/>
  </w:num>
  <w:num w:numId="25">
    <w:abstractNumId w:val="30"/>
  </w:num>
  <w:num w:numId="26">
    <w:abstractNumId w:val="15"/>
  </w:num>
  <w:num w:numId="27">
    <w:abstractNumId w:val="37"/>
  </w:num>
  <w:num w:numId="28">
    <w:abstractNumId w:val="40"/>
  </w:num>
  <w:num w:numId="29">
    <w:abstractNumId w:val="27"/>
  </w:num>
  <w:num w:numId="30">
    <w:abstractNumId w:val="3"/>
  </w:num>
  <w:num w:numId="31">
    <w:abstractNumId w:val="9"/>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8"/>
  </w:num>
  <w:num w:numId="37">
    <w:abstractNumId w:val="14"/>
  </w:num>
  <w:num w:numId="38">
    <w:abstractNumId w:val="19"/>
    <w:lvlOverride w:ilvl="0">
      <w:startOverride w:val="2"/>
    </w:lvlOverride>
  </w:num>
  <w:num w:numId="39">
    <w:abstractNumId w:val="12"/>
  </w:num>
  <w:num w:numId="40">
    <w:abstractNumId w:val="7"/>
  </w:num>
  <w:num w:numId="41">
    <w:abstractNumId w:val="1"/>
  </w:num>
  <w:num w:numId="42">
    <w:abstractNumId w:val="39"/>
  </w:num>
  <w:num w:numId="43">
    <w:abstractNumId w:val="23"/>
  </w:num>
  <w:num w:numId="44">
    <w:abstractNumId w:val="2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9"/>
    <w:lvlOverride w:ilvl="0">
      <w:startOverride w:val="1"/>
    </w:lvlOverride>
  </w:num>
  <w:num w:numId="48">
    <w:abstractNumId w:val="1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8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1912"/>
    <w:rsid w:val="00003393"/>
    <w:rsid w:val="00003873"/>
    <w:rsid w:val="00003AC4"/>
    <w:rsid w:val="00004085"/>
    <w:rsid w:val="00004BDE"/>
    <w:rsid w:val="00006AE4"/>
    <w:rsid w:val="0000711B"/>
    <w:rsid w:val="00007EE4"/>
    <w:rsid w:val="00012BB0"/>
    <w:rsid w:val="000138F2"/>
    <w:rsid w:val="00013D25"/>
    <w:rsid w:val="0001438C"/>
    <w:rsid w:val="00016D95"/>
    <w:rsid w:val="00017619"/>
    <w:rsid w:val="00020573"/>
    <w:rsid w:val="000208FD"/>
    <w:rsid w:val="000215A8"/>
    <w:rsid w:val="000216BF"/>
    <w:rsid w:val="000217A0"/>
    <w:rsid w:val="00021C02"/>
    <w:rsid w:val="00021DA6"/>
    <w:rsid w:val="000220B0"/>
    <w:rsid w:val="00026145"/>
    <w:rsid w:val="00026D32"/>
    <w:rsid w:val="00027602"/>
    <w:rsid w:val="00027945"/>
    <w:rsid w:val="000300D7"/>
    <w:rsid w:val="00030FDA"/>
    <w:rsid w:val="00032565"/>
    <w:rsid w:val="0003277F"/>
    <w:rsid w:val="000330D1"/>
    <w:rsid w:val="00034E34"/>
    <w:rsid w:val="00035E52"/>
    <w:rsid w:val="00035EC1"/>
    <w:rsid w:val="00036095"/>
    <w:rsid w:val="000364F3"/>
    <w:rsid w:val="000366AE"/>
    <w:rsid w:val="000369AC"/>
    <w:rsid w:val="00036DF3"/>
    <w:rsid w:val="0003724F"/>
    <w:rsid w:val="00037BA1"/>
    <w:rsid w:val="00037BEE"/>
    <w:rsid w:val="000413D4"/>
    <w:rsid w:val="0004164F"/>
    <w:rsid w:val="000428FC"/>
    <w:rsid w:val="00042B8D"/>
    <w:rsid w:val="00042FDD"/>
    <w:rsid w:val="00044271"/>
    <w:rsid w:val="000451BB"/>
    <w:rsid w:val="00045667"/>
    <w:rsid w:val="00047ED4"/>
    <w:rsid w:val="000519DC"/>
    <w:rsid w:val="00051F38"/>
    <w:rsid w:val="00051F7B"/>
    <w:rsid w:val="00053A18"/>
    <w:rsid w:val="00053AB1"/>
    <w:rsid w:val="00054A04"/>
    <w:rsid w:val="00054CC3"/>
    <w:rsid w:val="0005600E"/>
    <w:rsid w:val="00056260"/>
    <w:rsid w:val="00056627"/>
    <w:rsid w:val="0005667B"/>
    <w:rsid w:val="00056A1D"/>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B6C"/>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2ABB"/>
    <w:rsid w:val="00094B28"/>
    <w:rsid w:val="00094E56"/>
    <w:rsid w:val="00096568"/>
    <w:rsid w:val="0009661B"/>
    <w:rsid w:val="00096867"/>
    <w:rsid w:val="00096DEE"/>
    <w:rsid w:val="0009701D"/>
    <w:rsid w:val="00097063"/>
    <w:rsid w:val="00097336"/>
    <w:rsid w:val="00097A4B"/>
    <w:rsid w:val="00097F19"/>
    <w:rsid w:val="000A1227"/>
    <w:rsid w:val="000A1A89"/>
    <w:rsid w:val="000A1C91"/>
    <w:rsid w:val="000A1F42"/>
    <w:rsid w:val="000A24C4"/>
    <w:rsid w:val="000A345B"/>
    <w:rsid w:val="000A3579"/>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A9"/>
    <w:rsid w:val="000B36D8"/>
    <w:rsid w:val="000B3B7D"/>
    <w:rsid w:val="000B3F0E"/>
    <w:rsid w:val="000B4947"/>
    <w:rsid w:val="000B4B93"/>
    <w:rsid w:val="000B514C"/>
    <w:rsid w:val="000B5257"/>
    <w:rsid w:val="000B56C8"/>
    <w:rsid w:val="000C056F"/>
    <w:rsid w:val="000C0D74"/>
    <w:rsid w:val="000C1928"/>
    <w:rsid w:val="000C19B3"/>
    <w:rsid w:val="000C19EF"/>
    <w:rsid w:val="000C1ACB"/>
    <w:rsid w:val="000C2D7D"/>
    <w:rsid w:val="000C2FA8"/>
    <w:rsid w:val="000C3B86"/>
    <w:rsid w:val="000C3F25"/>
    <w:rsid w:val="000C4851"/>
    <w:rsid w:val="000C5F91"/>
    <w:rsid w:val="000C6166"/>
    <w:rsid w:val="000C69F2"/>
    <w:rsid w:val="000C6A39"/>
    <w:rsid w:val="000C6FB8"/>
    <w:rsid w:val="000D0462"/>
    <w:rsid w:val="000D0E4D"/>
    <w:rsid w:val="000D13E5"/>
    <w:rsid w:val="000D28C8"/>
    <w:rsid w:val="000D3B63"/>
    <w:rsid w:val="000D43DE"/>
    <w:rsid w:val="000D43E2"/>
    <w:rsid w:val="000D458E"/>
    <w:rsid w:val="000D58A1"/>
    <w:rsid w:val="000D7E54"/>
    <w:rsid w:val="000E0A85"/>
    <w:rsid w:val="000E12DE"/>
    <w:rsid w:val="000E2859"/>
    <w:rsid w:val="000E2F5F"/>
    <w:rsid w:val="000E3AF4"/>
    <w:rsid w:val="000E537F"/>
    <w:rsid w:val="000E5E2E"/>
    <w:rsid w:val="000E6252"/>
    <w:rsid w:val="000E68E3"/>
    <w:rsid w:val="000E6D83"/>
    <w:rsid w:val="000E6DDB"/>
    <w:rsid w:val="000E74A6"/>
    <w:rsid w:val="000E786B"/>
    <w:rsid w:val="000F03B1"/>
    <w:rsid w:val="000F08AE"/>
    <w:rsid w:val="000F1580"/>
    <w:rsid w:val="000F15EB"/>
    <w:rsid w:val="000F2D33"/>
    <w:rsid w:val="000F398A"/>
    <w:rsid w:val="000F43F4"/>
    <w:rsid w:val="000F440E"/>
    <w:rsid w:val="000F4AD2"/>
    <w:rsid w:val="000F6647"/>
    <w:rsid w:val="000F73B7"/>
    <w:rsid w:val="000F746C"/>
    <w:rsid w:val="000F7E7B"/>
    <w:rsid w:val="001002F8"/>
    <w:rsid w:val="00102654"/>
    <w:rsid w:val="001028CC"/>
    <w:rsid w:val="00102922"/>
    <w:rsid w:val="00102934"/>
    <w:rsid w:val="00102A4B"/>
    <w:rsid w:val="00102CAD"/>
    <w:rsid w:val="001039AB"/>
    <w:rsid w:val="001045F9"/>
    <w:rsid w:val="0010472B"/>
    <w:rsid w:val="00105B67"/>
    <w:rsid w:val="00106277"/>
    <w:rsid w:val="0010657F"/>
    <w:rsid w:val="001065ED"/>
    <w:rsid w:val="001068B3"/>
    <w:rsid w:val="0011049F"/>
    <w:rsid w:val="001105CA"/>
    <w:rsid w:val="00111159"/>
    <w:rsid w:val="00111F74"/>
    <w:rsid w:val="00112B8E"/>
    <w:rsid w:val="00112D0F"/>
    <w:rsid w:val="00112DD3"/>
    <w:rsid w:val="00112F43"/>
    <w:rsid w:val="001133E0"/>
    <w:rsid w:val="0011511C"/>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505"/>
    <w:rsid w:val="001364A7"/>
    <w:rsid w:val="00136827"/>
    <w:rsid w:val="001375D4"/>
    <w:rsid w:val="00137C3A"/>
    <w:rsid w:val="001404C7"/>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6D9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5DDC"/>
    <w:rsid w:val="00186850"/>
    <w:rsid w:val="0018714F"/>
    <w:rsid w:val="001904A5"/>
    <w:rsid w:val="00190FE8"/>
    <w:rsid w:val="001923C8"/>
    <w:rsid w:val="001933CF"/>
    <w:rsid w:val="001939FF"/>
    <w:rsid w:val="00193C18"/>
    <w:rsid w:val="0019428D"/>
    <w:rsid w:val="00194DE8"/>
    <w:rsid w:val="0019523E"/>
    <w:rsid w:val="0019539C"/>
    <w:rsid w:val="00195415"/>
    <w:rsid w:val="001962E9"/>
    <w:rsid w:val="0019767F"/>
    <w:rsid w:val="00197990"/>
    <w:rsid w:val="001A0106"/>
    <w:rsid w:val="001A02CB"/>
    <w:rsid w:val="001A0333"/>
    <w:rsid w:val="001A0642"/>
    <w:rsid w:val="001A0EBB"/>
    <w:rsid w:val="001A116F"/>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6EB5"/>
    <w:rsid w:val="001B7399"/>
    <w:rsid w:val="001B7655"/>
    <w:rsid w:val="001B77A0"/>
    <w:rsid w:val="001B7BAD"/>
    <w:rsid w:val="001B7F09"/>
    <w:rsid w:val="001C1166"/>
    <w:rsid w:val="001C1D95"/>
    <w:rsid w:val="001C261E"/>
    <w:rsid w:val="001C2C14"/>
    <w:rsid w:val="001C3AC7"/>
    <w:rsid w:val="001C4D70"/>
    <w:rsid w:val="001C4F17"/>
    <w:rsid w:val="001C60E5"/>
    <w:rsid w:val="001C7B78"/>
    <w:rsid w:val="001C7FB4"/>
    <w:rsid w:val="001D013E"/>
    <w:rsid w:val="001D089D"/>
    <w:rsid w:val="001D0BA6"/>
    <w:rsid w:val="001D1814"/>
    <w:rsid w:val="001D1903"/>
    <w:rsid w:val="001D1942"/>
    <w:rsid w:val="001D1BEA"/>
    <w:rsid w:val="001D1DDB"/>
    <w:rsid w:val="001D227C"/>
    <w:rsid w:val="001D3DD7"/>
    <w:rsid w:val="001D4988"/>
    <w:rsid w:val="001D53EA"/>
    <w:rsid w:val="001D6F7C"/>
    <w:rsid w:val="001D7EBC"/>
    <w:rsid w:val="001E0654"/>
    <w:rsid w:val="001E12A5"/>
    <w:rsid w:val="001E138B"/>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656"/>
    <w:rsid w:val="001E7D86"/>
    <w:rsid w:val="001F0A86"/>
    <w:rsid w:val="001F0E3F"/>
    <w:rsid w:val="001F1161"/>
    <w:rsid w:val="001F1488"/>
    <w:rsid w:val="001F162C"/>
    <w:rsid w:val="001F1AB8"/>
    <w:rsid w:val="001F255D"/>
    <w:rsid w:val="001F377B"/>
    <w:rsid w:val="001F3CF9"/>
    <w:rsid w:val="001F4A78"/>
    <w:rsid w:val="001F55E5"/>
    <w:rsid w:val="001F5847"/>
    <w:rsid w:val="001F5CB9"/>
    <w:rsid w:val="001F730B"/>
    <w:rsid w:val="001F7504"/>
    <w:rsid w:val="0020065B"/>
    <w:rsid w:val="00200DC3"/>
    <w:rsid w:val="002011E2"/>
    <w:rsid w:val="0020160F"/>
    <w:rsid w:val="00201BB9"/>
    <w:rsid w:val="002025EE"/>
    <w:rsid w:val="00202925"/>
    <w:rsid w:val="00202C70"/>
    <w:rsid w:val="00202DDA"/>
    <w:rsid w:val="00204F6B"/>
    <w:rsid w:val="00204F9C"/>
    <w:rsid w:val="002050B0"/>
    <w:rsid w:val="00205262"/>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91"/>
    <w:rsid w:val="002247B5"/>
    <w:rsid w:val="0022503D"/>
    <w:rsid w:val="00231CCE"/>
    <w:rsid w:val="002322A1"/>
    <w:rsid w:val="002329C3"/>
    <w:rsid w:val="00232CC4"/>
    <w:rsid w:val="002332AE"/>
    <w:rsid w:val="002333C2"/>
    <w:rsid w:val="00233486"/>
    <w:rsid w:val="00233C08"/>
    <w:rsid w:val="00234040"/>
    <w:rsid w:val="00234EA0"/>
    <w:rsid w:val="00235D67"/>
    <w:rsid w:val="0023626B"/>
    <w:rsid w:val="002403FB"/>
    <w:rsid w:val="0024115B"/>
    <w:rsid w:val="00241FD4"/>
    <w:rsid w:val="00244D22"/>
    <w:rsid w:val="002457F3"/>
    <w:rsid w:val="00246C09"/>
    <w:rsid w:val="00247262"/>
    <w:rsid w:val="00251072"/>
    <w:rsid w:val="0025262D"/>
    <w:rsid w:val="0025292D"/>
    <w:rsid w:val="00254620"/>
    <w:rsid w:val="00254F6C"/>
    <w:rsid w:val="0025616B"/>
    <w:rsid w:val="0025684F"/>
    <w:rsid w:val="00257285"/>
    <w:rsid w:val="0025784D"/>
    <w:rsid w:val="00257FF4"/>
    <w:rsid w:val="002602D3"/>
    <w:rsid w:val="002606CB"/>
    <w:rsid w:val="002608CE"/>
    <w:rsid w:val="00261813"/>
    <w:rsid w:val="0026279C"/>
    <w:rsid w:val="00262CD3"/>
    <w:rsid w:val="002640E5"/>
    <w:rsid w:val="00264121"/>
    <w:rsid w:val="00265289"/>
    <w:rsid w:val="00266613"/>
    <w:rsid w:val="00266FE9"/>
    <w:rsid w:val="002676AB"/>
    <w:rsid w:val="00267875"/>
    <w:rsid w:val="00270155"/>
    <w:rsid w:val="00270D82"/>
    <w:rsid w:val="0027168C"/>
    <w:rsid w:val="00271FC7"/>
    <w:rsid w:val="00272396"/>
    <w:rsid w:val="0027614D"/>
    <w:rsid w:val="0027651A"/>
    <w:rsid w:val="00276C5A"/>
    <w:rsid w:val="0028001E"/>
    <w:rsid w:val="002800DD"/>
    <w:rsid w:val="00280510"/>
    <w:rsid w:val="00281673"/>
    <w:rsid w:val="00281CF6"/>
    <w:rsid w:val="002833EC"/>
    <w:rsid w:val="0028359B"/>
    <w:rsid w:val="00283A02"/>
    <w:rsid w:val="00284DDC"/>
    <w:rsid w:val="002857FE"/>
    <w:rsid w:val="00285F5A"/>
    <w:rsid w:val="00287C57"/>
    <w:rsid w:val="00287CFF"/>
    <w:rsid w:val="00291C74"/>
    <w:rsid w:val="00291E57"/>
    <w:rsid w:val="0029210F"/>
    <w:rsid w:val="00292D6A"/>
    <w:rsid w:val="00292ECC"/>
    <w:rsid w:val="00292F8A"/>
    <w:rsid w:val="0029312A"/>
    <w:rsid w:val="0029325C"/>
    <w:rsid w:val="00293B2D"/>
    <w:rsid w:val="00293B46"/>
    <w:rsid w:val="00294092"/>
    <w:rsid w:val="002945BA"/>
    <w:rsid w:val="00294854"/>
    <w:rsid w:val="002954D2"/>
    <w:rsid w:val="002960B7"/>
    <w:rsid w:val="00297643"/>
    <w:rsid w:val="00297824"/>
    <w:rsid w:val="002A07F9"/>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DFF"/>
    <w:rsid w:val="002B2F0F"/>
    <w:rsid w:val="002B3155"/>
    <w:rsid w:val="002B4ED5"/>
    <w:rsid w:val="002B595D"/>
    <w:rsid w:val="002B5F6A"/>
    <w:rsid w:val="002B779E"/>
    <w:rsid w:val="002B7D6F"/>
    <w:rsid w:val="002B7D78"/>
    <w:rsid w:val="002C0552"/>
    <w:rsid w:val="002C1CF7"/>
    <w:rsid w:val="002C25D0"/>
    <w:rsid w:val="002C280B"/>
    <w:rsid w:val="002C2B39"/>
    <w:rsid w:val="002C2DB0"/>
    <w:rsid w:val="002C60FE"/>
    <w:rsid w:val="002C72F9"/>
    <w:rsid w:val="002C75B0"/>
    <w:rsid w:val="002C7703"/>
    <w:rsid w:val="002C7A63"/>
    <w:rsid w:val="002D0153"/>
    <w:rsid w:val="002D0A23"/>
    <w:rsid w:val="002D3816"/>
    <w:rsid w:val="002D403A"/>
    <w:rsid w:val="002D4262"/>
    <w:rsid w:val="002D4C10"/>
    <w:rsid w:val="002D4DB4"/>
    <w:rsid w:val="002E1017"/>
    <w:rsid w:val="002E1064"/>
    <w:rsid w:val="002E1A4D"/>
    <w:rsid w:val="002E2AB2"/>
    <w:rsid w:val="002E323F"/>
    <w:rsid w:val="002E5554"/>
    <w:rsid w:val="002E58D0"/>
    <w:rsid w:val="002E615F"/>
    <w:rsid w:val="002E6DAD"/>
    <w:rsid w:val="002E70EB"/>
    <w:rsid w:val="002E7FC9"/>
    <w:rsid w:val="002F0614"/>
    <w:rsid w:val="002F1606"/>
    <w:rsid w:val="002F1B12"/>
    <w:rsid w:val="002F1BF9"/>
    <w:rsid w:val="002F1ED4"/>
    <w:rsid w:val="002F591B"/>
    <w:rsid w:val="002F6EE2"/>
    <w:rsid w:val="002F7485"/>
    <w:rsid w:val="002F7704"/>
    <w:rsid w:val="002F7B47"/>
    <w:rsid w:val="00300013"/>
    <w:rsid w:val="00300334"/>
    <w:rsid w:val="003006F8"/>
    <w:rsid w:val="00300BF2"/>
    <w:rsid w:val="00300C4A"/>
    <w:rsid w:val="00301199"/>
    <w:rsid w:val="00301326"/>
    <w:rsid w:val="00301A44"/>
    <w:rsid w:val="00301E08"/>
    <w:rsid w:val="003027C1"/>
    <w:rsid w:val="00302A25"/>
    <w:rsid w:val="00304676"/>
    <w:rsid w:val="00304BB6"/>
    <w:rsid w:val="00304C13"/>
    <w:rsid w:val="00304F84"/>
    <w:rsid w:val="00305718"/>
    <w:rsid w:val="00305EC5"/>
    <w:rsid w:val="00306107"/>
    <w:rsid w:val="0030632C"/>
    <w:rsid w:val="003068C0"/>
    <w:rsid w:val="00306975"/>
    <w:rsid w:val="003077B8"/>
    <w:rsid w:val="0031106B"/>
    <w:rsid w:val="003111F8"/>
    <w:rsid w:val="0031204A"/>
    <w:rsid w:val="0031272B"/>
    <w:rsid w:val="00312DEE"/>
    <w:rsid w:val="0031450D"/>
    <w:rsid w:val="00315435"/>
    <w:rsid w:val="0031598E"/>
    <w:rsid w:val="00316AB7"/>
    <w:rsid w:val="0032038C"/>
    <w:rsid w:val="00320C0D"/>
    <w:rsid w:val="00321889"/>
    <w:rsid w:val="0032269F"/>
    <w:rsid w:val="00322749"/>
    <w:rsid w:val="0032417E"/>
    <w:rsid w:val="00325494"/>
    <w:rsid w:val="00325C5E"/>
    <w:rsid w:val="0032738E"/>
    <w:rsid w:val="0032742E"/>
    <w:rsid w:val="003275D8"/>
    <w:rsid w:val="003303E4"/>
    <w:rsid w:val="00330A59"/>
    <w:rsid w:val="003311DD"/>
    <w:rsid w:val="00331B40"/>
    <w:rsid w:val="00331C5F"/>
    <w:rsid w:val="00332720"/>
    <w:rsid w:val="00332A05"/>
    <w:rsid w:val="00333074"/>
    <w:rsid w:val="00333223"/>
    <w:rsid w:val="00333875"/>
    <w:rsid w:val="00333D6D"/>
    <w:rsid w:val="003345A1"/>
    <w:rsid w:val="003347F8"/>
    <w:rsid w:val="00334AB4"/>
    <w:rsid w:val="00334F7E"/>
    <w:rsid w:val="003364C1"/>
    <w:rsid w:val="00337F82"/>
    <w:rsid w:val="00340640"/>
    <w:rsid w:val="003435D6"/>
    <w:rsid w:val="00344AF6"/>
    <w:rsid w:val="00344BE5"/>
    <w:rsid w:val="00344D99"/>
    <w:rsid w:val="003451D1"/>
    <w:rsid w:val="003457FF"/>
    <w:rsid w:val="003458E0"/>
    <w:rsid w:val="00345CCD"/>
    <w:rsid w:val="00347BEF"/>
    <w:rsid w:val="003511CE"/>
    <w:rsid w:val="0035163E"/>
    <w:rsid w:val="00351909"/>
    <w:rsid w:val="00352243"/>
    <w:rsid w:val="00352BE0"/>
    <w:rsid w:val="00353184"/>
    <w:rsid w:val="0035333E"/>
    <w:rsid w:val="00353420"/>
    <w:rsid w:val="003538F0"/>
    <w:rsid w:val="00354A26"/>
    <w:rsid w:val="003556E9"/>
    <w:rsid w:val="00355911"/>
    <w:rsid w:val="00355958"/>
    <w:rsid w:val="00356026"/>
    <w:rsid w:val="00357242"/>
    <w:rsid w:val="00357DAE"/>
    <w:rsid w:val="003602A5"/>
    <w:rsid w:val="003606A2"/>
    <w:rsid w:val="00361259"/>
    <w:rsid w:val="00361429"/>
    <w:rsid w:val="00361734"/>
    <w:rsid w:val="003624D6"/>
    <w:rsid w:val="00362AA7"/>
    <w:rsid w:val="00362B0E"/>
    <w:rsid w:val="003631E0"/>
    <w:rsid w:val="00364EF7"/>
    <w:rsid w:val="00364F11"/>
    <w:rsid w:val="00365C6C"/>
    <w:rsid w:val="003662DA"/>
    <w:rsid w:val="003675BA"/>
    <w:rsid w:val="003705BF"/>
    <w:rsid w:val="00370935"/>
    <w:rsid w:val="00370E97"/>
    <w:rsid w:val="0037164E"/>
    <w:rsid w:val="00371C1A"/>
    <w:rsid w:val="00372D75"/>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2BEC"/>
    <w:rsid w:val="0039449C"/>
    <w:rsid w:val="00395A1E"/>
    <w:rsid w:val="0039648E"/>
    <w:rsid w:val="0039684C"/>
    <w:rsid w:val="003A0290"/>
    <w:rsid w:val="003A07F6"/>
    <w:rsid w:val="003A095A"/>
    <w:rsid w:val="003A16CF"/>
    <w:rsid w:val="003A25BB"/>
    <w:rsid w:val="003A3E7B"/>
    <w:rsid w:val="003A55C1"/>
    <w:rsid w:val="003A5CD4"/>
    <w:rsid w:val="003A7067"/>
    <w:rsid w:val="003B0197"/>
    <w:rsid w:val="003B026F"/>
    <w:rsid w:val="003B036A"/>
    <w:rsid w:val="003B09F6"/>
    <w:rsid w:val="003B0B7B"/>
    <w:rsid w:val="003B0D03"/>
    <w:rsid w:val="003B0E47"/>
    <w:rsid w:val="003B16A2"/>
    <w:rsid w:val="003B1C7A"/>
    <w:rsid w:val="003B1C96"/>
    <w:rsid w:val="003B1F0A"/>
    <w:rsid w:val="003B24C9"/>
    <w:rsid w:val="003B2C1F"/>
    <w:rsid w:val="003B5319"/>
    <w:rsid w:val="003B5533"/>
    <w:rsid w:val="003B5A85"/>
    <w:rsid w:val="003B71EE"/>
    <w:rsid w:val="003B73C9"/>
    <w:rsid w:val="003B7621"/>
    <w:rsid w:val="003B7C64"/>
    <w:rsid w:val="003C0242"/>
    <w:rsid w:val="003C0593"/>
    <w:rsid w:val="003C13A6"/>
    <w:rsid w:val="003C1573"/>
    <w:rsid w:val="003C1EB4"/>
    <w:rsid w:val="003C223B"/>
    <w:rsid w:val="003C3C29"/>
    <w:rsid w:val="003C5AB8"/>
    <w:rsid w:val="003D0B10"/>
    <w:rsid w:val="003D1E47"/>
    <w:rsid w:val="003D28F5"/>
    <w:rsid w:val="003D3662"/>
    <w:rsid w:val="003D3C14"/>
    <w:rsid w:val="003D42EC"/>
    <w:rsid w:val="003D4557"/>
    <w:rsid w:val="003D543D"/>
    <w:rsid w:val="003D59FD"/>
    <w:rsid w:val="003D76E3"/>
    <w:rsid w:val="003E0318"/>
    <w:rsid w:val="003E05AC"/>
    <w:rsid w:val="003E10B8"/>
    <w:rsid w:val="003E1222"/>
    <w:rsid w:val="003E122D"/>
    <w:rsid w:val="003E13F5"/>
    <w:rsid w:val="003E3492"/>
    <w:rsid w:val="003E3FF4"/>
    <w:rsid w:val="003E4E15"/>
    <w:rsid w:val="003E4F23"/>
    <w:rsid w:val="003E51AD"/>
    <w:rsid w:val="003E549B"/>
    <w:rsid w:val="003E5AE8"/>
    <w:rsid w:val="003E7507"/>
    <w:rsid w:val="003E7B05"/>
    <w:rsid w:val="003F07EE"/>
    <w:rsid w:val="003F16EE"/>
    <w:rsid w:val="003F29F2"/>
    <w:rsid w:val="003F47DF"/>
    <w:rsid w:val="003F496D"/>
    <w:rsid w:val="003F6209"/>
    <w:rsid w:val="004003E3"/>
    <w:rsid w:val="00402931"/>
    <w:rsid w:val="0040314A"/>
    <w:rsid w:val="00403384"/>
    <w:rsid w:val="004036D4"/>
    <w:rsid w:val="00403B22"/>
    <w:rsid w:val="0040496B"/>
    <w:rsid w:val="00405A32"/>
    <w:rsid w:val="00405DAB"/>
    <w:rsid w:val="00405E90"/>
    <w:rsid w:val="004065CE"/>
    <w:rsid w:val="00406AD0"/>
    <w:rsid w:val="0040765B"/>
    <w:rsid w:val="00407C84"/>
    <w:rsid w:val="004105DD"/>
    <w:rsid w:val="00410C3B"/>
    <w:rsid w:val="00410DCE"/>
    <w:rsid w:val="004114DA"/>
    <w:rsid w:val="00413AD1"/>
    <w:rsid w:val="0041404E"/>
    <w:rsid w:val="0041429D"/>
    <w:rsid w:val="004147D0"/>
    <w:rsid w:val="00414E1F"/>
    <w:rsid w:val="00416BB8"/>
    <w:rsid w:val="00416DE0"/>
    <w:rsid w:val="00417622"/>
    <w:rsid w:val="0041765C"/>
    <w:rsid w:val="00420837"/>
    <w:rsid w:val="00421166"/>
    <w:rsid w:val="00421EEC"/>
    <w:rsid w:val="00422933"/>
    <w:rsid w:val="00422F4B"/>
    <w:rsid w:val="004230EA"/>
    <w:rsid w:val="00423BA4"/>
    <w:rsid w:val="0042448D"/>
    <w:rsid w:val="004248B4"/>
    <w:rsid w:val="00424C66"/>
    <w:rsid w:val="0042526D"/>
    <w:rsid w:val="004254A2"/>
    <w:rsid w:val="004259A2"/>
    <w:rsid w:val="00425B91"/>
    <w:rsid w:val="00426D71"/>
    <w:rsid w:val="00427415"/>
    <w:rsid w:val="00430256"/>
    <w:rsid w:val="0043105E"/>
    <w:rsid w:val="00431BF1"/>
    <w:rsid w:val="00432809"/>
    <w:rsid w:val="0043284F"/>
    <w:rsid w:val="00432BC6"/>
    <w:rsid w:val="00432E37"/>
    <w:rsid w:val="00433634"/>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553"/>
    <w:rsid w:val="00450983"/>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67B9"/>
    <w:rsid w:val="004677D4"/>
    <w:rsid w:val="00467B1A"/>
    <w:rsid w:val="00467BDD"/>
    <w:rsid w:val="00471640"/>
    <w:rsid w:val="004717F6"/>
    <w:rsid w:val="004720FA"/>
    <w:rsid w:val="0047364D"/>
    <w:rsid w:val="00474471"/>
    <w:rsid w:val="0047481E"/>
    <w:rsid w:val="00474918"/>
    <w:rsid w:val="00475EAF"/>
    <w:rsid w:val="0047691A"/>
    <w:rsid w:val="00476D54"/>
    <w:rsid w:val="00477055"/>
    <w:rsid w:val="004775DD"/>
    <w:rsid w:val="00480B92"/>
    <w:rsid w:val="00481429"/>
    <w:rsid w:val="004815F8"/>
    <w:rsid w:val="00481971"/>
    <w:rsid w:val="00481E32"/>
    <w:rsid w:val="004831ED"/>
    <w:rsid w:val="004836A7"/>
    <w:rsid w:val="004847B4"/>
    <w:rsid w:val="00484915"/>
    <w:rsid w:val="00484921"/>
    <w:rsid w:val="004849E3"/>
    <w:rsid w:val="004856B8"/>
    <w:rsid w:val="00486614"/>
    <w:rsid w:val="00487304"/>
    <w:rsid w:val="0048787C"/>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198C"/>
    <w:rsid w:val="004A247B"/>
    <w:rsid w:val="004A28C5"/>
    <w:rsid w:val="004A2BB1"/>
    <w:rsid w:val="004A660C"/>
    <w:rsid w:val="004A6B22"/>
    <w:rsid w:val="004A6B44"/>
    <w:rsid w:val="004B08BB"/>
    <w:rsid w:val="004B0B19"/>
    <w:rsid w:val="004B1C3B"/>
    <w:rsid w:val="004B2539"/>
    <w:rsid w:val="004B2603"/>
    <w:rsid w:val="004B27AE"/>
    <w:rsid w:val="004B2C20"/>
    <w:rsid w:val="004B2E73"/>
    <w:rsid w:val="004B35F0"/>
    <w:rsid w:val="004B37A7"/>
    <w:rsid w:val="004B4426"/>
    <w:rsid w:val="004B5F2A"/>
    <w:rsid w:val="004B66A4"/>
    <w:rsid w:val="004B74B2"/>
    <w:rsid w:val="004B796A"/>
    <w:rsid w:val="004C0CD0"/>
    <w:rsid w:val="004C1399"/>
    <w:rsid w:val="004C1C09"/>
    <w:rsid w:val="004C2A17"/>
    <w:rsid w:val="004C2B0E"/>
    <w:rsid w:val="004C5431"/>
    <w:rsid w:val="004C5507"/>
    <w:rsid w:val="004C6877"/>
    <w:rsid w:val="004C73DC"/>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E78DA"/>
    <w:rsid w:val="004F0669"/>
    <w:rsid w:val="004F0E90"/>
    <w:rsid w:val="004F0EE6"/>
    <w:rsid w:val="004F0F5B"/>
    <w:rsid w:val="004F1DA3"/>
    <w:rsid w:val="004F22B8"/>
    <w:rsid w:val="004F2437"/>
    <w:rsid w:val="004F4624"/>
    <w:rsid w:val="004F5573"/>
    <w:rsid w:val="004F5D8B"/>
    <w:rsid w:val="004F634F"/>
    <w:rsid w:val="004F7556"/>
    <w:rsid w:val="004F7737"/>
    <w:rsid w:val="004F7A4C"/>
    <w:rsid w:val="00500700"/>
    <w:rsid w:val="00501279"/>
    <w:rsid w:val="0050141B"/>
    <w:rsid w:val="00502561"/>
    <w:rsid w:val="00502638"/>
    <w:rsid w:val="00502899"/>
    <w:rsid w:val="005029BC"/>
    <w:rsid w:val="0050346A"/>
    <w:rsid w:val="005034C7"/>
    <w:rsid w:val="00503739"/>
    <w:rsid w:val="005037C4"/>
    <w:rsid w:val="00503A09"/>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315"/>
    <w:rsid w:val="00514B1A"/>
    <w:rsid w:val="00514F84"/>
    <w:rsid w:val="005207F8"/>
    <w:rsid w:val="00520AEF"/>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2FA"/>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68F"/>
    <w:rsid w:val="00546797"/>
    <w:rsid w:val="00546FA2"/>
    <w:rsid w:val="00546FBF"/>
    <w:rsid w:val="00547090"/>
    <w:rsid w:val="00547CD4"/>
    <w:rsid w:val="00547EB8"/>
    <w:rsid w:val="00552FC2"/>
    <w:rsid w:val="0055362D"/>
    <w:rsid w:val="00553DA2"/>
    <w:rsid w:val="005543FB"/>
    <w:rsid w:val="005546AE"/>
    <w:rsid w:val="00554B1A"/>
    <w:rsid w:val="00554EE9"/>
    <w:rsid w:val="0055555B"/>
    <w:rsid w:val="00555623"/>
    <w:rsid w:val="005562DC"/>
    <w:rsid w:val="00556324"/>
    <w:rsid w:val="00556725"/>
    <w:rsid w:val="00556C4F"/>
    <w:rsid w:val="00557A85"/>
    <w:rsid w:val="005606B5"/>
    <w:rsid w:val="00560EDE"/>
    <w:rsid w:val="005622CF"/>
    <w:rsid w:val="00562BAD"/>
    <w:rsid w:val="0056365E"/>
    <w:rsid w:val="005656CE"/>
    <w:rsid w:val="00565B98"/>
    <w:rsid w:val="00565C77"/>
    <w:rsid w:val="00566181"/>
    <w:rsid w:val="005668EF"/>
    <w:rsid w:val="00566C45"/>
    <w:rsid w:val="00566D5A"/>
    <w:rsid w:val="005708BD"/>
    <w:rsid w:val="0057103B"/>
    <w:rsid w:val="00571B77"/>
    <w:rsid w:val="00572E61"/>
    <w:rsid w:val="005736DA"/>
    <w:rsid w:val="005737F3"/>
    <w:rsid w:val="00573D40"/>
    <w:rsid w:val="00574906"/>
    <w:rsid w:val="00574D8D"/>
    <w:rsid w:val="00574E9E"/>
    <w:rsid w:val="005752BC"/>
    <w:rsid w:val="0057554B"/>
    <w:rsid w:val="0057622F"/>
    <w:rsid w:val="00577181"/>
    <w:rsid w:val="00577817"/>
    <w:rsid w:val="00577977"/>
    <w:rsid w:val="00580854"/>
    <w:rsid w:val="00581017"/>
    <w:rsid w:val="00581719"/>
    <w:rsid w:val="00581D30"/>
    <w:rsid w:val="00583067"/>
    <w:rsid w:val="00584020"/>
    <w:rsid w:val="005841F2"/>
    <w:rsid w:val="00584245"/>
    <w:rsid w:val="00584C2D"/>
    <w:rsid w:val="00584D80"/>
    <w:rsid w:val="005855BB"/>
    <w:rsid w:val="00586535"/>
    <w:rsid w:val="00586BB5"/>
    <w:rsid w:val="00586DFB"/>
    <w:rsid w:val="0058701A"/>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284"/>
    <w:rsid w:val="005A64FF"/>
    <w:rsid w:val="005A7E70"/>
    <w:rsid w:val="005B18AC"/>
    <w:rsid w:val="005B1A53"/>
    <w:rsid w:val="005B40E8"/>
    <w:rsid w:val="005B6DAA"/>
    <w:rsid w:val="005B7027"/>
    <w:rsid w:val="005B7314"/>
    <w:rsid w:val="005B7D8B"/>
    <w:rsid w:val="005C03F6"/>
    <w:rsid w:val="005C0475"/>
    <w:rsid w:val="005C0EAF"/>
    <w:rsid w:val="005C153B"/>
    <w:rsid w:val="005C1569"/>
    <w:rsid w:val="005C3C30"/>
    <w:rsid w:val="005C4045"/>
    <w:rsid w:val="005C4604"/>
    <w:rsid w:val="005C4BD2"/>
    <w:rsid w:val="005C4BEE"/>
    <w:rsid w:val="005C6366"/>
    <w:rsid w:val="005C63A0"/>
    <w:rsid w:val="005C6E74"/>
    <w:rsid w:val="005C73BD"/>
    <w:rsid w:val="005C781C"/>
    <w:rsid w:val="005D2FC8"/>
    <w:rsid w:val="005D3149"/>
    <w:rsid w:val="005D330E"/>
    <w:rsid w:val="005D4434"/>
    <w:rsid w:val="005D502E"/>
    <w:rsid w:val="005D70BE"/>
    <w:rsid w:val="005D7A35"/>
    <w:rsid w:val="005E034F"/>
    <w:rsid w:val="005E05B0"/>
    <w:rsid w:val="005E09A7"/>
    <w:rsid w:val="005E18E7"/>
    <w:rsid w:val="005E198B"/>
    <w:rsid w:val="005E19D9"/>
    <w:rsid w:val="005E1D35"/>
    <w:rsid w:val="005E2897"/>
    <w:rsid w:val="005E2A31"/>
    <w:rsid w:val="005E2F9D"/>
    <w:rsid w:val="005E3331"/>
    <w:rsid w:val="005E3D2F"/>
    <w:rsid w:val="005E442F"/>
    <w:rsid w:val="005E4EEF"/>
    <w:rsid w:val="005E5625"/>
    <w:rsid w:val="005E5820"/>
    <w:rsid w:val="005E61D8"/>
    <w:rsid w:val="005E7891"/>
    <w:rsid w:val="005E7E2C"/>
    <w:rsid w:val="005F0069"/>
    <w:rsid w:val="005F041B"/>
    <w:rsid w:val="005F0F41"/>
    <w:rsid w:val="005F1366"/>
    <w:rsid w:val="005F1ADE"/>
    <w:rsid w:val="005F1AE5"/>
    <w:rsid w:val="005F1D77"/>
    <w:rsid w:val="005F1DE5"/>
    <w:rsid w:val="005F29CD"/>
    <w:rsid w:val="005F2C5E"/>
    <w:rsid w:val="005F3175"/>
    <w:rsid w:val="005F3436"/>
    <w:rsid w:val="005F41D8"/>
    <w:rsid w:val="005F4739"/>
    <w:rsid w:val="005F48A7"/>
    <w:rsid w:val="005F5859"/>
    <w:rsid w:val="005F642B"/>
    <w:rsid w:val="005F67FC"/>
    <w:rsid w:val="005F745C"/>
    <w:rsid w:val="005F74BE"/>
    <w:rsid w:val="0060036F"/>
    <w:rsid w:val="00600F1E"/>
    <w:rsid w:val="00601630"/>
    <w:rsid w:val="006026E1"/>
    <w:rsid w:val="006033EF"/>
    <w:rsid w:val="00603A90"/>
    <w:rsid w:val="00605163"/>
    <w:rsid w:val="006065BF"/>
    <w:rsid w:val="0060662B"/>
    <w:rsid w:val="00606786"/>
    <w:rsid w:val="00606C0A"/>
    <w:rsid w:val="006070EA"/>
    <w:rsid w:val="006071ED"/>
    <w:rsid w:val="00607ABE"/>
    <w:rsid w:val="00607AD1"/>
    <w:rsid w:val="00607F53"/>
    <w:rsid w:val="006103D0"/>
    <w:rsid w:val="0061103A"/>
    <w:rsid w:val="00611EAE"/>
    <w:rsid w:val="0061242F"/>
    <w:rsid w:val="0061364A"/>
    <w:rsid w:val="00613B40"/>
    <w:rsid w:val="00613BEA"/>
    <w:rsid w:val="0061402C"/>
    <w:rsid w:val="0061595F"/>
    <w:rsid w:val="00615A79"/>
    <w:rsid w:val="00616179"/>
    <w:rsid w:val="00616422"/>
    <w:rsid w:val="0061675B"/>
    <w:rsid w:val="00617374"/>
    <w:rsid w:val="006173E9"/>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58D"/>
    <w:rsid w:val="00635B0C"/>
    <w:rsid w:val="006378CA"/>
    <w:rsid w:val="00637BBD"/>
    <w:rsid w:val="00640D17"/>
    <w:rsid w:val="006413C5"/>
    <w:rsid w:val="00641496"/>
    <w:rsid w:val="006419A0"/>
    <w:rsid w:val="00641A99"/>
    <w:rsid w:val="00641C46"/>
    <w:rsid w:val="00642118"/>
    <w:rsid w:val="00642768"/>
    <w:rsid w:val="00643847"/>
    <w:rsid w:val="00644C60"/>
    <w:rsid w:val="00645147"/>
    <w:rsid w:val="006459BC"/>
    <w:rsid w:val="00645E69"/>
    <w:rsid w:val="00646130"/>
    <w:rsid w:val="00646ACE"/>
    <w:rsid w:val="006474C0"/>
    <w:rsid w:val="00647927"/>
    <w:rsid w:val="00652B9B"/>
    <w:rsid w:val="00653743"/>
    <w:rsid w:val="00653DD9"/>
    <w:rsid w:val="00654737"/>
    <w:rsid w:val="00654E6A"/>
    <w:rsid w:val="006551FC"/>
    <w:rsid w:val="00655802"/>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438"/>
    <w:rsid w:val="00673906"/>
    <w:rsid w:val="00674FC8"/>
    <w:rsid w:val="00675EF7"/>
    <w:rsid w:val="00676E5B"/>
    <w:rsid w:val="00677D6B"/>
    <w:rsid w:val="00680795"/>
    <w:rsid w:val="00681D75"/>
    <w:rsid w:val="00682477"/>
    <w:rsid w:val="00682713"/>
    <w:rsid w:val="00683451"/>
    <w:rsid w:val="00683579"/>
    <w:rsid w:val="006837FB"/>
    <w:rsid w:val="00683DF0"/>
    <w:rsid w:val="006853B4"/>
    <w:rsid w:val="006854CE"/>
    <w:rsid w:val="00686B47"/>
    <w:rsid w:val="00686B87"/>
    <w:rsid w:val="00687191"/>
    <w:rsid w:val="0068790B"/>
    <w:rsid w:val="006918FA"/>
    <w:rsid w:val="00691B0A"/>
    <w:rsid w:val="00691C64"/>
    <w:rsid w:val="00691E49"/>
    <w:rsid w:val="006922FC"/>
    <w:rsid w:val="00693008"/>
    <w:rsid w:val="006941DD"/>
    <w:rsid w:val="0069466B"/>
    <w:rsid w:val="00694D03"/>
    <w:rsid w:val="00695483"/>
    <w:rsid w:val="0069692D"/>
    <w:rsid w:val="00696B84"/>
    <w:rsid w:val="00696CB7"/>
    <w:rsid w:val="00697240"/>
    <w:rsid w:val="00697297"/>
    <w:rsid w:val="00697D42"/>
    <w:rsid w:val="006A0639"/>
    <w:rsid w:val="006A257C"/>
    <w:rsid w:val="006A2615"/>
    <w:rsid w:val="006A2FDD"/>
    <w:rsid w:val="006A4158"/>
    <w:rsid w:val="006A4E15"/>
    <w:rsid w:val="006A5204"/>
    <w:rsid w:val="006A5866"/>
    <w:rsid w:val="006A641E"/>
    <w:rsid w:val="006A643C"/>
    <w:rsid w:val="006A735F"/>
    <w:rsid w:val="006B062E"/>
    <w:rsid w:val="006B0F54"/>
    <w:rsid w:val="006B10D6"/>
    <w:rsid w:val="006B415B"/>
    <w:rsid w:val="006B4C95"/>
    <w:rsid w:val="006B4CBA"/>
    <w:rsid w:val="006B4EFA"/>
    <w:rsid w:val="006B516B"/>
    <w:rsid w:val="006B5E5A"/>
    <w:rsid w:val="006B6CDC"/>
    <w:rsid w:val="006B7716"/>
    <w:rsid w:val="006C0199"/>
    <w:rsid w:val="006C1879"/>
    <w:rsid w:val="006C2E46"/>
    <w:rsid w:val="006C3938"/>
    <w:rsid w:val="006C4E45"/>
    <w:rsid w:val="006C5EE1"/>
    <w:rsid w:val="006C61B1"/>
    <w:rsid w:val="006C7898"/>
    <w:rsid w:val="006C7D3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4CC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00"/>
    <w:rsid w:val="006F6FA2"/>
    <w:rsid w:val="006F710F"/>
    <w:rsid w:val="007001D0"/>
    <w:rsid w:val="00700CE3"/>
    <w:rsid w:val="00700DC0"/>
    <w:rsid w:val="00701498"/>
    <w:rsid w:val="007016C1"/>
    <w:rsid w:val="00701DFF"/>
    <w:rsid w:val="00701E70"/>
    <w:rsid w:val="00703B73"/>
    <w:rsid w:val="00704F47"/>
    <w:rsid w:val="00705776"/>
    <w:rsid w:val="00706350"/>
    <w:rsid w:val="00706452"/>
    <w:rsid w:val="007072C2"/>
    <w:rsid w:val="0070746B"/>
    <w:rsid w:val="007075CA"/>
    <w:rsid w:val="0071123E"/>
    <w:rsid w:val="0071151E"/>
    <w:rsid w:val="007118AC"/>
    <w:rsid w:val="00713EC8"/>
    <w:rsid w:val="0071482B"/>
    <w:rsid w:val="00714866"/>
    <w:rsid w:val="00714C8F"/>
    <w:rsid w:val="00715A32"/>
    <w:rsid w:val="00716F57"/>
    <w:rsid w:val="007170BA"/>
    <w:rsid w:val="00717A74"/>
    <w:rsid w:val="00721409"/>
    <w:rsid w:val="00721CE0"/>
    <w:rsid w:val="007221A2"/>
    <w:rsid w:val="00722662"/>
    <w:rsid w:val="00722935"/>
    <w:rsid w:val="00722ADB"/>
    <w:rsid w:val="00722EF9"/>
    <w:rsid w:val="0072464D"/>
    <w:rsid w:val="007264BB"/>
    <w:rsid w:val="00727815"/>
    <w:rsid w:val="00730403"/>
    <w:rsid w:val="00730E31"/>
    <w:rsid w:val="00731675"/>
    <w:rsid w:val="00731C47"/>
    <w:rsid w:val="00731E0D"/>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510"/>
    <w:rsid w:val="00745C4D"/>
    <w:rsid w:val="00745E84"/>
    <w:rsid w:val="0074610F"/>
    <w:rsid w:val="00746620"/>
    <w:rsid w:val="0074791F"/>
    <w:rsid w:val="00751F56"/>
    <w:rsid w:val="00753823"/>
    <w:rsid w:val="00754870"/>
    <w:rsid w:val="007553C3"/>
    <w:rsid w:val="007561F0"/>
    <w:rsid w:val="00756632"/>
    <w:rsid w:val="00756E5D"/>
    <w:rsid w:val="0075754A"/>
    <w:rsid w:val="00757BCE"/>
    <w:rsid w:val="00760554"/>
    <w:rsid w:val="0076083D"/>
    <w:rsid w:val="00761DC2"/>
    <w:rsid w:val="00762B1E"/>
    <w:rsid w:val="00763310"/>
    <w:rsid w:val="00763442"/>
    <w:rsid w:val="007645C5"/>
    <w:rsid w:val="00764B94"/>
    <w:rsid w:val="00765405"/>
    <w:rsid w:val="00765E10"/>
    <w:rsid w:val="00766434"/>
    <w:rsid w:val="007667B9"/>
    <w:rsid w:val="00766B96"/>
    <w:rsid w:val="00766BA9"/>
    <w:rsid w:val="00766DE1"/>
    <w:rsid w:val="00766EA7"/>
    <w:rsid w:val="00770829"/>
    <w:rsid w:val="00770D9D"/>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55C6"/>
    <w:rsid w:val="007861F7"/>
    <w:rsid w:val="00786231"/>
    <w:rsid w:val="007900CB"/>
    <w:rsid w:val="007905B2"/>
    <w:rsid w:val="00790E9B"/>
    <w:rsid w:val="007917E7"/>
    <w:rsid w:val="007927C6"/>
    <w:rsid w:val="00792A59"/>
    <w:rsid w:val="0079328A"/>
    <w:rsid w:val="0079348E"/>
    <w:rsid w:val="00793C7E"/>
    <w:rsid w:val="00793EEB"/>
    <w:rsid w:val="0079405B"/>
    <w:rsid w:val="00794288"/>
    <w:rsid w:val="00794C34"/>
    <w:rsid w:val="00795F03"/>
    <w:rsid w:val="00795FDF"/>
    <w:rsid w:val="0079629D"/>
    <w:rsid w:val="0079705F"/>
    <w:rsid w:val="00797E6F"/>
    <w:rsid w:val="007A05F4"/>
    <w:rsid w:val="007A0BB9"/>
    <w:rsid w:val="007A1D73"/>
    <w:rsid w:val="007A352F"/>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2F4"/>
    <w:rsid w:val="007C27D4"/>
    <w:rsid w:val="007C3A75"/>
    <w:rsid w:val="007C3E53"/>
    <w:rsid w:val="007C4CCE"/>
    <w:rsid w:val="007C5204"/>
    <w:rsid w:val="007C570A"/>
    <w:rsid w:val="007C6865"/>
    <w:rsid w:val="007C7616"/>
    <w:rsid w:val="007C79B5"/>
    <w:rsid w:val="007C7D49"/>
    <w:rsid w:val="007D0EEB"/>
    <w:rsid w:val="007D19FE"/>
    <w:rsid w:val="007D1D99"/>
    <w:rsid w:val="007D427C"/>
    <w:rsid w:val="007D4D2A"/>
    <w:rsid w:val="007D56F3"/>
    <w:rsid w:val="007D6191"/>
    <w:rsid w:val="007D763D"/>
    <w:rsid w:val="007E00B1"/>
    <w:rsid w:val="007E03AB"/>
    <w:rsid w:val="007E0749"/>
    <w:rsid w:val="007E1501"/>
    <w:rsid w:val="007E2F87"/>
    <w:rsid w:val="007E334F"/>
    <w:rsid w:val="007E36F5"/>
    <w:rsid w:val="007E57B5"/>
    <w:rsid w:val="007E5B34"/>
    <w:rsid w:val="007E5D39"/>
    <w:rsid w:val="007E6201"/>
    <w:rsid w:val="007E66C8"/>
    <w:rsid w:val="007E67BD"/>
    <w:rsid w:val="007E6BBD"/>
    <w:rsid w:val="007E7F80"/>
    <w:rsid w:val="007F06E1"/>
    <w:rsid w:val="007F088B"/>
    <w:rsid w:val="007F0A75"/>
    <w:rsid w:val="007F0C09"/>
    <w:rsid w:val="007F2687"/>
    <w:rsid w:val="007F3AC3"/>
    <w:rsid w:val="007F3E75"/>
    <w:rsid w:val="007F517F"/>
    <w:rsid w:val="007F57CD"/>
    <w:rsid w:val="007F6391"/>
    <w:rsid w:val="007F6FB8"/>
    <w:rsid w:val="007F7481"/>
    <w:rsid w:val="007F76FF"/>
    <w:rsid w:val="00801491"/>
    <w:rsid w:val="008015A7"/>
    <w:rsid w:val="0080186B"/>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A5C"/>
    <w:rsid w:val="00813DAB"/>
    <w:rsid w:val="0081476B"/>
    <w:rsid w:val="00815871"/>
    <w:rsid w:val="00815AFF"/>
    <w:rsid w:val="00816E4A"/>
    <w:rsid w:val="00821789"/>
    <w:rsid w:val="0082180B"/>
    <w:rsid w:val="0082254F"/>
    <w:rsid w:val="008228BC"/>
    <w:rsid w:val="00824637"/>
    <w:rsid w:val="00825D4F"/>
    <w:rsid w:val="00825E7C"/>
    <w:rsid w:val="00826885"/>
    <w:rsid w:val="00826887"/>
    <w:rsid w:val="00830017"/>
    <w:rsid w:val="00830787"/>
    <w:rsid w:val="00830AD0"/>
    <w:rsid w:val="00830DC9"/>
    <w:rsid w:val="00830E13"/>
    <w:rsid w:val="00832B7A"/>
    <w:rsid w:val="0083312F"/>
    <w:rsid w:val="00833A6A"/>
    <w:rsid w:val="00833E2F"/>
    <w:rsid w:val="008348E9"/>
    <w:rsid w:val="0083594F"/>
    <w:rsid w:val="008368F3"/>
    <w:rsid w:val="00837F2B"/>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347"/>
    <w:rsid w:val="0085161D"/>
    <w:rsid w:val="00853EAF"/>
    <w:rsid w:val="00854676"/>
    <w:rsid w:val="00855597"/>
    <w:rsid w:val="00855780"/>
    <w:rsid w:val="00856178"/>
    <w:rsid w:val="00856C69"/>
    <w:rsid w:val="008570AB"/>
    <w:rsid w:val="00861094"/>
    <w:rsid w:val="008613AF"/>
    <w:rsid w:val="00862164"/>
    <w:rsid w:val="00862545"/>
    <w:rsid w:val="008638C0"/>
    <w:rsid w:val="00863D86"/>
    <w:rsid w:val="00863DF9"/>
    <w:rsid w:val="00863E43"/>
    <w:rsid w:val="00864B39"/>
    <w:rsid w:val="00864FF6"/>
    <w:rsid w:val="00865A76"/>
    <w:rsid w:val="0086609F"/>
    <w:rsid w:val="008663D7"/>
    <w:rsid w:val="0086730B"/>
    <w:rsid w:val="008679E6"/>
    <w:rsid w:val="00867A0F"/>
    <w:rsid w:val="008704EB"/>
    <w:rsid w:val="00871811"/>
    <w:rsid w:val="00871A36"/>
    <w:rsid w:val="00871BE2"/>
    <w:rsid w:val="00872E1F"/>
    <w:rsid w:val="00873942"/>
    <w:rsid w:val="00873B8D"/>
    <w:rsid w:val="0087580E"/>
    <w:rsid w:val="00875E6B"/>
    <w:rsid w:val="00880558"/>
    <w:rsid w:val="00882B95"/>
    <w:rsid w:val="00883ED9"/>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BFD"/>
    <w:rsid w:val="008A1DDE"/>
    <w:rsid w:val="008A2D14"/>
    <w:rsid w:val="008A371D"/>
    <w:rsid w:val="008A3E7E"/>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0923"/>
    <w:rsid w:val="008C1353"/>
    <w:rsid w:val="008C1506"/>
    <w:rsid w:val="008C1E3D"/>
    <w:rsid w:val="008C2A8A"/>
    <w:rsid w:val="008C2D30"/>
    <w:rsid w:val="008C33F2"/>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16A"/>
    <w:rsid w:val="008D74C3"/>
    <w:rsid w:val="008D7DFC"/>
    <w:rsid w:val="008E00FD"/>
    <w:rsid w:val="008E07C6"/>
    <w:rsid w:val="008E0BCF"/>
    <w:rsid w:val="008E0C5A"/>
    <w:rsid w:val="008E1B13"/>
    <w:rsid w:val="008E1F87"/>
    <w:rsid w:val="008E33EA"/>
    <w:rsid w:val="008E354A"/>
    <w:rsid w:val="008E3C83"/>
    <w:rsid w:val="008E4180"/>
    <w:rsid w:val="008E5F84"/>
    <w:rsid w:val="008E610D"/>
    <w:rsid w:val="008E63D2"/>
    <w:rsid w:val="008E6A1B"/>
    <w:rsid w:val="008E6FF6"/>
    <w:rsid w:val="008E72E5"/>
    <w:rsid w:val="008E73F9"/>
    <w:rsid w:val="008E79F9"/>
    <w:rsid w:val="008F0EA9"/>
    <w:rsid w:val="008F1011"/>
    <w:rsid w:val="008F13CD"/>
    <w:rsid w:val="008F1B1E"/>
    <w:rsid w:val="008F281B"/>
    <w:rsid w:val="008F2B7E"/>
    <w:rsid w:val="008F411D"/>
    <w:rsid w:val="008F440E"/>
    <w:rsid w:val="008F4D31"/>
    <w:rsid w:val="008F53F5"/>
    <w:rsid w:val="008F5FF0"/>
    <w:rsid w:val="008F61F2"/>
    <w:rsid w:val="008F63BC"/>
    <w:rsid w:val="008F6485"/>
    <w:rsid w:val="008F693F"/>
    <w:rsid w:val="008F710C"/>
    <w:rsid w:val="008F79F0"/>
    <w:rsid w:val="008F7B17"/>
    <w:rsid w:val="008F7F57"/>
    <w:rsid w:val="008F7F78"/>
    <w:rsid w:val="00900316"/>
    <w:rsid w:val="00900461"/>
    <w:rsid w:val="0090119E"/>
    <w:rsid w:val="0090122A"/>
    <w:rsid w:val="00901C2F"/>
    <w:rsid w:val="0090394F"/>
    <w:rsid w:val="0090444A"/>
    <w:rsid w:val="009054D3"/>
    <w:rsid w:val="009073FA"/>
    <w:rsid w:val="00907B9D"/>
    <w:rsid w:val="00910CFA"/>
    <w:rsid w:val="0091211B"/>
    <w:rsid w:val="009125D2"/>
    <w:rsid w:val="009130F7"/>
    <w:rsid w:val="00915E3F"/>
    <w:rsid w:val="00916744"/>
    <w:rsid w:val="009208A3"/>
    <w:rsid w:val="00920B3C"/>
    <w:rsid w:val="009221AD"/>
    <w:rsid w:val="0092273F"/>
    <w:rsid w:val="009238F1"/>
    <w:rsid w:val="00923F02"/>
    <w:rsid w:val="009249B4"/>
    <w:rsid w:val="00925F57"/>
    <w:rsid w:val="00926062"/>
    <w:rsid w:val="009262E4"/>
    <w:rsid w:val="00926387"/>
    <w:rsid w:val="009264B5"/>
    <w:rsid w:val="00926716"/>
    <w:rsid w:val="00926A39"/>
    <w:rsid w:val="00926D62"/>
    <w:rsid w:val="009270DB"/>
    <w:rsid w:val="009303A2"/>
    <w:rsid w:val="009306DA"/>
    <w:rsid w:val="009309B5"/>
    <w:rsid w:val="00930B30"/>
    <w:rsid w:val="00931778"/>
    <w:rsid w:val="009323DF"/>
    <w:rsid w:val="00932453"/>
    <w:rsid w:val="00932AFC"/>
    <w:rsid w:val="00932D00"/>
    <w:rsid w:val="0093491F"/>
    <w:rsid w:val="00935901"/>
    <w:rsid w:val="00935C11"/>
    <w:rsid w:val="00935E14"/>
    <w:rsid w:val="00936DBA"/>
    <w:rsid w:val="00936E5F"/>
    <w:rsid w:val="00940B86"/>
    <w:rsid w:val="00940EC7"/>
    <w:rsid w:val="00942454"/>
    <w:rsid w:val="00943D26"/>
    <w:rsid w:val="00943F89"/>
    <w:rsid w:val="00943F9E"/>
    <w:rsid w:val="009442CE"/>
    <w:rsid w:val="0094480E"/>
    <w:rsid w:val="00947A13"/>
    <w:rsid w:val="00947B5B"/>
    <w:rsid w:val="00947C49"/>
    <w:rsid w:val="00951BD3"/>
    <w:rsid w:val="00951CA2"/>
    <w:rsid w:val="009524D4"/>
    <w:rsid w:val="00952B8F"/>
    <w:rsid w:val="00954B35"/>
    <w:rsid w:val="00955823"/>
    <w:rsid w:val="009559F2"/>
    <w:rsid w:val="00955EDF"/>
    <w:rsid w:val="009571BF"/>
    <w:rsid w:val="00957310"/>
    <w:rsid w:val="0095750D"/>
    <w:rsid w:val="009624EF"/>
    <w:rsid w:val="0096289C"/>
    <w:rsid w:val="00962B8F"/>
    <w:rsid w:val="009630FD"/>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947"/>
    <w:rsid w:val="00974A7C"/>
    <w:rsid w:val="0097587B"/>
    <w:rsid w:val="009766FE"/>
    <w:rsid w:val="00976EE8"/>
    <w:rsid w:val="00977715"/>
    <w:rsid w:val="00977D33"/>
    <w:rsid w:val="00980345"/>
    <w:rsid w:val="00980439"/>
    <w:rsid w:val="00981BC8"/>
    <w:rsid w:val="00981BCA"/>
    <w:rsid w:val="00982444"/>
    <w:rsid w:val="00982BA7"/>
    <w:rsid w:val="00982D92"/>
    <w:rsid w:val="00982F10"/>
    <w:rsid w:val="009834A0"/>
    <w:rsid w:val="00984330"/>
    <w:rsid w:val="009843A8"/>
    <w:rsid w:val="00984939"/>
    <w:rsid w:val="00984956"/>
    <w:rsid w:val="00984993"/>
    <w:rsid w:val="00986A13"/>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66F"/>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4D0F"/>
    <w:rsid w:val="009C60F4"/>
    <w:rsid w:val="009C6214"/>
    <w:rsid w:val="009C672A"/>
    <w:rsid w:val="009C7B18"/>
    <w:rsid w:val="009C7D55"/>
    <w:rsid w:val="009C7E61"/>
    <w:rsid w:val="009C7F52"/>
    <w:rsid w:val="009D06B8"/>
    <w:rsid w:val="009D07F2"/>
    <w:rsid w:val="009D0F23"/>
    <w:rsid w:val="009D12F6"/>
    <w:rsid w:val="009D1852"/>
    <w:rsid w:val="009D1884"/>
    <w:rsid w:val="009D24A3"/>
    <w:rsid w:val="009D2631"/>
    <w:rsid w:val="009D2FCF"/>
    <w:rsid w:val="009D2FD6"/>
    <w:rsid w:val="009D3295"/>
    <w:rsid w:val="009D3665"/>
    <w:rsid w:val="009D3C84"/>
    <w:rsid w:val="009D40C6"/>
    <w:rsid w:val="009D4CE6"/>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920"/>
    <w:rsid w:val="00A01C02"/>
    <w:rsid w:val="00A02A6D"/>
    <w:rsid w:val="00A02D08"/>
    <w:rsid w:val="00A045F8"/>
    <w:rsid w:val="00A05113"/>
    <w:rsid w:val="00A054DC"/>
    <w:rsid w:val="00A06312"/>
    <w:rsid w:val="00A063A9"/>
    <w:rsid w:val="00A069AE"/>
    <w:rsid w:val="00A06CCF"/>
    <w:rsid w:val="00A101CB"/>
    <w:rsid w:val="00A10389"/>
    <w:rsid w:val="00A1133E"/>
    <w:rsid w:val="00A11888"/>
    <w:rsid w:val="00A11E62"/>
    <w:rsid w:val="00A11E8F"/>
    <w:rsid w:val="00A12369"/>
    <w:rsid w:val="00A12853"/>
    <w:rsid w:val="00A14357"/>
    <w:rsid w:val="00A14C35"/>
    <w:rsid w:val="00A151BD"/>
    <w:rsid w:val="00A1524F"/>
    <w:rsid w:val="00A156CA"/>
    <w:rsid w:val="00A15E2E"/>
    <w:rsid w:val="00A15E63"/>
    <w:rsid w:val="00A1627A"/>
    <w:rsid w:val="00A167D9"/>
    <w:rsid w:val="00A17672"/>
    <w:rsid w:val="00A208B1"/>
    <w:rsid w:val="00A20C5D"/>
    <w:rsid w:val="00A20E04"/>
    <w:rsid w:val="00A21C3B"/>
    <w:rsid w:val="00A222CA"/>
    <w:rsid w:val="00A2261E"/>
    <w:rsid w:val="00A22867"/>
    <w:rsid w:val="00A239CC"/>
    <w:rsid w:val="00A23BC2"/>
    <w:rsid w:val="00A2496A"/>
    <w:rsid w:val="00A250EC"/>
    <w:rsid w:val="00A2569A"/>
    <w:rsid w:val="00A25778"/>
    <w:rsid w:val="00A25AF3"/>
    <w:rsid w:val="00A25C6C"/>
    <w:rsid w:val="00A279AC"/>
    <w:rsid w:val="00A27FDE"/>
    <w:rsid w:val="00A30C5D"/>
    <w:rsid w:val="00A30FAC"/>
    <w:rsid w:val="00A310F1"/>
    <w:rsid w:val="00A31344"/>
    <w:rsid w:val="00A31C68"/>
    <w:rsid w:val="00A326A6"/>
    <w:rsid w:val="00A348D5"/>
    <w:rsid w:val="00A35EC5"/>
    <w:rsid w:val="00A35FAA"/>
    <w:rsid w:val="00A361FE"/>
    <w:rsid w:val="00A36A17"/>
    <w:rsid w:val="00A40163"/>
    <w:rsid w:val="00A409BC"/>
    <w:rsid w:val="00A42F6D"/>
    <w:rsid w:val="00A435A5"/>
    <w:rsid w:val="00A44612"/>
    <w:rsid w:val="00A44720"/>
    <w:rsid w:val="00A45B90"/>
    <w:rsid w:val="00A46984"/>
    <w:rsid w:val="00A46998"/>
    <w:rsid w:val="00A4741A"/>
    <w:rsid w:val="00A51337"/>
    <w:rsid w:val="00A529FC"/>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67A"/>
    <w:rsid w:val="00A739DF"/>
    <w:rsid w:val="00A751AD"/>
    <w:rsid w:val="00A756F1"/>
    <w:rsid w:val="00A773CD"/>
    <w:rsid w:val="00A775CF"/>
    <w:rsid w:val="00A77614"/>
    <w:rsid w:val="00A77853"/>
    <w:rsid w:val="00A77FAF"/>
    <w:rsid w:val="00A80C87"/>
    <w:rsid w:val="00A8223C"/>
    <w:rsid w:val="00A8291E"/>
    <w:rsid w:val="00A837EF"/>
    <w:rsid w:val="00A83BCA"/>
    <w:rsid w:val="00A84503"/>
    <w:rsid w:val="00A847AE"/>
    <w:rsid w:val="00A85EF9"/>
    <w:rsid w:val="00A8658E"/>
    <w:rsid w:val="00A867DA"/>
    <w:rsid w:val="00A86D9D"/>
    <w:rsid w:val="00A8782F"/>
    <w:rsid w:val="00A90521"/>
    <w:rsid w:val="00A9167D"/>
    <w:rsid w:val="00A91CFD"/>
    <w:rsid w:val="00A9238F"/>
    <w:rsid w:val="00A92D25"/>
    <w:rsid w:val="00A93613"/>
    <w:rsid w:val="00A94453"/>
    <w:rsid w:val="00A94689"/>
    <w:rsid w:val="00A94DDB"/>
    <w:rsid w:val="00A94EAE"/>
    <w:rsid w:val="00A96330"/>
    <w:rsid w:val="00A965CD"/>
    <w:rsid w:val="00A972AE"/>
    <w:rsid w:val="00A97674"/>
    <w:rsid w:val="00A977A6"/>
    <w:rsid w:val="00AA167E"/>
    <w:rsid w:val="00AA2393"/>
    <w:rsid w:val="00AA27AA"/>
    <w:rsid w:val="00AA2DF3"/>
    <w:rsid w:val="00AA31CE"/>
    <w:rsid w:val="00AA395E"/>
    <w:rsid w:val="00AA3C00"/>
    <w:rsid w:val="00AA4995"/>
    <w:rsid w:val="00AA50BC"/>
    <w:rsid w:val="00AA5BF3"/>
    <w:rsid w:val="00AB1F3B"/>
    <w:rsid w:val="00AB24E7"/>
    <w:rsid w:val="00AB2591"/>
    <w:rsid w:val="00AB3237"/>
    <w:rsid w:val="00AB3917"/>
    <w:rsid w:val="00AB3A2D"/>
    <w:rsid w:val="00AB5DBB"/>
    <w:rsid w:val="00AB5E21"/>
    <w:rsid w:val="00AB6894"/>
    <w:rsid w:val="00AB75AE"/>
    <w:rsid w:val="00AB76EC"/>
    <w:rsid w:val="00AB7933"/>
    <w:rsid w:val="00AC0B56"/>
    <w:rsid w:val="00AC13C9"/>
    <w:rsid w:val="00AC3A08"/>
    <w:rsid w:val="00AC3D18"/>
    <w:rsid w:val="00AC4596"/>
    <w:rsid w:val="00AC58A9"/>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864"/>
    <w:rsid w:val="00B04964"/>
    <w:rsid w:val="00B04E2F"/>
    <w:rsid w:val="00B06DA5"/>
    <w:rsid w:val="00B07A4B"/>
    <w:rsid w:val="00B10605"/>
    <w:rsid w:val="00B10F95"/>
    <w:rsid w:val="00B1123D"/>
    <w:rsid w:val="00B119F6"/>
    <w:rsid w:val="00B11B0A"/>
    <w:rsid w:val="00B1204A"/>
    <w:rsid w:val="00B12331"/>
    <w:rsid w:val="00B141CD"/>
    <w:rsid w:val="00B14A14"/>
    <w:rsid w:val="00B15B71"/>
    <w:rsid w:val="00B176D9"/>
    <w:rsid w:val="00B21941"/>
    <w:rsid w:val="00B21A4D"/>
    <w:rsid w:val="00B21EB4"/>
    <w:rsid w:val="00B22551"/>
    <w:rsid w:val="00B2322D"/>
    <w:rsid w:val="00B232BF"/>
    <w:rsid w:val="00B2394E"/>
    <w:rsid w:val="00B23FDC"/>
    <w:rsid w:val="00B24399"/>
    <w:rsid w:val="00B251BC"/>
    <w:rsid w:val="00B2691D"/>
    <w:rsid w:val="00B26C44"/>
    <w:rsid w:val="00B27820"/>
    <w:rsid w:val="00B27828"/>
    <w:rsid w:val="00B27D93"/>
    <w:rsid w:val="00B30944"/>
    <w:rsid w:val="00B3267D"/>
    <w:rsid w:val="00B33F4D"/>
    <w:rsid w:val="00B34D2F"/>
    <w:rsid w:val="00B36299"/>
    <w:rsid w:val="00B36CFC"/>
    <w:rsid w:val="00B37148"/>
    <w:rsid w:val="00B37394"/>
    <w:rsid w:val="00B37AFC"/>
    <w:rsid w:val="00B4016F"/>
    <w:rsid w:val="00B42B56"/>
    <w:rsid w:val="00B4311D"/>
    <w:rsid w:val="00B43CCD"/>
    <w:rsid w:val="00B44621"/>
    <w:rsid w:val="00B454B7"/>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30B"/>
    <w:rsid w:val="00B62ABE"/>
    <w:rsid w:val="00B64DE4"/>
    <w:rsid w:val="00B6582F"/>
    <w:rsid w:val="00B676B8"/>
    <w:rsid w:val="00B70250"/>
    <w:rsid w:val="00B70C9E"/>
    <w:rsid w:val="00B70CFD"/>
    <w:rsid w:val="00B710B9"/>
    <w:rsid w:val="00B71222"/>
    <w:rsid w:val="00B7177E"/>
    <w:rsid w:val="00B7191C"/>
    <w:rsid w:val="00B71A79"/>
    <w:rsid w:val="00B71C51"/>
    <w:rsid w:val="00B73379"/>
    <w:rsid w:val="00B7358B"/>
    <w:rsid w:val="00B7388C"/>
    <w:rsid w:val="00B73A03"/>
    <w:rsid w:val="00B73E0D"/>
    <w:rsid w:val="00B7522C"/>
    <w:rsid w:val="00B758DA"/>
    <w:rsid w:val="00B829DD"/>
    <w:rsid w:val="00B830A1"/>
    <w:rsid w:val="00B83705"/>
    <w:rsid w:val="00B83CA0"/>
    <w:rsid w:val="00B84243"/>
    <w:rsid w:val="00B85012"/>
    <w:rsid w:val="00B8535B"/>
    <w:rsid w:val="00B85C34"/>
    <w:rsid w:val="00B86CCD"/>
    <w:rsid w:val="00B876C0"/>
    <w:rsid w:val="00B87DAF"/>
    <w:rsid w:val="00B90671"/>
    <w:rsid w:val="00B9123F"/>
    <w:rsid w:val="00B92307"/>
    <w:rsid w:val="00B9315D"/>
    <w:rsid w:val="00B93884"/>
    <w:rsid w:val="00B943F1"/>
    <w:rsid w:val="00B9474E"/>
    <w:rsid w:val="00B94A65"/>
    <w:rsid w:val="00B94ADF"/>
    <w:rsid w:val="00B94FB4"/>
    <w:rsid w:val="00B95854"/>
    <w:rsid w:val="00B95D2D"/>
    <w:rsid w:val="00B9676C"/>
    <w:rsid w:val="00BA067E"/>
    <w:rsid w:val="00BA0966"/>
    <w:rsid w:val="00BA0DE9"/>
    <w:rsid w:val="00BA0F2F"/>
    <w:rsid w:val="00BA10D3"/>
    <w:rsid w:val="00BA11A2"/>
    <w:rsid w:val="00BA2783"/>
    <w:rsid w:val="00BA379F"/>
    <w:rsid w:val="00BA4006"/>
    <w:rsid w:val="00BA4952"/>
    <w:rsid w:val="00BA5330"/>
    <w:rsid w:val="00BA5660"/>
    <w:rsid w:val="00BA66C1"/>
    <w:rsid w:val="00BA6777"/>
    <w:rsid w:val="00BB048B"/>
    <w:rsid w:val="00BB2A98"/>
    <w:rsid w:val="00BB2EB5"/>
    <w:rsid w:val="00BB39D4"/>
    <w:rsid w:val="00BB3AB5"/>
    <w:rsid w:val="00BB3CA7"/>
    <w:rsid w:val="00BB3DA8"/>
    <w:rsid w:val="00BB498B"/>
    <w:rsid w:val="00BB52AB"/>
    <w:rsid w:val="00BB5EB0"/>
    <w:rsid w:val="00BB6D23"/>
    <w:rsid w:val="00BB721D"/>
    <w:rsid w:val="00BB7455"/>
    <w:rsid w:val="00BC156E"/>
    <w:rsid w:val="00BC167E"/>
    <w:rsid w:val="00BC1DBD"/>
    <w:rsid w:val="00BC2BD7"/>
    <w:rsid w:val="00BC2C65"/>
    <w:rsid w:val="00BC3CAB"/>
    <w:rsid w:val="00BC42CE"/>
    <w:rsid w:val="00BC6702"/>
    <w:rsid w:val="00BD1B28"/>
    <w:rsid w:val="00BD210E"/>
    <w:rsid w:val="00BD3277"/>
    <w:rsid w:val="00BD4954"/>
    <w:rsid w:val="00BD4CE9"/>
    <w:rsid w:val="00BD6EF9"/>
    <w:rsid w:val="00BE073D"/>
    <w:rsid w:val="00BE0851"/>
    <w:rsid w:val="00BE0E29"/>
    <w:rsid w:val="00BE1C0C"/>
    <w:rsid w:val="00BE2BB5"/>
    <w:rsid w:val="00BE3D78"/>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04D"/>
    <w:rsid w:val="00C040CE"/>
    <w:rsid w:val="00C04472"/>
    <w:rsid w:val="00C07DEC"/>
    <w:rsid w:val="00C1005F"/>
    <w:rsid w:val="00C10659"/>
    <w:rsid w:val="00C107D2"/>
    <w:rsid w:val="00C11F05"/>
    <w:rsid w:val="00C11F2F"/>
    <w:rsid w:val="00C12D0A"/>
    <w:rsid w:val="00C13DA0"/>
    <w:rsid w:val="00C15DEF"/>
    <w:rsid w:val="00C1668D"/>
    <w:rsid w:val="00C20196"/>
    <w:rsid w:val="00C20E76"/>
    <w:rsid w:val="00C21074"/>
    <w:rsid w:val="00C23647"/>
    <w:rsid w:val="00C23A8F"/>
    <w:rsid w:val="00C23B01"/>
    <w:rsid w:val="00C2476F"/>
    <w:rsid w:val="00C24B8E"/>
    <w:rsid w:val="00C2641F"/>
    <w:rsid w:val="00C26A44"/>
    <w:rsid w:val="00C276B1"/>
    <w:rsid w:val="00C277D5"/>
    <w:rsid w:val="00C27DA0"/>
    <w:rsid w:val="00C3009E"/>
    <w:rsid w:val="00C30161"/>
    <w:rsid w:val="00C31E81"/>
    <w:rsid w:val="00C3239B"/>
    <w:rsid w:val="00C32707"/>
    <w:rsid w:val="00C3324A"/>
    <w:rsid w:val="00C337BF"/>
    <w:rsid w:val="00C342CD"/>
    <w:rsid w:val="00C34390"/>
    <w:rsid w:val="00C3498D"/>
    <w:rsid w:val="00C34C59"/>
    <w:rsid w:val="00C35224"/>
    <w:rsid w:val="00C359BA"/>
    <w:rsid w:val="00C35C04"/>
    <w:rsid w:val="00C36699"/>
    <w:rsid w:val="00C36775"/>
    <w:rsid w:val="00C37070"/>
    <w:rsid w:val="00C37B89"/>
    <w:rsid w:val="00C40689"/>
    <w:rsid w:val="00C407C3"/>
    <w:rsid w:val="00C40D42"/>
    <w:rsid w:val="00C412EC"/>
    <w:rsid w:val="00C41D55"/>
    <w:rsid w:val="00C428E6"/>
    <w:rsid w:val="00C42D37"/>
    <w:rsid w:val="00C431A3"/>
    <w:rsid w:val="00C44BE3"/>
    <w:rsid w:val="00C44C1D"/>
    <w:rsid w:val="00C450A9"/>
    <w:rsid w:val="00C45903"/>
    <w:rsid w:val="00C46968"/>
    <w:rsid w:val="00C46D0E"/>
    <w:rsid w:val="00C471E0"/>
    <w:rsid w:val="00C50CF4"/>
    <w:rsid w:val="00C50EAA"/>
    <w:rsid w:val="00C52C85"/>
    <w:rsid w:val="00C53EF2"/>
    <w:rsid w:val="00C544C7"/>
    <w:rsid w:val="00C547E0"/>
    <w:rsid w:val="00C55846"/>
    <w:rsid w:val="00C574B8"/>
    <w:rsid w:val="00C603AD"/>
    <w:rsid w:val="00C6305B"/>
    <w:rsid w:val="00C630DC"/>
    <w:rsid w:val="00C63109"/>
    <w:rsid w:val="00C632C4"/>
    <w:rsid w:val="00C63570"/>
    <w:rsid w:val="00C63C1F"/>
    <w:rsid w:val="00C63ED7"/>
    <w:rsid w:val="00C652E0"/>
    <w:rsid w:val="00C6565C"/>
    <w:rsid w:val="00C6568C"/>
    <w:rsid w:val="00C660C1"/>
    <w:rsid w:val="00C66EB8"/>
    <w:rsid w:val="00C7121B"/>
    <w:rsid w:val="00C71E48"/>
    <w:rsid w:val="00C727FF"/>
    <w:rsid w:val="00C73423"/>
    <w:rsid w:val="00C73911"/>
    <w:rsid w:val="00C74126"/>
    <w:rsid w:val="00C74C39"/>
    <w:rsid w:val="00C74DA9"/>
    <w:rsid w:val="00C74E83"/>
    <w:rsid w:val="00C7638D"/>
    <w:rsid w:val="00C763EA"/>
    <w:rsid w:val="00C801E7"/>
    <w:rsid w:val="00C8049D"/>
    <w:rsid w:val="00C81431"/>
    <w:rsid w:val="00C81D03"/>
    <w:rsid w:val="00C8215F"/>
    <w:rsid w:val="00C837D1"/>
    <w:rsid w:val="00C8515A"/>
    <w:rsid w:val="00C854F5"/>
    <w:rsid w:val="00C85652"/>
    <w:rsid w:val="00C85E77"/>
    <w:rsid w:val="00C8748F"/>
    <w:rsid w:val="00C87FB8"/>
    <w:rsid w:val="00C910C7"/>
    <w:rsid w:val="00C919F4"/>
    <w:rsid w:val="00C91CF4"/>
    <w:rsid w:val="00C92123"/>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30C"/>
    <w:rsid w:val="00CA450E"/>
    <w:rsid w:val="00CA474A"/>
    <w:rsid w:val="00CA475B"/>
    <w:rsid w:val="00CA4819"/>
    <w:rsid w:val="00CA49A3"/>
    <w:rsid w:val="00CA5B9B"/>
    <w:rsid w:val="00CA600B"/>
    <w:rsid w:val="00CA709C"/>
    <w:rsid w:val="00CB1A66"/>
    <w:rsid w:val="00CB1F59"/>
    <w:rsid w:val="00CB24F3"/>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4B04"/>
    <w:rsid w:val="00CC5AB0"/>
    <w:rsid w:val="00CC678E"/>
    <w:rsid w:val="00CC6AFF"/>
    <w:rsid w:val="00CC6E45"/>
    <w:rsid w:val="00CC7ED8"/>
    <w:rsid w:val="00CC7F08"/>
    <w:rsid w:val="00CD054D"/>
    <w:rsid w:val="00CD1BF3"/>
    <w:rsid w:val="00CD2767"/>
    <w:rsid w:val="00CD3382"/>
    <w:rsid w:val="00CD4B53"/>
    <w:rsid w:val="00CD4E08"/>
    <w:rsid w:val="00CD4E98"/>
    <w:rsid w:val="00CD4EE0"/>
    <w:rsid w:val="00CD5B1A"/>
    <w:rsid w:val="00CD5CF4"/>
    <w:rsid w:val="00CD64D0"/>
    <w:rsid w:val="00CD7E08"/>
    <w:rsid w:val="00CD7E3F"/>
    <w:rsid w:val="00CE0085"/>
    <w:rsid w:val="00CE0472"/>
    <w:rsid w:val="00CE2A30"/>
    <w:rsid w:val="00CE2B6C"/>
    <w:rsid w:val="00CE2C1A"/>
    <w:rsid w:val="00CE3F53"/>
    <w:rsid w:val="00CE4067"/>
    <w:rsid w:val="00CE40D9"/>
    <w:rsid w:val="00CE4132"/>
    <w:rsid w:val="00CE4134"/>
    <w:rsid w:val="00CE4671"/>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18E0"/>
    <w:rsid w:val="00D024C7"/>
    <w:rsid w:val="00D02EF1"/>
    <w:rsid w:val="00D03973"/>
    <w:rsid w:val="00D042D9"/>
    <w:rsid w:val="00D05719"/>
    <w:rsid w:val="00D07857"/>
    <w:rsid w:val="00D07A8D"/>
    <w:rsid w:val="00D1024D"/>
    <w:rsid w:val="00D106FF"/>
    <w:rsid w:val="00D10861"/>
    <w:rsid w:val="00D120BF"/>
    <w:rsid w:val="00D12303"/>
    <w:rsid w:val="00D12D32"/>
    <w:rsid w:val="00D13DC9"/>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55D"/>
    <w:rsid w:val="00D53F56"/>
    <w:rsid w:val="00D549BF"/>
    <w:rsid w:val="00D54B63"/>
    <w:rsid w:val="00D551E1"/>
    <w:rsid w:val="00D55693"/>
    <w:rsid w:val="00D55763"/>
    <w:rsid w:val="00D56A61"/>
    <w:rsid w:val="00D56EA2"/>
    <w:rsid w:val="00D5708A"/>
    <w:rsid w:val="00D576B5"/>
    <w:rsid w:val="00D57849"/>
    <w:rsid w:val="00D579C5"/>
    <w:rsid w:val="00D60439"/>
    <w:rsid w:val="00D6070D"/>
    <w:rsid w:val="00D6119D"/>
    <w:rsid w:val="00D6199A"/>
    <w:rsid w:val="00D624F1"/>
    <w:rsid w:val="00D62AB4"/>
    <w:rsid w:val="00D634BA"/>
    <w:rsid w:val="00D63A87"/>
    <w:rsid w:val="00D64114"/>
    <w:rsid w:val="00D65203"/>
    <w:rsid w:val="00D65712"/>
    <w:rsid w:val="00D6661E"/>
    <w:rsid w:val="00D677D2"/>
    <w:rsid w:val="00D678C7"/>
    <w:rsid w:val="00D70353"/>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369"/>
    <w:rsid w:val="00D80872"/>
    <w:rsid w:val="00D81071"/>
    <w:rsid w:val="00D819DB"/>
    <w:rsid w:val="00D821A4"/>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5AF8"/>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D051E"/>
    <w:rsid w:val="00DD0BA0"/>
    <w:rsid w:val="00DD105A"/>
    <w:rsid w:val="00DD1172"/>
    <w:rsid w:val="00DD1688"/>
    <w:rsid w:val="00DD26D4"/>
    <w:rsid w:val="00DD314A"/>
    <w:rsid w:val="00DD36D0"/>
    <w:rsid w:val="00DD3E55"/>
    <w:rsid w:val="00DD472E"/>
    <w:rsid w:val="00DD49A3"/>
    <w:rsid w:val="00DD4DF3"/>
    <w:rsid w:val="00DD4F6D"/>
    <w:rsid w:val="00DD7B40"/>
    <w:rsid w:val="00DE062B"/>
    <w:rsid w:val="00DE117E"/>
    <w:rsid w:val="00DE1987"/>
    <w:rsid w:val="00DE2A71"/>
    <w:rsid w:val="00DE32AD"/>
    <w:rsid w:val="00DE36CF"/>
    <w:rsid w:val="00DE3D40"/>
    <w:rsid w:val="00DE42BA"/>
    <w:rsid w:val="00DE4F03"/>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4F31"/>
    <w:rsid w:val="00E0522C"/>
    <w:rsid w:val="00E05452"/>
    <w:rsid w:val="00E054BA"/>
    <w:rsid w:val="00E05967"/>
    <w:rsid w:val="00E06F9F"/>
    <w:rsid w:val="00E074F9"/>
    <w:rsid w:val="00E07556"/>
    <w:rsid w:val="00E1099E"/>
    <w:rsid w:val="00E10D3F"/>
    <w:rsid w:val="00E10D6E"/>
    <w:rsid w:val="00E1129E"/>
    <w:rsid w:val="00E121DD"/>
    <w:rsid w:val="00E1318C"/>
    <w:rsid w:val="00E13A4E"/>
    <w:rsid w:val="00E15A7E"/>
    <w:rsid w:val="00E16188"/>
    <w:rsid w:val="00E1675C"/>
    <w:rsid w:val="00E16977"/>
    <w:rsid w:val="00E16BE1"/>
    <w:rsid w:val="00E1768E"/>
    <w:rsid w:val="00E17DAB"/>
    <w:rsid w:val="00E205DE"/>
    <w:rsid w:val="00E20628"/>
    <w:rsid w:val="00E2103B"/>
    <w:rsid w:val="00E214BB"/>
    <w:rsid w:val="00E21CFD"/>
    <w:rsid w:val="00E21F32"/>
    <w:rsid w:val="00E22A07"/>
    <w:rsid w:val="00E23888"/>
    <w:rsid w:val="00E253F7"/>
    <w:rsid w:val="00E26003"/>
    <w:rsid w:val="00E27231"/>
    <w:rsid w:val="00E2726B"/>
    <w:rsid w:val="00E273FF"/>
    <w:rsid w:val="00E27B91"/>
    <w:rsid w:val="00E30E1D"/>
    <w:rsid w:val="00E30FE2"/>
    <w:rsid w:val="00E31D93"/>
    <w:rsid w:val="00E31F2F"/>
    <w:rsid w:val="00E31F4E"/>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2EE"/>
    <w:rsid w:val="00E647C8"/>
    <w:rsid w:val="00E670D6"/>
    <w:rsid w:val="00E67C82"/>
    <w:rsid w:val="00E70100"/>
    <w:rsid w:val="00E702CE"/>
    <w:rsid w:val="00E70F0A"/>
    <w:rsid w:val="00E71047"/>
    <w:rsid w:val="00E71844"/>
    <w:rsid w:val="00E731D7"/>
    <w:rsid w:val="00E73765"/>
    <w:rsid w:val="00E74ACE"/>
    <w:rsid w:val="00E75C60"/>
    <w:rsid w:val="00E76249"/>
    <w:rsid w:val="00E77072"/>
    <w:rsid w:val="00E77C06"/>
    <w:rsid w:val="00E8088C"/>
    <w:rsid w:val="00E815C7"/>
    <w:rsid w:val="00E82674"/>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68C8"/>
    <w:rsid w:val="00E97527"/>
    <w:rsid w:val="00E97A3D"/>
    <w:rsid w:val="00EA08C4"/>
    <w:rsid w:val="00EA186C"/>
    <w:rsid w:val="00EA2057"/>
    <w:rsid w:val="00EA3014"/>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8B2"/>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05AC"/>
    <w:rsid w:val="00F01FF7"/>
    <w:rsid w:val="00F025FF"/>
    <w:rsid w:val="00F026E9"/>
    <w:rsid w:val="00F0279F"/>
    <w:rsid w:val="00F02EC1"/>
    <w:rsid w:val="00F034F1"/>
    <w:rsid w:val="00F05891"/>
    <w:rsid w:val="00F05908"/>
    <w:rsid w:val="00F06516"/>
    <w:rsid w:val="00F07139"/>
    <w:rsid w:val="00F07374"/>
    <w:rsid w:val="00F07992"/>
    <w:rsid w:val="00F10081"/>
    <w:rsid w:val="00F10305"/>
    <w:rsid w:val="00F1076B"/>
    <w:rsid w:val="00F10AD7"/>
    <w:rsid w:val="00F10D71"/>
    <w:rsid w:val="00F10DF6"/>
    <w:rsid w:val="00F11B9B"/>
    <w:rsid w:val="00F11D20"/>
    <w:rsid w:val="00F120D0"/>
    <w:rsid w:val="00F13E0D"/>
    <w:rsid w:val="00F1421D"/>
    <w:rsid w:val="00F20B6E"/>
    <w:rsid w:val="00F20FF5"/>
    <w:rsid w:val="00F248EC"/>
    <w:rsid w:val="00F24BCF"/>
    <w:rsid w:val="00F24C64"/>
    <w:rsid w:val="00F25ABC"/>
    <w:rsid w:val="00F2639B"/>
    <w:rsid w:val="00F26741"/>
    <w:rsid w:val="00F26B48"/>
    <w:rsid w:val="00F276EE"/>
    <w:rsid w:val="00F3042A"/>
    <w:rsid w:val="00F30CF5"/>
    <w:rsid w:val="00F3255F"/>
    <w:rsid w:val="00F3289B"/>
    <w:rsid w:val="00F33271"/>
    <w:rsid w:val="00F3510E"/>
    <w:rsid w:val="00F35B8D"/>
    <w:rsid w:val="00F373DC"/>
    <w:rsid w:val="00F37EF3"/>
    <w:rsid w:val="00F4003F"/>
    <w:rsid w:val="00F400A3"/>
    <w:rsid w:val="00F403D6"/>
    <w:rsid w:val="00F4062A"/>
    <w:rsid w:val="00F40782"/>
    <w:rsid w:val="00F422EF"/>
    <w:rsid w:val="00F42894"/>
    <w:rsid w:val="00F449E2"/>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0013"/>
    <w:rsid w:val="00F60C4D"/>
    <w:rsid w:val="00F626C2"/>
    <w:rsid w:val="00F63F85"/>
    <w:rsid w:val="00F6520B"/>
    <w:rsid w:val="00F65819"/>
    <w:rsid w:val="00F67A6B"/>
    <w:rsid w:val="00F67E91"/>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86D61"/>
    <w:rsid w:val="00F908F8"/>
    <w:rsid w:val="00F92442"/>
    <w:rsid w:val="00F9247A"/>
    <w:rsid w:val="00F9267D"/>
    <w:rsid w:val="00F926C8"/>
    <w:rsid w:val="00F937B0"/>
    <w:rsid w:val="00F93C2F"/>
    <w:rsid w:val="00F96350"/>
    <w:rsid w:val="00F96C05"/>
    <w:rsid w:val="00F97465"/>
    <w:rsid w:val="00F97494"/>
    <w:rsid w:val="00F97D2D"/>
    <w:rsid w:val="00FA040D"/>
    <w:rsid w:val="00FA05A4"/>
    <w:rsid w:val="00FA1103"/>
    <w:rsid w:val="00FA172D"/>
    <w:rsid w:val="00FA2F87"/>
    <w:rsid w:val="00FA3020"/>
    <w:rsid w:val="00FA30C2"/>
    <w:rsid w:val="00FA372A"/>
    <w:rsid w:val="00FA4313"/>
    <w:rsid w:val="00FA56C4"/>
    <w:rsid w:val="00FA63B6"/>
    <w:rsid w:val="00FA7135"/>
    <w:rsid w:val="00FA784C"/>
    <w:rsid w:val="00FB058F"/>
    <w:rsid w:val="00FB06E1"/>
    <w:rsid w:val="00FB0ADC"/>
    <w:rsid w:val="00FB0CA2"/>
    <w:rsid w:val="00FB1FF4"/>
    <w:rsid w:val="00FB471F"/>
    <w:rsid w:val="00FB481E"/>
    <w:rsid w:val="00FB6912"/>
    <w:rsid w:val="00FB703A"/>
    <w:rsid w:val="00FC00DD"/>
    <w:rsid w:val="00FC0A72"/>
    <w:rsid w:val="00FC0C0F"/>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C7D71"/>
    <w:rsid w:val="00FD1B30"/>
    <w:rsid w:val="00FD3D3E"/>
    <w:rsid w:val="00FD4E9B"/>
    <w:rsid w:val="00FD5051"/>
    <w:rsid w:val="00FD5958"/>
    <w:rsid w:val="00FD5A0F"/>
    <w:rsid w:val="00FD756D"/>
    <w:rsid w:val="00FD7972"/>
    <w:rsid w:val="00FE059A"/>
    <w:rsid w:val="00FE0781"/>
    <w:rsid w:val="00FE0FB2"/>
    <w:rsid w:val="00FE1692"/>
    <w:rsid w:val="00FE29AF"/>
    <w:rsid w:val="00FE3971"/>
    <w:rsid w:val="00FE3D65"/>
    <w:rsid w:val="00FE54AE"/>
    <w:rsid w:val="00FE7586"/>
    <w:rsid w:val="00FF0A6A"/>
    <w:rsid w:val="00FF19F0"/>
    <w:rsid w:val="00FF1A8D"/>
    <w:rsid w:val="00FF1E56"/>
    <w:rsid w:val="00FF2339"/>
    <w:rsid w:val="00FF2430"/>
    <w:rsid w:val="00FF26B9"/>
    <w:rsid w:val="00FF2DDB"/>
    <w:rsid w:val="00FF33AA"/>
    <w:rsid w:val="00FF36D0"/>
    <w:rsid w:val="00FF371D"/>
    <w:rsid w:val="00FF4B33"/>
    <w:rsid w:val="00FF5F0D"/>
    <w:rsid w:val="00FF637D"/>
    <w:rsid w:val="00FF64CF"/>
    <w:rsid w:val="00FF6585"/>
    <w:rsid w:val="00FF6B5D"/>
    <w:rsid w:val="00FF6C89"/>
    <w:rsid w:val="00FF75BA"/>
    <w:rsid w:val="00FF7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B42261"/>
  <w15:docId w15:val="{DCB0A19E-8E50-4E5F-B4B9-64ADC071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uiPriority w:val="99"/>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qFormat/>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 w:type="paragraph" w:customStyle="1" w:styleId="PartHeading-TOC">
    <w:name w:val="Part Heading - TOC"/>
    <w:basedOn w:val="PartHeading"/>
    <w:rsid w:val="009630FD"/>
    <w:pPr>
      <w:spacing w:after="480"/>
      <w:outlineLvl w:val="9"/>
    </w:pPr>
  </w:style>
  <w:style w:type="character" w:customStyle="1" w:styleId="FootnoteTextChar">
    <w:name w:val="Footnote Text Char"/>
    <w:basedOn w:val="DefaultParagraphFont"/>
    <w:link w:val="FootnoteText"/>
    <w:uiPriority w:val="99"/>
    <w:rsid w:val="00683DF0"/>
    <w:rPr>
      <w:rFonts w:ascii="Arial Narrow" w:hAnsi="Arial Narrow"/>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18">
      <w:bodyDiv w:val="1"/>
      <w:marLeft w:val="0"/>
      <w:marRight w:val="0"/>
      <w:marTop w:val="0"/>
      <w:marBottom w:val="0"/>
      <w:divBdr>
        <w:top w:val="none" w:sz="0" w:space="0" w:color="auto"/>
        <w:left w:val="none" w:sz="0" w:space="0" w:color="auto"/>
        <w:bottom w:val="none" w:sz="0" w:space="0" w:color="auto"/>
        <w:right w:val="none" w:sz="0" w:space="0" w:color="auto"/>
      </w:divBdr>
    </w:div>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2801303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575823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93043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7013121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4199542">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512990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5520751">
      <w:bodyDiv w:val="1"/>
      <w:marLeft w:val="0"/>
      <w:marRight w:val="0"/>
      <w:marTop w:val="0"/>
      <w:marBottom w:val="0"/>
      <w:divBdr>
        <w:top w:val="none" w:sz="0" w:space="0" w:color="auto"/>
        <w:left w:val="none" w:sz="0" w:space="0" w:color="auto"/>
        <w:bottom w:val="none" w:sz="0" w:space="0" w:color="auto"/>
        <w:right w:val="none" w:sz="0" w:space="0" w:color="auto"/>
      </w:divBdr>
    </w:div>
    <w:div w:id="1117604370">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0135762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69455982">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210588">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35103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20515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15426754">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15435032">
      <w:bodyDiv w:val="1"/>
      <w:marLeft w:val="0"/>
      <w:marRight w:val="0"/>
      <w:marTop w:val="0"/>
      <w:marBottom w:val="0"/>
      <w:divBdr>
        <w:top w:val="none" w:sz="0" w:space="0" w:color="auto"/>
        <w:left w:val="none" w:sz="0" w:space="0" w:color="auto"/>
        <w:bottom w:val="none" w:sz="0" w:space="0" w:color="auto"/>
        <w:right w:val="none" w:sz="0" w:space="0" w:color="auto"/>
      </w:divBdr>
    </w:div>
    <w:div w:id="191570045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annualreport.aec.gov.au/annual-reports.html" TargetMode="External"/><Relationship Id="rId25" Type="http://schemas.openxmlformats.org/officeDocument/2006/relationships/image" Target="media/image7.wmf"/><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aec.gov.au/About_AEC/Publications/corporate-plan/index.html" TargetMode="External"/><Relationship Id="rId20" Type="http://schemas.openxmlformats.org/officeDocument/2006/relationships/header" Target="header2.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image" Target="media/image10.w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6.xml><?xml version="1.0" encoding="utf-8"?>
<ds:datastoreItem xmlns:ds="http://schemas.openxmlformats.org/officeDocument/2006/customXml" ds:itemID="{8D319C58-55F6-4851-A9F8-03389873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7</TotalTime>
  <Pages>1</Pages>
  <Words>1987</Words>
  <Characters>12420</Characters>
  <Application>Microsoft Office Word</Application>
  <DocSecurity>0</DocSecurity>
  <Lines>459</Lines>
  <Paragraphs>157</Paragraphs>
  <ScaleCrop>false</ScaleCrop>
  <HeadingPairs>
    <vt:vector size="2" baseType="variant">
      <vt:variant>
        <vt:lpstr>Title</vt:lpstr>
      </vt:variant>
      <vt:variant>
        <vt:i4>1</vt:i4>
      </vt:variant>
    </vt:vector>
  </HeadingPairs>
  <TitlesOfParts>
    <vt:vector size="1" baseType="lpstr">
      <vt:lpstr>AUSTRALIAN ELECTORAL COMMISSION - PBS</vt:lpstr>
    </vt:vector>
  </TitlesOfParts>
  <Company/>
  <LinksUpToDate>false</LinksUpToDate>
  <CharactersWithSpaces>14379</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ELECTORAL COMMISSION - PBS</dc:title>
  <dc:creator>Department of Finance</dc:creator>
  <cp:lastModifiedBy>Pratley, Damien</cp:lastModifiedBy>
  <cp:revision>4</cp:revision>
  <cp:lastPrinted>2017-05-03T22:43:00Z</cp:lastPrinted>
  <dcterms:created xsi:type="dcterms:W3CDTF">2017-05-08T05:19:00Z</dcterms:created>
  <dcterms:modified xsi:type="dcterms:W3CDTF">2017-05-08T07:25:00Z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