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6DA" w:rsidRPr="005736DA" w:rsidRDefault="005736DA" w:rsidP="005736DA">
      <w:pPr>
        <w:tabs>
          <w:tab w:val="left" w:pos="284"/>
        </w:tabs>
        <w:spacing w:after="0" w:line="240" w:lineRule="auto"/>
        <w:jc w:val="both"/>
        <w:rPr>
          <w:rFonts w:ascii="Arial" w:hAnsi="Arial"/>
          <w:szCs w:val="20"/>
        </w:rPr>
      </w:pPr>
      <w:bookmarkStart w:id="0" w:name="_Toc190766151"/>
    </w:p>
    <w:p w:rsidR="00B2394E" w:rsidRDefault="00B2394E" w:rsidP="00B2394E">
      <w:pPr>
        <w:pStyle w:val="Department"/>
        <w:spacing w:before="1320"/>
      </w:pPr>
      <w:r>
        <w:t>Future Fund Management Agency</w:t>
      </w:r>
    </w:p>
    <w:p w:rsidR="00B2394E" w:rsidRDefault="00B2394E" w:rsidP="00B2394E">
      <w:pPr>
        <w:pStyle w:val="DepartmentSubtitle"/>
        <w:spacing w:before="2080"/>
      </w:pPr>
      <w:r>
        <w:t>Entity Resources and Planned Performance</w:t>
      </w:r>
    </w:p>
    <w:p w:rsidR="00B2394E" w:rsidRDefault="00B2394E" w:rsidP="00F26B48">
      <w:pPr>
        <w:jc w:val="both"/>
        <w:sectPr w:rsidR="00B2394E" w:rsidSect="00840A68">
          <w:headerReference w:type="even" r:id="rId13"/>
          <w:headerReference w:type="default" r:id="rId14"/>
          <w:footerReference w:type="even" r:id="rId15"/>
          <w:footerReference w:type="default" r:id="rId16"/>
          <w:headerReference w:type="first" r:id="rId17"/>
          <w:footerReference w:type="first" r:id="rId18"/>
          <w:type w:val="oddPage"/>
          <w:pgSz w:w="11906" w:h="16838" w:code="9"/>
          <w:pgMar w:top="2466" w:right="2098" w:bottom="2466" w:left="2098" w:header="1899" w:footer="1899" w:gutter="0"/>
          <w:cols w:space="708"/>
          <w:titlePg/>
          <w:docGrid w:linePitch="360"/>
        </w:sectPr>
      </w:pPr>
    </w:p>
    <w:p w:rsidR="00B2394E" w:rsidRDefault="00B2394E" w:rsidP="00F26B48">
      <w:pPr>
        <w:pStyle w:val="ContentsHeading"/>
      </w:pPr>
      <w:r>
        <w:lastRenderedPageBreak/>
        <w:t>Future Fund Management Agency</w:t>
      </w:r>
    </w:p>
    <w:p w:rsidR="00B2394E" w:rsidRPr="002E149D" w:rsidRDefault="0098668D" w:rsidP="00B2394E">
      <w:pPr>
        <w:pStyle w:val="TOC1"/>
        <w:rPr>
          <w:rFonts w:ascii="Calibri" w:hAnsi="Calibri"/>
          <w:b w:val="0"/>
          <w:noProof/>
          <w:sz w:val="22"/>
          <w:szCs w:val="22"/>
        </w:rPr>
      </w:pPr>
      <w:r>
        <w:fldChar w:fldCharType="begin"/>
      </w:r>
      <w:r w:rsidR="00B2394E">
        <w:instrText xml:space="preserve"> TOC \h \z \t "Heading 2,1,Heading 3,2" </w:instrText>
      </w:r>
      <w:r>
        <w:fldChar w:fldCharType="separate"/>
      </w:r>
      <w:hyperlink w:anchor="_Toc444523872" w:history="1">
        <w:r w:rsidR="00B2394E" w:rsidRPr="002E149D">
          <w:rPr>
            <w:rStyle w:val="Hyperlink"/>
            <w:noProof/>
          </w:rPr>
          <w:t>Section 1: Entity Overview and Resources</w:t>
        </w:r>
        <w:r w:rsidR="00B2394E" w:rsidRPr="002E149D">
          <w:rPr>
            <w:noProof/>
            <w:webHidden/>
          </w:rPr>
          <w:tab/>
        </w:r>
        <w:r w:rsidR="00F26B48">
          <w:rPr>
            <w:noProof/>
            <w:webHidden/>
          </w:rPr>
          <w:t>117</w:t>
        </w:r>
      </w:hyperlink>
    </w:p>
    <w:p w:rsidR="00B2394E" w:rsidRPr="002E149D" w:rsidRDefault="0098668D" w:rsidP="00B2394E">
      <w:pPr>
        <w:pStyle w:val="TOC2"/>
        <w:tabs>
          <w:tab w:val="left" w:pos="800"/>
        </w:tabs>
        <w:rPr>
          <w:rFonts w:ascii="Calibri" w:hAnsi="Calibri"/>
          <w:noProof/>
          <w:sz w:val="22"/>
          <w:szCs w:val="22"/>
        </w:rPr>
      </w:pPr>
      <w:hyperlink w:anchor="_Toc444523873" w:history="1">
        <w:r w:rsidR="00B2394E" w:rsidRPr="002E149D">
          <w:rPr>
            <w:rStyle w:val="Hyperlink"/>
            <w:noProof/>
          </w:rPr>
          <w:t>1.1</w:t>
        </w:r>
        <w:r w:rsidR="00B2394E" w:rsidRPr="002E149D">
          <w:rPr>
            <w:rFonts w:ascii="Calibri" w:hAnsi="Calibri"/>
            <w:noProof/>
            <w:sz w:val="22"/>
            <w:szCs w:val="22"/>
          </w:rPr>
          <w:tab/>
        </w:r>
        <w:r w:rsidR="00B2394E" w:rsidRPr="002E149D">
          <w:rPr>
            <w:rStyle w:val="Hyperlink"/>
            <w:noProof/>
          </w:rPr>
          <w:t>Strategic Direction Statement</w:t>
        </w:r>
        <w:r w:rsidR="00B2394E" w:rsidRPr="002E149D">
          <w:rPr>
            <w:noProof/>
            <w:webHidden/>
          </w:rPr>
          <w:tab/>
        </w:r>
        <w:r w:rsidR="00F26B48">
          <w:rPr>
            <w:noProof/>
            <w:webHidden/>
          </w:rPr>
          <w:t>117</w:t>
        </w:r>
      </w:hyperlink>
    </w:p>
    <w:p w:rsidR="00B2394E" w:rsidRPr="002E149D" w:rsidRDefault="0098668D" w:rsidP="00B2394E">
      <w:pPr>
        <w:pStyle w:val="TOC2"/>
        <w:tabs>
          <w:tab w:val="left" w:pos="800"/>
        </w:tabs>
        <w:rPr>
          <w:rFonts w:ascii="Calibri" w:hAnsi="Calibri"/>
          <w:noProof/>
          <w:sz w:val="22"/>
          <w:szCs w:val="22"/>
        </w:rPr>
      </w:pPr>
      <w:hyperlink w:anchor="_Toc444523874" w:history="1">
        <w:r w:rsidR="00B2394E" w:rsidRPr="002E149D">
          <w:rPr>
            <w:rStyle w:val="Hyperlink"/>
            <w:noProof/>
          </w:rPr>
          <w:t>1.2</w:t>
        </w:r>
        <w:r w:rsidR="00B2394E" w:rsidRPr="002E149D">
          <w:rPr>
            <w:rFonts w:ascii="Calibri" w:hAnsi="Calibri"/>
            <w:noProof/>
            <w:sz w:val="22"/>
            <w:szCs w:val="22"/>
          </w:rPr>
          <w:tab/>
        </w:r>
        <w:r w:rsidR="00B2394E" w:rsidRPr="002E149D">
          <w:rPr>
            <w:rStyle w:val="Hyperlink"/>
            <w:noProof/>
          </w:rPr>
          <w:t>Entity Resource Statement</w:t>
        </w:r>
        <w:r w:rsidR="00B2394E" w:rsidRPr="002E149D">
          <w:rPr>
            <w:noProof/>
            <w:webHidden/>
          </w:rPr>
          <w:tab/>
        </w:r>
        <w:r w:rsidR="00F26B48">
          <w:rPr>
            <w:noProof/>
            <w:webHidden/>
          </w:rPr>
          <w:t>119</w:t>
        </w:r>
      </w:hyperlink>
    </w:p>
    <w:p w:rsidR="00B2394E" w:rsidRPr="002E149D" w:rsidRDefault="0098668D" w:rsidP="00B2394E">
      <w:pPr>
        <w:pStyle w:val="TOC2"/>
        <w:tabs>
          <w:tab w:val="left" w:pos="800"/>
        </w:tabs>
        <w:rPr>
          <w:rFonts w:ascii="Calibri" w:hAnsi="Calibri"/>
          <w:noProof/>
          <w:sz w:val="22"/>
          <w:szCs w:val="22"/>
        </w:rPr>
      </w:pPr>
      <w:hyperlink w:anchor="_Toc444523875" w:history="1">
        <w:r w:rsidR="00B2394E" w:rsidRPr="002E149D">
          <w:rPr>
            <w:rStyle w:val="Hyperlink"/>
            <w:noProof/>
          </w:rPr>
          <w:t>1.3</w:t>
        </w:r>
        <w:r w:rsidR="00B2394E" w:rsidRPr="002E149D">
          <w:rPr>
            <w:rFonts w:ascii="Calibri" w:hAnsi="Calibri"/>
            <w:noProof/>
            <w:sz w:val="22"/>
            <w:szCs w:val="22"/>
          </w:rPr>
          <w:tab/>
        </w:r>
        <w:r w:rsidR="00B2394E" w:rsidRPr="002E149D">
          <w:rPr>
            <w:rStyle w:val="Hyperlink"/>
            <w:noProof/>
          </w:rPr>
          <w:t>Budget Measures</w:t>
        </w:r>
        <w:r w:rsidR="00B2394E" w:rsidRPr="002E149D">
          <w:rPr>
            <w:noProof/>
            <w:webHidden/>
          </w:rPr>
          <w:tab/>
        </w:r>
        <w:r w:rsidR="00F26B48">
          <w:rPr>
            <w:noProof/>
            <w:webHidden/>
          </w:rPr>
          <w:t>120</w:t>
        </w:r>
      </w:hyperlink>
    </w:p>
    <w:p w:rsidR="00B2394E" w:rsidRPr="002E149D" w:rsidRDefault="0098668D" w:rsidP="00B2394E">
      <w:pPr>
        <w:pStyle w:val="TOC1"/>
      </w:pPr>
      <w:hyperlink w:anchor="_Toc444523876" w:history="1">
        <w:r w:rsidR="00B2394E" w:rsidRPr="00950B02">
          <w:t>Section 2: Outcomes and Planned Performance</w:t>
        </w:r>
        <w:r w:rsidR="00B2394E" w:rsidRPr="00950B02">
          <w:rPr>
            <w:webHidden/>
          </w:rPr>
          <w:tab/>
        </w:r>
      </w:hyperlink>
      <w:r w:rsidR="00F26B48">
        <w:t>121</w:t>
      </w:r>
    </w:p>
    <w:p w:rsidR="00B2394E" w:rsidRPr="002E149D" w:rsidRDefault="0098668D" w:rsidP="00B2394E">
      <w:pPr>
        <w:pStyle w:val="TOC2"/>
        <w:tabs>
          <w:tab w:val="left" w:pos="800"/>
        </w:tabs>
        <w:rPr>
          <w:rFonts w:ascii="Calibri" w:hAnsi="Calibri"/>
          <w:noProof/>
          <w:sz w:val="22"/>
          <w:szCs w:val="22"/>
        </w:rPr>
      </w:pPr>
      <w:hyperlink w:anchor="_Toc444523877" w:history="1">
        <w:r w:rsidR="00B2394E" w:rsidRPr="002E149D">
          <w:rPr>
            <w:rStyle w:val="Hyperlink"/>
            <w:noProof/>
          </w:rPr>
          <w:t xml:space="preserve">2.1 </w:t>
        </w:r>
        <w:r w:rsidR="00B2394E" w:rsidRPr="002E149D">
          <w:rPr>
            <w:rFonts w:ascii="Calibri" w:hAnsi="Calibri"/>
            <w:noProof/>
            <w:sz w:val="22"/>
            <w:szCs w:val="22"/>
          </w:rPr>
          <w:tab/>
        </w:r>
        <w:r w:rsidR="00B2394E" w:rsidRPr="002E149D">
          <w:rPr>
            <w:rStyle w:val="Hyperlink"/>
            <w:noProof/>
          </w:rPr>
          <w:t>Budgeted Expenses and Performance for Outcome 1</w:t>
        </w:r>
        <w:r w:rsidR="00B2394E" w:rsidRPr="002E149D">
          <w:rPr>
            <w:noProof/>
            <w:webHidden/>
          </w:rPr>
          <w:tab/>
        </w:r>
        <w:r w:rsidR="00F26B48">
          <w:rPr>
            <w:noProof/>
            <w:webHidden/>
          </w:rPr>
          <w:t>122</w:t>
        </w:r>
      </w:hyperlink>
    </w:p>
    <w:p w:rsidR="00B2394E" w:rsidRPr="002E149D" w:rsidRDefault="0098668D" w:rsidP="00B2394E">
      <w:pPr>
        <w:pStyle w:val="TOC1"/>
        <w:rPr>
          <w:rFonts w:ascii="Calibri" w:hAnsi="Calibri"/>
          <w:b w:val="0"/>
          <w:noProof/>
          <w:sz w:val="22"/>
          <w:szCs w:val="22"/>
        </w:rPr>
      </w:pPr>
      <w:hyperlink w:anchor="_Toc444523880" w:history="1">
        <w:r w:rsidR="00B2394E" w:rsidRPr="002E149D">
          <w:rPr>
            <w:rStyle w:val="Hyperlink"/>
            <w:noProof/>
          </w:rPr>
          <w:t>Section 3: Budgeted Financial Statements</w:t>
        </w:r>
        <w:r w:rsidR="00B2394E" w:rsidRPr="002E149D">
          <w:rPr>
            <w:noProof/>
            <w:webHidden/>
          </w:rPr>
          <w:tab/>
        </w:r>
        <w:r w:rsidR="00F26B48">
          <w:rPr>
            <w:noProof/>
            <w:webHidden/>
          </w:rPr>
          <w:t>127</w:t>
        </w:r>
      </w:hyperlink>
    </w:p>
    <w:p w:rsidR="00B2394E" w:rsidRPr="00915F49" w:rsidRDefault="0098668D" w:rsidP="00B2394E">
      <w:pPr>
        <w:pStyle w:val="TOC2"/>
        <w:tabs>
          <w:tab w:val="left" w:pos="800"/>
        </w:tabs>
        <w:rPr>
          <w:rFonts w:ascii="Calibri" w:hAnsi="Calibri"/>
          <w:noProof/>
          <w:sz w:val="22"/>
          <w:szCs w:val="22"/>
        </w:rPr>
      </w:pPr>
      <w:hyperlink w:anchor="_Toc444523881" w:history="1">
        <w:r w:rsidR="00B2394E" w:rsidRPr="002E149D">
          <w:rPr>
            <w:rStyle w:val="Hyperlink"/>
            <w:noProof/>
          </w:rPr>
          <w:t>3.1</w:t>
        </w:r>
        <w:r w:rsidR="00B2394E" w:rsidRPr="002E149D">
          <w:rPr>
            <w:rFonts w:ascii="Calibri" w:hAnsi="Calibri"/>
            <w:noProof/>
            <w:sz w:val="22"/>
            <w:szCs w:val="22"/>
          </w:rPr>
          <w:tab/>
        </w:r>
        <w:r w:rsidR="00B2394E" w:rsidRPr="002E149D">
          <w:rPr>
            <w:rStyle w:val="Hyperlink"/>
            <w:noProof/>
          </w:rPr>
          <w:t>Budgeted Financial Statements</w:t>
        </w:r>
        <w:r w:rsidR="00B2394E" w:rsidRPr="002E149D">
          <w:rPr>
            <w:noProof/>
            <w:webHidden/>
          </w:rPr>
          <w:tab/>
        </w:r>
        <w:r w:rsidR="00F26B48">
          <w:rPr>
            <w:noProof/>
            <w:webHidden/>
          </w:rPr>
          <w:t>127</w:t>
        </w:r>
      </w:hyperlink>
    </w:p>
    <w:p w:rsidR="00B2394E" w:rsidRDefault="0098668D" w:rsidP="00B2394E">
      <w:pPr>
        <w:pStyle w:val="TOC1"/>
      </w:pPr>
      <w:r>
        <w:fldChar w:fldCharType="end"/>
      </w:r>
    </w:p>
    <w:p w:rsidR="00B2394E" w:rsidRPr="008B5AFD" w:rsidRDefault="00B2394E" w:rsidP="00B2394E"/>
    <w:p w:rsidR="00B2394E" w:rsidRDefault="00B2394E" w:rsidP="00B2394E">
      <w:pPr>
        <w:sectPr w:rsidR="00B2394E" w:rsidSect="00B2394E">
          <w:type w:val="oddPage"/>
          <w:pgSz w:w="11906" w:h="16838" w:code="9"/>
          <w:pgMar w:top="2466" w:right="2098" w:bottom="2466" w:left="2098" w:header="1899" w:footer="1899" w:gutter="0"/>
          <w:cols w:space="708"/>
          <w:titlePg/>
          <w:docGrid w:linePitch="360"/>
        </w:sectPr>
      </w:pPr>
    </w:p>
    <w:p w:rsidR="00B2394E" w:rsidRDefault="00B2394E" w:rsidP="00B2394E">
      <w:pPr>
        <w:pStyle w:val="Heading1"/>
      </w:pPr>
      <w:r>
        <w:lastRenderedPageBreak/>
        <w:t>Future Fund Management Agency</w:t>
      </w:r>
    </w:p>
    <w:p w:rsidR="00B2394E" w:rsidRPr="002C4D41" w:rsidRDefault="00B2394E" w:rsidP="00B2394E">
      <w:pPr>
        <w:pStyle w:val="Heading2"/>
      </w:pPr>
      <w:bookmarkStart w:id="1" w:name="_Toc444523872"/>
      <w:r w:rsidRPr="002C4D41">
        <w:t xml:space="preserve">Section 1: Entity </w:t>
      </w:r>
      <w:r>
        <w:t>Overview and R</w:t>
      </w:r>
      <w:r w:rsidRPr="002C4D41">
        <w:t>esources</w:t>
      </w:r>
      <w:bookmarkEnd w:id="1"/>
    </w:p>
    <w:p w:rsidR="00B2394E" w:rsidRDefault="00B2394E" w:rsidP="00B2394E">
      <w:pPr>
        <w:pStyle w:val="Heading3"/>
      </w:pPr>
      <w:bookmarkStart w:id="2" w:name="_Toc444523873"/>
      <w:r>
        <w:t>1.1</w:t>
      </w:r>
      <w:r>
        <w:tab/>
        <w:t>Strategic Direction Statement</w:t>
      </w:r>
      <w:bookmarkEnd w:id="2"/>
    </w:p>
    <w:p w:rsidR="00B2394E" w:rsidRPr="00F26B48" w:rsidRDefault="00B2394E" w:rsidP="00FA4313">
      <w:pPr>
        <w:pStyle w:val="Exampletext"/>
        <w:jc w:val="left"/>
        <w:rPr>
          <w:rFonts w:ascii="Book Antiqua" w:hAnsi="Book Antiqua"/>
          <w:i w:val="0"/>
          <w:color w:val="auto"/>
          <w:sz w:val="20"/>
          <w:szCs w:val="20"/>
        </w:rPr>
      </w:pPr>
      <w:r w:rsidRPr="00F26B48">
        <w:rPr>
          <w:rFonts w:ascii="Book Antiqua" w:hAnsi="Book Antiqua"/>
          <w:i w:val="0"/>
          <w:color w:val="auto"/>
          <w:sz w:val="20"/>
          <w:szCs w:val="20"/>
        </w:rPr>
        <w:t xml:space="preserve">The Future Fund Management Agency (FFMA) was established by the </w:t>
      </w:r>
      <w:r w:rsidRPr="00F26B48">
        <w:rPr>
          <w:rFonts w:ascii="Book Antiqua" w:hAnsi="Book Antiqua"/>
          <w:color w:val="auto"/>
          <w:sz w:val="20"/>
          <w:szCs w:val="20"/>
        </w:rPr>
        <w:t>Future Fund Act 2006</w:t>
      </w:r>
      <w:r w:rsidRPr="00F26B48">
        <w:rPr>
          <w:rFonts w:ascii="Book Antiqua" w:hAnsi="Book Antiqua"/>
          <w:i w:val="0"/>
          <w:color w:val="auto"/>
          <w:sz w:val="20"/>
          <w:szCs w:val="20"/>
        </w:rPr>
        <w:t xml:space="preserve"> to support and advise the Future Fund Board of Guardians (the Board) in its task of investing the assets of the Future Fund. </w:t>
      </w:r>
    </w:p>
    <w:p w:rsidR="00B2394E" w:rsidRPr="00F26B48" w:rsidRDefault="00B2394E" w:rsidP="00FA4313">
      <w:pPr>
        <w:pStyle w:val="Exampletext"/>
        <w:jc w:val="left"/>
        <w:rPr>
          <w:rFonts w:ascii="Book Antiqua" w:hAnsi="Book Antiqua"/>
          <w:i w:val="0"/>
          <w:color w:val="auto"/>
          <w:sz w:val="20"/>
          <w:szCs w:val="20"/>
        </w:rPr>
      </w:pPr>
      <w:r w:rsidRPr="00F26B48">
        <w:rPr>
          <w:rFonts w:ascii="Book Antiqua" w:hAnsi="Book Antiqua"/>
          <w:i w:val="0"/>
          <w:color w:val="auto"/>
          <w:sz w:val="20"/>
          <w:szCs w:val="20"/>
        </w:rPr>
        <w:t xml:space="preserve">The scope of the FFMA and the Board was extended by the </w:t>
      </w:r>
      <w:r w:rsidRPr="00F26B48">
        <w:rPr>
          <w:rFonts w:ascii="Book Antiqua" w:hAnsi="Book Antiqua"/>
          <w:color w:val="auto"/>
          <w:sz w:val="20"/>
          <w:szCs w:val="20"/>
        </w:rPr>
        <w:t>Nation-building Funds Act 2008</w:t>
      </w:r>
      <w:r w:rsidRPr="00F26B48">
        <w:rPr>
          <w:rFonts w:ascii="Book Antiqua" w:hAnsi="Book Antiqua"/>
          <w:i w:val="0"/>
          <w:color w:val="auto"/>
          <w:sz w:val="20"/>
          <w:szCs w:val="20"/>
        </w:rPr>
        <w:t xml:space="preserve"> and subsequently by the </w:t>
      </w:r>
      <w:proofErr w:type="spellStart"/>
      <w:r w:rsidRPr="00F26B48">
        <w:rPr>
          <w:rFonts w:ascii="Book Antiqua" w:hAnsi="Book Antiqua"/>
          <w:color w:val="auto"/>
          <w:sz w:val="20"/>
          <w:szCs w:val="20"/>
        </w:rPr>
        <w:t>DisabilityCare</w:t>
      </w:r>
      <w:proofErr w:type="spellEnd"/>
      <w:r w:rsidRPr="00F26B48">
        <w:rPr>
          <w:rFonts w:ascii="Book Antiqua" w:hAnsi="Book Antiqua"/>
          <w:color w:val="auto"/>
          <w:sz w:val="20"/>
          <w:szCs w:val="20"/>
        </w:rPr>
        <w:t xml:space="preserve"> Australia Fund Act</w:t>
      </w:r>
      <w:r w:rsidRPr="00F26B48">
        <w:rPr>
          <w:rFonts w:ascii="Book Antiqua" w:hAnsi="Book Antiqua"/>
          <w:i w:val="0"/>
          <w:color w:val="auto"/>
          <w:sz w:val="20"/>
          <w:szCs w:val="20"/>
        </w:rPr>
        <w:t xml:space="preserve"> </w:t>
      </w:r>
      <w:r w:rsidRPr="00F26B48">
        <w:rPr>
          <w:rFonts w:ascii="Book Antiqua" w:hAnsi="Book Antiqua"/>
          <w:color w:val="auto"/>
          <w:sz w:val="20"/>
          <w:szCs w:val="20"/>
        </w:rPr>
        <w:t>2013</w:t>
      </w:r>
      <w:r w:rsidRPr="00F26B48">
        <w:rPr>
          <w:rFonts w:ascii="Book Antiqua" w:hAnsi="Book Antiqua"/>
          <w:i w:val="0"/>
          <w:color w:val="auto"/>
          <w:sz w:val="20"/>
          <w:szCs w:val="20"/>
        </w:rPr>
        <w:t xml:space="preserve"> and the </w:t>
      </w:r>
      <w:r w:rsidRPr="00F26B48">
        <w:rPr>
          <w:rFonts w:ascii="Book Antiqua" w:hAnsi="Book Antiqua"/>
          <w:color w:val="auto"/>
          <w:sz w:val="20"/>
          <w:szCs w:val="20"/>
        </w:rPr>
        <w:t>Medical Research Future Fund Act 2015</w:t>
      </w:r>
      <w:r w:rsidRPr="00F26B48">
        <w:rPr>
          <w:rFonts w:ascii="Book Antiqua" w:hAnsi="Book Antiqua"/>
          <w:i w:val="0"/>
          <w:color w:val="auto"/>
          <w:sz w:val="20"/>
          <w:szCs w:val="20"/>
        </w:rPr>
        <w:t xml:space="preserve"> to include the management of investments to grow other Australian Government Asset Funds as a means to provide financing sources for substantial future investments in the Australian economy. As a result the FFMA supports the Board in managing the investments of the Future Fund, Building Australia Fund (BAF), Education Investment Fund (EIF), </w:t>
      </w:r>
      <w:proofErr w:type="spellStart"/>
      <w:r w:rsidRPr="00F26B48">
        <w:rPr>
          <w:rFonts w:ascii="Book Antiqua" w:hAnsi="Book Antiqua"/>
          <w:i w:val="0"/>
          <w:color w:val="auto"/>
          <w:sz w:val="20"/>
          <w:szCs w:val="20"/>
        </w:rPr>
        <w:t>DisabilityCare</w:t>
      </w:r>
      <w:proofErr w:type="spellEnd"/>
      <w:r w:rsidRPr="00F26B48">
        <w:rPr>
          <w:rFonts w:ascii="Book Antiqua" w:hAnsi="Book Antiqua"/>
          <w:i w:val="0"/>
          <w:color w:val="auto"/>
          <w:sz w:val="20"/>
          <w:szCs w:val="20"/>
        </w:rPr>
        <w:t xml:space="preserve"> Australia Fund (DCAF) and Medical Research Future Fund (MRFF).</w:t>
      </w:r>
    </w:p>
    <w:p w:rsidR="00B2394E" w:rsidRPr="00F26B48" w:rsidRDefault="00B2394E" w:rsidP="00FA4313">
      <w:pPr>
        <w:pStyle w:val="Exampletext"/>
        <w:jc w:val="left"/>
        <w:rPr>
          <w:rFonts w:ascii="Book Antiqua" w:hAnsi="Book Antiqua"/>
          <w:i w:val="0"/>
          <w:color w:val="auto"/>
          <w:sz w:val="20"/>
          <w:szCs w:val="20"/>
          <w:lang w:val="en-US"/>
        </w:rPr>
      </w:pPr>
      <w:r w:rsidRPr="00F26B48">
        <w:rPr>
          <w:rFonts w:ascii="Book Antiqua" w:hAnsi="Book Antiqua"/>
          <w:i w:val="0"/>
          <w:color w:val="auto"/>
          <w:sz w:val="20"/>
          <w:szCs w:val="20"/>
        </w:rPr>
        <w:t xml:space="preserve">Subject to the passage of legislation, the scope of the Board and FFMA is to be broadened by the establishment of a new Australian Government Investment Fund; the Asset Recycling Fund (ARF). The two Nation-building Funds will be abolished through a repeal of the </w:t>
      </w:r>
      <w:r w:rsidRPr="00F26B48">
        <w:rPr>
          <w:rFonts w:ascii="Book Antiqua" w:hAnsi="Book Antiqua"/>
          <w:color w:val="auto"/>
          <w:sz w:val="20"/>
          <w:szCs w:val="20"/>
        </w:rPr>
        <w:t>Nation-building Funds Act 2008.</w:t>
      </w:r>
      <w:r w:rsidRPr="00F26B48">
        <w:rPr>
          <w:rFonts w:ascii="Book Antiqua" w:hAnsi="Book Antiqua"/>
          <w:i w:val="0"/>
          <w:color w:val="auto"/>
          <w:sz w:val="20"/>
          <w:szCs w:val="20"/>
        </w:rPr>
        <w:t xml:space="preserve"> </w:t>
      </w:r>
      <w:r w:rsidRPr="00F26B48">
        <w:rPr>
          <w:rFonts w:ascii="Book Antiqua" w:hAnsi="Book Antiqua"/>
          <w:i w:val="0"/>
          <w:color w:val="auto"/>
          <w:sz w:val="20"/>
          <w:szCs w:val="20"/>
          <w:lang w:val="en-US"/>
        </w:rPr>
        <w:t>During 2015 the assets of the Health and Hospitals Fund were transferred in part to the newly established MRFF and the remaining cash was returned to the Department of Finance to fund existing projects already committed to by the Government.</w:t>
      </w:r>
    </w:p>
    <w:p w:rsidR="00B2394E" w:rsidRPr="00F26B48" w:rsidRDefault="00B2394E" w:rsidP="00FA4313">
      <w:pPr>
        <w:pStyle w:val="Exampletext"/>
        <w:jc w:val="left"/>
        <w:rPr>
          <w:rFonts w:ascii="Book Antiqua" w:hAnsi="Book Antiqua"/>
          <w:i w:val="0"/>
          <w:color w:val="auto"/>
          <w:sz w:val="20"/>
          <w:szCs w:val="20"/>
        </w:rPr>
      </w:pPr>
      <w:r w:rsidRPr="00F26B48">
        <w:rPr>
          <w:rFonts w:ascii="Book Antiqua" w:hAnsi="Book Antiqua"/>
          <w:i w:val="0"/>
          <w:color w:val="auto"/>
          <w:sz w:val="20"/>
          <w:szCs w:val="20"/>
        </w:rPr>
        <w:t xml:space="preserve">The FFMA focuses on supporting and advising the Board of Guardians in developing and implementing appropriate investment strategies for the funds. </w:t>
      </w:r>
    </w:p>
    <w:p w:rsidR="00B2394E" w:rsidRPr="00F26B48" w:rsidRDefault="00B2394E" w:rsidP="00FA4313">
      <w:pPr>
        <w:pStyle w:val="Exampletext"/>
        <w:jc w:val="left"/>
        <w:rPr>
          <w:rFonts w:ascii="Book Antiqua" w:hAnsi="Book Antiqua"/>
          <w:i w:val="0"/>
          <w:color w:val="auto"/>
          <w:sz w:val="20"/>
          <w:szCs w:val="20"/>
        </w:rPr>
      </w:pPr>
      <w:r w:rsidRPr="00F26B48">
        <w:rPr>
          <w:rFonts w:ascii="Book Antiqua" w:hAnsi="Book Antiqua"/>
          <w:i w:val="0"/>
          <w:color w:val="auto"/>
          <w:sz w:val="20"/>
          <w:szCs w:val="20"/>
        </w:rPr>
        <w:t xml:space="preserve">The Future Fund’s portfolio will continue to evolve as the Board manages the portfolio in line with its mandate and strategy. The approach to managing the portfolio is detailed </w:t>
      </w:r>
      <w:proofErr w:type="gramStart"/>
      <w:r w:rsidRPr="00F26B48">
        <w:rPr>
          <w:rFonts w:ascii="Book Antiqua" w:hAnsi="Book Antiqua"/>
          <w:i w:val="0"/>
          <w:color w:val="auto"/>
          <w:sz w:val="20"/>
          <w:szCs w:val="20"/>
        </w:rPr>
        <w:t>in the 2014-15 Future Fund Annual Report</w:t>
      </w:r>
      <w:proofErr w:type="gramEnd"/>
      <w:r w:rsidRPr="00F26B48">
        <w:rPr>
          <w:rFonts w:ascii="Book Antiqua" w:hAnsi="Book Antiqua"/>
          <w:i w:val="0"/>
          <w:color w:val="auto"/>
          <w:sz w:val="20"/>
          <w:szCs w:val="20"/>
        </w:rPr>
        <w:t xml:space="preserve">. Recognising the potential for continued volatility in investment markets, an important emphasis for the FFMA and the Board is maintaining a long term investment perspective and strategy that balances risk with expected return as required under the </w:t>
      </w:r>
      <w:r w:rsidRPr="00F26B48">
        <w:rPr>
          <w:rFonts w:ascii="Book Antiqua" w:hAnsi="Book Antiqua"/>
          <w:color w:val="auto"/>
          <w:sz w:val="20"/>
          <w:szCs w:val="20"/>
        </w:rPr>
        <w:t>Future Fund Investment Mandate Directions 2006</w:t>
      </w:r>
      <w:r w:rsidRPr="00F26B48">
        <w:rPr>
          <w:rFonts w:ascii="Book Antiqua" w:hAnsi="Book Antiqua"/>
          <w:i w:val="0"/>
          <w:color w:val="auto"/>
          <w:sz w:val="20"/>
          <w:szCs w:val="20"/>
        </w:rPr>
        <w:t xml:space="preserve"> (Investment Mandate). </w:t>
      </w:r>
    </w:p>
    <w:p w:rsidR="00B2394E" w:rsidRPr="00F26B48" w:rsidRDefault="00B2394E" w:rsidP="00FA4313">
      <w:pPr>
        <w:pStyle w:val="Exampletext"/>
        <w:jc w:val="left"/>
        <w:rPr>
          <w:rFonts w:ascii="Book Antiqua" w:hAnsi="Book Antiqua"/>
          <w:i w:val="0"/>
          <w:color w:val="auto"/>
          <w:sz w:val="20"/>
          <w:szCs w:val="20"/>
        </w:rPr>
      </w:pPr>
      <w:r w:rsidRPr="00F26B48">
        <w:rPr>
          <w:rFonts w:ascii="Book Antiqua" w:hAnsi="Book Antiqua"/>
          <w:i w:val="0"/>
          <w:color w:val="auto"/>
          <w:sz w:val="20"/>
          <w:szCs w:val="20"/>
        </w:rPr>
        <w:t xml:space="preserve">The FFMA provides support and advice to the Board in relation to the BAF, EIF, DCAF and MRFF and is focused on developing and implementing investment strategies consistent with the legislation and mandates. The investment strategies and approach for the Nation-building Funds and the DCAF are detailed </w:t>
      </w:r>
      <w:proofErr w:type="gramStart"/>
      <w:r w:rsidRPr="00F26B48">
        <w:rPr>
          <w:rFonts w:ascii="Book Antiqua" w:hAnsi="Book Antiqua"/>
          <w:i w:val="0"/>
          <w:color w:val="auto"/>
          <w:sz w:val="20"/>
          <w:szCs w:val="20"/>
        </w:rPr>
        <w:t>in the 2014-15 Future Fund Annual Report</w:t>
      </w:r>
      <w:proofErr w:type="gramEnd"/>
      <w:r w:rsidRPr="00F26B48">
        <w:rPr>
          <w:rFonts w:ascii="Book Antiqua" w:hAnsi="Book Antiqua"/>
          <w:i w:val="0"/>
          <w:color w:val="auto"/>
          <w:sz w:val="20"/>
          <w:szCs w:val="20"/>
        </w:rPr>
        <w:t>.</w:t>
      </w:r>
    </w:p>
    <w:p w:rsidR="00B2394E" w:rsidRPr="00B872D6" w:rsidRDefault="00B2394E" w:rsidP="00FA4313">
      <w:pPr>
        <w:pStyle w:val="Exampletext"/>
        <w:jc w:val="left"/>
        <w:rPr>
          <w:i w:val="0"/>
          <w:color w:val="auto"/>
        </w:rPr>
      </w:pPr>
      <w:r w:rsidRPr="00F26B48">
        <w:rPr>
          <w:rFonts w:ascii="Book Antiqua" w:hAnsi="Book Antiqua"/>
          <w:i w:val="0"/>
          <w:color w:val="auto"/>
          <w:sz w:val="20"/>
          <w:szCs w:val="20"/>
        </w:rPr>
        <w:lastRenderedPageBreak/>
        <w:t xml:space="preserve">Investment policies for all of the public asset funds for which the Board is responsible are available at </w:t>
      </w:r>
      <w:hyperlink r:id="rId19" w:history="1">
        <w:r w:rsidRPr="00F26B48">
          <w:rPr>
            <w:rStyle w:val="Hyperlink"/>
            <w:rFonts w:ascii="Book Antiqua" w:hAnsi="Book Antiqua"/>
            <w:i w:val="0"/>
            <w:sz w:val="20"/>
            <w:szCs w:val="20"/>
          </w:rPr>
          <w:t>www.futurefund.gov.au</w:t>
        </w:r>
      </w:hyperlink>
      <w:r w:rsidRPr="00B872D6">
        <w:rPr>
          <w:i w:val="0"/>
          <w:color w:val="auto"/>
        </w:rPr>
        <w:t>.</w:t>
      </w:r>
    </w:p>
    <w:p w:rsidR="00B2394E" w:rsidRPr="00D47F93" w:rsidRDefault="00B2394E" w:rsidP="00B2394E">
      <w:pPr>
        <w:pStyle w:val="Exampletext"/>
        <w:rPr>
          <w:color w:val="000000"/>
        </w:rPr>
      </w:pPr>
    </w:p>
    <w:p w:rsidR="00B2394E" w:rsidRDefault="00B2394E" w:rsidP="00B2394E">
      <w:pPr>
        <w:pStyle w:val="Heading3"/>
      </w:pPr>
      <w:r>
        <w:br w:type="page"/>
      </w:r>
      <w:r>
        <w:lastRenderedPageBreak/>
        <w:t>1.2</w:t>
      </w:r>
      <w:r>
        <w:tab/>
        <w:t>Entity Resource Statement</w:t>
      </w:r>
    </w:p>
    <w:p w:rsidR="00B2394E" w:rsidRPr="00F26B48" w:rsidRDefault="00B2394E" w:rsidP="00FA4313">
      <w:pPr>
        <w:jc w:val="left"/>
        <w:rPr>
          <w:rFonts w:ascii="Book Antiqua" w:hAnsi="Book Antiqua"/>
          <w:sz w:val="20"/>
          <w:szCs w:val="20"/>
        </w:rPr>
      </w:pPr>
      <w:r w:rsidRPr="00F26B48">
        <w:rPr>
          <w:rFonts w:ascii="Book Antiqua" w:hAnsi="Book Antiqua"/>
          <w:sz w:val="20"/>
          <w:szCs w:val="20"/>
        </w:rPr>
        <w:t xml:space="preserve">Table 1.1 shows the total funding from all sources available to the entity for its operations and to deliver programs and services on behalf of the government. </w:t>
      </w:r>
    </w:p>
    <w:p w:rsidR="00B2394E" w:rsidRPr="00F26B48" w:rsidRDefault="00B2394E" w:rsidP="00FA4313">
      <w:pPr>
        <w:jc w:val="left"/>
        <w:rPr>
          <w:rFonts w:ascii="Book Antiqua" w:hAnsi="Book Antiqua"/>
          <w:sz w:val="20"/>
          <w:szCs w:val="20"/>
        </w:rPr>
      </w:pPr>
      <w:r w:rsidRPr="00F26B48">
        <w:rPr>
          <w:rFonts w:ascii="Book Antiqua" w:hAnsi="Book Antiqua"/>
          <w:sz w:val="20"/>
          <w:szCs w:val="20"/>
        </w:rPr>
        <w:t xml:space="preserve">The table summarises how resources will be applied by outcome (government strategic policy objectives) and by administered (on behalf of the government or the public) and departmental (for </w:t>
      </w:r>
      <w:r w:rsidR="0051401E">
        <w:rPr>
          <w:rFonts w:ascii="Book Antiqua" w:hAnsi="Book Antiqua"/>
          <w:sz w:val="20"/>
          <w:szCs w:val="20"/>
        </w:rPr>
        <w:t xml:space="preserve">FFMA’s </w:t>
      </w:r>
      <w:r w:rsidRPr="00F26B48">
        <w:rPr>
          <w:rFonts w:ascii="Book Antiqua" w:hAnsi="Book Antiqua"/>
          <w:sz w:val="20"/>
          <w:szCs w:val="20"/>
        </w:rPr>
        <w:t>operations) classification.</w:t>
      </w:r>
    </w:p>
    <w:p w:rsidR="00B2394E" w:rsidRPr="00F26B48" w:rsidRDefault="00B2394E" w:rsidP="00FA4313">
      <w:pPr>
        <w:jc w:val="left"/>
        <w:rPr>
          <w:rFonts w:ascii="Book Antiqua" w:hAnsi="Book Antiqua"/>
          <w:sz w:val="20"/>
          <w:szCs w:val="20"/>
        </w:rPr>
      </w:pPr>
      <w:r w:rsidRPr="00F26B48">
        <w:rPr>
          <w:rFonts w:ascii="Book Antiqua" w:hAnsi="Book Antiqua"/>
          <w:sz w:val="20"/>
          <w:szCs w:val="20"/>
        </w:rPr>
        <w:t xml:space="preserve">For more detailed information on special accounts and special appropriations, please refer to </w:t>
      </w:r>
      <w:r w:rsidRPr="00F26B48">
        <w:rPr>
          <w:rFonts w:ascii="Book Antiqua" w:hAnsi="Book Antiqua"/>
          <w:i/>
          <w:sz w:val="20"/>
          <w:szCs w:val="20"/>
        </w:rPr>
        <w:t>Budget Paper No. 4 – Agency Resourcing</w:t>
      </w:r>
      <w:r w:rsidRPr="00F26B48">
        <w:rPr>
          <w:rFonts w:ascii="Book Antiqua" w:hAnsi="Book Antiqua"/>
          <w:sz w:val="20"/>
          <w:szCs w:val="20"/>
        </w:rPr>
        <w:t>.</w:t>
      </w:r>
    </w:p>
    <w:p w:rsidR="00B2394E" w:rsidRPr="00F26B48" w:rsidRDefault="00B2394E" w:rsidP="00FA4313">
      <w:pPr>
        <w:jc w:val="left"/>
        <w:rPr>
          <w:rFonts w:ascii="Book Antiqua" w:hAnsi="Book Antiqua"/>
          <w:sz w:val="20"/>
          <w:szCs w:val="20"/>
        </w:rPr>
      </w:pPr>
      <w:r w:rsidRPr="00F26B48">
        <w:rPr>
          <w:rFonts w:ascii="Book Antiqua" w:hAnsi="Book Antiqua"/>
          <w:sz w:val="20"/>
          <w:szCs w:val="20"/>
        </w:rPr>
        <w:t xml:space="preserve">Information in this table is presented on a resourcing (i.e. appropriations/cash available) basis, whilst the ‘Budgeted Expenses by Outcome 1’ tables in Section 2 and the financial statements in Section 3 are presented on an accrual basis. </w:t>
      </w:r>
    </w:p>
    <w:p w:rsidR="00B2394E" w:rsidRPr="00F26B48" w:rsidRDefault="00B2394E" w:rsidP="00F26B48">
      <w:pPr>
        <w:spacing w:after="0" w:line="240" w:lineRule="auto"/>
        <w:jc w:val="both"/>
        <w:rPr>
          <w:rFonts w:ascii="Book Antiqua" w:hAnsi="Book Antiqua"/>
          <w:b/>
          <w:color w:val="000000"/>
          <w:sz w:val="20"/>
          <w:szCs w:val="20"/>
        </w:rPr>
      </w:pPr>
      <w:r w:rsidRPr="00F26B48">
        <w:rPr>
          <w:rFonts w:ascii="Book Antiqua" w:hAnsi="Book Antiqua"/>
          <w:sz w:val="20"/>
          <w:szCs w:val="20"/>
        </w:rPr>
        <w:br w:type="page"/>
      </w:r>
    </w:p>
    <w:p w:rsidR="00B2394E" w:rsidRPr="005731D3" w:rsidRDefault="00B2394E" w:rsidP="00F26B48">
      <w:pPr>
        <w:pStyle w:val="Heading5"/>
        <w:spacing w:after="0"/>
      </w:pPr>
      <w:r w:rsidRPr="005731D3">
        <w:lastRenderedPageBreak/>
        <w:t xml:space="preserve">Table 1.1: </w:t>
      </w:r>
      <w:r>
        <w:rPr>
          <w:lang w:val="en-US"/>
        </w:rPr>
        <w:t xml:space="preserve">Future Fund Management Agency </w:t>
      </w:r>
      <w:r>
        <w:t>R</w:t>
      </w:r>
      <w:r w:rsidRPr="005731D3">
        <w:t xml:space="preserve">esource </w:t>
      </w:r>
      <w:r>
        <w:t>S</w:t>
      </w:r>
      <w:r w:rsidRPr="005731D3">
        <w:t xml:space="preserve">tatement — Budget </w:t>
      </w:r>
      <w:r>
        <w:t>E</w:t>
      </w:r>
      <w:r w:rsidRPr="005731D3">
        <w:t>stimates for 2016-17 as at Budget May 2016</w:t>
      </w:r>
    </w:p>
    <w:tbl>
      <w:tblPr>
        <w:tblW w:w="7160" w:type="dxa"/>
        <w:tblInd w:w="96" w:type="dxa"/>
        <w:tblLook w:val="04A0"/>
      </w:tblPr>
      <w:tblGrid>
        <w:gridCol w:w="4940"/>
        <w:gridCol w:w="1120"/>
        <w:gridCol w:w="1100"/>
      </w:tblGrid>
      <w:tr w:rsidR="00E02AC1" w:rsidRPr="00E02AC1" w:rsidTr="00E02AC1">
        <w:trPr>
          <w:trHeight w:val="900"/>
        </w:trPr>
        <w:tc>
          <w:tcPr>
            <w:tcW w:w="4940" w:type="dxa"/>
            <w:tcBorders>
              <w:top w:val="single" w:sz="4" w:space="0" w:color="auto"/>
              <w:left w:val="nil"/>
              <w:bottom w:val="nil"/>
              <w:right w:val="nil"/>
            </w:tcBorders>
            <w:shd w:val="clear" w:color="000000" w:fill="FFFFFF"/>
            <w:noWrap/>
            <w:vAlign w:val="bottom"/>
            <w:hideMark/>
          </w:tcPr>
          <w:p w:rsidR="00E02AC1" w:rsidRPr="00E02AC1" w:rsidRDefault="00E02AC1" w:rsidP="00E02AC1">
            <w:pPr>
              <w:spacing w:after="0" w:line="240" w:lineRule="auto"/>
              <w:jc w:val="left"/>
              <w:rPr>
                <w:rFonts w:ascii="Arial" w:hAnsi="Arial" w:cs="Arial"/>
                <w:color w:val="000000"/>
              </w:rPr>
            </w:pPr>
            <w:r w:rsidRPr="00E02AC1">
              <w:rPr>
                <w:rFonts w:ascii="Arial" w:hAnsi="Arial" w:cs="Arial"/>
                <w:color w:val="000000"/>
              </w:rPr>
              <w:t> </w:t>
            </w:r>
          </w:p>
        </w:tc>
        <w:tc>
          <w:tcPr>
            <w:tcW w:w="1120" w:type="dxa"/>
            <w:tcBorders>
              <w:top w:val="single" w:sz="4" w:space="0" w:color="auto"/>
              <w:left w:val="nil"/>
              <w:bottom w:val="single" w:sz="4" w:space="0" w:color="auto"/>
              <w:right w:val="nil"/>
            </w:tcBorders>
            <w:shd w:val="clear" w:color="000000" w:fill="FFFFFF"/>
            <w:hideMark/>
          </w:tcPr>
          <w:p w:rsidR="00E02AC1" w:rsidRPr="00E02AC1" w:rsidRDefault="00E02AC1" w:rsidP="00E02AC1">
            <w:pPr>
              <w:spacing w:after="0" w:line="240" w:lineRule="auto"/>
              <w:jc w:val="right"/>
              <w:rPr>
                <w:rFonts w:ascii="Arial" w:hAnsi="Arial" w:cs="Arial"/>
                <w:i/>
                <w:iCs/>
                <w:color w:val="000000"/>
              </w:rPr>
            </w:pPr>
            <w:r w:rsidRPr="00E02AC1">
              <w:rPr>
                <w:rFonts w:ascii="Arial" w:hAnsi="Arial" w:cs="Arial"/>
                <w:i/>
                <w:iCs/>
                <w:color w:val="000000"/>
              </w:rPr>
              <w:t xml:space="preserve">2015-16 Estimated actual </w:t>
            </w:r>
            <w:r w:rsidRPr="00E02AC1">
              <w:rPr>
                <w:rFonts w:ascii="Arial" w:hAnsi="Arial" w:cs="Arial"/>
                <w:i/>
                <w:iCs/>
                <w:color w:val="000000"/>
              </w:rPr>
              <w:br/>
              <w:t>$'000</w:t>
            </w:r>
          </w:p>
        </w:tc>
        <w:tc>
          <w:tcPr>
            <w:tcW w:w="1100" w:type="dxa"/>
            <w:tcBorders>
              <w:top w:val="single" w:sz="4" w:space="0" w:color="auto"/>
              <w:left w:val="nil"/>
              <w:bottom w:val="single" w:sz="4" w:space="0" w:color="auto"/>
              <w:right w:val="nil"/>
            </w:tcBorders>
            <w:shd w:val="clear" w:color="000000" w:fill="E6E6E6"/>
            <w:hideMark/>
          </w:tcPr>
          <w:p w:rsidR="00E02AC1" w:rsidRPr="00E02AC1" w:rsidRDefault="00E02AC1" w:rsidP="00E02AC1">
            <w:pPr>
              <w:spacing w:after="0" w:line="240" w:lineRule="auto"/>
              <w:jc w:val="right"/>
              <w:rPr>
                <w:rFonts w:ascii="Arial" w:hAnsi="Arial" w:cs="Arial"/>
                <w:color w:val="000000"/>
              </w:rPr>
            </w:pPr>
            <w:r w:rsidRPr="00E02AC1">
              <w:rPr>
                <w:rFonts w:ascii="Arial" w:hAnsi="Arial" w:cs="Arial"/>
                <w:color w:val="000000"/>
              </w:rPr>
              <w:t>2016-17 Estimate</w:t>
            </w:r>
            <w:r w:rsidRPr="00E02AC1">
              <w:rPr>
                <w:rFonts w:ascii="Arial" w:hAnsi="Arial" w:cs="Arial"/>
                <w:color w:val="000000"/>
              </w:rPr>
              <w:br/>
            </w:r>
            <w:r w:rsidRPr="00E02AC1">
              <w:rPr>
                <w:rFonts w:ascii="Arial" w:hAnsi="Arial" w:cs="Arial"/>
                <w:color w:val="000000"/>
              </w:rPr>
              <w:br/>
              <w:t>$'000</w:t>
            </w:r>
          </w:p>
        </w:tc>
      </w:tr>
      <w:tr w:rsidR="00E02AC1" w:rsidRPr="00E02AC1" w:rsidTr="00E02AC1">
        <w:trPr>
          <w:trHeight w:val="225"/>
        </w:trPr>
        <w:tc>
          <w:tcPr>
            <w:tcW w:w="4940" w:type="dxa"/>
            <w:tcBorders>
              <w:top w:val="nil"/>
              <w:left w:val="nil"/>
              <w:bottom w:val="nil"/>
              <w:right w:val="nil"/>
            </w:tcBorders>
            <w:shd w:val="clear" w:color="000000" w:fill="FFFFFF"/>
            <w:vAlign w:val="bottom"/>
            <w:hideMark/>
          </w:tcPr>
          <w:p w:rsidR="00E02AC1" w:rsidRPr="00E02AC1" w:rsidRDefault="00E02AC1" w:rsidP="00E02AC1">
            <w:pPr>
              <w:spacing w:after="0" w:line="240" w:lineRule="auto"/>
              <w:jc w:val="left"/>
              <w:rPr>
                <w:rFonts w:ascii="Arial" w:hAnsi="Arial" w:cs="Arial"/>
                <w:color w:val="000000"/>
              </w:rPr>
            </w:pPr>
            <w:r w:rsidRPr="00E02AC1">
              <w:rPr>
                <w:rFonts w:ascii="Arial" w:hAnsi="Arial" w:cs="Arial"/>
                <w:color w:val="000000"/>
              </w:rPr>
              <w:t xml:space="preserve">Special accounts </w:t>
            </w:r>
          </w:p>
        </w:tc>
        <w:tc>
          <w:tcPr>
            <w:tcW w:w="1120" w:type="dxa"/>
            <w:tcBorders>
              <w:top w:val="nil"/>
              <w:left w:val="nil"/>
              <w:bottom w:val="nil"/>
              <w:right w:val="nil"/>
            </w:tcBorders>
            <w:shd w:val="clear" w:color="000000" w:fill="FFFFFF"/>
            <w:noWrap/>
            <w:vAlign w:val="bottom"/>
            <w:hideMark/>
          </w:tcPr>
          <w:p w:rsidR="00E02AC1" w:rsidRPr="00E02AC1" w:rsidRDefault="00E02AC1" w:rsidP="00E02AC1">
            <w:pPr>
              <w:spacing w:after="0" w:line="240" w:lineRule="auto"/>
              <w:jc w:val="left"/>
              <w:rPr>
                <w:rFonts w:ascii="Arial" w:hAnsi="Arial" w:cs="Arial"/>
                <w:i/>
                <w:iCs/>
                <w:color w:val="000000"/>
              </w:rPr>
            </w:pPr>
            <w:r w:rsidRPr="00E02AC1">
              <w:rPr>
                <w:rFonts w:ascii="Arial" w:hAnsi="Arial" w:cs="Arial"/>
                <w:i/>
                <w:iCs/>
                <w:color w:val="000000"/>
              </w:rPr>
              <w:t> </w:t>
            </w:r>
          </w:p>
        </w:tc>
        <w:tc>
          <w:tcPr>
            <w:tcW w:w="1100" w:type="dxa"/>
            <w:tcBorders>
              <w:top w:val="nil"/>
              <w:left w:val="nil"/>
              <w:bottom w:val="nil"/>
              <w:right w:val="nil"/>
            </w:tcBorders>
            <w:shd w:val="clear" w:color="000000" w:fill="E6E6E6"/>
            <w:noWrap/>
            <w:vAlign w:val="bottom"/>
            <w:hideMark/>
          </w:tcPr>
          <w:p w:rsidR="00E02AC1" w:rsidRPr="00E02AC1" w:rsidRDefault="00E02AC1" w:rsidP="00E02AC1">
            <w:pPr>
              <w:spacing w:after="0" w:line="240" w:lineRule="auto"/>
              <w:jc w:val="left"/>
              <w:rPr>
                <w:rFonts w:ascii="Arial" w:hAnsi="Arial" w:cs="Arial"/>
                <w:color w:val="000000"/>
              </w:rPr>
            </w:pPr>
            <w:r w:rsidRPr="00E02AC1">
              <w:rPr>
                <w:rFonts w:ascii="Arial" w:hAnsi="Arial" w:cs="Arial"/>
                <w:color w:val="000000"/>
              </w:rPr>
              <w:t> </w:t>
            </w:r>
          </w:p>
        </w:tc>
      </w:tr>
      <w:tr w:rsidR="00E02AC1" w:rsidRPr="00E02AC1" w:rsidTr="00E02AC1">
        <w:trPr>
          <w:trHeight w:val="225"/>
        </w:trPr>
        <w:tc>
          <w:tcPr>
            <w:tcW w:w="4940" w:type="dxa"/>
            <w:tcBorders>
              <w:top w:val="nil"/>
              <w:left w:val="nil"/>
              <w:bottom w:val="nil"/>
              <w:right w:val="nil"/>
            </w:tcBorders>
            <w:shd w:val="clear" w:color="000000" w:fill="FFFFFF"/>
            <w:vAlign w:val="bottom"/>
            <w:hideMark/>
          </w:tcPr>
          <w:p w:rsidR="00E02AC1" w:rsidRPr="00E02AC1" w:rsidRDefault="00E02AC1" w:rsidP="00E02AC1">
            <w:pPr>
              <w:spacing w:after="0" w:line="240" w:lineRule="auto"/>
              <w:ind w:firstLineChars="100" w:firstLine="160"/>
              <w:jc w:val="left"/>
              <w:rPr>
                <w:rFonts w:ascii="Arial" w:hAnsi="Arial" w:cs="Arial"/>
                <w:color w:val="000000"/>
              </w:rPr>
            </w:pPr>
            <w:r w:rsidRPr="00E02AC1">
              <w:rPr>
                <w:rFonts w:ascii="Arial" w:hAnsi="Arial" w:cs="Arial"/>
                <w:color w:val="000000"/>
              </w:rPr>
              <w:t>Opening balance</w:t>
            </w:r>
          </w:p>
        </w:tc>
        <w:tc>
          <w:tcPr>
            <w:tcW w:w="1120" w:type="dxa"/>
            <w:tcBorders>
              <w:top w:val="nil"/>
              <w:left w:val="nil"/>
              <w:bottom w:val="nil"/>
              <w:right w:val="nil"/>
            </w:tcBorders>
            <w:shd w:val="clear" w:color="000000" w:fill="FFFFFF"/>
            <w:noWrap/>
            <w:vAlign w:val="bottom"/>
            <w:hideMark/>
          </w:tcPr>
          <w:p w:rsidR="00E02AC1" w:rsidRPr="00E02AC1" w:rsidRDefault="00E02AC1" w:rsidP="00E02AC1">
            <w:pPr>
              <w:spacing w:after="0" w:line="240" w:lineRule="auto"/>
              <w:jc w:val="right"/>
              <w:rPr>
                <w:rFonts w:ascii="Arial" w:hAnsi="Arial" w:cs="Arial"/>
                <w:i/>
                <w:iCs/>
                <w:color w:val="000000"/>
              </w:rPr>
            </w:pPr>
            <w:r w:rsidRPr="00E02AC1">
              <w:rPr>
                <w:rFonts w:ascii="Arial" w:hAnsi="Arial" w:cs="Arial"/>
                <w:i/>
                <w:iCs/>
                <w:color w:val="000000"/>
              </w:rPr>
              <w:t xml:space="preserve">- </w:t>
            </w:r>
          </w:p>
        </w:tc>
        <w:tc>
          <w:tcPr>
            <w:tcW w:w="1100" w:type="dxa"/>
            <w:tcBorders>
              <w:top w:val="nil"/>
              <w:left w:val="nil"/>
              <w:bottom w:val="nil"/>
              <w:right w:val="nil"/>
            </w:tcBorders>
            <w:shd w:val="clear" w:color="000000" w:fill="E6E6E6"/>
            <w:noWrap/>
            <w:vAlign w:val="bottom"/>
            <w:hideMark/>
          </w:tcPr>
          <w:p w:rsidR="00E02AC1" w:rsidRPr="00E02AC1" w:rsidRDefault="00E02AC1" w:rsidP="00E02AC1">
            <w:pPr>
              <w:spacing w:after="0" w:line="240" w:lineRule="auto"/>
              <w:jc w:val="right"/>
              <w:rPr>
                <w:rFonts w:ascii="Arial" w:hAnsi="Arial" w:cs="Arial"/>
                <w:color w:val="000000"/>
              </w:rPr>
            </w:pPr>
            <w:r w:rsidRPr="00E02AC1">
              <w:rPr>
                <w:rFonts w:ascii="Arial" w:hAnsi="Arial" w:cs="Arial"/>
                <w:color w:val="000000"/>
              </w:rPr>
              <w:t xml:space="preserve">- </w:t>
            </w:r>
          </w:p>
        </w:tc>
      </w:tr>
      <w:tr w:rsidR="00E02AC1" w:rsidRPr="00E02AC1" w:rsidTr="00E02AC1">
        <w:trPr>
          <w:trHeight w:val="225"/>
        </w:trPr>
        <w:tc>
          <w:tcPr>
            <w:tcW w:w="4940" w:type="dxa"/>
            <w:tcBorders>
              <w:top w:val="nil"/>
              <w:left w:val="nil"/>
              <w:bottom w:val="nil"/>
              <w:right w:val="nil"/>
            </w:tcBorders>
            <w:shd w:val="clear" w:color="000000" w:fill="FFFFFF"/>
            <w:noWrap/>
            <w:vAlign w:val="bottom"/>
            <w:hideMark/>
          </w:tcPr>
          <w:p w:rsidR="00E02AC1" w:rsidRPr="00E02AC1" w:rsidRDefault="00E02AC1" w:rsidP="00E02AC1">
            <w:pPr>
              <w:spacing w:after="0" w:line="240" w:lineRule="auto"/>
              <w:ind w:firstLineChars="100" w:firstLine="160"/>
              <w:jc w:val="left"/>
              <w:rPr>
                <w:rFonts w:ascii="Arial" w:hAnsi="Arial" w:cs="Arial"/>
                <w:color w:val="000000"/>
              </w:rPr>
            </w:pPr>
            <w:r w:rsidRPr="00E02AC1">
              <w:rPr>
                <w:rFonts w:ascii="Arial" w:hAnsi="Arial" w:cs="Arial"/>
                <w:color w:val="000000"/>
              </w:rPr>
              <w:t>Non-appropriation receipts</w:t>
            </w:r>
          </w:p>
        </w:tc>
        <w:tc>
          <w:tcPr>
            <w:tcW w:w="1120" w:type="dxa"/>
            <w:tcBorders>
              <w:top w:val="nil"/>
              <w:left w:val="nil"/>
              <w:bottom w:val="nil"/>
              <w:right w:val="nil"/>
            </w:tcBorders>
            <w:shd w:val="clear" w:color="auto" w:fill="auto"/>
            <w:noWrap/>
            <w:vAlign w:val="bottom"/>
            <w:hideMark/>
          </w:tcPr>
          <w:p w:rsidR="00E02AC1" w:rsidRPr="00E02AC1" w:rsidRDefault="00E02AC1" w:rsidP="00E02AC1">
            <w:pPr>
              <w:spacing w:after="0" w:line="240" w:lineRule="auto"/>
              <w:jc w:val="right"/>
              <w:rPr>
                <w:rFonts w:ascii="Arial" w:hAnsi="Arial" w:cs="Arial"/>
                <w:i/>
                <w:iCs/>
                <w:color w:val="000000"/>
              </w:rPr>
            </w:pPr>
            <w:r w:rsidRPr="00E02AC1">
              <w:rPr>
                <w:rFonts w:ascii="Arial" w:hAnsi="Arial" w:cs="Arial"/>
                <w:i/>
                <w:iCs/>
                <w:color w:val="000000"/>
              </w:rPr>
              <w:t xml:space="preserve">402,413 </w:t>
            </w:r>
          </w:p>
        </w:tc>
        <w:tc>
          <w:tcPr>
            <w:tcW w:w="1100" w:type="dxa"/>
            <w:tcBorders>
              <w:top w:val="nil"/>
              <w:left w:val="nil"/>
              <w:bottom w:val="nil"/>
              <w:right w:val="nil"/>
            </w:tcBorders>
            <w:shd w:val="clear" w:color="000000" w:fill="E6E6E6"/>
            <w:noWrap/>
            <w:vAlign w:val="bottom"/>
            <w:hideMark/>
          </w:tcPr>
          <w:p w:rsidR="00E02AC1" w:rsidRPr="00E02AC1" w:rsidRDefault="00E02AC1" w:rsidP="00E02AC1">
            <w:pPr>
              <w:spacing w:after="0" w:line="240" w:lineRule="auto"/>
              <w:jc w:val="right"/>
              <w:rPr>
                <w:rFonts w:ascii="Arial" w:hAnsi="Arial" w:cs="Arial"/>
                <w:color w:val="000000"/>
              </w:rPr>
            </w:pPr>
            <w:r w:rsidRPr="00E02AC1">
              <w:rPr>
                <w:rFonts w:ascii="Arial" w:hAnsi="Arial" w:cs="Arial"/>
                <w:color w:val="000000"/>
              </w:rPr>
              <w:t xml:space="preserve">459,410 </w:t>
            </w:r>
          </w:p>
        </w:tc>
      </w:tr>
      <w:tr w:rsidR="00E02AC1" w:rsidRPr="00E02AC1" w:rsidTr="00E02AC1">
        <w:trPr>
          <w:trHeight w:val="225"/>
        </w:trPr>
        <w:tc>
          <w:tcPr>
            <w:tcW w:w="4940" w:type="dxa"/>
            <w:tcBorders>
              <w:top w:val="nil"/>
              <w:left w:val="nil"/>
              <w:bottom w:val="nil"/>
              <w:right w:val="nil"/>
            </w:tcBorders>
            <w:shd w:val="clear" w:color="000000" w:fill="FFFFFF"/>
            <w:noWrap/>
            <w:vAlign w:val="bottom"/>
            <w:hideMark/>
          </w:tcPr>
          <w:p w:rsidR="00E02AC1" w:rsidRPr="00E02AC1" w:rsidRDefault="00E02AC1" w:rsidP="00E02AC1">
            <w:pPr>
              <w:spacing w:after="0" w:line="240" w:lineRule="auto"/>
              <w:jc w:val="left"/>
              <w:rPr>
                <w:rFonts w:ascii="Arial" w:hAnsi="Arial" w:cs="Arial"/>
                <w:color w:val="000000"/>
              </w:rPr>
            </w:pPr>
            <w:r w:rsidRPr="00E02AC1">
              <w:rPr>
                <w:rFonts w:ascii="Arial" w:hAnsi="Arial" w:cs="Arial"/>
                <w:color w:val="000000"/>
              </w:rPr>
              <w:t>Total special account receipts</w:t>
            </w:r>
          </w:p>
        </w:tc>
        <w:tc>
          <w:tcPr>
            <w:tcW w:w="1120" w:type="dxa"/>
            <w:tcBorders>
              <w:top w:val="single" w:sz="4" w:space="0" w:color="auto"/>
              <w:left w:val="nil"/>
              <w:bottom w:val="single" w:sz="4" w:space="0" w:color="auto"/>
              <w:right w:val="nil"/>
            </w:tcBorders>
            <w:shd w:val="clear" w:color="auto" w:fill="auto"/>
            <w:noWrap/>
            <w:vAlign w:val="bottom"/>
            <w:hideMark/>
          </w:tcPr>
          <w:p w:rsidR="00E02AC1" w:rsidRPr="00E02AC1" w:rsidRDefault="00E02AC1" w:rsidP="00E02AC1">
            <w:pPr>
              <w:spacing w:after="0" w:line="240" w:lineRule="auto"/>
              <w:jc w:val="right"/>
              <w:rPr>
                <w:rFonts w:ascii="Arial" w:hAnsi="Arial" w:cs="Arial"/>
                <w:i/>
                <w:iCs/>
                <w:color w:val="000000"/>
              </w:rPr>
            </w:pPr>
            <w:r w:rsidRPr="00E02AC1">
              <w:rPr>
                <w:rFonts w:ascii="Arial" w:hAnsi="Arial" w:cs="Arial"/>
                <w:i/>
                <w:iCs/>
                <w:color w:val="000000"/>
              </w:rPr>
              <w:t xml:space="preserve">402,413 </w:t>
            </w:r>
          </w:p>
        </w:tc>
        <w:tc>
          <w:tcPr>
            <w:tcW w:w="1100" w:type="dxa"/>
            <w:tcBorders>
              <w:top w:val="single" w:sz="4" w:space="0" w:color="auto"/>
              <w:left w:val="nil"/>
              <w:bottom w:val="single" w:sz="4" w:space="0" w:color="auto"/>
              <w:right w:val="nil"/>
            </w:tcBorders>
            <w:shd w:val="clear" w:color="000000" w:fill="E6E6E6"/>
            <w:noWrap/>
            <w:vAlign w:val="bottom"/>
            <w:hideMark/>
          </w:tcPr>
          <w:p w:rsidR="00E02AC1" w:rsidRPr="00E02AC1" w:rsidRDefault="00E02AC1" w:rsidP="00E02AC1">
            <w:pPr>
              <w:spacing w:after="0" w:line="240" w:lineRule="auto"/>
              <w:jc w:val="right"/>
              <w:rPr>
                <w:rFonts w:ascii="Arial" w:hAnsi="Arial" w:cs="Arial"/>
                <w:color w:val="000000"/>
              </w:rPr>
            </w:pPr>
            <w:r w:rsidRPr="00E02AC1">
              <w:rPr>
                <w:rFonts w:ascii="Arial" w:hAnsi="Arial" w:cs="Arial"/>
                <w:color w:val="000000"/>
              </w:rPr>
              <w:t xml:space="preserve">459,410 </w:t>
            </w:r>
          </w:p>
        </w:tc>
      </w:tr>
      <w:tr w:rsidR="00E02AC1" w:rsidRPr="00E02AC1" w:rsidTr="00E02AC1">
        <w:trPr>
          <w:trHeight w:val="225"/>
        </w:trPr>
        <w:tc>
          <w:tcPr>
            <w:tcW w:w="4940" w:type="dxa"/>
            <w:tcBorders>
              <w:top w:val="nil"/>
              <w:left w:val="nil"/>
              <w:bottom w:val="single" w:sz="4" w:space="0" w:color="auto"/>
              <w:right w:val="nil"/>
            </w:tcBorders>
            <w:shd w:val="clear" w:color="000000" w:fill="FFFFFF"/>
            <w:vAlign w:val="bottom"/>
            <w:hideMark/>
          </w:tcPr>
          <w:p w:rsidR="00E02AC1" w:rsidRPr="00E02AC1" w:rsidRDefault="00E02AC1" w:rsidP="00E02AC1">
            <w:pPr>
              <w:spacing w:after="0" w:line="240" w:lineRule="auto"/>
              <w:jc w:val="left"/>
              <w:rPr>
                <w:rFonts w:ascii="Arial" w:hAnsi="Arial" w:cs="Arial"/>
                <w:b/>
                <w:bCs/>
                <w:color w:val="000000"/>
              </w:rPr>
            </w:pPr>
            <w:r w:rsidRPr="00E02AC1">
              <w:rPr>
                <w:rFonts w:ascii="Arial" w:hAnsi="Arial" w:cs="Arial"/>
                <w:b/>
                <w:bCs/>
                <w:color w:val="000000"/>
              </w:rPr>
              <w:t>Total resourcing for FFMA</w:t>
            </w:r>
          </w:p>
        </w:tc>
        <w:tc>
          <w:tcPr>
            <w:tcW w:w="1120" w:type="dxa"/>
            <w:tcBorders>
              <w:top w:val="nil"/>
              <w:left w:val="nil"/>
              <w:bottom w:val="single" w:sz="4" w:space="0" w:color="auto"/>
              <w:right w:val="nil"/>
            </w:tcBorders>
            <w:shd w:val="clear" w:color="auto" w:fill="auto"/>
            <w:noWrap/>
            <w:vAlign w:val="bottom"/>
            <w:hideMark/>
          </w:tcPr>
          <w:p w:rsidR="00E02AC1" w:rsidRPr="00E02AC1" w:rsidRDefault="00E02AC1" w:rsidP="00E02AC1">
            <w:pPr>
              <w:spacing w:after="0" w:line="240" w:lineRule="auto"/>
              <w:jc w:val="right"/>
              <w:rPr>
                <w:rFonts w:ascii="Arial" w:hAnsi="Arial" w:cs="Arial"/>
                <w:b/>
                <w:bCs/>
                <w:i/>
                <w:iCs/>
                <w:color w:val="000000"/>
              </w:rPr>
            </w:pPr>
            <w:r w:rsidRPr="00E02AC1">
              <w:rPr>
                <w:rFonts w:ascii="Arial" w:hAnsi="Arial" w:cs="Arial"/>
                <w:b/>
                <w:bCs/>
                <w:i/>
                <w:iCs/>
                <w:color w:val="000000"/>
              </w:rPr>
              <w:t xml:space="preserve">402,413 </w:t>
            </w:r>
          </w:p>
        </w:tc>
        <w:tc>
          <w:tcPr>
            <w:tcW w:w="1100" w:type="dxa"/>
            <w:tcBorders>
              <w:top w:val="nil"/>
              <w:left w:val="nil"/>
              <w:bottom w:val="single" w:sz="4" w:space="0" w:color="auto"/>
              <w:right w:val="nil"/>
            </w:tcBorders>
            <w:shd w:val="clear" w:color="000000" w:fill="E6E6E6"/>
            <w:noWrap/>
            <w:vAlign w:val="bottom"/>
            <w:hideMark/>
          </w:tcPr>
          <w:p w:rsidR="00E02AC1" w:rsidRPr="00E02AC1" w:rsidRDefault="00E02AC1" w:rsidP="00E02AC1">
            <w:pPr>
              <w:spacing w:after="0" w:line="240" w:lineRule="auto"/>
              <w:jc w:val="right"/>
              <w:rPr>
                <w:rFonts w:ascii="Arial" w:hAnsi="Arial" w:cs="Arial"/>
                <w:b/>
                <w:bCs/>
                <w:color w:val="000000"/>
              </w:rPr>
            </w:pPr>
            <w:r w:rsidRPr="00E02AC1">
              <w:rPr>
                <w:rFonts w:ascii="Arial" w:hAnsi="Arial" w:cs="Arial"/>
                <w:b/>
                <w:bCs/>
                <w:color w:val="000000"/>
              </w:rPr>
              <w:t xml:space="preserve">459,410 </w:t>
            </w:r>
          </w:p>
        </w:tc>
      </w:tr>
      <w:tr w:rsidR="00E02AC1" w:rsidRPr="00E02AC1" w:rsidTr="00E02AC1">
        <w:trPr>
          <w:trHeight w:val="225"/>
        </w:trPr>
        <w:tc>
          <w:tcPr>
            <w:tcW w:w="4940" w:type="dxa"/>
            <w:tcBorders>
              <w:top w:val="nil"/>
              <w:left w:val="nil"/>
              <w:bottom w:val="nil"/>
              <w:right w:val="nil"/>
            </w:tcBorders>
            <w:shd w:val="clear" w:color="000000" w:fill="FFFFFF"/>
            <w:noWrap/>
            <w:vAlign w:val="bottom"/>
            <w:hideMark/>
          </w:tcPr>
          <w:p w:rsidR="00E02AC1" w:rsidRPr="00E02AC1" w:rsidRDefault="00E02AC1" w:rsidP="00E02AC1">
            <w:pPr>
              <w:spacing w:after="0" w:line="240" w:lineRule="auto"/>
              <w:jc w:val="left"/>
              <w:rPr>
                <w:rFonts w:ascii="Arial" w:hAnsi="Arial" w:cs="Arial"/>
                <w:color w:val="000000"/>
              </w:rPr>
            </w:pPr>
            <w:r w:rsidRPr="00E02AC1">
              <w:rPr>
                <w:rFonts w:ascii="Arial" w:hAnsi="Arial" w:cs="Arial"/>
                <w:color w:val="000000"/>
              </w:rPr>
              <w:t> </w:t>
            </w:r>
          </w:p>
        </w:tc>
        <w:tc>
          <w:tcPr>
            <w:tcW w:w="1120" w:type="dxa"/>
            <w:tcBorders>
              <w:top w:val="nil"/>
              <w:left w:val="nil"/>
              <w:bottom w:val="nil"/>
              <w:right w:val="nil"/>
            </w:tcBorders>
            <w:shd w:val="clear" w:color="000000" w:fill="FFFFFF"/>
            <w:noWrap/>
            <w:vAlign w:val="bottom"/>
            <w:hideMark/>
          </w:tcPr>
          <w:p w:rsidR="00E02AC1" w:rsidRPr="00E02AC1" w:rsidRDefault="00E02AC1" w:rsidP="00E02AC1">
            <w:pPr>
              <w:spacing w:after="0" w:line="240" w:lineRule="auto"/>
              <w:jc w:val="left"/>
              <w:rPr>
                <w:rFonts w:ascii="Arial" w:hAnsi="Arial" w:cs="Arial"/>
                <w:color w:val="000000"/>
              </w:rPr>
            </w:pPr>
            <w:r w:rsidRPr="00E02AC1">
              <w:rPr>
                <w:rFonts w:ascii="Arial" w:hAnsi="Arial" w:cs="Arial"/>
                <w:color w:val="000000"/>
              </w:rPr>
              <w:t> </w:t>
            </w:r>
          </w:p>
        </w:tc>
        <w:tc>
          <w:tcPr>
            <w:tcW w:w="1100" w:type="dxa"/>
            <w:tcBorders>
              <w:top w:val="nil"/>
              <w:left w:val="nil"/>
              <w:bottom w:val="nil"/>
              <w:right w:val="nil"/>
            </w:tcBorders>
            <w:shd w:val="clear" w:color="000000" w:fill="FFFFFF"/>
            <w:noWrap/>
            <w:vAlign w:val="bottom"/>
            <w:hideMark/>
          </w:tcPr>
          <w:p w:rsidR="00E02AC1" w:rsidRPr="00E02AC1" w:rsidRDefault="00E02AC1" w:rsidP="00E02AC1">
            <w:pPr>
              <w:spacing w:after="0" w:line="240" w:lineRule="auto"/>
              <w:jc w:val="left"/>
              <w:rPr>
                <w:rFonts w:ascii="Arial" w:hAnsi="Arial" w:cs="Arial"/>
                <w:color w:val="000000"/>
              </w:rPr>
            </w:pPr>
            <w:r w:rsidRPr="00E02AC1">
              <w:rPr>
                <w:rFonts w:ascii="Arial" w:hAnsi="Arial" w:cs="Arial"/>
                <w:color w:val="000000"/>
              </w:rPr>
              <w:t> </w:t>
            </w:r>
          </w:p>
        </w:tc>
      </w:tr>
      <w:tr w:rsidR="00E02AC1" w:rsidRPr="00E02AC1" w:rsidTr="00E02AC1">
        <w:trPr>
          <w:trHeight w:val="225"/>
        </w:trPr>
        <w:tc>
          <w:tcPr>
            <w:tcW w:w="4940" w:type="dxa"/>
            <w:tcBorders>
              <w:top w:val="single" w:sz="4" w:space="0" w:color="auto"/>
              <w:left w:val="nil"/>
              <w:bottom w:val="nil"/>
              <w:right w:val="nil"/>
            </w:tcBorders>
            <w:shd w:val="clear" w:color="000000" w:fill="FFFFFF"/>
            <w:noWrap/>
            <w:vAlign w:val="bottom"/>
            <w:hideMark/>
          </w:tcPr>
          <w:p w:rsidR="00E02AC1" w:rsidRPr="00E02AC1" w:rsidRDefault="00E02AC1" w:rsidP="00E02AC1">
            <w:pPr>
              <w:spacing w:after="0" w:line="240" w:lineRule="auto"/>
              <w:jc w:val="left"/>
              <w:rPr>
                <w:rFonts w:ascii="Arial" w:hAnsi="Arial" w:cs="Arial"/>
                <w:color w:val="000000"/>
              </w:rPr>
            </w:pPr>
            <w:r w:rsidRPr="00E02AC1">
              <w:rPr>
                <w:rFonts w:ascii="Arial" w:hAnsi="Arial" w:cs="Arial"/>
                <w:color w:val="000000"/>
              </w:rPr>
              <w:t> </w:t>
            </w:r>
          </w:p>
        </w:tc>
        <w:tc>
          <w:tcPr>
            <w:tcW w:w="1120" w:type="dxa"/>
            <w:tcBorders>
              <w:top w:val="single" w:sz="4" w:space="0" w:color="auto"/>
              <w:left w:val="nil"/>
              <w:bottom w:val="single" w:sz="4" w:space="0" w:color="auto"/>
              <w:right w:val="nil"/>
            </w:tcBorders>
            <w:shd w:val="clear" w:color="000000" w:fill="FFFFFF"/>
            <w:noWrap/>
            <w:vAlign w:val="bottom"/>
            <w:hideMark/>
          </w:tcPr>
          <w:p w:rsidR="00E02AC1" w:rsidRPr="00E02AC1" w:rsidRDefault="00E02AC1" w:rsidP="00E02AC1">
            <w:pPr>
              <w:spacing w:after="0" w:line="240" w:lineRule="auto"/>
              <w:jc w:val="right"/>
              <w:rPr>
                <w:rFonts w:ascii="Arial" w:hAnsi="Arial" w:cs="Arial"/>
                <w:i/>
                <w:iCs/>
                <w:color w:val="000000"/>
              </w:rPr>
            </w:pPr>
            <w:r w:rsidRPr="00E02AC1">
              <w:rPr>
                <w:rFonts w:ascii="Arial" w:hAnsi="Arial" w:cs="Arial"/>
                <w:i/>
                <w:iCs/>
                <w:color w:val="000000"/>
              </w:rPr>
              <w:t>2015-16</w:t>
            </w:r>
          </w:p>
        </w:tc>
        <w:tc>
          <w:tcPr>
            <w:tcW w:w="1100" w:type="dxa"/>
            <w:tcBorders>
              <w:top w:val="single" w:sz="4" w:space="0" w:color="auto"/>
              <w:left w:val="nil"/>
              <w:bottom w:val="single" w:sz="4" w:space="0" w:color="auto"/>
              <w:right w:val="nil"/>
            </w:tcBorders>
            <w:shd w:val="clear" w:color="000000" w:fill="E6E6E6"/>
            <w:noWrap/>
            <w:vAlign w:val="bottom"/>
            <w:hideMark/>
          </w:tcPr>
          <w:p w:rsidR="00E02AC1" w:rsidRPr="00E02AC1" w:rsidRDefault="00E02AC1" w:rsidP="00E02AC1">
            <w:pPr>
              <w:spacing w:after="0" w:line="240" w:lineRule="auto"/>
              <w:jc w:val="right"/>
              <w:rPr>
                <w:rFonts w:ascii="Arial" w:hAnsi="Arial" w:cs="Arial"/>
                <w:color w:val="000000"/>
              </w:rPr>
            </w:pPr>
            <w:r w:rsidRPr="00E02AC1">
              <w:rPr>
                <w:rFonts w:ascii="Arial" w:hAnsi="Arial" w:cs="Arial"/>
                <w:color w:val="000000"/>
              </w:rPr>
              <w:t>2016-17</w:t>
            </w:r>
          </w:p>
        </w:tc>
      </w:tr>
      <w:tr w:rsidR="00E02AC1" w:rsidRPr="00E02AC1" w:rsidTr="00E02AC1">
        <w:trPr>
          <w:trHeight w:val="225"/>
        </w:trPr>
        <w:tc>
          <w:tcPr>
            <w:tcW w:w="4940" w:type="dxa"/>
            <w:tcBorders>
              <w:top w:val="nil"/>
              <w:left w:val="nil"/>
              <w:bottom w:val="single" w:sz="4" w:space="0" w:color="auto"/>
              <w:right w:val="nil"/>
            </w:tcBorders>
            <w:shd w:val="clear" w:color="000000" w:fill="FFFFFF"/>
            <w:noWrap/>
            <w:vAlign w:val="bottom"/>
            <w:hideMark/>
          </w:tcPr>
          <w:p w:rsidR="00E02AC1" w:rsidRPr="00E02AC1" w:rsidRDefault="00E02AC1" w:rsidP="00E02AC1">
            <w:pPr>
              <w:spacing w:after="0" w:line="240" w:lineRule="auto"/>
              <w:jc w:val="left"/>
              <w:rPr>
                <w:rFonts w:ascii="Arial" w:hAnsi="Arial" w:cs="Arial"/>
                <w:b/>
                <w:bCs/>
                <w:color w:val="000000"/>
              </w:rPr>
            </w:pPr>
            <w:r w:rsidRPr="00E02AC1">
              <w:rPr>
                <w:rFonts w:ascii="Arial" w:hAnsi="Arial" w:cs="Arial"/>
                <w:b/>
                <w:bCs/>
                <w:color w:val="000000"/>
              </w:rPr>
              <w:t>Average staffing level (number)</w:t>
            </w:r>
          </w:p>
        </w:tc>
        <w:tc>
          <w:tcPr>
            <w:tcW w:w="1120" w:type="dxa"/>
            <w:tcBorders>
              <w:top w:val="nil"/>
              <w:left w:val="nil"/>
              <w:bottom w:val="single" w:sz="4" w:space="0" w:color="auto"/>
              <w:right w:val="nil"/>
            </w:tcBorders>
            <w:shd w:val="clear" w:color="000000" w:fill="FFFFFF"/>
            <w:noWrap/>
            <w:vAlign w:val="bottom"/>
            <w:hideMark/>
          </w:tcPr>
          <w:p w:rsidR="00E02AC1" w:rsidRPr="00E02AC1" w:rsidRDefault="00E02AC1" w:rsidP="00E02AC1">
            <w:pPr>
              <w:spacing w:after="0" w:line="240" w:lineRule="auto"/>
              <w:jc w:val="right"/>
              <w:rPr>
                <w:rFonts w:ascii="Arial" w:hAnsi="Arial" w:cs="Arial"/>
                <w:i/>
                <w:iCs/>
                <w:color w:val="000000"/>
              </w:rPr>
            </w:pPr>
            <w:r w:rsidRPr="00E02AC1">
              <w:rPr>
                <w:rFonts w:ascii="Arial" w:hAnsi="Arial" w:cs="Arial"/>
                <w:i/>
                <w:iCs/>
                <w:color w:val="000000"/>
              </w:rPr>
              <w:t xml:space="preserve">120 </w:t>
            </w:r>
          </w:p>
        </w:tc>
        <w:tc>
          <w:tcPr>
            <w:tcW w:w="1100" w:type="dxa"/>
            <w:tcBorders>
              <w:top w:val="nil"/>
              <w:left w:val="nil"/>
              <w:bottom w:val="single" w:sz="4" w:space="0" w:color="auto"/>
              <w:right w:val="nil"/>
            </w:tcBorders>
            <w:shd w:val="clear" w:color="000000" w:fill="E6E6E6"/>
            <w:noWrap/>
            <w:vAlign w:val="bottom"/>
            <w:hideMark/>
          </w:tcPr>
          <w:p w:rsidR="00E02AC1" w:rsidRPr="00E02AC1" w:rsidRDefault="00E02AC1" w:rsidP="00E02AC1">
            <w:pPr>
              <w:spacing w:after="0" w:line="240" w:lineRule="auto"/>
              <w:jc w:val="right"/>
              <w:rPr>
                <w:rFonts w:ascii="Arial" w:hAnsi="Arial" w:cs="Arial"/>
                <w:color w:val="000000"/>
              </w:rPr>
            </w:pPr>
            <w:r w:rsidRPr="00E02AC1">
              <w:rPr>
                <w:rFonts w:ascii="Arial" w:hAnsi="Arial" w:cs="Arial"/>
                <w:color w:val="000000"/>
              </w:rPr>
              <w:t xml:space="preserve">141 </w:t>
            </w:r>
          </w:p>
        </w:tc>
      </w:tr>
    </w:tbl>
    <w:p w:rsidR="00B2394E" w:rsidRPr="00B872D6" w:rsidRDefault="00B2394E" w:rsidP="0074791F">
      <w:pPr>
        <w:pStyle w:val="Source"/>
        <w:jc w:val="left"/>
      </w:pPr>
      <w:r>
        <w:t>Prepared on a resourcing (i.e. appropriations available) basis.</w:t>
      </w:r>
    </w:p>
    <w:p w:rsidR="00B2394E" w:rsidRPr="00AE4E76" w:rsidRDefault="00B2394E" w:rsidP="0074791F">
      <w:pPr>
        <w:pStyle w:val="Source"/>
        <w:jc w:val="left"/>
      </w:pPr>
      <w:r w:rsidRPr="00621D1E">
        <w:rPr>
          <w:u w:val="single"/>
        </w:rPr>
        <w:t>Please note</w:t>
      </w:r>
      <w:r w:rsidRPr="00AE4E76">
        <w:t xml:space="preserve">: All figures shown above are GST exclusive – these may not match figures in the cash flow statement. </w:t>
      </w:r>
    </w:p>
    <w:p w:rsidR="00B2394E" w:rsidRPr="003B6449" w:rsidRDefault="00B2394E" w:rsidP="0074791F">
      <w:pPr>
        <w:pStyle w:val="ChartandTableFootnote"/>
        <w:tabs>
          <w:tab w:val="clear" w:pos="284"/>
          <w:tab w:val="left" w:pos="0"/>
        </w:tabs>
        <w:ind w:left="0" w:firstLine="0"/>
        <w:jc w:val="left"/>
      </w:pPr>
      <w:r w:rsidRPr="00621D1E">
        <w:rPr>
          <w:u w:val="single"/>
        </w:rPr>
        <w:t>Please note</w:t>
      </w:r>
      <w:r w:rsidRPr="009346F5">
        <w:t>:</w:t>
      </w:r>
      <w:r>
        <w:t xml:space="preserve"> Future Fund does not receive any annual appropriations. Its outputs are funded as payments from the Future Fund Special Account.</w:t>
      </w:r>
    </w:p>
    <w:p w:rsidR="00B2394E" w:rsidRDefault="00B2394E" w:rsidP="0074791F">
      <w:pPr>
        <w:pStyle w:val="Heading3"/>
      </w:pPr>
      <w:bookmarkStart w:id="3" w:name="_Toc444523875"/>
    </w:p>
    <w:p w:rsidR="00B2394E" w:rsidRDefault="00B2394E" w:rsidP="00B2394E">
      <w:pPr>
        <w:pStyle w:val="Heading3"/>
      </w:pPr>
      <w:r>
        <w:t>1.3</w:t>
      </w:r>
      <w:r>
        <w:tab/>
        <w:t>Budget Measures</w:t>
      </w:r>
      <w:bookmarkEnd w:id="3"/>
    </w:p>
    <w:p w:rsidR="00B2394E" w:rsidRPr="0074791F" w:rsidRDefault="00B2394E" w:rsidP="00FA4313">
      <w:pPr>
        <w:jc w:val="left"/>
        <w:rPr>
          <w:rFonts w:ascii="Book Antiqua" w:hAnsi="Book Antiqua"/>
          <w:sz w:val="20"/>
          <w:szCs w:val="20"/>
        </w:rPr>
      </w:pPr>
      <w:r w:rsidRPr="0074791F">
        <w:rPr>
          <w:rFonts w:ascii="Book Antiqua" w:hAnsi="Book Antiqua"/>
          <w:sz w:val="20"/>
          <w:szCs w:val="20"/>
        </w:rPr>
        <w:t>No budget measures have been announced since 2015-16 Mid-Year Economic and Fiscal Outlook (MYEFO) that impact FFMA.</w:t>
      </w:r>
    </w:p>
    <w:p w:rsidR="00B2394E" w:rsidRDefault="00B2394E" w:rsidP="00B2394E">
      <w:pPr>
        <w:pStyle w:val="TableGraphic"/>
      </w:pPr>
    </w:p>
    <w:p w:rsidR="00B2394E" w:rsidRDefault="00B2394E" w:rsidP="00B2394E">
      <w:pPr>
        <w:pStyle w:val="NoSpacing"/>
      </w:pPr>
    </w:p>
    <w:p w:rsidR="00B2394E" w:rsidRPr="003B036A" w:rsidRDefault="00B2394E" w:rsidP="00B2394E">
      <w:pPr>
        <w:pStyle w:val="Heading2"/>
      </w:pPr>
      <w:r>
        <w:br w:type="page"/>
      </w:r>
      <w:r w:rsidRPr="003B036A">
        <w:lastRenderedPageBreak/>
        <w:t>Section 2: Outcomes and Planned Performance</w:t>
      </w:r>
    </w:p>
    <w:p w:rsidR="00B2394E" w:rsidRPr="0074791F" w:rsidRDefault="00B2394E" w:rsidP="00447B6D">
      <w:pPr>
        <w:jc w:val="left"/>
        <w:rPr>
          <w:rFonts w:ascii="Book Antiqua" w:hAnsi="Book Antiqua"/>
          <w:sz w:val="20"/>
          <w:szCs w:val="20"/>
        </w:rPr>
      </w:pPr>
      <w:r w:rsidRPr="0074791F">
        <w:rPr>
          <w:rFonts w:ascii="Book Antiqua" w:hAnsi="Book Antiqua"/>
          <w:sz w:val="20"/>
          <w:szCs w:val="20"/>
        </w:rPr>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rsidR="00B2394E" w:rsidRPr="0074791F" w:rsidRDefault="00B2394E" w:rsidP="00447B6D">
      <w:pPr>
        <w:pStyle w:val="TableHeadingcontinued"/>
        <w:spacing w:before="0" w:after="240"/>
        <w:rPr>
          <w:rFonts w:ascii="Book Antiqua" w:hAnsi="Book Antiqua"/>
          <w:b w:val="0"/>
        </w:rPr>
      </w:pPr>
      <w:r w:rsidRPr="0074791F">
        <w:rPr>
          <w:rFonts w:ascii="Book Antiqua" w:hAnsi="Book Antiqua"/>
          <w:b w:val="0"/>
        </w:rPr>
        <w:t xml:space="preserve">Each outcome is described below together with its related programs. The following provides detailed information on expenses for each outcome and program, further broken down by funding source. </w:t>
      </w:r>
    </w:p>
    <w:p w:rsidR="00B2394E" w:rsidRPr="0074791F" w:rsidRDefault="00B2394E" w:rsidP="00447B6D">
      <w:pPr>
        <w:pBdr>
          <w:top w:val="single" w:sz="2" w:space="1" w:color="auto"/>
          <w:left w:val="single" w:sz="2" w:space="4" w:color="auto"/>
          <w:bottom w:val="single" w:sz="2" w:space="6" w:color="auto"/>
          <w:right w:val="single" w:sz="2" w:space="4" w:color="auto"/>
        </w:pBdr>
        <w:spacing w:after="120" w:line="240" w:lineRule="auto"/>
        <w:jc w:val="left"/>
        <w:rPr>
          <w:rFonts w:ascii="Book Antiqua" w:hAnsi="Book Antiqua"/>
          <w:b/>
          <w:sz w:val="20"/>
          <w:szCs w:val="20"/>
        </w:rPr>
      </w:pPr>
      <w:r w:rsidRPr="0074791F">
        <w:rPr>
          <w:rFonts w:ascii="Book Antiqua" w:hAnsi="Book Antiqua"/>
          <w:b/>
          <w:sz w:val="20"/>
          <w:szCs w:val="20"/>
        </w:rPr>
        <w:t>Note:</w:t>
      </w:r>
    </w:p>
    <w:p w:rsidR="00B2394E" w:rsidRPr="0074791F" w:rsidRDefault="00B2394E" w:rsidP="00447B6D">
      <w:pPr>
        <w:pBdr>
          <w:top w:val="single" w:sz="2" w:space="1" w:color="auto"/>
          <w:left w:val="single" w:sz="2" w:space="4" w:color="auto"/>
          <w:bottom w:val="single" w:sz="2" w:space="6" w:color="auto"/>
          <w:right w:val="single" w:sz="2" w:space="4" w:color="auto"/>
        </w:pBdr>
        <w:jc w:val="left"/>
        <w:rPr>
          <w:rFonts w:ascii="Book Antiqua" w:hAnsi="Book Antiqua"/>
          <w:sz w:val="20"/>
          <w:szCs w:val="20"/>
        </w:rPr>
      </w:pPr>
      <w:r w:rsidRPr="0074791F">
        <w:rPr>
          <w:rFonts w:ascii="Book Antiqua" w:hAnsi="Book Antiqua"/>
          <w:sz w:val="20"/>
          <w:szCs w:val="20"/>
        </w:rPr>
        <w:t>From 1 July 2015, performance reporting requirements in the Portfolio Budget Statements sit alongside those required under the enhanced Commonwealth performance framework. It is anticipated that the performance criteria described in Portfolio Budget Statements will be read with broader information provided in an entity’s corporate plan and annual performance statements – included in Annual Reports from October 2016 – to provide an entity’s complete performance story.</w:t>
      </w:r>
    </w:p>
    <w:p w:rsidR="00B2394E" w:rsidRPr="0074791F" w:rsidRDefault="00B2394E" w:rsidP="0074791F">
      <w:pPr>
        <w:jc w:val="both"/>
        <w:rPr>
          <w:rFonts w:ascii="Book Antiqua" w:hAnsi="Book Antiqua"/>
          <w:sz w:val="20"/>
          <w:szCs w:val="20"/>
          <w:highlight w:val="yellow"/>
        </w:rPr>
      </w:pPr>
    </w:p>
    <w:p w:rsidR="00B2394E" w:rsidRDefault="00B2394E" w:rsidP="00B2394E">
      <w:pPr>
        <w:pStyle w:val="Heading3"/>
        <w:sectPr w:rsidR="00B2394E" w:rsidSect="00B2394E">
          <w:headerReference w:type="even" r:id="rId20"/>
          <w:headerReference w:type="default" r:id="rId21"/>
          <w:headerReference w:type="first" r:id="rId22"/>
          <w:type w:val="oddPage"/>
          <w:pgSz w:w="11906" w:h="16838" w:code="9"/>
          <w:pgMar w:top="2466" w:right="2098" w:bottom="2466" w:left="2098" w:header="1899" w:footer="1899" w:gutter="0"/>
          <w:cols w:space="708"/>
          <w:titlePg/>
          <w:docGrid w:linePitch="360"/>
        </w:sectPr>
      </w:pPr>
    </w:p>
    <w:p w:rsidR="00B2394E" w:rsidRPr="005E6F2B" w:rsidRDefault="00B2394E" w:rsidP="00B2394E">
      <w:pPr>
        <w:pStyle w:val="Heading3"/>
      </w:pPr>
      <w:bookmarkStart w:id="4" w:name="_Toc444523877"/>
      <w:r w:rsidRPr="00F743D8">
        <w:lastRenderedPageBreak/>
        <w:t>2.</w:t>
      </w:r>
      <w:r>
        <w:t xml:space="preserve">1 </w:t>
      </w:r>
      <w:r>
        <w:tab/>
        <w:t>Budgeted Expenses and Performance F</w:t>
      </w:r>
      <w:r w:rsidRPr="00F743D8">
        <w:t xml:space="preserve">or Outcome </w:t>
      </w:r>
      <w:bookmarkEnd w:id="4"/>
      <w:r>
        <w:t>1</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tblPr>
      <w:tblGrid>
        <w:gridCol w:w="7713"/>
      </w:tblGrid>
      <w:tr w:rsidR="00B2394E" w:rsidRPr="005E6F2B" w:rsidTr="00B2394E">
        <w:tc>
          <w:tcPr>
            <w:tcW w:w="7713" w:type="dxa"/>
            <w:shd w:val="clear" w:color="auto" w:fill="E6E6E6"/>
          </w:tcPr>
          <w:p w:rsidR="00B2394E" w:rsidRPr="0074791F" w:rsidRDefault="00B2394E" w:rsidP="00B2394E">
            <w:pPr>
              <w:pStyle w:val="TableColumnHeadingLeft"/>
              <w:rPr>
                <w:sz w:val="20"/>
                <w:szCs w:val="20"/>
              </w:rPr>
            </w:pPr>
            <w:r w:rsidRPr="0074791F">
              <w:rPr>
                <w:sz w:val="20"/>
                <w:szCs w:val="20"/>
              </w:rPr>
              <w:t xml:space="preserve">Outcome 1: </w:t>
            </w:r>
            <w:r w:rsidRPr="0074791F">
              <w:rPr>
                <w:rFonts w:cs="Arial"/>
                <w:b w:val="0"/>
                <w:sz w:val="20"/>
                <w:szCs w:val="20"/>
              </w:rPr>
              <w:t xml:space="preserve">Make provision for the Commonwealth’s unfunded superannuation liabilities, payments for the creation and development of infrastructure, and payments from the </w:t>
            </w:r>
            <w:proofErr w:type="spellStart"/>
            <w:r w:rsidRPr="0074791F">
              <w:rPr>
                <w:rFonts w:cs="Arial"/>
                <w:b w:val="0"/>
                <w:sz w:val="20"/>
                <w:szCs w:val="20"/>
              </w:rPr>
              <w:t>DisabilityCare</w:t>
            </w:r>
            <w:proofErr w:type="spellEnd"/>
            <w:r w:rsidRPr="0074791F">
              <w:rPr>
                <w:rFonts w:cs="Arial"/>
                <w:b w:val="0"/>
                <w:sz w:val="20"/>
                <w:szCs w:val="20"/>
              </w:rPr>
              <w:t xml:space="preserve"> Australia Fund and Medical Research Future Fund by managing the investment activities of the Future Fund, Nation-building Funds, </w:t>
            </w:r>
            <w:proofErr w:type="spellStart"/>
            <w:r w:rsidRPr="0074791F">
              <w:rPr>
                <w:rFonts w:cs="Arial"/>
                <w:b w:val="0"/>
                <w:sz w:val="20"/>
                <w:szCs w:val="20"/>
              </w:rPr>
              <w:t>DisabilityCare</w:t>
            </w:r>
            <w:proofErr w:type="spellEnd"/>
            <w:r w:rsidRPr="0074791F">
              <w:rPr>
                <w:rFonts w:cs="Arial"/>
                <w:b w:val="0"/>
                <w:sz w:val="20"/>
                <w:szCs w:val="20"/>
              </w:rPr>
              <w:t xml:space="preserve"> Australia Fund and Medical Research Future Fund, in line with the Government’s investment mandates.</w:t>
            </w:r>
          </w:p>
        </w:tc>
      </w:tr>
    </w:tbl>
    <w:p w:rsidR="00B2394E" w:rsidRPr="005E6F2B" w:rsidRDefault="00B2394E" w:rsidP="00B2394E">
      <w:pPr>
        <w:pStyle w:val="NoSpacing"/>
      </w:pPr>
    </w:p>
    <w:p w:rsidR="00B2394E" w:rsidRPr="00D87D70" w:rsidRDefault="00B2394E" w:rsidP="0051401E">
      <w:pPr>
        <w:pStyle w:val="Heading4"/>
      </w:pPr>
      <w:r w:rsidRPr="00D87D70">
        <w:t>Outcome 1 Strategy</w:t>
      </w:r>
    </w:p>
    <w:p w:rsidR="00B2394E" w:rsidRPr="00D87D70" w:rsidRDefault="00B2394E" w:rsidP="0051401E">
      <w:pPr>
        <w:pStyle w:val="TableTextBullet"/>
        <w:numPr>
          <w:ilvl w:val="0"/>
          <w:numId w:val="0"/>
        </w:numPr>
        <w:spacing w:after="240" w:line="260" w:lineRule="exact"/>
        <w:rPr>
          <w:rFonts w:ascii="Book Antiqua" w:hAnsi="Book Antiqua"/>
          <w:sz w:val="20"/>
        </w:rPr>
      </w:pPr>
      <w:r w:rsidRPr="00D87D70">
        <w:rPr>
          <w:rFonts w:ascii="Book Antiqua" w:hAnsi="Book Antiqua"/>
          <w:sz w:val="20"/>
        </w:rPr>
        <w:t>The FFMA contributes to the achievement of the outcome through the provision of advice and support to the Future Fund Board of Guardians and through the implementation of investment decisions. This work is focused on ensuring that the assets of the Future Fund, the Nation</w:t>
      </w:r>
      <w:r>
        <w:rPr>
          <w:rFonts w:ascii="Book Antiqua" w:hAnsi="Book Antiqua"/>
          <w:sz w:val="20"/>
        </w:rPr>
        <w:t>-b</w:t>
      </w:r>
      <w:r w:rsidRPr="00D87D70">
        <w:rPr>
          <w:rFonts w:ascii="Book Antiqua" w:hAnsi="Book Antiqua"/>
          <w:sz w:val="20"/>
        </w:rPr>
        <w:t xml:space="preserve">uilding Funds, the </w:t>
      </w:r>
      <w:proofErr w:type="spellStart"/>
      <w:r w:rsidRPr="00D87D70">
        <w:rPr>
          <w:rFonts w:ascii="Book Antiqua" w:hAnsi="Book Antiqua"/>
          <w:sz w:val="20"/>
        </w:rPr>
        <w:t>DisabilityCare</w:t>
      </w:r>
      <w:proofErr w:type="spellEnd"/>
      <w:r w:rsidRPr="00D87D70">
        <w:rPr>
          <w:rFonts w:ascii="Book Antiqua" w:hAnsi="Book Antiqua"/>
          <w:sz w:val="20"/>
        </w:rPr>
        <w:t xml:space="preserve"> Australia Fund and Medical Research Future Fund are invested in line with the relevant legislation and investment mandates in pursuit of their investment objectives. </w:t>
      </w:r>
    </w:p>
    <w:p w:rsidR="00B2394E" w:rsidRPr="0074791F" w:rsidRDefault="00B2394E" w:rsidP="0051401E">
      <w:pPr>
        <w:jc w:val="left"/>
        <w:rPr>
          <w:rFonts w:ascii="Book Antiqua" w:hAnsi="Book Antiqua"/>
          <w:sz w:val="20"/>
        </w:rPr>
      </w:pPr>
      <w:r w:rsidRPr="0074791F">
        <w:rPr>
          <w:rFonts w:ascii="Book Antiqua" w:hAnsi="Book Antiqua"/>
          <w:sz w:val="20"/>
        </w:rPr>
        <w:t xml:space="preserve">This work includes portfolio modelling, risk management, the appointment of investment managers and the application of appropriate corporate governance. </w:t>
      </w:r>
    </w:p>
    <w:p w:rsidR="00B2394E" w:rsidRPr="0074791F" w:rsidRDefault="00B2394E" w:rsidP="0051401E">
      <w:pPr>
        <w:jc w:val="left"/>
        <w:rPr>
          <w:rFonts w:ascii="Book Antiqua" w:hAnsi="Book Antiqua"/>
          <w:sz w:val="20"/>
        </w:rPr>
      </w:pPr>
      <w:r w:rsidRPr="0074791F">
        <w:rPr>
          <w:rFonts w:ascii="Book Antiqua" w:hAnsi="Book Antiqua"/>
          <w:sz w:val="20"/>
        </w:rPr>
        <w:t xml:space="preserve">The specific investment strategies applied to the investment of assets, together with the overarching investment beliefs and principles of the organisation, are detailed </w:t>
      </w:r>
      <w:proofErr w:type="gramStart"/>
      <w:r w:rsidRPr="0074791F">
        <w:rPr>
          <w:rFonts w:ascii="Book Antiqua" w:hAnsi="Book Antiqua"/>
          <w:sz w:val="20"/>
        </w:rPr>
        <w:t>in the 2014-15 Future Fund Annual Report</w:t>
      </w:r>
      <w:proofErr w:type="gramEnd"/>
      <w:r w:rsidRPr="0074791F">
        <w:rPr>
          <w:rFonts w:ascii="Book Antiqua" w:hAnsi="Book Antiqua"/>
          <w:sz w:val="20"/>
        </w:rPr>
        <w:t>.</w:t>
      </w:r>
    </w:p>
    <w:p w:rsidR="00B2394E" w:rsidRDefault="00B2394E" w:rsidP="00B2394E"/>
    <w:p w:rsidR="00B2394E" w:rsidRPr="00F71634" w:rsidRDefault="00B2394E" w:rsidP="00B2394E">
      <w:pPr>
        <w:sectPr w:rsidR="00B2394E" w:rsidRPr="00F71634" w:rsidSect="00B2394E">
          <w:pgSz w:w="11906" w:h="16838" w:code="9"/>
          <w:pgMar w:top="2466" w:right="2098" w:bottom="2466" w:left="2098" w:header="1899" w:footer="1899" w:gutter="0"/>
          <w:cols w:space="708"/>
          <w:docGrid w:linePitch="360"/>
        </w:sectPr>
      </w:pPr>
    </w:p>
    <w:p w:rsidR="00B2394E" w:rsidRPr="00446612" w:rsidRDefault="00B2394E" w:rsidP="00B2394E">
      <w:pPr>
        <w:pStyle w:val="Heading5"/>
      </w:pPr>
      <w:r w:rsidRPr="00446612">
        <w:lastRenderedPageBreak/>
        <w:t xml:space="preserve">Budgeted </w:t>
      </w:r>
      <w:r>
        <w:t>E</w:t>
      </w:r>
      <w:r w:rsidRPr="00446612">
        <w:t xml:space="preserve">xpenses for Outcome </w:t>
      </w:r>
      <w:r>
        <w:t>1</w:t>
      </w:r>
    </w:p>
    <w:p w:rsidR="00B2394E" w:rsidRPr="0074791F" w:rsidRDefault="00B2394E" w:rsidP="00FA4313">
      <w:pPr>
        <w:jc w:val="left"/>
        <w:rPr>
          <w:rFonts w:ascii="Book Antiqua" w:hAnsi="Book Antiqua"/>
          <w:sz w:val="20"/>
          <w:szCs w:val="20"/>
        </w:rPr>
      </w:pPr>
      <w:r w:rsidRPr="0074791F">
        <w:rPr>
          <w:rFonts w:ascii="Book Antiqua" w:hAnsi="Book Antiqua"/>
          <w:sz w:val="20"/>
          <w:szCs w:val="20"/>
        </w:rPr>
        <w:t xml:space="preserve">This table shows how much FFMA intends to spend (on an accrual basis) on achieving the outcome, broken down by program, as well as by </w:t>
      </w:r>
      <w:r w:rsidR="0051401E">
        <w:rPr>
          <w:rFonts w:ascii="Book Antiqua" w:hAnsi="Book Antiqua"/>
          <w:sz w:val="20"/>
          <w:szCs w:val="20"/>
        </w:rPr>
        <w:t>a</w:t>
      </w:r>
      <w:r w:rsidRPr="0074791F">
        <w:rPr>
          <w:rFonts w:ascii="Book Antiqua" w:hAnsi="Book Antiqua"/>
          <w:sz w:val="20"/>
          <w:szCs w:val="20"/>
        </w:rPr>
        <w:t xml:space="preserve">dministered and </w:t>
      </w:r>
      <w:r w:rsidR="0051401E">
        <w:rPr>
          <w:rFonts w:ascii="Book Antiqua" w:hAnsi="Book Antiqua"/>
          <w:sz w:val="20"/>
          <w:szCs w:val="20"/>
        </w:rPr>
        <w:t>d</w:t>
      </w:r>
      <w:r w:rsidRPr="0074791F">
        <w:rPr>
          <w:rFonts w:ascii="Book Antiqua" w:hAnsi="Book Antiqua"/>
          <w:sz w:val="20"/>
          <w:szCs w:val="20"/>
        </w:rPr>
        <w:t>epartmental funding sources.</w:t>
      </w:r>
    </w:p>
    <w:p w:rsidR="00B2394E" w:rsidRDefault="00B2394E" w:rsidP="0074791F">
      <w:pPr>
        <w:pStyle w:val="Heading5"/>
        <w:spacing w:after="0"/>
      </w:pPr>
      <w:r>
        <w:t>Table 2.1.1: Budgeted Expenses for Outcome 1</w:t>
      </w:r>
    </w:p>
    <w:tbl>
      <w:tblPr>
        <w:tblW w:w="7351" w:type="dxa"/>
        <w:tblInd w:w="96" w:type="dxa"/>
        <w:tblLook w:val="04A0"/>
      </w:tblPr>
      <w:tblGrid>
        <w:gridCol w:w="3180"/>
        <w:gridCol w:w="928"/>
        <w:gridCol w:w="866"/>
        <w:gridCol w:w="821"/>
        <w:gridCol w:w="821"/>
        <w:gridCol w:w="821"/>
      </w:tblGrid>
      <w:tr w:rsidR="00E02AC1" w:rsidRPr="00E02AC1" w:rsidTr="00E02AC1">
        <w:trPr>
          <w:trHeight w:val="255"/>
        </w:trPr>
        <w:tc>
          <w:tcPr>
            <w:tcW w:w="3180" w:type="dxa"/>
            <w:tcBorders>
              <w:top w:val="single" w:sz="4" w:space="0" w:color="auto"/>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b/>
                <w:bCs/>
                <w:color w:val="000000"/>
              </w:rPr>
            </w:pPr>
            <w:r w:rsidRPr="00E02AC1">
              <w:rPr>
                <w:rFonts w:ascii="Arial" w:hAnsi="Arial" w:cs="Arial"/>
                <w:b/>
                <w:bCs/>
                <w:color w:val="000000"/>
              </w:rPr>
              <w:t xml:space="preserve">Outcome 1: Make provision for the </w:t>
            </w:r>
          </w:p>
        </w:tc>
        <w:tc>
          <w:tcPr>
            <w:tcW w:w="928" w:type="dxa"/>
            <w:tcBorders>
              <w:top w:val="single" w:sz="4" w:space="0" w:color="auto"/>
              <w:left w:val="nil"/>
              <w:bottom w:val="nil"/>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color w:val="000000"/>
              </w:rPr>
            </w:pPr>
            <w:r w:rsidRPr="00E02AC1">
              <w:rPr>
                <w:rFonts w:ascii="Arial" w:hAnsi="Arial" w:cs="Arial"/>
                <w:color w:val="000000"/>
              </w:rPr>
              <w:t>2015-16</w:t>
            </w:r>
          </w:p>
        </w:tc>
        <w:tc>
          <w:tcPr>
            <w:tcW w:w="866" w:type="dxa"/>
            <w:tcBorders>
              <w:top w:val="single" w:sz="4" w:space="0" w:color="auto"/>
              <w:left w:val="nil"/>
              <w:bottom w:val="nil"/>
              <w:right w:val="nil"/>
            </w:tcBorders>
            <w:shd w:val="clear" w:color="000000" w:fill="E6E6E6"/>
            <w:noWrap/>
            <w:vAlign w:val="center"/>
            <w:hideMark/>
          </w:tcPr>
          <w:p w:rsidR="00E02AC1" w:rsidRPr="00E02AC1" w:rsidRDefault="00E02AC1" w:rsidP="00E02AC1">
            <w:pPr>
              <w:spacing w:after="0" w:line="240" w:lineRule="auto"/>
              <w:jc w:val="right"/>
              <w:rPr>
                <w:rFonts w:ascii="Arial" w:hAnsi="Arial" w:cs="Arial"/>
              </w:rPr>
            </w:pPr>
            <w:r w:rsidRPr="00E02AC1">
              <w:rPr>
                <w:rFonts w:ascii="Arial" w:hAnsi="Arial" w:cs="Arial"/>
              </w:rPr>
              <w:t>2016-17</w:t>
            </w:r>
          </w:p>
        </w:tc>
        <w:tc>
          <w:tcPr>
            <w:tcW w:w="735" w:type="dxa"/>
            <w:tcBorders>
              <w:top w:val="single" w:sz="4" w:space="0" w:color="auto"/>
              <w:left w:val="nil"/>
              <w:bottom w:val="nil"/>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color w:val="000000"/>
              </w:rPr>
            </w:pPr>
            <w:r w:rsidRPr="00E02AC1">
              <w:rPr>
                <w:rFonts w:ascii="Arial" w:hAnsi="Arial" w:cs="Arial"/>
                <w:color w:val="000000"/>
              </w:rPr>
              <w:t>2017-18</w:t>
            </w:r>
          </w:p>
        </w:tc>
        <w:tc>
          <w:tcPr>
            <w:tcW w:w="821" w:type="dxa"/>
            <w:tcBorders>
              <w:top w:val="single" w:sz="4" w:space="0" w:color="auto"/>
              <w:left w:val="nil"/>
              <w:bottom w:val="nil"/>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color w:val="000000"/>
              </w:rPr>
            </w:pPr>
            <w:r w:rsidRPr="00E02AC1">
              <w:rPr>
                <w:rFonts w:ascii="Arial" w:hAnsi="Arial" w:cs="Arial"/>
                <w:color w:val="000000"/>
              </w:rPr>
              <w:t>2018-19</w:t>
            </w:r>
          </w:p>
        </w:tc>
        <w:tc>
          <w:tcPr>
            <w:tcW w:w="821" w:type="dxa"/>
            <w:tcBorders>
              <w:top w:val="single" w:sz="4" w:space="0" w:color="auto"/>
              <w:left w:val="nil"/>
              <w:bottom w:val="nil"/>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color w:val="000000"/>
              </w:rPr>
            </w:pPr>
            <w:r w:rsidRPr="00E02AC1">
              <w:rPr>
                <w:rFonts w:ascii="Arial" w:hAnsi="Arial" w:cs="Arial"/>
                <w:color w:val="000000"/>
              </w:rPr>
              <w:t>2019-20</w:t>
            </w:r>
          </w:p>
        </w:tc>
      </w:tr>
      <w:tr w:rsidR="00E02AC1" w:rsidRPr="00E02AC1" w:rsidTr="00E02AC1">
        <w:trPr>
          <w:trHeight w:val="255"/>
        </w:trPr>
        <w:tc>
          <w:tcPr>
            <w:tcW w:w="318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b/>
                <w:bCs/>
                <w:color w:val="000000"/>
              </w:rPr>
            </w:pPr>
            <w:r w:rsidRPr="00E02AC1">
              <w:rPr>
                <w:rFonts w:ascii="Arial" w:hAnsi="Arial" w:cs="Arial"/>
                <w:b/>
                <w:bCs/>
                <w:color w:val="000000"/>
              </w:rPr>
              <w:t xml:space="preserve">Commonwealth’s unfunded </w:t>
            </w:r>
          </w:p>
        </w:tc>
        <w:tc>
          <w:tcPr>
            <w:tcW w:w="928"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color w:val="000000"/>
              </w:rPr>
            </w:pPr>
            <w:r w:rsidRPr="00E02AC1">
              <w:rPr>
                <w:rFonts w:ascii="Arial" w:hAnsi="Arial" w:cs="Arial"/>
                <w:color w:val="000000"/>
              </w:rPr>
              <w:t>Estimated</w:t>
            </w:r>
          </w:p>
        </w:tc>
        <w:tc>
          <w:tcPr>
            <w:tcW w:w="866" w:type="dxa"/>
            <w:tcBorders>
              <w:top w:val="nil"/>
              <w:left w:val="nil"/>
              <w:bottom w:val="nil"/>
              <w:right w:val="nil"/>
            </w:tcBorders>
            <w:shd w:val="clear" w:color="000000" w:fill="E6E6E6"/>
            <w:noWrap/>
            <w:vAlign w:val="center"/>
            <w:hideMark/>
          </w:tcPr>
          <w:p w:rsidR="00E02AC1" w:rsidRPr="00E02AC1" w:rsidRDefault="00E02AC1" w:rsidP="00E02AC1">
            <w:pPr>
              <w:spacing w:after="0" w:line="240" w:lineRule="auto"/>
              <w:jc w:val="right"/>
              <w:rPr>
                <w:rFonts w:ascii="Arial" w:hAnsi="Arial" w:cs="Arial"/>
              </w:rPr>
            </w:pPr>
            <w:r w:rsidRPr="00E02AC1">
              <w:rPr>
                <w:rFonts w:ascii="Arial" w:hAnsi="Arial" w:cs="Arial"/>
              </w:rPr>
              <w:t>Budget</w:t>
            </w:r>
          </w:p>
        </w:tc>
        <w:tc>
          <w:tcPr>
            <w:tcW w:w="735"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color w:val="000000"/>
              </w:rPr>
            </w:pPr>
            <w:r w:rsidRPr="00E02AC1">
              <w:rPr>
                <w:rFonts w:ascii="Arial" w:hAnsi="Arial" w:cs="Arial"/>
                <w:color w:val="000000"/>
              </w:rPr>
              <w:t>Forward</w:t>
            </w:r>
          </w:p>
        </w:tc>
        <w:tc>
          <w:tcPr>
            <w:tcW w:w="821"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color w:val="000000"/>
              </w:rPr>
            </w:pPr>
            <w:r w:rsidRPr="00E02AC1">
              <w:rPr>
                <w:rFonts w:ascii="Arial" w:hAnsi="Arial" w:cs="Arial"/>
                <w:color w:val="000000"/>
              </w:rPr>
              <w:t>Forward</w:t>
            </w:r>
          </w:p>
        </w:tc>
        <w:tc>
          <w:tcPr>
            <w:tcW w:w="821"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color w:val="000000"/>
              </w:rPr>
            </w:pPr>
            <w:r w:rsidRPr="00E02AC1">
              <w:rPr>
                <w:rFonts w:ascii="Arial" w:hAnsi="Arial" w:cs="Arial"/>
                <w:color w:val="000000"/>
              </w:rPr>
              <w:t>Forward</w:t>
            </w:r>
          </w:p>
        </w:tc>
      </w:tr>
      <w:tr w:rsidR="00E02AC1" w:rsidRPr="00E02AC1" w:rsidTr="00E02AC1">
        <w:trPr>
          <w:trHeight w:val="255"/>
        </w:trPr>
        <w:tc>
          <w:tcPr>
            <w:tcW w:w="318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b/>
                <w:bCs/>
                <w:color w:val="000000"/>
              </w:rPr>
            </w:pPr>
            <w:r w:rsidRPr="00E02AC1">
              <w:rPr>
                <w:rFonts w:ascii="Arial" w:hAnsi="Arial" w:cs="Arial"/>
                <w:b/>
                <w:bCs/>
                <w:color w:val="000000"/>
              </w:rPr>
              <w:t xml:space="preserve">superannuation liabilities, payments </w:t>
            </w:r>
          </w:p>
        </w:tc>
        <w:tc>
          <w:tcPr>
            <w:tcW w:w="928"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color w:val="000000"/>
              </w:rPr>
            </w:pPr>
            <w:r w:rsidRPr="00E02AC1">
              <w:rPr>
                <w:rFonts w:ascii="Arial" w:hAnsi="Arial" w:cs="Arial"/>
                <w:color w:val="000000"/>
              </w:rPr>
              <w:t>actual</w:t>
            </w:r>
          </w:p>
        </w:tc>
        <w:tc>
          <w:tcPr>
            <w:tcW w:w="866" w:type="dxa"/>
            <w:tcBorders>
              <w:top w:val="nil"/>
              <w:left w:val="nil"/>
              <w:bottom w:val="nil"/>
              <w:right w:val="nil"/>
            </w:tcBorders>
            <w:shd w:val="clear" w:color="000000" w:fill="E6E6E6"/>
            <w:noWrap/>
            <w:vAlign w:val="center"/>
            <w:hideMark/>
          </w:tcPr>
          <w:p w:rsidR="00E02AC1" w:rsidRPr="00E02AC1" w:rsidRDefault="00E02AC1" w:rsidP="00E02AC1">
            <w:pPr>
              <w:spacing w:after="0" w:line="240" w:lineRule="auto"/>
              <w:jc w:val="right"/>
              <w:rPr>
                <w:rFonts w:ascii="Arial" w:hAnsi="Arial" w:cs="Arial"/>
              </w:rPr>
            </w:pPr>
            <w:r w:rsidRPr="00E02AC1">
              <w:rPr>
                <w:rFonts w:ascii="Arial" w:hAnsi="Arial" w:cs="Arial"/>
              </w:rPr>
              <w:t> </w:t>
            </w:r>
          </w:p>
        </w:tc>
        <w:tc>
          <w:tcPr>
            <w:tcW w:w="735"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color w:val="000000"/>
              </w:rPr>
            </w:pPr>
            <w:r w:rsidRPr="00E02AC1">
              <w:rPr>
                <w:rFonts w:ascii="Arial" w:hAnsi="Arial" w:cs="Arial"/>
                <w:color w:val="000000"/>
              </w:rPr>
              <w:t>estimate</w:t>
            </w:r>
          </w:p>
        </w:tc>
        <w:tc>
          <w:tcPr>
            <w:tcW w:w="821"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color w:val="000000"/>
              </w:rPr>
            </w:pPr>
            <w:r w:rsidRPr="00E02AC1">
              <w:rPr>
                <w:rFonts w:ascii="Arial" w:hAnsi="Arial" w:cs="Arial"/>
                <w:color w:val="000000"/>
              </w:rPr>
              <w:t>estimate</w:t>
            </w:r>
          </w:p>
        </w:tc>
        <w:tc>
          <w:tcPr>
            <w:tcW w:w="821"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color w:val="000000"/>
              </w:rPr>
            </w:pPr>
            <w:r w:rsidRPr="00E02AC1">
              <w:rPr>
                <w:rFonts w:ascii="Arial" w:hAnsi="Arial" w:cs="Arial"/>
                <w:color w:val="000000"/>
              </w:rPr>
              <w:t>estimate</w:t>
            </w:r>
          </w:p>
        </w:tc>
      </w:tr>
      <w:tr w:rsidR="00E02AC1" w:rsidRPr="00E02AC1" w:rsidTr="00E02AC1">
        <w:trPr>
          <w:trHeight w:val="255"/>
        </w:trPr>
        <w:tc>
          <w:tcPr>
            <w:tcW w:w="318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b/>
                <w:bCs/>
                <w:color w:val="000000"/>
              </w:rPr>
            </w:pPr>
            <w:r w:rsidRPr="00E02AC1">
              <w:rPr>
                <w:rFonts w:ascii="Arial" w:hAnsi="Arial" w:cs="Arial"/>
                <w:b/>
                <w:bCs/>
                <w:color w:val="000000"/>
              </w:rPr>
              <w:t xml:space="preserve">for the creation and development of </w:t>
            </w:r>
          </w:p>
        </w:tc>
        <w:tc>
          <w:tcPr>
            <w:tcW w:w="928"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color w:val="000000"/>
              </w:rPr>
            </w:pPr>
            <w:r w:rsidRPr="00E02AC1">
              <w:rPr>
                <w:rFonts w:ascii="Arial" w:hAnsi="Arial" w:cs="Arial"/>
                <w:color w:val="000000"/>
              </w:rPr>
              <w:t>$'000</w:t>
            </w:r>
          </w:p>
        </w:tc>
        <w:tc>
          <w:tcPr>
            <w:tcW w:w="866" w:type="dxa"/>
            <w:tcBorders>
              <w:top w:val="nil"/>
              <w:left w:val="nil"/>
              <w:bottom w:val="nil"/>
              <w:right w:val="nil"/>
            </w:tcBorders>
            <w:shd w:val="clear" w:color="000000" w:fill="E6E6E6"/>
            <w:noWrap/>
            <w:vAlign w:val="center"/>
            <w:hideMark/>
          </w:tcPr>
          <w:p w:rsidR="00E02AC1" w:rsidRPr="00E02AC1" w:rsidRDefault="00E02AC1" w:rsidP="00E02AC1">
            <w:pPr>
              <w:spacing w:after="0" w:line="240" w:lineRule="auto"/>
              <w:jc w:val="right"/>
              <w:rPr>
                <w:rFonts w:ascii="Arial" w:hAnsi="Arial" w:cs="Arial"/>
              </w:rPr>
            </w:pPr>
            <w:r w:rsidRPr="00E02AC1">
              <w:rPr>
                <w:rFonts w:ascii="Arial" w:hAnsi="Arial" w:cs="Arial"/>
              </w:rPr>
              <w:t>$'000</w:t>
            </w:r>
          </w:p>
        </w:tc>
        <w:tc>
          <w:tcPr>
            <w:tcW w:w="735"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color w:val="000000"/>
              </w:rPr>
            </w:pPr>
            <w:r w:rsidRPr="00E02AC1">
              <w:rPr>
                <w:rFonts w:ascii="Arial" w:hAnsi="Arial" w:cs="Arial"/>
                <w:color w:val="000000"/>
              </w:rPr>
              <w:t>$'000</w:t>
            </w:r>
          </w:p>
        </w:tc>
        <w:tc>
          <w:tcPr>
            <w:tcW w:w="821"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color w:val="000000"/>
              </w:rPr>
            </w:pPr>
            <w:r w:rsidRPr="00E02AC1">
              <w:rPr>
                <w:rFonts w:ascii="Arial" w:hAnsi="Arial" w:cs="Arial"/>
                <w:color w:val="000000"/>
              </w:rPr>
              <w:t>$'000</w:t>
            </w:r>
          </w:p>
        </w:tc>
        <w:tc>
          <w:tcPr>
            <w:tcW w:w="821"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color w:val="000000"/>
              </w:rPr>
            </w:pPr>
            <w:r w:rsidRPr="00E02AC1">
              <w:rPr>
                <w:rFonts w:ascii="Arial" w:hAnsi="Arial" w:cs="Arial"/>
                <w:color w:val="000000"/>
              </w:rPr>
              <w:t>$'000</w:t>
            </w:r>
          </w:p>
        </w:tc>
      </w:tr>
      <w:tr w:rsidR="00E02AC1" w:rsidRPr="00E02AC1" w:rsidTr="00E02AC1">
        <w:trPr>
          <w:trHeight w:val="255"/>
        </w:trPr>
        <w:tc>
          <w:tcPr>
            <w:tcW w:w="318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b/>
                <w:bCs/>
                <w:color w:val="000000"/>
              </w:rPr>
            </w:pPr>
            <w:r w:rsidRPr="00E02AC1">
              <w:rPr>
                <w:rFonts w:ascii="Arial" w:hAnsi="Arial" w:cs="Arial"/>
                <w:b/>
                <w:bCs/>
                <w:color w:val="000000"/>
              </w:rPr>
              <w:t xml:space="preserve">infrastructure, and payments from </w:t>
            </w:r>
          </w:p>
        </w:tc>
        <w:tc>
          <w:tcPr>
            <w:tcW w:w="928"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b/>
                <w:bCs/>
                <w:color w:val="000000"/>
              </w:rPr>
            </w:pPr>
          </w:p>
        </w:tc>
        <w:tc>
          <w:tcPr>
            <w:tcW w:w="866" w:type="dxa"/>
            <w:tcBorders>
              <w:top w:val="nil"/>
              <w:left w:val="nil"/>
              <w:bottom w:val="nil"/>
              <w:right w:val="nil"/>
            </w:tcBorders>
            <w:shd w:val="clear" w:color="000000" w:fill="E6E6E6"/>
            <w:noWrap/>
            <w:vAlign w:val="center"/>
            <w:hideMark/>
          </w:tcPr>
          <w:p w:rsidR="00E02AC1" w:rsidRPr="00E02AC1" w:rsidRDefault="00E02AC1" w:rsidP="00E02AC1">
            <w:pPr>
              <w:spacing w:after="0" w:line="240" w:lineRule="auto"/>
              <w:jc w:val="right"/>
              <w:rPr>
                <w:rFonts w:ascii="Arial" w:hAnsi="Arial" w:cs="Arial"/>
              </w:rPr>
            </w:pPr>
            <w:r w:rsidRPr="00E02AC1">
              <w:rPr>
                <w:rFonts w:ascii="Arial" w:hAnsi="Arial" w:cs="Arial"/>
              </w:rPr>
              <w:t> </w:t>
            </w:r>
          </w:p>
        </w:tc>
        <w:tc>
          <w:tcPr>
            <w:tcW w:w="735"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b/>
                <w:bCs/>
                <w:color w:val="000000"/>
              </w:rPr>
            </w:pPr>
          </w:p>
        </w:tc>
        <w:tc>
          <w:tcPr>
            <w:tcW w:w="821"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b/>
                <w:bCs/>
                <w:color w:val="000000"/>
              </w:rPr>
            </w:pPr>
          </w:p>
        </w:tc>
        <w:tc>
          <w:tcPr>
            <w:tcW w:w="821"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b/>
                <w:bCs/>
                <w:color w:val="000000"/>
              </w:rPr>
            </w:pPr>
          </w:p>
        </w:tc>
      </w:tr>
      <w:tr w:rsidR="00E02AC1" w:rsidRPr="00E02AC1" w:rsidTr="00E02AC1">
        <w:trPr>
          <w:trHeight w:val="255"/>
        </w:trPr>
        <w:tc>
          <w:tcPr>
            <w:tcW w:w="318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b/>
                <w:bCs/>
                <w:color w:val="000000"/>
              </w:rPr>
            </w:pPr>
            <w:r w:rsidRPr="00E02AC1">
              <w:rPr>
                <w:rFonts w:ascii="Arial" w:hAnsi="Arial" w:cs="Arial"/>
                <w:b/>
                <w:bCs/>
                <w:color w:val="000000"/>
              </w:rPr>
              <w:t xml:space="preserve">the Disability Care Australia Fund and </w:t>
            </w:r>
          </w:p>
        </w:tc>
        <w:tc>
          <w:tcPr>
            <w:tcW w:w="928"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b/>
                <w:bCs/>
                <w:color w:val="000000"/>
              </w:rPr>
            </w:pPr>
          </w:p>
        </w:tc>
        <w:tc>
          <w:tcPr>
            <w:tcW w:w="866" w:type="dxa"/>
            <w:tcBorders>
              <w:top w:val="nil"/>
              <w:left w:val="nil"/>
              <w:bottom w:val="nil"/>
              <w:right w:val="nil"/>
            </w:tcBorders>
            <w:shd w:val="clear" w:color="000000" w:fill="E6E6E6"/>
            <w:noWrap/>
            <w:vAlign w:val="center"/>
            <w:hideMark/>
          </w:tcPr>
          <w:p w:rsidR="00E02AC1" w:rsidRPr="00E02AC1" w:rsidRDefault="00E02AC1" w:rsidP="00E02AC1">
            <w:pPr>
              <w:spacing w:after="0" w:line="240" w:lineRule="auto"/>
              <w:jc w:val="right"/>
              <w:rPr>
                <w:rFonts w:ascii="Arial" w:hAnsi="Arial" w:cs="Arial"/>
              </w:rPr>
            </w:pPr>
            <w:r w:rsidRPr="00E02AC1">
              <w:rPr>
                <w:rFonts w:ascii="Arial" w:hAnsi="Arial" w:cs="Arial"/>
              </w:rPr>
              <w:t> </w:t>
            </w:r>
          </w:p>
        </w:tc>
        <w:tc>
          <w:tcPr>
            <w:tcW w:w="735"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b/>
                <w:bCs/>
                <w:color w:val="000000"/>
              </w:rPr>
            </w:pPr>
          </w:p>
        </w:tc>
        <w:tc>
          <w:tcPr>
            <w:tcW w:w="821"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b/>
                <w:bCs/>
                <w:color w:val="000000"/>
              </w:rPr>
            </w:pPr>
          </w:p>
        </w:tc>
        <w:tc>
          <w:tcPr>
            <w:tcW w:w="821"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b/>
                <w:bCs/>
                <w:color w:val="000000"/>
              </w:rPr>
            </w:pPr>
          </w:p>
        </w:tc>
      </w:tr>
      <w:tr w:rsidR="00E02AC1" w:rsidRPr="00E02AC1" w:rsidTr="00E02AC1">
        <w:trPr>
          <w:trHeight w:val="255"/>
        </w:trPr>
        <w:tc>
          <w:tcPr>
            <w:tcW w:w="318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b/>
                <w:bCs/>
                <w:color w:val="000000"/>
              </w:rPr>
            </w:pPr>
            <w:r w:rsidRPr="00E02AC1">
              <w:rPr>
                <w:rFonts w:ascii="Arial" w:hAnsi="Arial" w:cs="Arial"/>
                <w:b/>
                <w:bCs/>
                <w:color w:val="000000"/>
              </w:rPr>
              <w:t xml:space="preserve">Medical Research Future Fund by </w:t>
            </w:r>
          </w:p>
        </w:tc>
        <w:tc>
          <w:tcPr>
            <w:tcW w:w="928"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b/>
                <w:bCs/>
                <w:color w:val="000000"/>
              </w:rPr>
            </w:pPr>
          </w:p>
        </w:tc>
        <w:tc>
          <w:tcPr>
            <w:tcW w:w="866" w:type="dxa"/>
            <w:tcBorders>
              <w:top w:val="nil"/>
              <w:left w:val="nil"/>
              <w:bottom w:val="nil"/>
              <w:right w:val="nil"/>
            </w:tcBorders>
            <w:shd w:val="clear" w:color="000000" w:fill="E6E6E6"/>
            <w:noWrap/>
            <w:vAlign w:val="center"/>
            <w:hideMark/>
          </w:tcPr>
          <w:p w:rsidR="00E02AC1" w:rsidRPr="00E02AC1" w:rsidRDefault="00E02AC1" w:rsidP="00E02AC1">
            <w:pPr>
              <w:spacing w:after="0" w:line="240" w:lineRule="auto"/>
              <w:jc w:val="right"/>
              <w:rPr>
                <w:rFonts w:ascii="Arial" w:hAnsi="Arial" w:cs="Arial"/>
              </w:rPr>
            </w:pPr>
            <w:r w:rsidRPr="00E02AC1">
              <w:rPr>
                <w:rFonts w:ascii="Arial" w:hAnsi="Arial" w:cs="Arial"/>
              </w:rPr>
              <w:t> </w:t>
            </w:r>
          </w:p>
        </w:tc>
        <w:tc>
          <w:tcPr>
            <w:tcW w:w="735"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b/>
                <w:bCs/>
                <w:color w:val="000000"/>
              </w:rPr>
            </w:pPr>
          </w:p>
        </w:tc>
        <w:tc>
          <w:tcPr>
            <w:tcW w:w="821"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b/>
                <w:bCs/>
                <w:color w:val="000000"/>
              </w:rPr>
            </w:pPr>
          </w:p>
        </w:tc>
        <w:tc>
          <w:tcPr>
            <w:tcW w:w="821"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b/>
                <w:bCs/>
                <w:color w:val="000000"/>
              </w:rPr>
            </w:pPr>
          </w:p>
        </w:tc>
      </w:tr>
      <w:tr w:rsidR="00E02AC1" w:rsidRPr="00E02AC1" w:rsidTr="00E02AC1">
        <w:trPr>
          <w:trHeight w:val="255"/>
        </w:trPr>
        <w:tc>
          <w:tcPr>
            <w:tcW w:w="4108" w:type="dxa"/>
            <w:gridSpan w:val="2"/>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b/>
                <w:bCs/>
                <w:color w:val="000000"/>
              </w:rPr>
            </w:pPr>
            <w:r w:rsidRPr="00E02AC1">
              <w:rPr>
                <w:rFonts w:ascii="Arial" w:hAnsi="Arial" w:cs="Arial"/>
                <w:b/>
                <w:bCs/>
                <w:color w:val="000000"/>
              </w:rPr>
              <w:t xml:space="preserve">managing the investment activities of </w:t>
            </w:r>
          </w:p>
        </w:tc>
        <w:tc>
          <w:tcPr>
            <w:tcW w:w="866" w:type="dxa"/>
            <w:tcBorders>
              <w:top w:val="nil"/>
              <w:left w:val="nil"/>
              <w:bottom w:val="nil"/>
              <w:right w:val="nil"/>
            </w:tcBorders>
            <w:shd w:val="clear" w:color="000000" w:fill="E6E6E6"/>
            <w:noWrap/>
            <w:vAlign w:val="center"/>
            <w:hideMark/>
          </w:tcPr>
          <w:p w:rsidR="00E02AC1" w:rsidRPr="00E02AC1" w:rsidRDefault="00E02AC1" w:rsidP="00E02AC1">
            <w:pPr>
              <w:spacing w:after="0" w:line="240" w:lineRule="auto"/>
              <w:jc w:val="right"/>
              <w:rPr>
                <w:rFonts w:ascii="Arial" w:hAnsi="Arial" w:cs="Arial"/>
              </w:rPr>
            </w:pPr>
            <w:r w:rsidRPr="00E02AC1">
              <w:rPr>
                <w:rFonts w:ascii="Arial" w:hAnsi="Arial" w:cs="Arial"/>
              </w:rPr>
              <w:t> </w:t>
            </w:r>
          </w:p>
        </w:tc>
        <w:tc>
          <w:tcPr>
            <w:tcW w:w="735"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b/>
                <w:bCs/>
                <w:color w:val="000000"/>
              </w:rPr>
            </w:pPr>
          </w:p>
        </w:tc>
        <w:tc>
          <w:tcPr>
            <w:tcW w:w="821"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b/>
                <w:bCs/>
                <w:color w:val="000000"/>
              </w:rPr>
            </w:pPr>
          </w:p>
        </w:tc>
        <w:tc>
          <w:tcPr>
            <w:tcW w:w="821"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b/>
                <w:bCs/>
                <w:color w:val="000000"/>
              </w:rPr>
            </w:pPr>
          </w:p>
        </w:tc>
      </w:tr>
      <w:tr w:rsidR="00E02AC1" w:rsidRPr="00E02AC1" w:rsidTr="00E02AC1">
        <w:trPr>
          <w:trHeight w:val="255"/>
        </w:trPr>
        <w:tc>
          <w:tcPr>
            <w:tcW w:w="318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b/>
                <w:bCs/>
                <w:color w:val="000000"/>
              </w:rPr>
            </w:pPr>
            <w:r w:rsidRPr="00E02AC1">
              <w:rPr>
                <w:rFonts w:ascii="Arial" w:hAnsi="Arial" w:cs="Arial"/>
                <w:b/>
                <w:bCs/>
                <w:color w:val="000000"/>
              </w:rPr>
              <w:t xml:space="preserve">the Future Fund, Nation-building </w:t>
            </w:r>
          </w:p>
        </w:tc>
        <w:tc>
          <w:tcPr>
            <w:tcW w:w="928"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b/>
                <w:bCs/>
                <w:color w:val="000000"/>
              </w:rPr>
            </w:pPr>
          </w:p>
        </w:tc>
        <w:tc>
          <w:tcPr>
            <w:tcW w:w="866" w:type="dxa"/>
            <w:tcBorders>
              <w:top w:val="nil"/>
              <w:left w:val="nil"/>
              <w:bottom w:val="nil"/>
              <w:right w:val="nil"/>
            </w:tcBorders>
            <w:shd w:val="clear" w:color="000000" w:fill="E6E6E6"/>
            <w:noWrap/>
            <w:vAlign w:val="center"/>
            <w:hideMark/>
          </w:tcPr>
          <w:p w:rsidR="00E02AC1" w:rsidRPr="00E02AC1" w:rsidRDefault="00E02AC1" w:rsidP="00E02AC1">
            <w:pPr>
              <w:spacing w:after="0" w:line="240" w:lineRule="auto"/>
              <w:jc w:val="right"/>
              <w:rPr>
                <w:rFonts w:ascii="Arial" w:hAnsi="Arial" w:cs="Arial"/>
              </w:rPr>
            </w:pPr>
            <w:r w:rsidRPr="00E02AC1">
              <w:rPr>
                <w:rFonts w:ascii="Arial" w:hAnsi="Arial" w:cs="Arial"/>
              </w:rPr>
              <w:t> </w:t>
            </w:r>
          </w:p>
        </w:tc>
        <w:tc>
          <w:tcPr>
            <w:tcW w:w="735"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b/>
                <w:bCs/>
                <w:color w:val="000000"/>
              </w:rPr>
            </w:pPr>
          </w:p>
        </w:tc>
        <w:tc>
          <w:tcPr>
            <w:tcW w:w="821"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b/>
                <w:bCs/>
                <w:color w:val="000000"/>
              </w:rPr>
            </w:pPr>
          </w:p>
        </w:tc>
        <w:tc>
          <w:tcPr>
            <w:tcW w:w="821"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b/>
                <w:bCs/>
                <w:color w:val="000000"/>
              </w:rPr>
            </w:pPr>
          </w:p>
        </w:tc>
      </w:tr>
      <w:tr w:rsidR="00E02AC1" w:rsidRPr="00E02AC1" w:rsidTr="00E02AC1">
        <w:trPr>
          <w:trHeight w:val="255"/>
        </w:trPr>
        <w:tc>
          <w:tcPr>
            <w:tcW w:w="318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b/>
                <w:bCs/>
                <w:color w:val="000000"/>
              </w:rPr>
            </w:pPr>
            <w:r w:rsidRPr="00E02AC1">
              <w:rPr>
                <w:rFonts w:ascii="Arial" w:hAnsi="Arial" w:cs="Arial"/>
                <w:b/>
                <w:bCs/>
                <w:color w:val="000000"/>
              </w:rPr>
              <w:t xml:space="preserve">Funds, Disability Care Australia Fund </w:t>
            </w:r>
          </w:p>
        </w:tc>
        <w:tc>
          <w:tcPr>
            <w:tcW w:w="928"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b/>
                <w:bCs/>
                <w:color w:val="000000"/>
              </w:rPr>
            </w:pPr>
          </w:p>
        </w:tc>
        <w:tc>
          <w:tcPr>
            <w:tcW w:w="866" w:type="dxa"/>
            <w:tcBorders>
              <w:top w:val="nil"/>
              <w:left w:val="nil"/>
              <w:bottom w:val="nil"/>
              <w:right w:val="nil"/>
            </w:tcBorders>
            <w:shd w:val="clear" w:color="000000" w:fill="E6E6E6"/>
            <w:noWrap/>
            <w:vAlign w:val="center"/>
            <w:hideMark/>
          </w:tcPr>
          <w:p w:rsidR="00E02AC1" w:rsidRPr="00E02AC1" w:rsidRDefault="00E02AC1" w:rsidP="00E02AC1">
            <w:pPr>
              <w:spacing w:after="0" w:line="240" w:lineRule="auto"/>
              <w:jc w:val="right"/>
              <w:rPr>
                <w:rFonts w:ascii="Arial" w:hAnsi="Arial" w:cs="Arial"/>
              </w:rPr>
            </w:pPr>
            <w:r w:rsidRPr="00E02AC1">
              <w:rPr>
                <w:rFonts w:ascii="Arial" w:hAnsi="Arial" w:cs="Arial"/>
              </w:rPr>
              <w:t> </w:t>
            </w:r>
          </w:p>
        </w:tc>
        <w:tc>
          <w:tcPr>
            <w:tcW w:w="735"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b/>
                <w:bCs/>
                <w:color w:val="000000"/>
              </w:rPr>
            </w:pPr>
          </w:p>
        </w:tc>
        <w:tc>
          <w:tcPr>
            <w:tcW w:w="821"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b/>
                <w:bCs/>
                <w:color w:val="000000"/>
              </w:rPr>
            </w:pPr>
          </w:p>
        </w:tc>
        <w:tc>
          <w:tcPr>
            <w:tcW w:w="821"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b/>
                <w:bCs/>
                <w:color w:val="000000"/>
              </w:rPr>
            </w:pPr>
          </w:p>
        </w:tc>
      </w:tr>
      <w:tr w:rsidR="00E02AC1" w:rsidRPr="00E02AC1" w:rsidTr="00E02AC1">
        <w:trPr>
          <w:trHeight w:val="255"/>
        </w:trPr>
        <w:tc>
          <w:tcPr>
            <w:tcW w:w="4108" w:type="dxa"/>
            <w:gridSpan w:val="2"/>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b/>
                <w:bCs/>
                <w:color w:val="000000"/>
              </w:rPr>
            </w:pPr>
            <w:r w:rsidRPr="00E02AC1">
              <w:rPr>
                <w:rFonts w:ascii="Arial" w:hAnsi="Arial" w:cs="Arial"/>
                <w:b/>
                <w:bCs/>
                <w:color w:val="000000"/>
              </w:rPr>
              <w:t xml:space="preserve">and Medical Research Future Fund, in </w:t>
            </w:r>
          </w:p>
        </w:tc>
        <w:tc>
          <w:tcPr>
            <w:tcW w:w="866" w:type="dxa"/>
            <w:tcBorders>
              <w:top w:val="nil"/>
              <w:left w:val="nil"/>
              <w:bottom w:val="nil"/>
              <w:right w:val="nil"/>
            </w:tcBorders>
            <w:shd w:val="clear" w:color="000000" w:fill="E6E6E6"/>
            <w:noWrap/>
            <w:vAlign w:val="center"/>
            <w:hideMark/>
          </w:tcPr>
          <w:p w:rsidR="00E02AC1" w:rsidRPr="00E02AC1" w:rsidRDefault="00E02AC1" w:rsidP="00E02AC1">
            <w:pPr>
              <w:spacing w:after="0" w:line="240" w:lineRule="auto"/>
              <w:jc w:val="right"/>
              <w:rPr>
                <w:rFonts w:ascii="Arial" w:hAnsi="Arial" w:cs="Arial"/>
              </w:rPr>
            </w:pPr>
            <w:r w:rsidRPr="00E02AC1">
              <w:rPr>
                <w:rFonts w:ascii="Arial" w:hAnsi="Arial" w:cs="Arial"/>
              </w:rPr>
              <w:t> </w:t>
            </w:r>
          </w:p>
        </w:tc>
        <w:tc>
          <w:tcPr>
            <w:tcW w:w="735"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b/>
                <w:bCs/>
                <w:color w:val="000000"/>
              </w:rPr>
            </w:pPr>
          </w:p>
        </w:tc>
        <w:tc>
          <w:tcPr>
            <w:tcW w:w="821"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b/>
                <w:bCs/>
                <w:color w:val="000000"/>
              </w:rPr>
            </w:pPr>
          </w:p>
        </w:tc>
        <w:tc>
          <w:tcPr>
            <w:tcW w:w="821"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b/>
                <w:bCs/>
                <w:color w:val="000000"/>
              </w:rPr>
            </w:pPr>
          </w:p>
        </w:tc>
      </w:tr>
      <w:tr w:rsidR="00E02AC1" w:rsidRPr="00E02AC1" w:rsidTr="00E02AC1">
        <w:trPr>
          <w:trHeight w:val="255"/>
        </w:trPr>
        <w:tc>
          <w:tcPr>
            <w:tcW w:w="318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b/>
                <w:bCs/>
                <w:color w:val="000000"/>
              </w:rPr>
            </w:pPr>
            <w:r w:rsidRPr="00E02AC1">
              <w:rPr>
                <w:rFonts w:ascii="Arial" w:hAnsi="Arial" w:cs="Arial"/>
                <w:b/>
                <w:bCs/>
                <w:color w:val="000000"/>
              </w:rPr>
              <w:t xml:space="preserve">line with the Government’s </w:t>
            </w:r>
          </w:p>
        </w:tc>
        <w:tc>
          <w:tcPr>
            <w:tcW w:w="928"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b/>
                <w:bCs/>
                <w:color w:val="000000"/>
              </w:rPr>
            </w:pPr>
          </w:p>
        </w:tc>
        <w:tc>
          <w:tcPr>
            <w:tcW w:w="866" w:type="dxa"/>
            <w:tcBorders>
              <w:top w:val="nil"/>
              <w:left w:val="nil"/>
              <w:bottom w:val="nil"/>
              <w:right w:val="nil"/>
            </w:tcBorders>
            <w:shd w:val="clear" w:color="000000" w:fill="E6E6E6"/>
            <w:noWrap/>
            <w:vAlign w:val="center"/>
            <w:hideMark/>
          </w:tcPr>
          <w:p w:rsidR="00E02AC1" w:rsidRPr="00E02AC1" w:rsidRDefault="00E02AC1" w:rsidP="00E02AC1">
            <w:pPr>
              <w:spacing w:after="0" w:line="240" w:lineRule="auto"/>
              <w:jc w:val="right"/>
              <w:rPr>
                <w:rFonts w:ascii="Arial" w:hAnsi="Arial" w:cs="Arial"/>
              </w:rPr>
            </w:pPr>
            <w:r w:rsidRPr="00E02AC1">
              <w:rPr>
                <w:rFonts w:ascii="Arial" w:hAnsi="Arial" w:cs="Arial"/>
              </w:rPr>
              <w:t> </w:t>
            </w:r>
          </w:p>
        </w:tc>
        <w:tc>
          <w:tcPr>
            <w:tcW w:w="735"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b/>
                <w:bCs/>
                <w:color w:val="000000"/>
              </w:rPr>
            </w:pPr>
          </w:p>
        </w:tc>
        <w:tc>
          <w:tcPr>
            <w:tcW w:w="821"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b/>
                <w:bCs/>
                <w:color w:val="000000"/>
              </w:rPr>
            </w:pPr>
          </w:p>
        </w:tc>
        <w:tc>
          <w:tcPr>
            <w:tcW w:w="821"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b/>
                <w:bCs/>
                <w:color w:val="000000"/>
              </w:rPr>
            </w:pPr>
          </w:p>
        </w:tc>
      </w:tr>
      <w:tr w:rsidR="00E02AC1" w:rsidRPr="00E02AC1" w:rsidTr="00E02AC1">
        <w:trPr>
          <w:trHeight w:val="255"/>
        </w:trPr>
        <w:tc>
          <w:tcPr>
            <w:tcW w:w="318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b/>
                <w:bCs/>
                <w:color w:val="000000"/>
              </w:rPr>
            </w:pPr>
            <w:proofErr w:type="gramStart"/>
            <w:r w:rsidRPr="00E02AC1">
              <w:rPr>
                <w:rFonts w:ascii="Arial" w:hAnsi="Arial" w:cs="Arial"/>
                <w:b/>
                <w:bCs/>
                <w:color w:val="000000"/>
              </w:rPr>
              <w:t>investment</w:t>
            </w:r>
            <w:proofErr w:type="gramEnd"/>
            <w:r w:rsidRPr="00E02AC1">
              <w:rPr>
                <w:rFonts w:ascii="Arial" w:hAnsi="Arial" w:cs="Arial"/>
                <w:b/>
                <w:bCs/>
                <w:color w:val="000000"/>
              </w:rPr>
              <w:t xml:space="preserve"> mandates.</w:t>
            </w:r>
          </w:p>
        </w:tc>
        <w:tc>
          <w:tcPr>
            <w:tcW w:w="928"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b/>
                <w:bCs/>
                <w:color w:val="000000"/>
              </w:rPr>
            </w:pPr>
          </w:p>
        </w:tc>
        <w:tc>
          <w:tcPr>
            <w:tcW w:w="866" w:type="dxa"/>
            <w:tcBorders>
              <w:top w:val="nil"/>
              <w:left w:val="nil"/>
              <w:bottom w:val="nil"/>
              <w:right w:val="nil"/>
            </w:tcBorders>
            <w:shd w:val="clear" w:color="000000" w:fill="E6E6E6"/>
            <w:noWrap/>
            <w:vAlign w:val="center"/>
            <w:hideMark/>
          </w:tcPr>
          <w:p w:rsidR="00E02AC1" w:rsidRPr="00E02AC1" w:rsidRDefault="00E02AC1" w:rsidP="00E02AC1">
            <w:pPr>
              <w:spacing w:after="0" w:line="240" w:lineRule="auto"/>
              <w:jc w:val="right"/>
              <w:rPr>
                <w:rFonts w:ascii="Arial" w:hAnsi="Arial" w:cs="Arial"/>
              </w:rPr>
            </w:pPr>
            <w:r w:rsidRPr="00E02AC1">
              <w:rPr>
                <w:rFonts w:ascii="Arial" w:hAnsi="Arial" w:cs="Arial"/>
              </w:rPr>
              <w:t> </w:t>
            </w:r>
          </w:p>
        </w:tc>
        <w:tc>
          <w:tcPr>
            <w:tcW w:w="735"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b/>
                <w:bCs/>
                <w:color w:val="000000"/>
              </w:rPr>
            </w:pPr>
          </w:p>
        </w:tc>
        <w:tc>
          <w:tcPr>
            <w:tcW w:w="821"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b/>
                <w:bCs/>
                <w:color w:val="000000"/>
              </w:rPr>
            </w:pPr>
          </w:p>
        </w:tc>
        <w:tc>
          <w:tcPr>
            <w:tcW w:w="821"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b/>
                <w:bCs/>
                <w:color w:val="000000"/>
              </w:rPr>
            </w:pPr>
          </w:p>
        </w:tc>
      </w:tr>
      <w:tr w:rsidR="00E02AC1" w:rsidRPr="00E02AC1" w:rsidTr="00E02AC1">
        <w:trPr>
          <w:trHeight w:val="225"/>
        </w:trPr>
        <w:tc>
          <w:tcPr>
            <w:tcW w:w="7351" w:type="dxa"/>
            <w:gridSpan w:val="6"/>
            <w:tcBorders>
              <w:top w:val="single" w:sz="4" w:space="0" w:color="auto"/>
              <w:left w:val="nil"/>
              <w:bottom w:val="single" w:sz="4" w:space="0" w:color="auto"/>
              <w:right w:val="nil"/>
            </w:tcBorders>
            <w:shd w:val="clear" w:color="000000" w:fill="E6E6E6"/>
            <w:vAlign w:val="center"/>
            <w:hideMark/>
          </w:tcPr>
          <w:p w:rsidR="00E02AC1" w:rsidRPr="00E02AC1" w:rsidRDefault="00E02AC1" w:rsidP="00E02AC1">
            <w:pPr>
              <w:spacing w:after="0" w:line="240" w:lineRule="auto"/>
              <w:jc w:val="left"/>
              <w:rPr>
                <w:rFonts w:ascii="Arial" w:hAnsi="Arial" w:cs="Arial"/>
                <w:b/>
                <w:bCs/>
              </w:rPr>
            </w:pPr>
            <w:r w:rsidRPr="00E02AC1">
              <w:rPr>
                <w:rFonts w:ascii="Arial" w:hAnsi="Arial" w:cs="Arial"/>
                <w:b/>
                <w:bCs/>
              </w:rPr>
              <w:t>Program 1.1: Management of the Investment of the Future Fund</w:t>
            </w:r>
          </w:p>
        </w:tc>
      </w:tr>
      <w:tr w:rsidR="00E02AC1" w:rsidRPr="00E02AC1" w:rsidTr="00E02AC1">
        <w:trPr>
          <w:trHeight w:val="225"/>
        </w:trPr>
        <w:tc>
          <w:tcPr>
            <w:tcW w:w="318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rPr>
            </w:pPr>
            <w:r w:rsidRPr="00E02AC1">
              <w:rPr>
                <w:rFonts w:ascii="Arial" w:hAnsi="Arial" w:cs="Arial"/>
              </w:rPr>
              <w:t>Departmental expenses</w:t>
            </w:r>
          </w:p>
        </w:tc>
        <w:tc>
          <w:tcPr>
            <w:tcW w:w="928"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color w:val="000000"/>
              </w:rPr>
            </w:pPr>
          </w:p>
        </w:tc>
        <w:tc>
          <w:tcPr>
            <w:tcW w:w="866" w:type="dxa"/>
            <w:tcBorders>
              <w:top w:val="nil"/>
              <w:left w:val="nil"/>
              <w:bottom w:val="nil"/>
              <w:right w:val="nil"/>
            </w:tcBorders>
            <w:shd w:val="clear" w:color="000000" w:fill="E6E6E6"/>
            <w:noWrap/>
            <w:vAlign w:val="center"/>
            <w:hideMark/>
          </w:tcPr>
          <w:p w:rsidR="00E02AC1" w:rsidRPr="00E02AC1" w:rsidRDefault="00E02AC1" w:rsidP="00E02AC1">
            <w:pPr>
              <w:spacing w:after="0" w:line="240" w:lineRule="auto"/>
              <w:jc w:val="right"/>
              <w:rPr>
                <w:rFonts w:ascii="Arial" w:hAnsi="Arial" w:cs="Arial"/>
              </w:rPr>
            </w:pPr>
            <w:r w:rsidRPr="00E02AC1">
              <w:rPr>
                <w:rFonts w:ascii="Arial" w:hAnsi="Arial" w:cs="Arial"/>
              </w:rPr>
              <w:t> </w:t>
            </w:r>
          </w:p>
        </w:tc>
        <w:tc>
          <w:tcPr>
            <w:tcW w:w="735"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rPr>
            </w:pPr>
          </w:p>
        </w:tc>
        <w:tc>
          <w:tcPr>
            <w:tcW w:w="821"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rPr>
            </w:pPr>
          </w:p>
        </w:tc>
        <w:tc>
          <w:tcPr>
            <w:tcW w:w="821"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rPr>
            </w:pPr>
          </w:p>
        </w:tc>
      </w:tr>
      <w:tr w:rsidR="00E02AC1" w:rsidRPr="00E02AC1" w:rsidTr="00E02AC1">
        <w:trPr>
          <w:trHeight w:val="225"/>
        </w:trPr>
        <w:tc>
          <w:tcPr>
            <w:tcW w:w="318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ind w:firstLineChars="100" w:firstLine="160"/>
              <w:jc w:val="left"/>
              <w:rPr>
                <w:rFonts w:ascii="Arial" w:hAnsi="Arial" w:cs="Arial"/>
              </w:rPr>
            </w:pPr>
            <w:r w:rsidRPr="00E02AC1">
              <w:rPr>
                <w:rFonts w:ascii="Arial" w:hAnsi="Arial" w:cs="Arial"/>
              </w:rPr>
              <w:t>Special accounts</w:t>
            </w:r>
          </w:p>
        </w:tc>
        <w:tc>
          <w:tcPr>
            <w:tcW w:w="928"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color w:val="000000"/>
              </w:rPr>
            </w:pPr>
          </w:p>
        </w:tc>
        <w:tc>
          <w:tcPr>
            <w:tcW w:w="866" w:type="dxa"/>
            <w:tcBorders>
              <w:top w:val="nil"/>
              <w:left w:val="nil"/>
              <w:bottom w:val="nil"/>
              <w:right w:val="nil"/>
            </w:tcBorders>
            <w:shd w:val="clear" w:color="000000" w:fill="E6E6E6"/>
            <w:noWrap/>
            <w:vAlign w:val="center"/>
            <w:hideMark/>
          </w:tcPr>
          <w:p w:rsidR="00E02AC1" w:rsidRPr="00E02AC1" w:rsidRDefault="00E02AC1" w:rsidP="00E02AC1">
            <w:pPr>
              <w:spacing w:after="0" w:line="240" w:lineRule="auto"/>
              <w:jc w:val="right"/>
              <w:rPr>
                <w:rFonts w:ascii="Arial" w:hAnsi="Arial" w:cs="Arial"/>
              </w:rPr>
            </w:pPr>
            <w:r w:rsidRPr="00E02AC1">
              <w:rPr>
                <w:rFonts w:ascii="Arial" w:hAnsi="Arial" w:cs="Arial"/>
              </w:rPr>
              <w:t> </w:t>
            </w:r>
          </w:p>
        </w:tc>
        <w:tc>
          <w:tcPr>
            <w:tcW w:w="735"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rPr>
            </w:pPr>
          </w:p>
        </w:tc>
        <w:tc>
          <w:tcPr>
            <w:tcW w:w="821"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rPr>
            </w:pPr>
          </w:p>
        </w:tc>
        <w:tc>
          <w:tcPr>
            <w:tcW w:w="821"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rPr>
            </w:pPr>
          </w:p>
        </w:tc>
      </w:tr>
      <w:tr w:rsidR="00E02AC1" w:rsidRPr="00E02AC1" w:rsidTr="00E02AC1">
        <w:trPr>
          <w:trHeight w:val="225"/>
        </w:trPr>
        <w:tc>
          <w:tcPr>
            <w:tcW w:w="318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ind w:firstLineChars="200" w:firstLine="320"/>
              <w:jc w:val="left"/>
              <w:rPr>
                <w:rFonts w:ascii="Arial" w:hAnsi="Arial" w:cs="Arial"/>
              </w:rPr>
            </w:pPr>
            <w:r w:rsidRPr="00E02AC1">
              <w:rPr>
                <w:rFonts w:ascii="Arial" w:hAnsi="Arial" w:cs="Arial"/>
              </w:rPr>
              <w:t>Future Fund Special Account</w:t>
            </w:r>
          </w:p>
        </w:tc>
        <w:tc>
          <w:tcPr>
            <w:tcW w:w="928" w:type="dxa"/>
            <w:tcBorders>
              <w:top w:val="nil"/>
              <w:left w:val="nil"/>
              <w:bottom w:val="single" w:sz="4" w:space="0" w:color="000000"/>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color w:val="000000"/>
              </w:rPr>
            </w:pPr>
            <w:r w:rsidRPr="00E02AC1">
              <w:rPr>
                <w:rFonts w:ascii="Arial" w:hAnsi="Arial" w:cs="Arial"/>
                <w:color w:val="000000"/>
              </w:rPr>
              <w:t xml:space="preserve">48,670 </w:t>
            </w:r>
          </w:p>
        </w:tc>
        <w:tc>
          <w:tcPr>
            <w:tcW w:w="866" w:type="dxa"/>
            <w:tcBorders>
              <w:top w:val="nil"/>
              <w:left w:val="nil"/>
              <w:bottom w:val="single" w:sz="4" w:space="0" w:color="000000"/>
              <w:right w:val="nil"/>
            </w:tcBorders>
            <w:shd w:val="clear" w:color="000000" w:fill="E6E6E6"/>
            <w:noWrap/>
            <w:vAlign w:val="center"/>
            <w:hideMark/>
          </w:tcPr>
          <w:p w:rsidR="00E02AC1" w:rsidRPr="00E02AC1" w:rsidRDefault="00E02AC1" w:rsidP="00E02AC1">
            <w:pPr>
              <w:spacing w:after="0" w:line="240" w:lineRule="auto"/>
              <w:jc w:val="right"/>
              <w:rPr>
                <w:rFonts w:ascii="Arial" w:hAnsi="Arial" w:cs="Arial"/>
                <w:color w:val="000000"/>
              </w:rPr>
            </w:pPr>
            <w:r w:rsidRPr="00E02AC1">
              <w:rPr>
                <w:rFonts w:ascii="Arial" w:hAnsi="Arial" w:cs="Arial"/>
                <w:color w:val="000000"/>
              </w:rPr>
              <w:t xml:space="preserve">61,429 </w:t>
            </w:r>
          </w:p>
        </w:tc>
        <w:tc>
          <w:tcPr>
            <w:tcW w:w="735" w:type="dxa"/>
            <w:tcBorders>
              <w:top w:val="nil"/>
              <w:left w:val="nil"/>
              <w:bottom w:val="single" w:sz="4" w:space="0" w:color="000000"/>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color w:val="000000"/>
              </w:rPr>
            </w:pPr>
            <w:r w:rsidRPr="00E02AC1">
              <w:rPr>
                <w:rFonts w:ascii="Arial" w:hAnsi="Arial" w:cs="Arial"/>
                <w:color w:val="000000"/>
              </w:rPr>
              <w:t xml:space="preserve">66,387 </w:t>
            </w:r>
          </w:p>
        </w:tc>
        <w:tc>
          <w:tcPr>
            <w:tcW w:w="821" w:type="dxa"/>
            <w:tcBorders>
              <w:top w:val="nil"/>
              <w:left w:val="nil"/>
              <w:bottom w:val="single" w:sz="4" w:space="0" w:color="000000"/>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color w:val="000000"/>
              </w:rPr>
            </w:pPr>
            <w:r w:rsidRPr="00E02AC1">
              <w:rPr>
                <w:rFonts w:ascii="Arial" w:hAnsi="Arial" w:cs="Arial"/>
                <w:color w:val="000000"/>
              </w:rPr>
              <w:t xml:space="preserve">68,664 </w:t>
            </w:r>
          </w:p>
        </w:tc>
        <w:tc>
          <w:tcPr>
            <w:tcW w:w="821" w:type="dxa"/>
            <w:tcBorders>
              <w:top w:val="nil"/>
              <w:left w:val="nil"/>
              <w:bottom w:val="single" w:sz="4" w:space="0" w:color="000000"/>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color w:val="000000"/>
              </w:rPr>
            </w:pPr>
            <w:r w:rsidRPr="00E02AC1">
              <w:rPr>
                <w:rFonts w:ascii="Arial" w:hAnsi="Arial" w:cs="Arial"/>
                <w:color w:val="000000"/>
              </w:rPr>
              <w:t xml:space="preserve">70,179 </w:t>
            </w:r>
          </w:p>
        </w:tc>
      </w:tr>
      <w:tr w:rsidR="00E02AC1" w:rsidRPr="00E02AC1" w:rsidTr="00E02AC1">
        <w:trPr>
          <w:trHeight w:val="225"/>
        </w:trPr>
        <w:tc>
          <w:tcPr>
            <w:tcW w:w="318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b/>
                <w:bCs/>
              </w:rPr>
            </w:pPr>
            <w:r w:rsidRPr="00E02AC1">
              <w:rPr>
                <w:rFonts w:ascii="Arial" w:hAnsi="Arial" w:cs="Arial"/>
                <w:b/>
                <w:bCs/>
              </w:rPr>
              <w:t>Departmental Total</w:t>
            </w:r>
          </w:p>
        </w:tc>
        <w:tc>
          <w:tcPr>
            <w:tcW w:w="928" w:type="dxa"/>
            <w:tcBorders>
              <w:top w:val="nil"/>
              <w:left w:val="nil"/>
              <w:bottom w:val="single" w:sz="4" w:space="0" w:color="000000"/>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color w:val="000000"/>
              </w:rPr>
            </w:pPr>
            <w:r w:rsidRPr="00E02AC1">
              <w:rPr>
                <w:rFonts w:ascii="Arial" w:hAnsi="Arial" w:cs="Arial"/>
                <w:color w:val="000000"/>
              </w:rPr>
              <w:t xml:space="preserve">48,670 </w:t>
            </w:r>
          </w:p>
        </w:tc>
        <w:tc>
          <w:tcPr>
            <w:tcW w:w="866" w:type="dxa"/>
            <w:tcBorders>
              <w:top w:val="nil"/>
              <w:left w:val="nil"/>
              <w:bottom w:val="single" w:sz="4" w:space="0" w:color="000000"/>
              <w:right w:val="nil"/>
            </w:tcBorders>
            <w:shd w:val="clear" w:color="000000" w:fill="E6E6E6"/>
            <w:noWrap/>
            <w:vAlign w:val="center"/>
            <w:hideMark/>
          </w:tcPr>
          <w:p w:rsidR="00E02AC1" w:rsidRPr="00E02AC1" w:rsidRDefault="00E02AC1" w:rsidP="00E02AC1">
            <w:pPr>
              <w:spacing w:after="0" w:line="240" w:lineRule="auto"/>
              <w:jc w:val="right"/>
              <w:rPr>
                <w:rFonts w:ascii="Arial" w:hAnsi="Arial" w:cs="Arial"/>
                <w:color w:val="000000"/>
              </w:rPr>
            </w:pPr>
            <w:r w:rsidRPr="00E02AC1">
              <w:rPr>
                <w:rFonts w:ascii="Arial" w:hAnsi="Arial" w:cs="Arial"/>
                <w:color w:val="000000"/>
              </w:rPr>
              <w:t xml:space="preserve">61,429 </w:t>
            </w:r>
          </w:p>
        </w:tc>
        <w:tc>
          <w:tcPr>
            <w:tcW w:w="735" w:type="dxa"/>
            <w:tcBorders>
              <w:top w:val="nil"/>
              <w:left w:val="nil"/>
              <w:bottom w:val="single" w:sz="4" w:space="0" w:color="000000"/>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color w:val="000000"/>
              </w:rPr>
            </w:pPr>
            <w:r w:rsidRPr="00E02AC1">
              <w:rPr>
                <w:rFonts w:ascii="Arial" w:hAnsi="Arial" w:cs="Arial"/>
                <w:color w:val="000000"/>
              </w:rPr>
              <w:t xml:space="preserve">66,387 </w:t>
            </w:r>
          </w:p>
        </w:tc>
        <w:tc>
          <w:tcPr>
            <w:tcW w:w="821" w:type="dxa"/>
            <w:tcBorders>
              <w:top w:val="nil"/>
              <w:left w:val="nil"/>
              <w:bottom w:val="single" w:sz="4" w:space="0" w:color="000000"/>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color w:val="000000"/>
              </w:rPr>
            </w:pPr>
            <w:r w:rsidRPr="00E02AC1">
              <w:rPr>
                <w:rFonts w:ascii="Arial" w:hAnsi="Arial" w:cs="Arial"/>
                <w:color w:val="000000"/>
              </w:rPr>
              <w:t xml:space="preserve">68,664 </w:t>
            </w:r>
          </w:p>
        </w:tc>
        <w:tc>
          <w:tcPr>
            <w:tcW w:w="821" w:type="dxa"/>
            <w:tcBorders>
              <w:top w:val="nil"/>
              <w:left w:val="nil"/>
              <w:bottom w:val="single" w:sz="4" w:space="0" w:color="000000"/>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color w:val="000000"/>
              </w:rPr>
            </w:pPr>
            <w:r w:rsidRPr="00E02AC1">
              <w:rPr>
                <w:rFonts w:ascii="Arial" w:hAnsi="Arial" w:cs="Arial"/>
                <w:color w:val="000000"/>
              </w:rPr>
              <w:t xml:space="preserve">70,179 </w:t>
            </w:r>
          </w:p>
        </w:tc>
      </w:tr>
      <w:tr w:rsidR="00E02AC1" w:rsidRPr="00E02AC1" w:rsidTr="00E02AC1">
        <w:trPr>
          <w:trHeight w:val="225"/>
        </w:trPr>
        <w:tc>
          <w:tcPr>
            <w:tcW w:w="3180" w:type="dxa"/>
            <w:tcBorders>
              <w:top w:val="nil"/>
              <w:left w:val="nil"/>
              <w:bottom w:val="single" w:sz="4" w:space="0" w:color="000000"/>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b/>
                <w:bCs/>
              </w:rPr>
            </w:pPr>
            <w:r w:rsidRPr="00E02AC1">
              <w:rPr>
                <w:rFonts w:ascii="Arial" w:hAnsi="Arial" w:cs="Arial"/>
                <w:b/>
                <w:bCs/>
              </w:rPr>
              <w:t>Total expenses for program 1.1</w:t>
            </w:r>
          </w:p>
        </w:tc>
        <w:tc>
          <w:tcPr>
            <w:tcW w:w="928" w:type="dxa"/>
            <w:tcBorders>
              <w:top w:val="nil"/>
              <w:left w:val="nil"/>
              <w:bottom w:val="single" w:sz="4" w:space="0" w:color="000000"/>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b/>
                <w:bCs/>
                <w:color w:val="000000"/>
              </w:rPr>
            </w:pPr>
            <w:r w:rsidRPr="00E02AC1">
              <w:rPr>
                <w:rFonts w:ascii="Arial" w:hAnsi="Arial" w:cs="Arial"/>
                <w:b/>
                <w:bCs/>
                <w:color w:val="000000"/>
              </w:rPr>
              <w:t xml:space="preserve">48,670 </w:t>
            </w:r>
          </w:p>
        </w:tc>
        <w:tc>
          <w:tcPr>
            <w:tcW w:w="866" w:type="dxa"/>
            <w:tcBorders>
              <w:top w:val="nil"/>
              <w:left w:val="nil"/>
              <w:bottom w:val="single" w:sz="4" w:space="0" w:color="000000"/>
              <w:right w:val="nil"/>
            </w:tcBorders>
            <w:shd w:val="clear" w:color="000000" w:fill="E6E6E6"/>
            <w:noWrap/>
            <w:vAlign w:val="center"/>
            <w:hideMark/>
          </w:tcPr>
          <w:p w:rsidR="00E02AC1" w:rsidRPr="00E02AC1" w:rsidRDefault="00E02AC1" w:rsidP="00E02AC1">
            <w:pPr>
              <w:spacing w:after="0" w:line="240" w:lineRule="auto"/>
              <w:jc w:val="right"/>
              <w:rPr>
                <w:rFonts w:ascii="Arial" w:hAnsi="Arial" w:cs="Arial"/>
                <w:b/>
                <w:bCs/>
                <w:color w:val="000000"/>
              </w:rPr>
            </w:pPr>
            <w:r w:rsidRPr="00E02AC1">
              <w:rPr>
                <w:rFonts w:ascii="Arial" w:hAnsi="Arial" w:cs="Arial"/>
                <w:b/>
                <w:bCs/>
                <w:color w:val="000000"/>
              </w:rPr>
              <w:t xml:space="preserve">61,429 </w:t>
            </w:r>
          </w:p>
        </w:tc>
        <w:tc>
          <w:tcPr>
            <w:tcW w:w="735" w:type="dxa"/>
            <w:tcBorders>
              <w:top w:val="nil"/>
              <w:left w:val="nil"/>
              <w:bottom w:val="single" w:sz="4" w:space="0" w:color="000000"/>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b/>
                <w:bCs/>
                <w:color w:val="000000"/>
              </w:rPr>
            </w:pPr>
            <w:r w:rsidRPr="00E02AC1">
              <w:rPr>
                <w:rFonts w:ascii="Arial" w:hAnsi="Arial" w:cs="Arial"/>
                <w:b/>
                <w:bCs/>
                <w:color w:val="000000"/>
              </w:rPr>
              <w:t xml:space="preserve">66,387 </w:t>
            </w:r>
          </w:p>
        </w:tc>
        <w:tc>
          <w:tcPr>
            <w:tcW w:w="821" w:type="dxa"/>
            <w:tcBorders>
              <w:top w:val="nil"/>
              <w:left w:val="nil"/>
              <w:bottom w:val="single" w:sz="4" w:space="0" w:color="000000"/>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b/>
                <w:bCs/>
                <w:color w:val="000000"/>
              </w:rPr>
            </w:pPr>
            <w:r w:rsidRPr="00E02AC1">
              <w:rPr>
                <w:rFonts w:ascii="Arial" w:hAnsi="Arial" w:cs="Arial"/>
                <w:b/>
                <w:bCs/>
                <w:color w:val="000000"/>
              </w:rPr>
              <w:t xml:space="preserve">68,664 </w:t>
            </w:r>
          </w:p>
        </w:tc>
        <w:tc>
          <w:tcPr>
            <w:tcW w:w="821" w:type="dxa"/>
            <w:tcBorders>
              <w:top w:val="nil"/>
              <w:left w:val="nil"/>
              <w:bottom w:val="single" w:sz="4" w:space="0" w:color="000000"/>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b/>
                <w:bCs/>
                <w:color w:val="000000"/>
              </w:rPr>
            </w:pPr>
            <w:r w:rsidRPr="00E02AC1">
              <w:rPr>
                <w:rFonts w:ascii="Arial" w:hAnsi="Arial" w:cs="Arial"/>
                <w:b/>
                <w:bCs/>
                <w:color w:val="000000"/>
              </w:rPr>
              <w:t xml:space="preserve">70,179 </w:t>
            </w:r>
          </w:p>
        </w:tc>
      </w:tr>
      <w:tr w:rsidR="00E02AC1" w:rsidRPr="00E02AC1" w:rsidTr="00E02AC1">
        <w:trPr>
          <w:trHeight w:val="225"/>
        </w:trPr>
        <w:tc>
          <w:tcPr>
            <w:tcW w:w="7351" w:type="dxa"/>
            <w:gridSpan w:val="6"/>
            <w:tcBorders>
              <w:top w:val="single" w:sz="4" w:space="0" w:color="auto"/>
              <w:left w:val="nil"/>
              <w:bottom w:val="single" w:sz="4" w:space="0" w:color="auto"/>
              <w:right w:val="nil"/>
            </w:tcBorders>
            <w:shd w:val="clear" w:color="000000" w:fill="E6E6E6"/>
            <w:vAlign w:val="center"/>
            <w:hideMark/>
          </w:tcPr>
          <w:p w:rsidR="00E02AC1" w:rsidRPr="00E02AC1" w:rsidRDefault="00E02AC1" w:rsidP="00E02AC1">
            <w:pPr>
              <w:spacing w:after="0" w:line="240" w:lineRule="auto"/>
              <w:jc w:val="left"/>
              <w:rPr>
                <w:rFonts w:ascii="Arial" w:hAnsi="Arial" w:cs="Arial"/>
                <w:b/>
                <w:bCs/>
              </w:rPr>
            </w:pPr>
            <w:r w:rsidRPr="00E02AC1">
              <w:rPr>
                <w:rFonts w:ascii="Arial" w:hAnsi="Arial" w:cs="Arial"/>
                <w:b/>
                <w:bCs/>
              </w:rPr>
              <w:t>Program 1.2: Management of the Investment of the Australian Government Investment Funds</w:t>
            </w:r>
          </w:p>
        </w:tc>
      </w:tr>
      <w:tr w:rsidR="00E02AC1" w:rsidRPr="00E02AC1" w:rsidTr="00E02AC1">
        <w:trPr>
          <w:trHeight w:val="225"/>
        </w:trPr>
        <w:tc>
          <w:tcPr>
            <w:tcW w:w="318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rPr>
            </w:pPr>
            <w:r w:rsidRPr="00E02AC1">
              <w:rPr>
                <w:rFonts w:ascii="Arial" w:hAnsi="Arial" w:cs="Arial"/>
              </w:rPr>
              <w:t>Departmental expenses</w:t>
            </w:r>
          </w:p>
        </w:tc>
        <w:tc>
          <w:tcPr>
            <w:tcW w:w="928"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color w:val="000000"/>
              </w:rPr>
            </w:pPr>
          </w:p>
        </w:tc>
        <w:tc>
          <w:tcPr>
            <w:tcW w:w="866" w:type="dxa"/>
            <w:tcBorders>
              <w:top w:val="nil"/>
              <w:left w:val="nil"/>
              <w:bottom w:val="nil"/>
              <w:right w:val="nil"/>
            </w:tcBorders>
            <w:shd w:val="clear" w:color="000000" w:fill="E6E6E6"/>
            <w:noWrap/>
            <w:vAlign w:val="center"/>
            <w:hideMark/>
          </w:tcPr>
          <w:p w:rsidR="00E02AC1" w:rsidRPr="00E02AC1" w:rsidRDefault="00E02AC1" w:rsidP="00E02AC1">
            <w:pPr>
              <w:spacing w:after="0" w:line="240" w:lineRule="auto"/>
              <w:jc w:val="right"/>
              <w:rPr>
                <w:rFonts w:ascii="Arial" w:hAnsi="Arial" w:cs="Arial"/>
              </w:rPr>
            </w:pPr>
            <w:r w:rsidRPr="00E02AC1">
              <w:rPr>
                <w:rFonts w:ascii="Arial" w:hAnsi="Arial" w:cs="Arial"/>
              </w:rPr>
              <w:t> </w:t>
            </w:r>
          </w:p>
        </w:tc>
        <w:tc>
          <w:tcPr>
            <w:tcW w:w="735"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rPr>
            </w:pPr>
          </w:p>
        </w:tc>
        <w:tc>
          <w:tcPr>
            <w:tcW w:w="821"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rPr>
            </w:pPr>
          </w:p>
        </w:tc>
        <w:tc>
          <w:tcPr>
            <w:tcW w:w="821"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rPr>
            </w:pPr>
          </w:p>
        </w:tc>
      </w:tr>
      <w:tr w:rsidR="00E02AC1" w:rsidRPr="00E02AC1" w:rsidTr="00E02AC1">
        <w:trPr>
          <w:trHeight w:val="222"/>
        </w:trPr>
        <w:tc>
          <w:tcPr>
            <w:tcW w:w="318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ind w:firstLineChars="100" w:firstLine="160"/>
              <w:jc w:val="left"/>
              <w:rPr>
                <w:rFonts w:ascii="Arial" w:hAnsi="Arial" w:cs="Arial"/>
              </w:rPr>
            </w:pPr>
            <w:r w:rsidRPr="00E02AC1">
              <w:rPr>
                <w:rFonts w:ascii="Arial" w:hAnsi="Arial" w:cs="Arial"/>
              </w:rPr>
              <w:t>Special accounts</w:t>
            </w:r>
          </w:p>
        </w:tc>
        <w:tc>
          <w:tcPr>
            <w:tcW w:w="928"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color w:val="000000"/>
              </w:rPr>
            </w:pPr>
          </w:p>
        </w:tc>
        <w:tc>
          <w:tcPr>
            <w:tcW w:w="866" w:type="dxa"/>
            <w:tcBorders>
              <w:top w:val="nil"/>
              <w:left w:val="nil"/>
              <w:bottom w:val="nil"/>
              <w:right w:val="nil"/>
            </w:tcBorders>
            <w:shd w:val="clear" w:color="000000" w:fill="E6E6E6"/>
            <w:noWrap/>
            <w:vAlign w:val="center"/>
            <w:hideMark/>
          </w:tcPr>
          <w:p w:rsidR="00E02AC1" w:rsidRPr="00E02AC1" w:rsidRDefault="00E02AC1" w:rsidP="00E02AC1">
            <w:pPr>
              <w:spacing w:after="0" w:line="240" w:lineRule="auto"/>
              <w:jc w:val="right"/>
              <w:rPr>
                <w:rFonts w:ascii="Arial" w:hAnsi="Arial" w:cs="Arial"/>
              </w:rPr>
            </w:pPr>
            <w:r w:rsidRPr="00E02AC1">
              <w:rPr>
                <w:rFonts w:ascii="Arial" w:hAnsi="Arial" w:cs="Arial"/>
              </w:rPr>
              <w:t> </w:t>
            </w:r>
          </w:p>
        </w:tc>
        <w:tc>
          <w:tcPr>
            <w:tcW w:w="735"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rPr>
            </w:pPr>
          </w:p>
        </w:tc>
        <w:tc>
          <w:tcPr>
            <w:tcW w:w="821"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rPr>
            </w:pPr>
          </w:p>
        </w:tc>
        <w:tc>
          <w:tcPr>
            <w:tcW w:w="821"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rPr>
            </w:pPr>
          </w:p>
        </w:tc>
      </w:tr>
      <w:tr w:rsidR="00E02AC1" w:rsidRPr="00E02AC1" w:rsidTr="00E02AC1">
        <w:trPr>
          <w:trHeight w:val="222"/>
        </w:trPr>
        <w:tc>
          <w:tcPr>
            <w:tcW w:w="318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ind w:firstLineChars="200" w:firstLine="320"/>
              <w:jc w:val="left"/>
              <w:rPr>
                <w:rFonts w:ascii="Arial" w:hAnsi="Arial" w:cs="Arial"/>
              </w:rPr>
            </w:pPr>
            <w:r w:rsidRPr="00E02AC1">
              <w:rPr>
                <w:rFonts w:ascii="Arial" w:hAnsi="Arial" w:cs="Arial"/>
              </w:rPr>
              <w:t>Future Fund Special Account</w:t>
            </w:r>
          </w:p>
        </w:tc>
        <w:tc>
          <w:tcPr>
            <w:tcW w:w="928" w:type="dxa"/>
            <w:tcBorders>
              <w:top w:val="nil"/>
              <w:left w:val="nil"/>
              <w:bottom w:val="single" w:sz="4" w:space="0" w:color="000000"/>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color w:val="000000"/>
              </w:rPr>
            </w:pPr>
            <w:r w:rsidRPr="00E02AC1">
              <w:rPr>
                <w:rFonts w:ascii="Arial" w:hAnsi="Arial" w:cs="Arial"/>
                <w:color w:val="000000"/>
              </w:rPr>
              <w:t xml:space="preserve">991 </w:t>
            </w:r>
          </w:p>
        </w:tc>
        <w:tc>
          <w:tcPr>
            <w:tcW w:w="866" w:type="dxa"/>
            <w:tcBorders>
              <w:top w:val="nil"/>
              <w:left w:val="nil"/>
              <w:bottom w:val="single" w:sz="4" w:space="0" w:color="000000"/>
              <w:right w:val="nil"/>
            </w:tcBorders>
            <w:shd w:val="clear" w:color="000000" w:fill="E6E6E6"/>
            <w:noWrap/>
            <w:vAlign w:val="center"/>
            <w:hideMark/>
          </w:tcPr>
          <w:p w:rsidR="00E02AC1" w:rsidRPr="00E02AC1" w:rsidRDefault="00E02AC1" w:rsidP="00E02AC1">
            <w:pPr>
              <w:spacing w:after="0" w:line="240" w:lineRule="auto"/>
              <w:jc w:val="right"/>
              <w:rPr>
                <w:rFonts w:ascii="Arial" w:hAnsi="Arial" w:cs="Arial"/>
                <w:color w:val="000000"/>
              </w:rPr>
            </w:pPr>
            <w:r w:rsidRPr="00E02AC1">
              <w:rPr>
                <w:rFonts w:ascii="Arial" w:hAnsi="Arial" w:cs="Arial"/>
                <w:color w:val="000000"/>
              </w:rPr>
              <w:t xml:space="preserve">1,231 </w:t>
            </w:r>
          </w:p>
        </w:tc>
        <w:tc>
          <w:tcPr>
            <w:tcW w:w="735" w:type="dxa"/>
            <w:tcBorders>
              <w:top w:val="nil"/>
              <w:left w:val="nil"/>
              <w:bottom w:val="single" w:sz="4" w:space="0" w:color="000000"/>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color w:val="000000"/>
              </w:rPr>
            </w:pPr>
            <w:r w:rsidRPr="00E02AC1">
              <w:rPr>
                <w:rFonts w:ascii="Arial" w:hAnsi="Arial" w:cs="Arial"/>
                <w:color w:val="000000"/>
              </w:rPr>
              <w:t xml:space="preserve">984 </w:t>
            </w:r>
          </w:p>
        </w:tc>
        <w:tc>
          <w:tcPr>
            <w:tcW w:w="821" w:type="dxa"/>
            <w:tcBorders>
              <w:top w:val="nil"/>
              <w:left w:val="nil"/>
              <w:bottom w:val="single" w:sz="4" w:space="0" w:color="000000"/>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color w:val="000000"/>
              </w:rPr>
            </w:pPr>
            <w:r w:rsidRPr="00E02AC1">
              <w:rPr>
                <w:rFonts w:ascii="Arial" w:hAnsi="Arial" w:cs="Arial"/>
                <w:color w:val="000000"/>
              </w:rPr>
              <w:t xml:space="preserve">846 </w:t>
            </w:r>
          </w:p>
        </w:tc>
        <w:tc>
          <w:tcPr>
            <w:tcW w:w="821" w:type="dxa"/>
            <w:tcBorders>
              <w:top w:val="nil"/>
              <w:left w:val="nil"/>
              <w:bottom w:val="single" w:sz="4" w:space="0" w:color="000000"/>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color w:val="000000"/>
              </w:rPr>
            </w:pPr>
            <w:r w:rsidRPr="00E02AC1">
              <w:rPr>
                <w:rFonts w:ascii="Arial" w:hAnsi="Arial" w:cs="Arial"/>
                <w:color w:val="000000"/>
              </w:rPr>
              <w:t xml:space="preserve">1,233 </w:t>
            </w:r>
          </w:p>
        </w:tc>
      </w:tr>
      <w:tr w:rsidR="00E02AC1" w:rsidRPr="00E02AC1" w:rsidTr="00E02AC1">
        <w:trPr>
          <w:trHeight w:val="222"/>
        </w:trPr>
        <w:tc>
          <w:tcPr>
            <w:tcW w:w="318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b/>
                <w:bCs/>
              </w:rPr>
            </w:pPr>
            <w:r w:rsidRPr="00E02AC1">
              <w:rPr>
                <w:rFonts w:ascii="Arial" w:hAnsi="Arial" w:cs="Arial"/>
                <w:b/>
                <w:bCs/>
              </w:rPr>
              <w:t>Departmental Total</w:t>
            </w:r>
          </w:p>
        </w:tc>
        <w:tc>
          <w:tcPr>
            <w:tcW w:w="928" w:type="dxa"/>
            <w:tcBorders>
              <w:top w:val="nil"/>
              <w:left w:val="nil"/>
              <w:bottom w:val="single" w:sz="4" w:space="0" w:color="000000"/>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color w:val="000000"/>
              </w:rPr>
            </w:pPr>
            <w:r w:rsidRPr="00E02AC1">
              <w:rPr>
                <w:rFonts w:ascii="Arial" w:hAnsi="Arial" w:cs="Arial"/>
                <w:color w:val="000000"/>
              </w:rPr>
              <w:t xml:space="preserve">991 </w:t>
            </w:r>
          </w:p>
        </w:tc>
        <w:tc>
          <w:tcPr>
            <w:tcW w:w="866" w:type="dxa"/>
            <w:tcBorders>
              <w:top w:val="nil"/>
              <w:left w:val="nil"/>
              <w:bottom w:val="single" w:sz="4" w:space="0" w:color="000000"/>
              <w:right w:val="nil"/>
            </w:tcBorders>
            <w:shd w:val="clear" w:color="000000" w:fill="E6E6E6"/>
            <w:noWrap/>
            <w:vAlign w:val="center"/>
            <w:hideMark/>
          </w:tcPr>
          <w:p w:rsidR="00E02AC1" w:rsidRPr="00E02AC1" w:rsidRDefault="00E02AC1" w:rsidP="00E02AC1">
            <w:pPr>
              <w:spacing w:after="0" w:line="240" w:lineRule="auto"/>
              <w:jc w:val="right"/>
              <w:rPr>
                <w:rFonts w:ascii="Arial" w:hAnsi="Arial" w:cs="Arial"/>
                <w:color w:val="000000"/>
              </w:rPr>
            </w:pPr>
            <w:r w:rsidRPr="00E02AC1">
              <w:rPr>
                <w:rFonts w:ascii="Arial" w:hAnsi="Arial" w:cs="Arial"/>
                <w:color w:val="000000"/>
              </w:rPr>
              <w:t xml:space="preserve">1,231 </w:t>
            </w:r>
          </w:p>
        </w:tc>
        <w:tc>
          <w:tcPr>
            <w:tcW w:w="735" w:type="dxa"/>
            <w:tcBorders>
              <w:top w:val="nil"/>
              <w:left w:val="nil"/>
              <w:bottom w:val="single" w:sz="4" w:space="0" w:color="000000"/>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color w:val="000000"/>
              </w:rPr>
            </w:pPr>
            <w:r w:rsidRPr="00E02AC1">
              <w:rPr>
                <w:rFonts w:ascii="Arial" w:hAnsi="Arial" w:cs="Arial"/>
                <w:color w:val="000000"/>
              </w:rPr>
              <w:t xml:space="preserve">984 </w:t>
            </w:r>
          </w:p>
        </w:tc>
        <w:tc>
          <w:tcPr>
            <w:tcW w:w="821" w:type="dxa"/>
            <w:tcBorders>
              <w:top w:val="nil"/>
              <w:left w:val="nil"/>
              <w:bottom w:val="single" w:sz="4" w:space="0" w:color="000000"/>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color w:val="000000"/>
              </w:rPr>
            </w:pPr>
            <w:r w:rsidRPr="00E02AC1">
              <w:rPr>
                <w:rFonts w:ascii="Arial" w:hAnsi="Arial" w:cs="Arial"/>
                <w:color w:val="000000"/>
              </w:rPr>
              <w:t xml:space="preserve">846 </w:t>
            </w:r>
          </w:p>
        </w:tc>
        <w:tc>
          <w:tcPr>
            <w:tcW w:w="821" w:type="dxa"/>
            <w:tcBorders>
              <w:top w:val="nil"/>
              <w:left w:val="nil"/>
              <w:bottom w:val="single" w:sz="4" w:space="0" w:color="000000"/>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color w:val="000000"/>
              </w:rPr>
            </w:pPr>
            <w:r w:rsidRPr="00E02AC1">
              <w:rPr>
                <w:rFonts w:ascii="Arial" w:hAnsi="Arial" w:cs="Arial"/>
                <w:color w:val="000000"/>
              </w:rPr>
              <w:t xml:space="preserve">1,233 </w:t>
            </w:r>
          </w:p>
        </w:tc>
      </w:tr>
      <w:tr w:rsidR="00E02AC1" w:rsidRPr="00E02AC1" w:rsidTr="00E02AC1">
        <w:trPr>
          <w:trHeight w:val="225"/>
        </w:trPr>
        <w:tc>
          <w:tcPr>
            <w:tcW w:w="3180" w:type="dxa"/>
            <w:tcBorders>
              <w:top w:val="nil"/>
              <w:left w:val="nil"/>
              <w:bottom w:val="single" w:sz="4" w:space="0" w:color="auto"/>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b/>
                <w:bCs/>
              </w:rPr>
            </w:pPr>
            <w:r w:rsidRPr="00E02AC1">
              <w:rPr>
                <w:rFonts w:ascii="Arial" w:hAnsi="Arial" w:cs="Arial"/>
                <w:b/>
                <w:bCs/>
              </w:rPr>
              <w:t>Total expenses for program 1.2</w:t>
            </w:r>
          </w:p>
        </w:tc>
        <w:tc>
          <w:tcPr>
            <w:tcW w:w="928" w:type="dxa"/>
            <w:tcBorders>
              <w:top w:val="nil"/>
              <w:left w:val="nil"/>
              <w:bottom w:val="single" w:sz="4" w:space="0" w:color="000000"/>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b/>
                <w:bCs/>
                <w:color w:val="000000"/>
              </w:rPr>
            </w:pPr>
            <w:r w:rsidRPr="00E02AC1">
              <w:rPr>
                <w:rFonts w:ascii="Arial" w:hAnsi="Arial" w:cs="Arial"/>
                <w:b/>
                <w:bCs/>
                <w:color w:val="000000"/>
              </w:rPr>
              <w:t xml:space="preserve">991 </w:t>
            </w:r>
          </w:p>
        </w:tc>
        <w:tc>
          <w:tcPr>
            <w:tcW w:w="866" w:type="dxa"/>
            <w:tcBorders>
              <w:top w:val="nil"/>
              <w:left w:val="nil"/>
              <w:bottom w:val="single" w:sz="4" w:space="0" w:color="000000"/>
              <w:right w:val="nil"/>
            </w:tcBorders>
            <w:shd w:val="clear" w:color="000000" w:fill="E6E6E6"/>
            <w:noWrap/>
            <w:vAlign w:val="center"/>
            <w:hideMark/>
          </w:tcPr>
          <w:p w:rsidR="00E02AC1" w:rsidRPr="00E02AC1" w:rsidRDefault="00E02AC1" w:rsidP="00E02AC1">
            <w:pPr>
              <w:spacing w:after="0" w:line="240" w:lineRule="auto"/>
              <w:jc w:val="right"/>
              <w:rPr>
                <w:rFonts w:ascii="Arial" w:hAnsi="Arial" w:cs="Arial"/>
                <w:b/>
                <w:bCs/>
                <w:color w:val="000000"/>
              </w:rPr>
            </w:pPr>
            <w:r w:rsidRPr="00E02AC1">
              <w:rPr>
                <w:rFonts w:ascii="Arial" w:hAnsi="Arial" w:cs="Arial"/>
                <w:b/>
                <w:bCs/>
                <w:color w:val="000000"/>
              </w:rPr>
              <w:t xml:space="preserve">1,231 </w:t>
            </w:r>
          </w:p>
        </w:tc>
        <w:tc>
          <w:tcPr>
            <w:tcW w:w="735" w:type="dxa"/>
            <w:tcBorders>
              <w:top w:val="nil"/>
              <w:left w:val="nil"/>
              <w:bottom w:val="single" w:sz="4" w:space="0" w:color="000000"/>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b/>
                <w:bCs/>
                <w:color w:val="000000"/>
              </w:rPr>
            </w:pPr>
            <w:r w:rsidRPr="00E02AC1">
              <w:rPr>
                <w:rFonts w:ascii="Arial" w:hAnsi="Arial" w:cs="Arial"/>
                <w:b/>
                <w:bCs/>
                <w:color w:val="000000"/>
              </w:rPr>
              <w:t xml:space="preserve">984 </w:t>
            </w:r>
          </w:p>
        </w:tc>
        <w:tc>
          <w:tcPr>
            <w:tcW w:w="821" w:type="dxa"/>
            <w:tcBorders>
              <w:top w:val="nil"/>
              <w:left w:val="nil"/>
              <w:bottom w:val="single" w:sz="4" w:space="0" w:color="000000"/>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b/>
                <w:bCs/>
                <w:color w:val="000000"/>
              </w:rPr>
            </w:pPr>
            <w:r w:rsidRPr="00E02AC1">
              <w:rPr>
                <w:rFonts w:ascii="Arial" w:hAnsi="Arial" w:cs="Arial"/>
                <w:b/>
                <w:bCs/>
                <w:color w:val="000000"/>
              </w:rPr>
              <w:t xml:space="preserve">846 </w:t>
            </w:r>
          </w:p>
        </w:tc>
        <w:tc>
          <w:tcPr>
            <w:tcW w:w="821" w:type="dxa"/>
            <w:tcBorders>
              <w:top w:val="nil"/>
              <w:left w:val="nil"/>
              <w:bottom w:val="single" w:sz="4" w:space="0" w:color="000000"/>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b/>
                <w:bCs/>
                <w:color w:val="000000"/>
              </w:rPr>
            </w:pPr>
            <w:r w:rsidRPr="00E02AC1">
              <w:rPr>
                <w:rFonts w:ascii="Arial" w:hAnsi="Arial" w:cs="Arial"/>
                <w:b/>
                <w:bCs/>
                <w:color w:val="000000"/>
              </w:rPr>
              <w:t xml:space="preserve">1,233 </w:t>
            </w:r>
          </w:p>
        </w:tc>
      </w:tr>
      <w:tr w:rsidR="00E02AC1" w:rsidRPr="00E02AC1" w:rsidTr="00E02AC1">
        <w:trPr>
          <w:trHeight w:val="225"/>
        </w:trPr>
        <w:tc>
          <w:tcPr>
            <w:tcW w:w="7351" w:type="dxa"/>
            <w:gridSpan w:val="6"/>
            <w:tcBorders>
              <w:top w:val="single" w:sz="4" w:space="0" w:color="auto"/>
              <w:left w:val="nil"/>
              <w:bottom w:val="single" w:sz="4" w:space="0" w:color="auto"/>
              <w:right w:val="nil"/>
            </w:tcBorders>
            <w:shd w:val="clear" w:color="000000" w:fill="E6E6E6"/>
            <w:vAlign w:val="center"/>
            <w:hideMark/>
          </w:tcPr>
          <w:p w:rsidR="00E02AC1" w:rsidRPr="00E02AC1" w:rsidRDefault="00E02AC1" w:rsidP="00E02AC1">
            <w:pPr>
              <w:spacing w:after="0" w:line="240" w:lineRule="auto"/>
              <w:jc w:val="left"/>
              <w:rPr>
                <w:rFonts w:ascii="Arial" w:hAnsi="Arial" w:cs="Arial"/>
                <w:b/>
                <w:bCs/>
              </w:rPr>
            </w:pPr>
            <w:r w:rsidRPr="00E02AC1">
              <w:rPr>
                <w:rFonts w:ascii="Arial" w:hAnsi="Arial" w:cs="Arial"/>
                <w:b/>
                <w:bCs/>
              </w:rPr>
              <w:t>Outcome 1 Totals by appropriation type</w:t>
            </w:r>
          </w:p>
        </w:tc>
      </w:tr>
      <w:tr w:rsidR="00E02AC1" w:rsidRPr="00E02AC1" w:rsidTr="00E02AC1">
        <w:trPr>
          <w:trHeight w:val="225"/>
        </w:trPr>
        <w:tc>
          <w:tcPr>
            <w:tcW w:w="318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rPr>
            </w:pPr>
            <w:r w:rsidRPr="00E02AC1">
              <w:rPr>
                <w:rFonts w:ascii="Arial" w:hAnsi="Arial" w:cs="Arial"/>
              </w:rPr>
              <w:t>Departmental expenses</w:t>
            </w:r>
          </w:p>
        </w:tc>
        <w:tc>
          <w:tcPr>
            <w:tcW w:w="928"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color w:val="000000"/>
              </w:rPr>
            </w:pPr>
          </w:p>
        </w:tc>
        <w:tc>
          <w:tcPr>
            <w:tcW w:w="866" w:type="dxa"/>
            <w:tcBorders>
              <w:top w:val="nil"/>
              <w:left w:val="nil"/>
              <w:bottom w:val="nil"/>
              <w:right w:val="nil"/>
            </w:tcBorders>
            <w:shd w:val="clear" w:color="000000" w:fill="E6E6E6"/>
            <w:noWrap/>
            <w:vAlign w:val="center"/>
            <w:hideMark/>
          </w:tcPr>
          <w:p w:rsidR="00E02AC1" w:rsidRPr="00E02AC1" w:rsidRDefault="00E02AC1" w:rsidP="00E02AC1">
            <w:pPr>
              <w:spacing w:after="0" w:line="240" w:lineRule="auto"/>
              <w:jc w:val="right"/>
              <w:rPr>
                <w:rFonts w:ascii="Arial" w:hAnsi="Arial" w:cs="Arial"/>
              </w:rPr>
            </w:pPr>
            <w:r w:rsidRPr="00E02AC1">
              <w:rPr>
                <w:rFonts w:ascii="Arial" w:hAnsi="Arial" w:cs="Arial"/>
              </w:rPr>
              <w:t> </w:t>
            </w:r>
          </w:p>
        </w:tc>
        <w:tc>
          <w:tcPr>
            <w:tcW w:w="735"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rPr>
            </w:pPr>
          </w:p>
        </w:tc>
        <w:tc>
          <w:tcPr>
            <w:tcW w:w="821"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rPr>
            </w:pPr>
          </w:p>
        </w:tc>
        <w:tc>
          <w:tcPr>
            <w:tcW w:w="821"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rPr>
            </w:pPr>
          </w:p>
        </w:tc>
      </w:tr>
      <w:tr w:rsidR="00E02AC1" w:rsidRPr="00E02AC1" w:rsidTr="00E02AC1">
        <w:trPr>
          <w:trHeight w:val="222"/>
        </w:trPr>
        <w:tc>
          <w:tcPr>
            <w:tcW w:w="318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ind w:firstLineChars="100" w:firstLine="160"/>
              <w:jc w:val="left"/>
              <w:rPr>
                <w:rFonts w:ascii="Arial" w:hAnsi="Arial" w:cs="Arial"/>
              </w:rPr>
            </w:pPr>
            <w:r w:rsidRPr="00E02AC1">
              <w:rPr>
                <w:rFonts w:ascii="Arial" w:hAnsi="Arial" w:cs="Arial"/>
              </w:rPr>
              <w:t>Special accounts</w:t>
            </w:r>
          </w:p>
        </w:tc>
        <w:tc>
          <w:tcPr>
            <w:tcW w:w="928" w:type="dxa"/>
            <w:tcBorders>
              <w:top w:val="nil"/>
              <w:left w:val="nil"/>
              <w:bottom w:val="single" w:sz="4" w:space="0" w:color="000000"/>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color w:val="000000"/>
              </w:rPr>
            </w:pPr>
            <w:r w:rsidRPr="00E02AC1">
              <w:rPr>
                <w:rFonts w:ascii="Arial" w:hAnsi="Arial" w:cs="Arial"/>
                <w:color w:val="000000"/>
              </w:rPr>
              <w:t xml:space="preserve">49,661 </w:t>
            </w:r>
          </w:p>
        </w:tc>
        <w:tc>
          <w:tcPr>
            <w:tcW w:w="866" w:type="dxa"/>
            <w:tcBorders>
              <w:top w:val="nil"/>
              <w:left w:val="nil"/>
              <w:bottom w:val="single" w:sz="4" w:space="0" w:color="000000"/>
              <w:right w:val="nil"/>
            </w:tcBorders>
            <w:shd w:val="clear" w:color="000000" w:fill="E6E6E6"/>
            <w:noWrap/>
            <w:vAlign w:val="center"/>
            <w:hideMark/>
          </w:tcPr>
          <w:p w:rsidR="00E02AC1" w:rsidRPr="00E02AC1" w:rsidRDefault="00E02AC1" w:rsidP="00E02AC1">
            <w:pPr>
              <w:spacing w:after="0" w:line="240" w:lineRule="auto"/>
              <w:jc w:val="right"/>
              <w:rPr>
                <w:rFonts w:ascii="Arial" w:hAnsi="Arial" w:cs="Arial"/>
                <w:color w:val="000000"/>
              </w:rPr>
            </w:pPr>
            <w:r w:rsidRPr="00E02AC1">
              <w:rPr>
                <w:rFonts w:ascii="Arial" w:hAnsi="Arial" w:cs="Arial"/>
                <w:color w:val="000000"/>
              </w:rPr>
              <w:t xml:space="preserve">62,660 </w:t>
            </w:r>
          </w:p>
        </w:tc>
        <w:tc>
          <w:tcPr>
            <w:tcW w:w="735" w:type="dxa"/>
            <w:tcBorders>
              <w:top w:val="nil"/>
              <w:left w:val="nil"/>
              <w:bottom w:val="single" w:sz="4" w:space="0" w:color="000000"/>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color w:val="000000"/>
              </w:rPr>
            </w:pPr>
            <w:r w:rsidRPr="00E02AC1">
              <w:rPr>
                <w:rFonts w:ascii="Arial" w:hAnsi="Arial" w:cs="Arial"/>
                <w:color w:val="000000"/>
              </w:rPr>
              <w:t xml:space="preserve">67,371 </w:t>
            </w:r>
          </w:p>
        </w:tc>
        <w:tc>
          <w:tcPr>
            <w:tcW w:w="821" w:type="dxa"/>
            <w:tcBorders>
              <w:top w:val="nil"/>
              <w:left w:val="nil"/>
              <w:bottom w:val="single" w:sz="4" w:space="0" w:color="000000"/>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color w:val="000000"/>
              </w:rPr>
            </w:pPr>
            <w:r w:rsidRPr="00E02AC1">
              <w:rPr>
                <w:rFonts w:ascii="Arial" w:hAnsi="Arial" w:cs="Arial"/>
                <w:color w:val="000000"/>
              </w:rPr>
              <w:t xml:space="preserve">69,510 </w:t>
            </w:r>
          </w:p>
        </w:tc>
        <w:tc>
          <w:tcPr>
            <w:tcW w:w="821" w:type="dxa"/>
            <w:tcBorders>
              <w:top w:val="nil"/>
              <w:left w:val="nil"/>
              <w:bottom w:val="single" w:sz="4" w:space="0" w:color="000000"/>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color w:val="000000"/>
              </w:rPr>
            </w:pPr>
            <w:r w:rsidRPr="00E02AC1">
              <w:rPr>
                <w:rFonts w:ascii="Arial" w:hAnsi="Arial" w:cs="Arial"/>
                <w:color w:val="000000"/>
              </w:rPr>
              <w:t xml:space="preserve">71,412 </w:t>
            </w:r>
          </w:p>
        </w:tc>
      </w:tr>
      <w:tr w:rsidR="00E02AC1" w:rsidRPr="00E02AC1" w:rsidTr="00E02AC1">
        <w:trPr>
          <w:trHeight w:val="222"/>
        </w:trPr>
        <w:tc>
          <w:tcPr>
            <w:tcW w:w="318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b/>
                <w:bCs/>
              </w:rPr>
            </w:pPr>
            <w:r w:rsidRPr="00E02AC1">
              <w:rPr>
                <w:rFonts w:ascii="Arial" w:hAnsi="Arial" w:cs="Arial"/>
                <w:b/>
                <w:bCs/>
              </w:rPr>
              <w:t>Departmental Total</w:t>
            </w:r>
          </w:p>
        </w:tc>
        <w:tc>
          <w:tcPr>
            <w:tcW w:w="928" w:type="dxa"/>
            <w:tcBorders>
              <w:top w:val="nil"/>
              <w:left w:val="nil"/>
              <w:bottom w:val="single" w:sz="4" w:space="0" w:color="000000"/>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color w:val="000000"/>
              </w:rPr>
            </w:pPr>
            <w:r w:rsidRPr="00E02AC1">
              <w:rPr>
                <w:rFonts w:ascii="Arial" w:hAnsi="Arial" w:cs="Arial"/>
                <w:color w:val="000000"/>
              </w:rPr>
              <w:t xml:space="preserve">49,661 </w:t>
            </w:r>
          </w:p>
        </w:tc>
        <w:tc>
          <w:tcPr>
            <w:tcW w:w="866" w:type="dxa"/>
            <w:tcBorders>
              <w:top w:val="nil"/>
              <w:left w:val="nil"/>
              <w:bottom w:val="single" w:sz="4" w:space="0" w:color="000000"/>
              <w:right w:val="nil"/>
            </w:tcBorders>
            <w:shd w:val="clear" w:color="000000" w:fill="E6E6E6"/>
            <w:noWrap/>
            <w:vAlign w:val="center"/>
            <w:hideMark/>
          </w:tcPr>
          <w:p w:rsidR="00E02AC1" w:rsidRPr="00E02AC1" w:rsidRDefault="00E02AC1" w:rsidP="00E02AC1">
            <w:pPr>
              <w:spacing w:after="0" w:line="240" w:lineRule="auto"/>
              <w:jc w:val="right"/>
              <w:rPr>
                <w:rFonts w:ascii="Arial" w:hAnsi="Arial" w:cs="Arial"/>
                <w:color w:val="000000"/>
              </w:rPr>
            </w:pPr>
            <w:r w:rsidRPr="00E02AC1">
              <w:rPr>
                <w:rFonts w:ascii="Arial" w:hAnsi="Arial" w:cs="Arial"/>
                <w:color w:val="000000"/>
              </w:rPr>
              <w:t xml:space="preserve">62,660 </w:t>
            </w:r>
          </w:p>
        </w:tc>
        <w:tc>
          <w:tcPr>
            <w:tcW w:w="735" w:type="dxa"/>
            <w:tcBorders>
              <w:top w:val="nil"/>
              <w:left w:val="nil"/>
              <w:bottom w:val="single" w:sz="4" w:space="0" w:color="000000"/>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color w:val="000000"/>
              </w:rPr>
            </w:pPr>
            <w:r w:rsidRPr="00E02AC1">
              <w:rPr>
                <w:rFonts w:ascii="Arial" w:hAnsi="Arial" w:cs="Arial"/>
                <w:color w:val="000000"/>
              </w:rPr>
              <w:t xml:space="preserve">67,371 </w:t>
            </w:r>
          </w:p>
        </w:tc>
        <w:tc>
          <w:tcPr>
            <w:tcW w:w="821" w:type="dxa"/>
            <w:tcBorders>
              <w:top w:val="nil"/>
              <w:left w:val="nil"/>
              <w:bottom w:val="single" w:sz="4" w:space="0" w:color="000000"/>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color w:val="000000"/>
              </w:rPr>
            </w:pPr>
            <w:r w:rsidRPr="00E02AC1">
              <w:rPr>
                <w:rFonts w:ascii="Arial" w:hAnsi="Arial" w:cs="Arial"/>
                <w:color w:val="000000"/>
              </w:rPr>
              <w:t xml:space="preserve">69,510 </w:t>
            </w:r>
          </w:p>
        </w:tc>
        <w:tc>
          <w:tcPr>
            <w:tcW w:w="821" w:type="dxa"/>
            <w:tcBorders>
              <w:top w:val="nil"/>
              <w:left w:val="nil"/>
              <w:bottom w:val="single" w:sz="4" w:space="0" w:color="000000"/>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color w:val="000000"/>
              </w:rPr>
            </w:pPr>
            <w:r w:rsidRPr="00E02AC1">
              <w:rPr>
                <w:rFonts w:ascii="Arial" w:hAnsi="Arial" w:cs="Arial"/>
                <w:color w:val="000000"/>
              </w:rPr>
              <w:t xml:space="preserve">71,412 </w:t>
            </w:r>
          </w:p>
        </w:tc>
      </w:tr>
      <w:tr w:rsidR="00E02AC1" w:rsidRPr="00E02AC1" w:rsidTr="00E02AC1">
        <w:trPr>
          <w:trHeight w:val="225"/>
        </w:trPr>
        <w:tc>
          <w:tcPr>
            <w:tcW w:w="3180" w:type="dxa"/>
            <w:tcBorders>
              <w:top w:val="nil"/>
              <w:left w:val="nil"/>
              <w:bottom w:val="single" w:sz="4" w:space="0" w:color="auto"/>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b/>
                <w:bCs/>
                <w:color w:val="000000"/>
              </w:rPr>
            </w:pPr>
            <w:r w:rsidRPr="00E02AC1">
              <w:rPr>
                <w:rFonts w:ascii="Arial" w:hAnsi="Arial" w:cs="Arial"/>
                <w:b/>
                <w:bCs/>
                <w:color w:val="000000"/>
              </w:rPr>
              <w:t>Total expenses for Outcome 1</w:t>
            </w:r>
          </w:p>
        </w:tc>
        <w:tc>
          <w:tcPr>
            <w:tcW w:w="928" w:type="dxa"/>
            <w:tcBorders>
              <w:top w:val="nil"/>
              <w:left w:val="nil"/>
              <w:bottom w:val="single" w:sz="4" w:space="0" w:color="000000"/>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b/>
                <w:bCs/>
                <w:color w:val="000000"/>
              </w:rPr>
            </w:pPr>
            <w:r w:rsidRPr="00E02AC1">
              <w:rPr>
                <w:rFonts w:ascii="Arial" w:hAnsi="Arial" w:cs="Arial"/>
                <w:b/>
                <w:bCs/>
                <w:color w:val="000000"/>
              </w:rPr>
              <w:t xml:space="preserve">49,661 </w:t>
            </w:r>
          </w:p>
        </w:tc>
        <w:tc>
          <w:tcPr>
            <w:tcW w:w="866" w:type="dxa"/>
            <w:tcBorders>
              <w:top w:val="nil"/>
              <w:left w:val="nil"/>
              <w:bottom w:val="single" w:sz="4" w:space="0" w:color="000000"/>
              <w:right w:val="nil"/>
            </w:tcBorders>
            <w:shd w:val="clear" w:color="000000" w:fill="E6E6E6"/>
            <w:noWrap/>
            <w:vAlign w:val="center"/>
            <w:hideMark/>
          </w:tcPr>
          <w:p w:rsidR="00E02AC1" w:rsidRPr="00E02AC1" w:rsidRDefault="00E02AC1" w:rsidP="00E02AC1">
            <w:pPr>
              <w:spacing w:after="0" w:line="240" w:lineRule="auto"/>
              <w:jc w:val="right"/>
              <w:rPr>
                <w:rFonts w:ascii="Arial" w:hAnsi="Arial" w:cs="Arial"/>
                <w:b/>
                <w:bCs/>
                <w:color w:val="000000"/>
              </w:rPr>
            </w:pPr>
            <w:r w:rsidRPr="00E02AC1">
              <w:rPr>
                <w:rFonts w:ascii="Arial" w:hAnsi="Arial" w:cs="Arial"/>
                <w:b/>
                <w:bCs/>
                <w:color w:val="000000"/>
              </w:rPr>
              <w:t xml:space="preserve">62,660 </w:t>
            </w:r>
          </w:p>
        </w:tc>
        <w:tc>
          <w:tcPr>
            <w:tcW w:w="735" w:type="dxa"/>
            <w:tcBorders>
              <w:top w:val="nil"/>
              <w:left w:val="nil"/>
              <w:bottom w:val="single" w:sz="4" w:space="0" w:color="000000"/>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b/>
                <w:bCs/>
                <w:color w:val="000000"/>
              </w:rPr>
            </w:pPr>
            <w:r w:rsidRPr="00E02AC1">
              <w:rPr>
                <w:rFonts w:ascii="Arial" w:hAnsi="Arial" w:cs="Arial"/>
                <w:b/>
                <w:bCs/>
                <w:color w:val="000000"/>
              </w:rPr>
              <w:t xml:space="preserve">67,371 </w:t>
            </w:r>
          </w:p>
        </w:tc>
        <w:tc>
          <w:tcPr>
            <w:tcW w:w="821" w:type="dxa"/>
            <w:tcBorders>
              <w:top w:val="nil"/>
              <w:left w:val="nil"/>
              <w:bottom w:val="single" w:sz="4" w:space="0" w:color="000000"/>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b/>
                <w:bCs/>
                <w:color w:val="000000"/>
              </w:rPr>
            </w:pPr>
            <w:r w:rsidRPr="00E02AC1">
              <w:rPr>
                <w:rFonts w:ascii="Arial" w:hAnsi="Arial" w:cs="Arial"/>
                <w:b/>
                <w:bCs/>
                <w:color w:val="000000"/>
              </w:rPr>
              <w:t xml:space="preserve">69,510 </w:t>
            </w:r>
          </w:p>
        </w:tc>
        <w:tc>
          <w:tcPr>
            <w:tcW w:w="821" w:type="dxa"/>
            <w:tcBorders>
              <w:top w:val="nil"/>
              <w:left w:val="nil"/>
              <w:bottom w:val="single" w:sz="4" w:space="0" w:color="000000"/>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b/>
                <w:bCs/>
                <w:color w:val="000000"/>
              </w:rPr>
            </w:pPr>
            <w:r w:rsidRPr="00E02AC1">
              <w:rPr>
                <w:rFonts w:ascii="Arial" w:hAnsi="Arial" w:cs="Arial"/>
                <w:b/>
                <w:bCs/>
                <w:color w:val="000000"/>
              </w:rPr>
              <w:t xml:space="preserve">71,412 </w:t>
            </w:r>
          </w:p>
        </w:tc>
      </w:tr>
      <w:tr w:rsidR="00E02AC1" w:rsidRPr="00E02AC1" w:rsidTr="00E02AC1">
        <w:trPr>
          <w:trHeight w:val="225"/>
        </w:trPr>
        <w:tc>
          <w:tcPr>
            <w:tcW w:w="318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b/>
                <w:bCs/>
                <w:color w:val="000000"/>
              </w:rPr>
            </w:pPr>
          </w:p>
        </w:tc>
        <w:tc>
          <w:tcPr>
            <w:tcW w:w="928"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b/>
                <w:bCs/>
                <w:color w:val="000000"/>
              </w:rPr>
            </w:pPr>
          </w:p>
        </w:tc>
        <w:tc>
          <w:tcPr>
            <w:tcW w:w="866"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b/>
                <w:bCs/>
                <w:color w:val="000000"/>
              </w:rPr>
            </w:pPr>
          </w:p>
        </w:tc>
        <w:tc>
          <w:tcPr>
            <w:tcW w:w="735"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b/>
                <w:bCs/>
              </w:rPr>
            </w:pPr>
          </w:p>
        </w:tc>
        <w:tc>
          <w:tcPr>
            <w:tcW w:w="821"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b/>
                <w:bCs/>
              </w:rPr>
            </w:pPr>
          </w:p>
        </w:tc>
        <w:tc>
          <w:tcPr>
            <w:tcW w:w="821"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b/>
                <w:bCs/>
              </w:rPr>
            </w:pPr>
          </w:p>
        </w:tc>
      </w:tr>
      <w:tr w:rsidR="00E02AC1" w:rsidRPr="00E02AC1" w:rsidTr="00E02AC1">
        <w:trPr>
          <w:trHeight w:val="225"/>
        </w:trPr>
        <w:tc>
          <w:tcPr>
            <w:tcW w:w="3180" w:type="dxa"/>
            <w:tcBorders>
              <w:top w:val="single" w:sz="4" w:space="0" w:color="000000"/>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color w:val="000000"/>
              </w:rPr>
            </w:pPr>
            <w:r w:rsidRPr="00E02AC1">
              <w:rPr>
                <w:rFonts w:ascii="Arial" w:hAnsi="Arial" w:cs="Arial"/>
                <w:color w:val="000000"/>
              </w:rPr>
              <w:t> </w:t>
            </w:r>
          </w:p>
        </w:tc>
        <w:tc>
          <w:tcPr>
            <w:tcW w:w="928" w:type="dxa"/>
            <w:tcBorders>
              <w:top w:val="single" w:sz="4" w:space="0" w:color="auto"/>
              <w:left w:val="nil"/>
              <w:bottom w:val="single" w:sz="4" w:space="0" w:color="auto"/>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rPr>
            </w:pPr>
            <w:r w:rsidRPr="00E02AC1">
              <w:rPr>
                <w:rFonts w:ascii="Arial" w:hAnsi="Arial" w:cs="Arial"/>
              </w:rPr>
              <w:t>2015-16</w:t>
            </w:r>
          </w:p>
        </w:tc>
        <w:tc>
          <w:tcPr>
            <w:tcW w:w="866" w:type="dxa"/>
            <w:tcBorders>
              <w:top w:val="single" w:sz="4" w:space="0" w:color="auto"/>
              <w:left w:val="nil"/>
              <w:bottom w:val="single" w:sz="4" w:space="0" w:color="auto"/>
              <w:right w:val="nil"/>
            </w:tcBorders>
            <w:shd w:val="clear" w:color="000000" w:fill="E6E6E6"/>
            <w:noWrap/>
            <w:vAlign w:val="center"/>
            <w:hideMark/>
          </w:tcPr>
          <w:p w:rsidR="00E02AC1" w:rsidRPr="00E02AC1" w:rsidRDefault="00E02AC1" w:rsidP="00E02AC1">
            <w:pPr>
              <w:spacing w:after="0" w:line="240" w:lineRule="auto"/>
              <w:jc w:val="right"/>
              <w:rPr>
                <w:rFonts w:ascii="Arial" w:hAnsi="Arial" w:cs="Arial"/>
              </w:rPr>
            </w:pPr>
            <w:r w:rsidRPr="00E02AC1">
              <w:rPr>
                <w:rFonts w:ascii="Arial" w:hAnsi="Arial" w:cs="Arial"/>
              </w:rPr>
              <w:t>2016-17</w:t>
            </w:r>
          </w:p>
        </w:tc>
        <w:tc>
          <w:tcPr>
            <w:tcW w:w="735"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rPr>
            </w:pPr>
          </w:p>
        </w:tc>
        <w:tc>
          <w:tcPr>
            <w:tcW w:w="821"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rPr>
            </w:pPr>
          </w:p>
        </w:tc>
        <w:tc>
          <w:tcPr>
            <w:tcW w:w="821"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rPr>
            </w:pPr>
          </w:p>
        </w:tc>
      </w:tr>
      <w:tr w:rsidR="00E02AC1" w:rsidRPr="00E02AC1" w:rsidTr="00E02AC1">
        <w:trPr>
          <w:trHeight w:val="225"/>
        </w:trPr>
        <w:tc>
          <w:tcPr>
            <w:tcW w:w="3180" w:type="dxa"/>
            <w:tcBorders>
              <w:top w:val="nil"/>
              <w:left w:val="nil"/>
              <w:bottom w:val="single" w:sz="4" w:space="0" w:color="000000"/>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b/>
                <w:bCs/>
                <w:color w:val="000000"/>
              </w:rPr>
            </w:pPr>
            <w:r w:rsidRPr="00E02AC1">
              <w:rPr>
                <w:rFonts w:ascii="Arial" w:hAnsi="Arial" w:cs="Arial"/>
                <w:b/>
                <w:bCs/>
                <w:color w:val="000000"/>
              </w:rPr>
              <w:t>Average staffing level (number)</w:t>
            </w:r>
          </w:p>
        </w:tc>
        <w:tc>
          <w:tcPr>
            <w:tcW w:w="928" w:type="dxa"/>
            <w:tcBorders>
              <w:top w:val="nil"/>
              <w:left w:val="nil"/>
              <w:bottom w:val="single" w:sz="4" w:space="0" w:color="auto"/>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color w:val="000000"/>
              </w:rPr>
            </w:pPr>
            <w:r w:rsidRPr="00E02AC1">
              <w:rPr>
                <w:rFonts w:ascii="Arial" w:hAnsi="Arial" w:cs="Arial"/>
                <w:color w:val="000000"/>
              </w:rPr>
              <w:t xml:space="preserve">120 </w:t>
            </w:r>
          </w:p>
        </w:tc>
        <w:tc>
          <w:tcPr>
            <w:tcW w:w="866" w:type="dxa"/>
            <w:tcBorders>
              <w:top w:val="nil"/>
              <w:left w:val="nil"/>
              <w:bottom w:val="single" w:sz="4" w:space="0" w:color="auto"/>
              <w:right w:val="nil"/>
            </w:tcBorders>
            <w:shd w:val="clear" w:color="000000" w:fill="E6E6E6"/>
            <w:noWrap/>
            <w:vAlign w:val="center"/>
            <w:hideMark/>
          </w:tcPr>
          <w:p w:rsidR="00E02AC1" w:rsidRPr="00E02AC1" w:rsidRDefault="00E02AC1" w:rsidP="00E02AC1">
            <w:pPr>
              <w:spacing w:after="0" w:line="240" w:lineRule="auto"/>
              <w:jc w:val="right"/>
              <w:rPr>
                <w:rFonts w:ascii="Arial" w:hAnsi="Arial" w:cs="Arial"/>
                <w:color w:val="000000"/>
              </w:rPr>
            </w:pPr>
            <w:r w:rsidRPr="00E02AC1">
              <w:rPr>
                <w:rFonts w:ascii="Arial" w:hAnsi="Arial" w:cs="Arial"/>
                <w:color w:val="000000"/>
              </w:rPr>
              <w:t xml:space="preserve">141 </w:t>
            </w:r>
          </w:p>
        </w:tc>
        <w:tc>
          <w:tcPr>
            <w:tcW w:w="735"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rPr>
            </w:pPr>
          </w:p>
        </w:tc>
        <w:tc>
          <w:tcPr>
            <w:tcW w:w="821"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rPr>
            </w:pPr>
          </w:p>
        </w:tc>
        <w:tc>
          <w:tcPr>
            <w:tcW w:w="821"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rPr>
            </w:pPr>
          </w:p>
        </w:tc>
      </w:tr>
    </w:tbl>
    <w:p w:rsidR="00B2394E" w:rsidRPr="00497989" w:rsidRDefault="00B2394E" w:rsidP="0074791F">
      <w:pPr>
        <w:pStyle w:val="TableGraphic"/>
        <w:jc w:val="left"/>
        <w:rPr>
          <w:rFonts w:ascii="Arial" w:hAnsi="Arial" w:cs="Arial"/>
        </w:rPr>
      </w:pPr>
      <w:r w:rsidRPr="00475176">
        <w:rPr>
          <w:rFonts w:ascii="Arial" w:hAnsi="Arial" w:cs="Arial"/>
          <w:u w:val="single"/>
        </w:rPr>
        <w:t xml:space="preserve">Please </w:t>
      </w:r>
      <w:r w:rsidRPr="00B872D6">
        <w:rPr>
          <w:rFonts w:ascii="Arial" w:hAnsi="Arial" w:cs="Arial"/>
          <w:u w:val="single"/>
        </w:rPr>
        <w:t>Note:</w:t>
      </w:r>
      <w:r w:rsidRPr="00497989">
        <w:rPr>
          <w:rFonts w:ascii="Arial" w:hAnsi="Arial" w:cs="Arial"/>
        </w:rPr>
        <w:t xml:space="preserve"> </w:t>
      </w:r>
      <w:r>
        <w:rPr>
          <w:rFonts w:ascii="Arial" w:hAnsi="Arial" w:cs="Arial"/>
        </w:rPr>
        <w:t>Program</w:t>
      </w:r>
      <w:r w:rsidRPr="00497989">
        <w:rPr>
          <w:rFonts w:ascii="Arial" w:hAnsi="Arial" w:cs="Arial"/>
        </w:rPr>
        <w:t xml:space="preserve"> splits and totals are indicative estimates and may change in the course of the budget year as government priorities change.</w:t>
      </w:r>
    </w:p>
    <w:p w:rsidR="00B2394E" w:rsidRPr="00497989" w:rsidRDefault="00B2394E" w:rsidP="00B2394E">
      <w:pPr>
        <w:pStyle w:val="NoSpacing"/>
        <w:rPr>
          <w:rFonts w:ascii="Arial" w:hAnsi="Arial" w:cs="Arial"/>
        </w:rPr>
      </w:pPr>
    </w:p>
    <w:p w:rsidR="00B2394E" w:rsidRDefault="00B2394E" w:rsidP="00B2394E">
      <w:pPr>
        <w:spacing w:after="0" w:line="240" w:lineRule="auto"/>
        <w:jc w:val="left"/>
        <w:rPr>
          <w:rFonts w:ascii="Arial" w:hAnsi="Arial"/>
          <w:b/>
          <w:bCs/>
          <w:iCs/>
          <w:szCs w:val="26"/>
        </w:rPr>
      </w:pPr>
      <w:r>
        <w:br w:type="page"/>
      </w:r>
    </w:p>
    <w:p w:rsidR="00B2394E" w:rsidRPr="00F71634" w:rsidRDefault="00B2394E" w:rsidP="00B2394E">
      <w:pPr>
        <w:pStyle w:val="Heading5"/>
      </w:pPr>
      <w:r w:rsidRPr="00F71634">
        <w:lastRenderedPageBreak/>
        <w:t>Table 2.</w:t>
      </w:r>
      <w:r>
        <w:t>1</w:t>
      </w:r>
      <w:r w:rsidRPr="00F71634">
        <w:t>.</w:t>
      </w:r>
      <w:r>
        <w:t>2</w:t>
      </w:r>
      <w:r w:rsidRPr="00F71634">
        <w:t>: Pe</w:t>
      </w:r>
      <w:r>
        <w:t>rformance Criteria for Outcome 1</w:t>
      </w:r>
    </w:p>
    <w:p w:rsidR="00B2394E" w:rsidRPr="0074791F" w:rsidRDefault="00B2394E" w:rsidP="00FA4313">
      <w:pPr>
        <w:tabs>
          <w:tab w:val="left" w:pos="709"/>
        </w:tabs>
        <w:jc w:val="left"/>
        <w:rPr>
          <w:rFonts w:ascii="Book Antiqua" w:hAnsi="Book Antiqua"/>
          <w:i/>
          <w:color w:val="FF0000"/>
          <w:sz w:val="20"/>
          <w:szCs w:val="20"/>
        </w:rPr>
      </w:pPr>
      <w:r w:rsidRPr="0074791F">
        <w:rPr>
          <w:rFonts w:ascii="Book Antiqua" w:hAnsi="Book Antiqua"/>
          <w:sz w:val="20"/>
          <w:szCs w:val="20"/>
        </w:rPr>
        <w:t>Table 2.1.2 below details the performance criteria for each program associated with Outcome 1. It also summarises how each program is delivered.</w:t>
      </w:r>
    </w:p>
    <w:tbl>
      <w:tblPr>
        <w:tblStyle w:val="TableGrid"/>
        <w:tblW w:w="0" w:type="auto"/>
        <w:tblLook w:val="04A0"/>
      </w:tblPr>
      <w:tblGrid>
        <w:gridCol w:w="1701"/>
        <w:gridCol w:w="3475"/>
        <w:gridCol w:w="2479"/>
      </w:tblGrid>
      <w:tr w:rsidR="00B2394E" w:rsidRPr="00F71634" w:rsidTr="00B2394E">
        <w:tc>
          <w:tcPr>
            <w:tcW w:w="7655" w:type="dxa"/>
            <w:gridSpan w:val="3"/>
            <w:shd w:val="clear" w:color="auto" w:fill="EAEAEA"/>
          </w:tcPr>
          <w:p w:rsidR="00B2394E" w:rsidRPr="0074791F" w:rsidRDefault="00B2394E" w:rsidP="00B2394E">
            <w:pPr>
              <w:pStyle w:val="TableColumnHeadingLeft"/>
              <w:rPr>
                <w:sz w:val="20"/>
                <w:szCs w:val="20"/>
              </w:rPr>
            </w:pPr>
            <w:r w:rsidRPr="0074791F">
              <w:rPr>
                <w:sz w:val="20"/>
                <w:szCs w:val="20"/>
              </w:rPr>
              <w:t xml:space="preserve">Outcome 1 – </w:t>
            </w:r>
            <w:r w:rsidRPr="0074791F">
              <w:rPr>
                <w:rFonts w:cs="Arial"/>
                <w:b w:val="0"/>
                <w:sz w:val="20"/>
                <w:szCs w:val="20"/>
              </w:rPr>
              <w:t xml:space="preserve">Make provision for the Commonwealth’s unfunded superannuation liabilities, payments for the creation and development of infrastructure, and payments from the </w:t>
            </w:r>
            <w:proofErr w:type="spellStart"/>
            <w:r w:rsidRPr="0074791F">
              <w:rPr>
                <w:rFonts w:cs="Arial"/>
                <w:b w:val="0"/>
                <w:sz w:val="20"/>
                <w:szCs w:val="20"/>
              </w:rPr>
              <w:t>DisabilityCare</w:t>
            </w:r>
            <w:proofErr w:type="spellEnd"/>
            <w:r w:rsidRPr="0074791F">
              <w:rPr>
                <w:rFonts w:cs="Arial"/>
                <w:b w:val="0"/>
                <w:sz w:val="20"/>
                <w:szCs w:val="20"/>
              </w:rPr>
              <w:t xml:space="preserve"> Australia Fund and Medical Research Future Fund by managing the investment activities of the Future Fund, Nation-building Funds, </w:t>
            </w:r>
            <w:proofErr w:type="spellStart"/>
            <w:r w:rsidRPr="0074791F">
              <w:rPr>
                <w:rFonts w:cs="Arial"/>
                <w:b w:val="0"/>
                <w:sz w:val="20"/>
                <w:szCs w:val="20"/>
              </w:rPr>
              <w:t>DisabilityCare</w:t>
            </w:r>
            <w:proofErr w:type="spellEnd"/>
            <w:r w:rsidRPr="0074791F">
              <w:rPr>
                <w:rFonts w:cs="Arial"/>
                <w:b w:val="0"/>
                <w:sz w:val="20"/>
                <w:szCs w:val="20"/>
              </w:rPr>
              <w:t xml:space="preserve"> Australia Fund and Medical Research Future Fund, in line with the Government’s investment mandates.</w:t>
            </w:r>
          </w:p>
        </w:tc>
      </w:tr>
      <w:tr w:rsidR="00B2394E" w:rsidRPr="00D27E5E" w:rsidTr="00B2394E">
        <w:tc>
          <w:tcPr>
            <w:tcW w:w="7655" w:type="dxa"/>
            <w:gridSpan w:val="3"/>
            <w:shd w:val="clear" w:color="auto" w:fill="EAEAEA"/>
          </w:tcPr>
          <w:p w:rsidR="00B2394E" w:rsidRDefault="00B2394E" w:rsidP="00B2394E">
            <w:pPr>
              <w:tabs>
                <w:tab w:val="left" w:pos="709"/>
              </w:tabs>
              <w:spacing w:before="60" w:after="60" w:line="240" w:lineRule="auto"/>
              <w:jc w:val="left"/>
              <w:rPr>
                <w:rFonts w:ascii="Arial" w:hAnsi="Arial" w:cs="Arial"/>
              </w:rPr>
            </w:pPr>
            <w:r w:rsidRPr="00D27E5E">
              <w:rPr>
                <w:rFonts w:ascii="Arial" w:hAnsi="Arial" w:cs="Arial"/>
                <w:b/>
              </w:rPr>
              <w:t>Program 1.1</w:t>
            </w:r>
            <w:r w:rsidRPr="00D27E5E">
              <w:rPr>
                <w:rFonts w:ascii="Arial" w:hAnsi="Arial" w:cs="Arial"/>
              </w:rPr>
              <w:t xml:space="preserve"> – </w:t>
            </w:r>
            <w:r w:rsidRPr="00F36A52">
              <w:rPr>
                <w:rFonts w:ascii="Arial" w:hAnsi="Arial" w:cs="Arial"/>
                <w:b/>
              </w:rPr>
              <w:t>Management of the Investment of the Future Fund</w:t>
            </w:r>
            <w:r w:rsidRPr="00D27E5E">
              <w:rPr>
                <w:rFonts w:ascii="Arial" w:hAnsi="Arial" w:cs="Arial"/>
              </w:rPr>
              <w:t xml:space="preserve"> </w:t>
            </w:r>
          </w:p>
          <w:p w:rsidR="00B2394E" w:rsidRPr="00D27E5E" w:rsidRDefault="00B2394E" w:rsidP="00B2394E">
            <w:pPr>
              <w:tabs>
                <w:tab w:val="left" w:pos="709"/>
              </w:tabs>
              <w:spacing w:before="60" w:after="60" w:line="240" w:lineRule="auto"/>
              <w:jc w:val="left"/>
              <w:rPr>
                <w:rFonts w:ascii="Arial" w:hAnsi="Arial" w:cs="Arial"/>
              </w:rPr>
            </w:pPr>
            <w:r w:rsidRPr="00D27E5E">
              <w:rPr>
                <w:rFonts w:ascii="Arial" w:hAnsi="Arial" w:cs="Arial"/>
              </w:rPr>
              <w:t>The FFMA supports the Board in investing to accumulate asset</w:t>
            </w:r>
            <w:r>
              <w:rPr>
                <w:rFonts w:ascii="Arial" w:hAnsi="Arial" w:cs="Arial"/>
              </w:rPr>
              <w:t xml:space="preserve">s for the purpose of offsetting </w:t>
            </w:r>
            <w:r w:rsidRPr="00D27E5E">
              <w:rPr>
                <w:rFonts w:ascii="Arial" w:hAnsi="Arial" w:cs="Arial"/>
              </w:rPr>
              <w:t>the unfunded superannuation liab</w:t>
            </w:r>
            <w:r>
              <w:rPr>
                <w:rFonts w:ascii="Arial" w:hAnsi="Arial" w:cs="Arial"/>
              </w:rPr>
              <w:t>i</w:t>
            </w:r>
            <w:r w:rsidRPr="00D27E5E">
              <w:rPr>
                <w:rFonts w:ascii="Arial" w:hAnsi="Arial" w:cs="Arial"/>
              </w:rPr>
              <w:t>lities of the Australian Government which will fall due on future generations.</w:t>
            </w:r>
          </w:p>
        </w:tc>
      </w:tr>
      <w:tr w:rsidR="00B2394E" w:rsidRPr="00D27E5E" w:rsidTr="00B2394E">
        <w:tc>
          <w:tcPr>
            <w:tcW w:w="1701" w:type="dxa"/>
          </w:tcPr>
          <w:p w:rsidR="00B2394E" w:rsidRPr="00A64C96" w:rsidRDefault="00B2394E" w:rsidP="00B2394E">
            <w:pPr>
              <w:tabs>
                <w:tab w:val="left" w:pos="709"/>
              </w:tabs>
              <w:spacing w:before="60" w:after="60" w:line="240" w:lineRule="auto"/>
              <w:jc w:val="left"/>
              <w:rPr>
                <w:rFonts w:ascii="Arial" w:hAnsi="Arial" w:cs="Arial"/>
                <w:b/>
              </w:rPr>
            </w:pPr>
            <w:r w:rsidRPr="00A64C96">
              <w:rPr>
                <w:rFonts w:ascii="Arial" w:hAnsi="Arial" w:cs="Arial"/>
                <w:b/>
              </w:rPr>
              <w:t>Delivery</w:t>
            </w:r>
          </w:p>
        </w:tc>
        <w:tc>
          <w:tcPr>
            <w:tcW w:w="5954" w:type="dxa"/>
            <w:gridSpan w:val="2"/>
          </w:tcPr>
          <w:p w:rsidR="00B2394E" w:rsidRPr="00A64C96" w:rsidRDefault="00B2394E" w:rsidP="0051401E">
            <w:pPr>
              <w:pStyle w:val="Exampletextbullet"/>
              <w:numPr>
                <w:ilvl w:val="0"/>
                <w:numId w:val="51"/>
              </w:numPr>
              <w:spacing w:after="0" w:line="240" w:lineRule="auto"/>
              <w:ind w:left="284" w:hanging="284"/>
              <w:jc w:val="left"/>
              <w:rPr>
                <w:rFonts w:ascii="Arial" w:hAnsi="Arial" w:cs="Arial"/>
                <w:i w:val="0"/>
                <w:color w:val="auto"/>
              </w:rPr>
            </w:pPr>
            <w:r w:rsidRPr="00A64C96">
              <w:rPr>
                <w:rFonts w:ascii="Arial" w:hAnsi="Arial" w:cs="Arial"/>
                <w:i w:val="0"/>
                <w:color w:val="auto"/>
              </w:rPr>
              <w:t>Ensure all decisions of the Board of Guardians are given effect as directed by the Board within timeframes and quality levels agreed with the Board.</w:t>
            </w:r>
          </w:p>
          <w:p w:rsidR="00B2394E" w:rsidRPr="00A64C96" w:rsidRDefault="00B2394E" w:rsidP="0051401E">
            <w:pPr>
              <w:pStyle w:val="Exampletextbullet"/>
              <w:numPr>
                <w:ilvl w:val="0"/>
                <w:numId w:val="51"/>
              </w:numPr>
              <w:spacing w:after="0" w:line="240" w:lineRule="auto"/>
              <w:ind w:left="284" w:hanging="284"/>
              <w:jc w:val="left"/>
              <w:rPr>
                <w:rFonts w:ascii="Arial" w:hAnsi="Arial" w:cs="Arial"/>
                <w:i w:val="0"/>
                <w:color w:val="auto"/>
              </w:rPr>
            </w:pPr>
            <w:r w:rsidRPr="00A64C96">
              <w:rPr>
                <w:rFonts w:ascii="Arial" w:hAnsi="Arial" w:cs="Arial"/>
                <w:i w:val="0"/>
                <w:color w:val="auto"/>
              </w:rPr>
              <w:t>Ensure all investments are made in accordance with relevant legislation, Investment Mandate and ministerial directions.</w:t>
            </w:r>
          </w:p>
          <w:p w:rsidR="00B2394E" w:rsidRPr="00A64C96" w:rsidRDefault="00B2394E" w:rsidP="0051401E">
            <w:pPr>
              <w:pStyle w:val="Exampletextbullet"/>
              <w:numPr>
                <w:ilvl w:val="0"/>
                <w:numId w:val="51"/>
              </w:numPr>
              <w:spacing w:after="0" w:line="240" w:lineRule="auto"/>
              <w:ind w:left="284" w:hanging="284"/>
              <w:jc w:val="left"/>
              <w:rPr>
                <w:rFonts w:ascii="Arial" w:hAnsi="Arial" w:cs="Arial"/>
                <w:i w:val="0"/>
                <w:color w:val="auto"/>
              </w:rPr>
            </w:pPr>
            <w:r w:rsidRPr="00A64C96">
              <w:rPr>
                <w:rFonts w:ascii="Arial" w:hAnsi="Arial" w:cs="Arial"/>
                <w:i w:val="0"/>
                <w:color w:val="auto"/>
              </w:rPr>
              <w:t>Provide administrative services to the Board.</w:t>
            </w:r>
          </w:p>
          <w:p w:rsidR="00B2394E" w:rsidRPr="00A64C96" w:rsidRDefault="00B2394E" w:rsidP="0051401E">
            <w:pPr>
              <w:pStyle w:val="Exampletextbullet"/>
              <w:numPr>
                <w:ilvl w:val="0"/>
                <w:numId w:val="51"/>
              </w:numPr>
              <w:spacing w:after="0" w:line="240" w:lineRule="auto"/>
              <w:ind w:left="284" w:hanging="284"/>
              <w:jc w:val="left"/>
              <w:rPr>
                <w:rFonts w:ascii="Arial" w:hAnsi="Arial" w:cs="Arial"/>
                <w:i w:val="0"/>
                <w:color w:val="auto"/>
              </w:rPr>
            </w:pPr>
            <w:r w:rsidRPr="00A64C96">
              <w:rPr>
                <w:rFonts w:ascii="Arial" w:hAnsi="Arial" w:cs="Arial"/>
                <w:i w:val="0"/>
                <w:color w:val="auto"/>
              </w:rPr>
              <w:t>Provide information and recommendations to the Board.</w:t>
            </w:r>
          </w:p>
          <w:p w:rsidR="00B2394E" w:rsidRPr="00A64C96" w:rsidRDefault="00B2394E" w:rsidP="0051401E">
            <w:pPr>
              <w:pStyle w:val="Exampletextbullet"/>
              <w:numPr>
                <w:ilvl w:val="0"/>
                <w:numId w:val="51"/>
              </w:numPr>
              <w:spacing w:after="0" w:line="240" w:lineRule="auto"/>
              <w:ind w:left="284" w:hanging="284"/>
              <w:jc w:val="left"/>
              <w:rPr>
                <w:rFonts w:ascii="Arial" w:hAnsi="Arial" w:cs="Arial"/>
                <w:i w:val="0"/>
                <w:color w:val="auto"/>
              </w:rPr>
            </w:pPr>
            <w:r w:rsidRPr="00A64C96">
              <w:rPr>
                <w:rFonts w:ascii="Arial" w:hAnsi="Arial" w:cs="Arial"/>
                <w:i w:val="0"/>
                <w:color w:val="auto"/>
              </w:rPr>
              <w:t>Advise the Board about the performance of the Board’s functions.</w:t>
            </w:r>
          </w:p>
          <w:p w:rsidR="00B2394E" w:rsidRPr="00A64C96" w:rsidRDefault="00B2394E" w:rsidP="0051401E">
            <w:pPr>
              <w:pStyle w:val="Exampletextbullet"/>
              <w:numPr>
                <w:ilvl w:val="0"/>
                <w:numId w:val="51"/>
              </w:numPr>
              <w:spacing w:after="0" w:line="240" w:lineRule="auto"/>
              <w:ind w:left="284" w:hanging="284"/>
              <w:jc w:val="left"/>
              <w:rPr>
                <w:rFonts w:ascii="Arial" w:hAnsi="Arial" w:cs="Arial"/>
                <w:color w:val="auto"/>
              </w:rPr>
            </w:pPr>
            <w:r w:rsidRPr="00A64C96">
              <w:rPr>
                <w:rFonts w:ascii="Arial" w:hAnsi="Arial" w:cs="Arial"/>
                <w:i w:val="0"/>
                <w:color w:val="auto"/>
              </w:rPr>
              <w:t>Make resources and facilities available to the Board.</w:t>
            </w:r>
          </w:p>
        </w:tc>
      </w:tr>
      <w:tr w:rsidR="00B2394E" w:rsidRPr="00F71634" w:rsidTr="00B2394E">
        <w:tc>
          <w:tcPr>
            <w:tcW w:w="1701" w:type="dxa"/>
          </w:tcPr>
          <w:p w:rsidR="00B2394E" w:rsidRPr="006906E4" w:rsidRDefault="00B2394E" w:rsidP="00B2394E">
            <w:pPr>
              <w:tabs>
                <w:tab w:val="left" w:pos="709"/>
              </w:tabs>
              <w:spacing w:after="0" w:line="240" w:lineRule="auto"/>
              <w:jc w:val="left"/>
              <w:rPr>
                <w:rFonts w:ascii="Arial" w:hAnsi="Arial" w:cs="Arial"/>
                <w:b/>
              </w:rPr>
            </w:pPr>
            <w:r>
              <w:rPr>
                <w:rFonts w:ascii="Arial" w:hAnsi="Arial" w:cs="Arial"/>
                <w:b/>
              </w:rPr>
              <w:t>Purposes</w:t>
            </w:r>
          </w:p>
        </w:tc>
        <w:tc>
          <w:tcPr>
            <w:tcW w:w="5954" w:type="dxa"/>
            <w:gridSpan w:val="2"/>
          </w:tcPr>
          <w:p w:rsidR="00B2394E" w:rsidRPr="00982B76" w:rsidRDefault="00B2394E" w:rsidP="00B2394E">
            <w:pPr>
              <w:tabs>
                <w:tab w:val="left" w:pos="709"/>
              </w:tabs>
              <w:spacing w:after="0" w:line="240" w:lineRule="auto"/>
              <w:jc w:val="left"/>
              <w:rPr>
                <w:rFonts w:ascii="Arial" w:hAnsi="Arial" w:cs="Arial"/>
              </w:rPr>
            </w:pPr>
            <w:r>
              <w:rPr>
                <w:rFonts w:ascii="Arial" w:hAnsi="Arial" w:cs="Arial"/>
              </w:rPr>
              <w:t>The Agency supports the Board in maximising the returns on funds for which the Board is responsible in line with the Investment Mandate Directors for each fund.</w:t>
            </w:r>
          </w:p>
        </w:tc>
      </w:tr>
      <w:tr w:rsidR="00B2394E" w:rsidRPr="00F71634" w:rsidTr="00B2394E">
        <w:tc>
          <w:tcPr>
            <w:tcW w:w="7655" w:type="dxa"/>
            <w:gridSpan w:val="3"/>
          </w:tcPr>
          <w:p w:rsidR="00B2394E" w:rsidRPr="006906E4" w:rsidRDefault="00B2394E" w:rsidP="00B2394E">
            <w:pPr>
              <w:tabs>
                <w:tab w:val="left" w:pos="709"/>
              </w:tabs>
              <w:spacing w:after="0" w:line="240" w:lineRule="auto"/>
              <w:jc w:val="left"/>
              <w:rPr>
                <w:rFonts w:ascii="Arial" w:hAnsi="Arial" w:cs="Arial"/>
                <w:b/>
              </w:rPr>
            </w:pPr>
            <w:r w:rsidRPr="006906E4">
              <w:rPr>
                <w:rFonts w:ascii="Arial" w:hAnsi="Arial" w:cs="Arial"/>
                <w:b/>
              </w:rPr>
              <w:t>Performance information</w:t>
            </w:r>
            <w:r>
              <w:rPr>
                <w:rFonts w:ascii="Arial" w:hAnsi="Arial" w:cs="Arial"/>
                <w:b/>
              </w:rPr>
              <w:t>: Program 1.1 – Management of the Investment of the Future Fund</w:t>
            </w:r>
          </w:p>
        </w:tc>
      </w:tr>
      <w:tr w:rsidR="00B2394E" w:rsidRPr="00F71634" w:rsidTr="00B2394E">
        <w:tc>
          <w:tcPr>
            <w:tcW w:w="1701" w:type="dxa"/>
          </w:tcPr>
          <w:p w:rsidR="00B2394E" w:rsidRPr="006906E4" w:rsidRDefault="00B2394E" w:rsidP="00B2394E">
            <w:pPr>
              <w:tabs>
                <w:tab w:val="left" w:pos="709"/>
              </w:tabs>
              <w:spacing w:after="0" w:line="240" w:lineRule="auto"/>
              <w:jc w:val="left"/>
              <w:rPr>
                <w:rFonts w:ascii="Arial" w:hAnsi="Arial" w:cs="Arial"/>
                <w:b/>
              </w:rPr>
            </w:pPr>
            <w:r w:rsidRPr="006906E4">
              <w:rPr>
                <w:rFonts w:ascii="Arial" w:hAnsi="Arial" w:cs="Arial"/>
                <w:b/>
              </w:rPr>
              <w:t>Year</w:t>
            </w:r>
          </w:p>
        </w:tc>
        <w:tc>
          <w:tcPr>
            <w:tcW w:w="3475" w:type="dxa"/>
          </w:tcPr>
          <w:p w:rsidR="00B2394E" w:rsidRPr="006906E4" w:rsidRDefault="00B2394E" w:rsidP="00B2394E">
            <w:pPr>
              <w:tabs>
                <w:tab w:val="left" w:pos="709"/>
              </w:tabs>
              <w:spacing w:after="0" w:line="240" w:lineRule="auto"/>
              <w:jc w:val="left"/>
              <w:rPr>
                <w:rFonts w:ascii="Arial" w:hAnsi="Arial" w:cs="Arial"/>
                <w:b/>
              </w:rPr>
            </w:pPr>
            <w:r>
              <w:rPr>
                <w:rFonts w:ascii="Arial" w:hAnsi="Arial" w:cs="Arial"/>
                <w:b/>
              </w:rPr>
              <w:t>Performance C</w:t>
            </w:r>
            <w:r w:rsidRPr="006906E4">
              <w:rPr>
                <w:rFonts w:ascii="Arial" w:hAnsi="Arial" w:cs="Arial"/>
                <w:b/>
              </w:rPr>
              <w:t>riteria</w:t>
            </w:r>
          </w:p>
        </w:tc>
        <w:tc>
          <w:tcPr>
            <w:tcW w:w="2479" w:type="dxa"/>
          </w:tcPr>
          <w:p w:rsidR="00B2394E" w:rsidRPr="006906E4" w:rsidRDefault="00B2394E" w:rsidP="00B2394E">
            <w:pPr>
              <w:tabs>
                <w:tab w:val="left" w:pos="709"/>
              </w:tabs>
              <w:spacing w:after="0" w:line="240" w:lineRule="auto"/>
              <w:jc w:val="left"/>
              <w:rPr>
                <w:rFonts w:ascii="Arial" w:hAnsi="Arial" w:cs="Arial"/>
                <w:b/>
              </w:rPr>
            </w:pPr>
            <w:r w:rsidRPr="006906E4">
              <w:rPr>
                <w:rFonts w:ascii="Arial" w:hAnsi="Arial" w:cs="Arial"/>
                <w:b/>
              </w:rPr>
              <w:t>Targets</w:t>
            </w:r>
          </w:p>
        </w:tc>
      </w:tr>
      <w:tr w:rsidR="00B2394E" w:rsidRPr="00F71634" w:rsidTr="00B2394E">
        <w:trPr>
          <w:trHeight w:val="60"/>
        </w:trPr>
        <w:tc>
          <w:tcPr>
            <w:tcW w:w="1701" w:type="dxa"/>
          </w:tcPr>
          <w:p w:rsidR="00B2394E" w:rsidRPr="006906E4" w:rsidRDefault="00B2394E" w:rsidP="00B2394E">
            <w:pPr>
              <w:tabs>
                <w:tab w:val="left" w:pos="709"/>
              </w:tabs>
              <w:spacing w:after="0" w:line="240" w:lineRule="auto"/>
              <w:jc w:val="left"/>
              <w:rPr>
                <w:rFonts w:ascii="Arial" w:hAnsi="Arial" w:cs="Arial"/>
              </w:rPr>
            </w:pPr>
            <w:r w:rsidRPr="006906E4">
              <w:rPr>
                <w:rFonts w:ascii="Arial" w:hAnsi="Arial" w:cs="Arial"/>
              </w:rPr>
              <w:t>2015-16</w:t>
            </w:r>
          </w:p>
        </w:tc>
        <w:tc>
          <w:tcPr>
            <w:tcW w:w="3475" w:type="dxa"/>
          </w:tcPr>
          <w:p w:rsidR="00B2394E" w:rsidRPr="00CF3B67" w:rsidRDefault="00B2394E" w:rsidP="0051401E">
            <w:pPr>
              <w:pStyle w:val="Exampletextbullet"/>
              <w:numPr>
                <w:ilvl w:val="0"/>
                <w:numId w:val="51"/>
              </w:numPr>
              <w:spacing w:after="0" w:line="240" w:lineRule="auto"/>
              <w:ind w:left="284" w:hanging="284"/>
              <w:jc w:val="left"/>
              <w:rPr>
                <w:rFonts w:ascii="Arial" w:hAnsi="Arial" w:cs="Arial"/>
                <w:i w:val="0"/>
                <w:color w:val="auto"/>
              </w:rPr>
            </w:pPr>
            <w:r w:rsidRPr="00CF3B67">
              <w:rPr>
                <w:rFonts w:ascii="Arial" w:hAnsi="Arial" w:cs="Arial"/>
                <w:i w:val="0"/>
                <w:color w:val="auto"/>
              </w:rPr>
              <w:t>Provide assistance and advice to the Board in pursuit of achieving the Investment Mandate target return of at least 4.5 to 5.5% above the Consumer Price Index (CPI) over the long term (interpreted as rolling 10 year periods) with acceptable but not excessive risk</w:t>
            </w:r>
            <w:r w:rsidRPr="00CF3B67">
              <w:rPr>
                <w:rFonts w:ascii="Arial" w:hAnsi="Arial" w:cs="Arial"/>
                <w:color w:val="auto"/>
              </w:rPr>
              <w:t>.</w:t>
            </w:r>
          </w:p>
          <w:p w:rsidR="00B2394E" w:rsidRPr="00CF3B67" w:rsidRDefault="00B2394E" w:rsidP="00B2394E">
            <w:pPr>
              <w:pStyle w:val="Exampletextbullet"/>
              <w:numPr>
                <w:ilvl w:val="0"/>
                <w:numId w:val="0"/>
              </w:numPr>
              <w:spacing w:after="0" w:line="240" w:lineRule="auto"/>
              <w:ind w:left="357"/>
              <w:jc w:val="left"/>
              <w:rPr>
                <w:rFonts w:ascii="Arial" w:hAnsi="Arial" w:cs="Arial"/>
                <w:i w:val="0"/>
                <w:color w:val="auto"/>
              </w:rPr>
            </w:pPr>
          </w:p>
        </w:tc>
        <w:tc>
          <w:tcPr>
            <w:tcW w:w="2479" w:type="dxa"/>
          </w:tcPr>
          <w:p w:rsidR="00B2394E" w:rsidRPr="0051401E" w:rsidRDefault="00B2394E" w:rsidP="0051401E">
            <w:pPr>
              <w:pStyle w:val="Exampletextbullet"/>
              <w:numPr>
                <w:ilvl w:val="0"/>
                <w:numId w:val="51"/>
              </w:numPr>
              <w:spacing w:after="0" w:line="240" w:lineRule="auto"/>
              <w:ind w:left="284" w:hanging="284"/>
              <w:jc w:val="left"/>
              <w:rPr>
                <w:rFonts w:ascii="Arial" w:hAnsi="Arial" w:cs="Arial"/>
                <w:i w:val="0"/>
                <w:color w:val="auto"/>
              </w:rPr>
            </w:pPr>
            <w:r w:rsidRPr="0051401E">
              <w:rPr>
                <w:rFonts w:ascii="Arial" w:hAnsi="Arial" w:cs="Arial"/>
                <w:i w:val="0"/>
                <w:color w:val="auto"/>
              </w:rPr>
              <w:t xml:space="preserve">As at 31 March 2016 the actual return was 7.4% compared to the target return of 7% since </w:t>
            </w:r>
          </w:p>
          <w:p w:rsidR="00B2394E" w:rsidRPr="00CF3B67" w:rsidRDefault="00B2394E" w:rsidP="0051401E">
            <w:pPr>
              <w:pStyle w:val="Exampletextbullet"/>
              <w:numPr>
                <w:ilvl w:val="0"/>
                <w:numId w:val="0"/>
              </w:numPr>
              <w:spacing w:after="0" w:line="240" w:lineRule="auto"/>
              <w:ind w:left="284"/>
              <w:jc w:val="left"/>
              <w:rPr>
                <w:rFonts w:ascii="Arial" w:hAnsi="Arial" w:cs="Arial"/>
              </w:rPr>
            </w:pPr>
            <w:r w:rsidRPr="0051401E">
              <w:rPr>
                <w:rFonts w:ascii="Arial" w:hAnsi="Arial" w:cs="Arial"/>
                <w:i w:val="0"/>
                <w:color w:val="auto"/>
              </w:rPr>
              <w:t>May 2006.</w:t>
            </w:r>
          </w:p>
        </w:tc>
      </w:tr>
      <w:tr w:rsidR="00B2394E" w:rsidRPr="00F71634" w:rsidTr="00B2394E">
        <w:tc>
          <w:tcPr>
            <w:tcW w:w="1701" w:type="dxa"/>
          </w:tcPr>
          <w:p w:rsidR="00B2394E" w:rsidRPr="006906E4" w:rsidRDefault="00B2394E" w:rsidP="00B2394E">
            <w:pPr>
              <w:tabs>
                <w:tab w:val="left" w:pos="709"/>
              </w:tabs>
              <w:spacing w:after="0" w:line="240" w:lineRule="auto"/>
              <w:jc w:val="left"/>
              <w:rPr>
                <w:rFonts w:ascii="Arial" w:hAnsi="Arial" w:cs="Arial"/>
              </w:rPr>
            </w:pPr>
            <w:r w:rsidRPr="006906E4">
              <w:rPr>
                <w:rFonts w:ascii="Arial" w:hAnsi="Arial" w:cs="Arial"/>
              </w:rPr>
              <w:t>2016-17</w:t>
            </w:r>
          </w:p>
        </w:tc>
        <w:tc>
          <w:tcPr>
            <w:tcW w:w="3475" w:type="dxa"/>
          </w:tcPr>
          <w:p w:rsidR="00B2394E" w:rsidRDefault="00B2394E" w:rsidP="0051401E">
            <w:pPr>
              <w:pStyle w:val="Exampletextbullet"/>
              <w:numPr>
                <w:ilvl w:val="0"/>
                <w:numId w:val="51"/>
              </w:numPr>
              <w:spacing w:after="0" w:line="240" w:lineRule="auto"/>
              <w:ind w:left="284" w:hanging="284"/>
              <w:jc w:val="left"/>
              <w:rPr>
                <w:rFonts w:ascii="Arial" w:hAnsi="Arial" w:cs="Arial"/>
                <w:i w:val="0"/>
                <w:color w:val="auto"/>
              </w:rPr>
            </w:pPr>
            <w:r w:rsidRPr="00C77B3F">
              <w:rPr>
                <w:rFonts w:ascii="Arial" w:hAnsi="Arial" w:cs="Arial"/>
                <w:i w:val="0"/>
                <w:color w:val="auto"/>
              </w:rPr>
              <w:t>Provide assistance and advice to the Board in pursuit of achieving the Investment Mandate target return of at least 4.5 to 5.5% above the Consumer Price Index (CPI) over the long term (interpreted as rolling 10 year periods) with acceptable but not excessive risk.</w:t>
            </w:r>
          </w:p>
          <w:p w:rsidR="00B2394E" w:rsidRPr="00C77B3F" w:rsidRDefault="00B2394E" w:rsidP="00B2394E">
            <w:pPr>
              <w:pStyle w:val="Exampletextbullet"/>
              <w:numPr>
                <w:ilvl w:val="0"/>
                <w:numId w:val="0"/>
              </w:numPr>
              <w:spacing w:after="0" w:line="240" w:lineRule="auto"/>
              <w:ind w:left="357"/>
              <w:jc w:val="left"/>
              <w:rPr>
                <w:rFonts w:ascii="Arial" w:hAnsi="Arial" w:cs="Arial"/>
                <w:i w:val="0"/>
                <w:color w:val="auto"/>
              </w:rPr>
            </w:pPr>
          </w:p>
        </w:tc>
        <w:tc>
          <w:tcPr>
            <w:tcW w:w="2479" w:type="dxa"/>
          </w:tcPr>
          <w:p w:rsidR="00B2394E" w:rsidRPr="0051401E" w:rsidRDefault="00B2394E" w:rsidP="0051401E">
            <w:pPr>
              <w:pStyle w:val="Exampletextbullet"/>
              <w:numPr>
                <w:ilvl w:val="0"/>
                <w:numId w:val="51"/>
              </w:numPr>
              <w:spacing w:after="0" w:line="240" w:lineRule="auto"/>
              <w:ind w:left="284" w:hanging="284"/>
              <w:jc w:val="left"/>
              <w:rPr>
                <w:rFonts w:ascii="Arial" w:hAnsi="Arial" w:cs="Arial"/>
                <w:i w:val="0"/>
                <w:color w:val="auto"/>
              </w:rPr>
            </w:pPr>
            <w:r w:rsidRPr="0051401E">
              <w:rPr>
                <w:rFonts w:ascii="Arial" w:hAnsi="Arial" w:cs="Arial"/>
                <w:i w:val="0"/>
                <w:color w:val="auto"/>
              </w:rPr>
              <w:t>To achieve a return above the long-term target return with acceptable but not excessive risk.</w:t>
            </w:r>
          </w:p>
        </w:tc>
      </w:tr>
      <w:tr w:rsidR="00B2394E" w:rsidRPr="00F71634" w:rsidTr="00B2394E">
        <w:tc>
          <w:tcPr>
            <w:tcW w:w="1701" w:type="dxa"/>
          </w:tcPr>
          <w:p w:rsidR="00B2394E" w:rsidRPr="006906E4" w:rsidRDefault="00B2394E" w:rsidP="00B2394E">
            <w:pPr>
              <w:tabs>
                <w:tab w:val="left" w:pos="709"/>
              </w:tabs>
              <w:spacing w:after="0" w:line="240" w:lineRule="auto"/>
              <w:jc w:val="left"/>
              <w:rPr>
                <w:rFonts w:ascii="Arial" w:hAnsi="Arial" w:cs="Arial"/>
              </w:rPr>
            </w:pPr>
            <w:r w:rsidRPr="006906E4">
              <w:rPr>
                <w:rFonts w:ascii="Arial" w:hAnsi="Arial" w:cs="Arial"/>
              </w:rPr>
              <w:t>2017-18 and beyond</w:t>
            </w:r>
          </w:p>
        </w:tc>
        <w:tc>
          <w:tcPr>
            <w:tcW w:w="3475" w:type="dxa"/>
          </w:tcPr>
          <w:p w:rsidR="00B2394E" w:rsidRPr="00B872D6" w:rsidRDefault="00B2394E" w:rsidP="0051401E">
            <w:pPr>
              <w:pStyle w:val="Exampletextbullet"/>
              <w:numPr>
                <w:ilvl w:val="0"/>
                <w:numId w:val="51"/>
              </w:numPr>
              <w:spacing w:after="0" w:line="240" w:lineRule="auto"/>
              <w:ind w:left="284" w:hanging="284"/>
              <w:jc w:val="left"/>
              <w:rPr>
                <w:rFonts w:ascii="Arial" w:hAnsi="Arial" w:cs="Arial"/>
                <w:i w:val="0"/>
                <w:color w:val="auto"/>
              </w:rPr>
            </w:pPr>
            <w:r w:rsidRPr="00B150F0">
              <w:rPr>
                <w:rFonts w:ascii="Arial" w:hAnsi="Arial" w:cs="Arial"/>
                <w:i w:val="0"/>
                <w:color w:val="auto"/>
              </w:rPr>
              <w:t>Provide assistance and advice to the Board in pursuit of achieving the Investment Mandate target return of at least 4.5 to 5.5% above the Consumer Price Index (CPI) over the long term (interpreted as rolling 10 year periods) with acceptable but not excessive risk</w:t>
            </w:r>
            <w:r w:rsidRPr="00B150F0">
              <w:rPr>
                <w:rFonts w:ascii="Arial" w:hAnsi="Arial" w:cs="Arial"/>
                <w:color w:val="auto"/>
              </w:rPr>
              <w:t>.</w:t>
            </w:r>
          </w:p>
          <w:p w:rsidR="00B2394E" w:rsidRPr="00B150F0" w:rsidRDefault="00B2394E" w:rsidP="00B2394E">
            <w:pPr>
              <w:pStyle w:val="Exampletextbullet"/>
              <w:numPr>
                <w:ilvl w:val="0"/>
                <w:numId w:val="0"/>
              </w:numPr>
              <w:spacing w:after="0" w:line="240" w:lineRule="auto"/>
              <w:ind w:left="357"/>
              <w:jc w:val="left"/>
              <w:rPr>
                <w:rFonts w:ascii="Arial" w:hAnsi="Arial" w:cs="Arial"/>
                <w:i w:val="0"/>
                <w:color w:val="auto"/>
              </w:rPr>
            </w:pPr>
          </w:p>
        </w:tc>
        <w:tc>
          <w:tcPr>
            <w:tcW w:w="2479" w:type="dxa"/>
          </w:tcPr>
          <w:p w:rsidR="00B2394E" w:rsidRPr="0051401E" w:rsidRDefault="00B2394E" w:rsidP="0051401E">
            <w:pPr>
              <w:pStyle w:val="Exampletextbullet"/>
              <w:numPr>
                <w:ilvl w:val="0"/>
                <w:numId w:val="51"/>
              </w:numPr>
              <w:spacing w:after="0" w:line="240" w:lineRule="auto"/>
              <w:ind w:left="284" w:hanging="284"/>
              <w:jc w:val="left"/>
              <w:rPr>
                <w:rFonts w:ascii="Arial" w:hAnsi="Arial" w:cs="Arial"/>
                <w:i w:val="0"/>
                <w:color w:val="auto"/>
              </w:rPr>
            </w:pPr>
            <w:r w:rsidRPr="0051401E">
              <w:rPr>
                <w:rFonts w:ascii="Arial" w:hAnsi="Arial" w:cs="Arial"/>
                <w:i w:val="0"/>
                <w:color w:val="auto"/>
              </w:rPr>
              <w:t>To achieve a return above the long-term target return with acceptable but not excessive risk.</w:t>
            </w:r>
          </w:p>
        </w:tc>
      </w:tr>
    </w:tbl>
    <w:p w:rsidR="00B2394E" w:rsidRDefault="00B2394E" w:rsidP="0074791F">
      <w:pPr>
        <w:spacing w:after="0" w:line="240" w:lineRule="auto"/>
        <w:jc w:val="left"/>
        <w:rPr>
          <w:rFonts w:ascii="Arial" w:hAnsi="Arial" w:cs="Arial"/>
        </w:rPr>
      </w:pPr>
      <w:r w:rsidRPr="00417B4D">
        <w:rPr>
          <w:rFonts w:ascii="Arial" w:hAnsi="Arial" w:cs="Arial"/>
        </w:rPr>
        <w:t>Table continues on next page</w:t>
      </w:r>
      <w:r w:rsidRPr="00417B4D">
        <w:rPr>
          <w:rFonts w:ascii="Arial" w:hAnsi="Arial" w:cs="Arial"/>
        </w:rPr>
        <w:br w:type="page"/>
      </w:r>
    </w:p>
    <w:p w:rsidR="00B2394E" w:rsidRPr="00417B4D" w:rsidRDefault="00B2394E" w:rsidP="00B2394E">
      <w:pPr>
        <w:pStyle w:val="Heading5"/>
        <w:spacing w:after="0"/>
        <w:rPr>
          <w:rFonts w:cs="Arial"/>
          <w:sz w:val="16"/>
          <w:szCs w:val="16"/>
        </w:rPr>
      </w:pPr>
      <w:r w:rsidRPr="00F71634">
        <w:lastRenderedPageBreak/>
        <w:t>Table 2.</w:t>
      </w:r>
      <w:r>
        <w:t>1</w:t>
      </w:r>
      <w:r w:rsidRPr="00F71634">
        <w:t>.</w:t>
      </w:r>
      <w:r>
        <w:t>2</w:t>
      </w:r>
      <w:r w:rsidRPr="00F71634">
        <w:t>: Pe</w:t>
      </w:r>
      <w:r>
        <w:t>rformance Criteria for Outcome 1 (Continued)</w:t>
      </w:r>
    </w:p>
    <w:tbl>
      <w:tblPr>
        <w:tblStyle w:val="TableGrid"/>
        <w:tblW w:w="0" w:type="auto"/>
        <w:tblLook w:val="04A0"/>
      </w:tblPr>
      <w:tblGrid>
        <w:gridCol w:w="1701"/>
        <w:gridCol w:w="3475"/>
        <w:gridCol w:w="2479"/>
      </w:tblGrid>
      <w:tr w:rsidR="00B2394E" w:rsidRPr="00D27E5E" w:rsidTr="00B2394E">
        <w:tc>
          <w:tcPr>
            <w:tcW w:w="7655" w:type="dxa"/>
            <w:gridSpan w:val="3"/>
            <w:shd w:val="clear" w:color="auto" w:fill="EAEAEA"/>
          </w:tcPr>
          <w:p w:rsidR="00B2394E" w:rsidRDefault="00B2394E" w:rsidP="00B2394E">
            <w:pPr>
              <w:tabs>
                <w:tab w:val="left" w:pos="709"/>
              </w:tabs>
              <w:spacing w:before="60" w:after="60" w:line="240" w:lineRule="auto"/>
              <w:jc w:val="left"/>
              <w:rPr>
                <w:rFonts w:ascii="Arial" w:hAnsi="Arial" w:cs="Arial"/>
              </w:rPr>
            </w:pPr>
            <w:r w:rsidRPr="00D27E5E">
              <w:rPr>
                <w:rFonts w:ascii="Arial" w:hAnsi="Arial" w:cs="Arial"/>
                <w:b/>
              </w:rPr>
              <w:t>Program 1.</w:t>
            </w:r>
            <w:r>
              <w:rPr>
                <w:rFonts w:ascii="Arial" w:hAnsi="Arial" w:cs="Arial"/>
                <w:b/>
              </w:rPr>
              <w:t>2</w:t>
            </w:r>
            <w:r w:rsidRPr="00D27E5E">
              <w:rPr>
                <w:rFonts w:ascii="Arial" w:hAnsi="Arial" w:cs="Arial"/>
              </w:rPr>
              <w:t xml:space="preserve"> – </w:t>
            </w:r>
            <w:r w:rsidRPr="00DE51AA">
              <w:rPr>
                <w:rFonts w:ascii="Arial" w:hAnsi="Arial" w:cs="Arial"/>
                <w:b/>
              </w:rPr>
              <w:t xml:space="preserve">Management of the Investment of the </w:t>
            </w:r>
            <w:r>
              <w:rPr>
                <w:rFonts w:ascii="Arial" w:hAnsi="Arial" w:cs="Arial"/>
                <w:b/>
              </w:rPr>
              <w:t>Australian Government Investment Funds.</w:t>
            </w:r>
            <w:r w:rsidRPr="00D27E5E">
              <w:rPr>
                <w:rFonts w:ascii="Arial" w:hAnsi="Arial" w:cs="Arial"/>
              </w:rPr>
              <w:t xml:space="preserve"> </w:t>
            </w:r>
          </w:p>
          <w:p w:rsidR="00B2394E" w:rsidRPr="00D27E5E" w:rsidRDefault="00B2394E" w:rsidP="00B2394E">
            <w:pPr>
              <w:tabs>
                <w:tab w:val="left" w:pos="709"/>
              </w:tabs>
              <w:spacing w:before="60" w:after="60" w:line="240" w:lineRule="auto"/>
              <w:jc w:val="left"/>
              <w:rPr>
                <w:rFonts w:ascii="Arial" w:hAnsi="Arial" w:cs="Arial"/>
              </w:rPr>
            </w:pPr>
            <w:r w:rsidRPr="00880541">
              <w:rPr>
                <w:rFonts w:ascii="Arial" w:hAnsi="Arial" w:cs="Arial"/>
              </w:rPr>
              <w:t xml:space="preserve">The </w:t>
            </w:r>
            <w:r w:rsidRPr="00880541">
              <w:rPr>
                <w:rFonts w:ascii="Arial" w:hAnsi="Arial" w:cs="Arial"/>
                <w:i/>
              </w:rPr>
              <w:t>Nation-building Funds Act</w:t>
            </w:r>
            <w:r w:rsidRPr="00880541">
              <w:rPr>
                <w:rFonts w:ascii="Arial" w:hAnsi="Arial" w:cs="Arial"/>
              </w:rPr>
              <w:t xml:space="preserve"> </w:t>
            </w:r>
            <w:r w:rsidRPr="00183653">
              <w:rPr>
                <w:rFonts w:ascii="Arial" w:hAnsi="Arial" w:cs="Arial"/>
                <w:i/>
              </w:rPr>
              <w:t>2008</w:t>
            </w:r>
            <w:r w:rsidRPr="00880541">
              <w:rPr>
                <w:rFonts w:ascii="Arial" w:hAnsi="Arial" w:cs="Arial"/>
              </w:rPr>
              <w:t xml:space="preserve"> established the Education Investment Fund</w:t>
            </w:r>
            <w:r>
              <w:rPr>
                <w:rFonts w:ascii="Arial" w:hAnsi="Arial" w:cs="Arial"/>
              </w:rPr>
              <w:t xml:space="preserve"> (EIF)</w:t>
            </w:r>
            <w:r w:rsidRPr="00880541">
              <w:rPr>
                <w:rFonts w:ascii="Arial" w:hAnsi="Arial" w:cs="Arial"/>
              </w:rPr>
              <w:t xml:space="preserve">, the Health and Hospitals Fund </w:t>
            </w:r>
            <w:r>
              <w:rPr>
                <w:rFonts w:ascii="Arial" w:hAnsi="Arial" w:cs="Arial"/>
              </w:rPr>
              <w:t xml:space="preserve">(HHF) </w:t>
            </w:r>
            <w:r w:rsidRPr="00880541">
              <w:rPr>
                <w:rFonts w:ascii="Arial" w:hAnsi="Arial" w:cs="Arial"/>
              </w:rPr>
              <w:t xml:space="preserve">and the Building Australia Fund </w:t>
            </w:r>
            <w:r>
              <w:rPr>
                <w:rFonts w:ascii="Arial" w:hAnsi="Arial" w:cs="Arial"/>
              </w:rPr>
              <w:t xml:space="preserve">(BAF) </w:t>
            </w:r>
            <w:r w:rsidRPr="00880541">
              <w:rPr>
                <w:rFonts w:ascii="Arial" w:hAnsi="Arial" w:cs="Arial"/>
              </w:rPr>
              <w:t xml:space="preserve">on 1 January 2009. The </w:t>
            </w:r>
            <w:proofErr w:type="spellStart"/>
            <w:r>
              <w:rPr>
                <w:rFonts w:ascii="Arial" w:hAnsi="Arial" w:cs="Arial"/>
                <w:i/>
              </w:rPr>
              <w:t>DisabilityCare</w:t>
            </w:r>
            <w:proofErr w:type="spellEnd"/>
            <w:r>
              <w:rPr>
                <w:rFonts w:ascii="Arial" w:hAnsi="Arial" w:cs="Arial"/>
                <w:i/>
              </w:rPr>
              <w:t xml:space="preserve"> Australia Fund A</w:t>
            </w:r>
            <w:r w:rsidRPr="00803077">
              <w:rPr>
                <w:rFonts w:ascii="Arial" w:hAnsi="Arial" w:cs="Arial"/>
                <w:i/>
              </w:rPr>
              <w:t>ct</w:t>
            </w:r>
            <w:r w:rsidRPr="00880541">
              <w:rPr>
                <w:rFonts w:ascii="Arial" w:hAnsi="Arial" w:cs="Arial"/>
              </w:rPr>
              <w:t xml:space="preserve"> </w:t>
            </w:r>
            <w:r w:rsidRPr="00183653">
              <w:rPr>
                <w:rFonts w:ascii="Arial" w:hAnsi="Arial" w:cs="Arial"/>
                <w:i/>
              </w:rPr>
              <w:t>2013</w:t>
            </w:r>
            <w:r w:rsidRPr="00880541">
              <w:rPr>
                <w:rFonts w:ascii="Arial" w:hAnsi="Arial" w:cs="Arial"/>
              </w:rPr>
              <w:t xml:space="preserve"> established the </w:t>
            </w:r>
            <w:proofErr w:type="spellStart"/>
            <w:r w:rsidRPr="00880541">
              <w:rPr>
                <w:rFonts w:ascii="Arial" w:hAnsi="Arial" w:cs="Arial"/>
              </w:rPr>
              <w:t>DisabilityCare</w:t>
            </w:r>
            <w:proofErr w:type="spellEnd"/>
            <w:r w:rsidRPr="00880541">
              <w:rPr>
                <w:rFonts w:ascii="Arial" w:hAnsi="Arial" w:cs="Arial"/>
              </w:rPr>
              <w:t xml:space="preserve"> Australia Fund (DCAF) on 1 July 2014.</w:t>
            </w:r>
            <w:r>
              <w:rPr>
                <w:rFonts w:ascii="Arial" w:hAnsi="Arial" w:cs="Arial"/>
              </w:rPr>
              <w:t xml:space="preserve"> The </w:t>
            </w:r>
            <w:r>
              <w:rPr>
                <w:rFonts w:ascii="Arial" w:hAnsi="Arial" w:cs="Arial"/>
                <w:i/>
              </w:rPr>
              <w:t xml:space="preserve">Medical Research Future Fund Act </w:t>
            </w:r>
            <w:r w:rsidRPr="00183653">
              <w:rPr>
                <w:rFonts w:ascii="Arial" w:hAnsi="Arial" w:cs="Arial"/>
                <w:i/>
              </w:rPr>
              <w:t>2015</w:t>
            </w:r>
            <w:r>
              <w:rPr>
                <w:rFonts w:ascii="Arial" w:hAnsi="Arial" w:cs="Arial"/>
              </w:rPr>
              <w:t xml:space="preserve"> established the Medical Research Future Fund (MRFF) on 27 August 2015. </w:t>
            </w:r>
            <w:r w:rsidRPr="00D27E5E">
              <w:rPr>
                <w:rFonts w:ascii="Arial" w:hAnsi="Arial" w:cs="Arial"/>
              </w:rPr>
              <w:t>The</w:t>
            </w:r>
            <w:r>
              <w:rPr>
                <w:rFonts w:ascii="Arial" w:hAnsi="Arial" w:cs="Arial"/>
              </w:rPr>
              <w:t xml:space="preserve"> role of the</w:t>
            </w:r>
            <w:r w:rsidRPr="00D27E5E">
              <w:rPr>
                <w:rFonts w:ascii="Arial" w:hAnsi="Arial" w:cs="Arial"/>
              </w:rPr>
              <w:t xml:space="preserve"> FFMA</w:t>
            </w:r>
            <w:r>
              <w:rPr>
                <w:rFonts w:ascii="Arial" w:hAnsi="Arial" w:cs="Arial"/>
              </w:rPr>
              <w:t xml:space="preserve"> was extended to include supporting the Board in the investment of the assets of these funds.</w:t>
            </w:r>
          </w:p>
        </w:tc>
      </w:tr>
      <w:tr w:rsidR="00B2394E" w:rsidRPr="00D27E5E" w:rsidTr="00B2394E">
        <w:tc>
          <w:tcPr>
            <w:tcW w:w="1701" w:type="dxa"/>
          </w:tcPr>
          <w:p w:rsidR="00B2394E" w:rsidRPr="00A64C96" w:rsidRDefault="00B2394E" w:rsidP="00B2394E">
            <w:pPr>
              <w:tabs>
                <w:tab w:val="left" w:pos="709"/>
              </w:tabs>
              <w:spacing w:after="0" w:line="240" w:lineRule="auto"/>
              <w:jc w:val="left"/>
              <w:rPr>
                <w:rFonts w:ascii="Arial" w:hAnsi="Arial" w:cs="Arial"/>
                <w:b/>
              </w:rPr>
            </w:pPr>
            <w:r w:rsidRPr="00A64C96">
              <w:rPr>
                <w:rFonts w:ascii="Arial" w:hAnsi="Arial" w:cs="Arial"/>
                <w:b/>
              </w:rPr>
              <w:t>Delivery</w:t>
            </w:r>
          </w:p>
        </w:tc>
        <w:tc>
          <w:tcPr>
            <w:tcW w:w="5954" w:type="dxa"/>
            <w:gridSpan w:val="2"/>
          </w:tcPr>
          <w:p w:rsidR="00B2394E" w:rsidRPr="00A64C96" w:rsidRDefault="00B2394E" w:rsidP="0051401E">
            <w:pPr>
              <w:pStyle w:val="Exampletextbullet"/>
              <w:numPr>
                <w:ilvl w:val="0"/>
                <w:numId w:val="51"/>
              </w:numPr>
              <w:spacing w:after="0" w:line="240" w:lineRule="auto"/>
              <w:ind w:left="284" w:hanging="284"/>
              <w:jc w:val="left"/>
              <w:rPr>
                <w:rFonts w:ascii="Arial" w:hAnsi="Arial" w:cs="Arial"/>
                <w:i w:val="0"/>
                <w:color w:val="auto"/>
              </w:rPr>
            </w:pPr>
            <w:r w:rsidRPr="00A64C96">
              <w:rPr>
                <w:rFonts w:ascii="Arial" w:hAnsi="Arial" w:cs="Arial"/>
                <w:i w:val="0"/>
                <w:color w:val="auto"/>
              </w:rPr>
              <w:t>Ensure all decisions of the Board of Guardians are given effect as directed by the Board within timeframes and quality levels agreed with the Board.</w:t>
            </w:r>
          </w:p>
          <w:p w:rsidR="00B2394E" w:rsidRPr="00A64C96" w:rsidRDefault="00B2394E" w:rsidP="0051401E">
            <w:pPr>
              <w:pStyle w:val="Exampletextbullet"/>
              <w:numPr>
                <w:ilvl w:val="0"/>
                <w:numId w:val="51"/>
              </w:numPr>
              <w:spacing w:after="0" w:line="240" w:lineRule="auto"/>
              <w:ind w:left="284" w:hanging="284"/>
              <w:jc w:val="left"/>
              <w:rPr>
                <w:rFonts w:ascii="Arial" w:hAnsi="Arial" w:cs="Arial"/>
                <w:i w:val="0"/>
                <w:color w:val="auto"/>
              </w:rPr>
            </w:pPr>
            <w:r w:rsidRPr="00A64C96">
              <w:rPr>
                <w:rFonts w:ascii="Arial" w:hAnsi="Arial" w:cs="Arial"/>
                <w:i w:val="0"/>
                <w:color w:val="auto"/>
              </w:rPr>
              <w:t>Ensure all investments are made in accordance with relevant legislation, Investment Mandate and ministerial directions.</w:t>
            </w:r>
          </w:p>
          <w:p w:rsidR="00B2394E" w:rsidRPr="00A64C96" w:rsidRDefault="00B2394E" w:rsidP="0051401E">
            <w:pPr>
              <w:pStyle w:val="Exampletextbullet"/>
              <w:numPr>
                <w:ilvl w:val="0"/>
                <w:numId w:val="51"/>
              </w:numPr>
              <w:spacing w:after="0" w:line="240" w:lineRule="auto"/>
              <w:ind w:left="284" w:hanging="284"/>
              <w:jc w:val="left"/>
              <w:rPr>
                <w:rFonts w:ascii="Arial" w:hAnsi="Arial" w:cs="Arial"/>
                <w:i w:val="0"/>
                <w:color w:val="auto"/>
              </w:rPr>
            </w:pPr>
            <w:r w:rsidRPr="00A64C96">
              <w:rPr>
                <w:rFonts w:ascii="Arial" w:hAnsi="Arial" w:cs="Arial"/>
                <w:i w:val="0"/>
                <w:color w:val="auto"/>
              </w:rPr>
              <w:t>Provide administrative services to the Board.</w:t>
            </w:r>
          </w:p>
          <w:p w:rsidR="00B2394E" w:rsidRPr="00A64C96" w:rsidRDefault="00B2394E" w:rsidP="0051401E">
            <w:pPr>
              <w:pStyle w:val="Exampletextbullet"/>
              <w:numPr>
                <w:ilvl w:val="0"/>
                <w:numId w:val="51"/>
              </w:numPr>
              <w:spacing w:after="0" w:line="240" w:lineRule="auto"/>
              <w:ind w:left="284" w:hanging="284"/>
              <w:jc w:val="left"/>
              <w:rPr>
                <w:rFonts w:ascii="Arial" w:hAnsi="Arial" w:cs="Arial"/>
                <w:i w:val="0"/>
                <w:color w:val="auto"/>
              </w:rPr>
            </w:pPr>
            <w:r w:rsidRPr="00A64C96">
              <w:rPr>
                <w:rFonts w:ascii="Arial" w:hAnsi="Arial" w:cs="Arial"/>
                <w:i w:val="0"/>
                <w:color w:val="auto"/>
              </w:rPr>
              <w:t>Provide information and recommendations to the Board.</w:t>
            </w:r>
          </w:p>
          <w:p w:rsidR="00B2394E" w:rsidRPr="00A64C96" w:rsidRDefault="00B2394E" w:rsidP="0051401E">
            <w:pPr>
              <w:pStyle w:val="Exampletextbullet"/>
              <w:numPr>
                <w:ilvl w:val="0"/>
                <w:numId w:val="51"/>
              </w:numPr>
              <w:spacing w:after="0" w:line="240" w:lineRule="auto"/>
              <w:ind w:left="284" w:hanging="284"/>
              <w:jc w:val="left"/>
              <w:rPr>
                <w:rFonts w:ascii="Arial" w:hAnsi="Arial" w:cs="Arial"/>
                <w:i w:val="0"/>
                <w:color w:val="auto"/>
              </w:rPr>
            </w:pPr>
            <w:r w:rsidRPr="00A64C96">
              <w:rPr>
                <w:rFonts w:ascii="Arial" w:hAnsi="Arial" w:cs="Arial"/>
                <w:i w:val="0"/>
                <w:color w:val="auto"/>
              </w:rPr>
              <w:t>Advise the Board about the performance of the Board’s functions.</w:t>
            </w:r>
          </w:p>
          <w:p w:rsidR="00B2394E" w:rsidRPr="00A64C96" w:rsidRDefault="00B2394E" w:rsidP="0051401E">
            <w:pPr>
              <w:pStyle w:val="Exampletextbullet"/>
              <w:numPr>
                <w:ilvl w:val="0"/>
                <w:numId w:val="51"/>
              </w:numPr>
              <w:spacing w:after="0" w:line="240" w:lineRule="auto"/>
              <w:ind w:left="284" w:hanging="284"/>
              <w:jc w:val="left"/>
              <w:rPr>
                <w:rFonts w:ascii="Arial" w:hAnsi="Arial" w:cs="Arial"/>
                <w:color w:val="auto"/>
              </w:rPr>
            </w:pPr>
            <w:r w:rsidRPr="00A64C96">
              <w:rPr>
                <w:rFonts w:ascii="Arial" w:hAnsi="Arial" w:cs="Arial"/>
                <w:i w:val="0"/>
                <w:color w:val="auto"/>
              </w:rPr>
              <w:t>Make resources and facilities available to the Board.</w:t>
            </w:r>
          </w:p>
        </w:tc>
      </w:tr>
      <w:tr w:rsidR="00B2394E" w:rsidRPr="00F71634" w:rsidTr="00B2394E">
        <w:tc>
          <w:tcPr>
            <w:tcW w:w="1701" w:type="dxa"/>
          </w:tcPr>
          <w:p w:rsidR="00B2394E" w:rsidRPr="006906E4" w:rsidRDefault="00B2394E" w:rsidP="00B2394E">
            <w:pPr>
              <w:tabs>
                <w:tab w:val="left" w:pos="709"/>
              </w:tabs>
              <w:spacing w:after="0" w:line="240" w:lineRule="auto"/>
              <w:jc w:val="left"/>
              <w:rPr>
                <w:rFonts w:ascii="Arial" w:hAnsi="Arial" w:cs="Arial"/>
                <w:b/>
              </w:rPr>
            </w:pPr>
            <w:r>
              <w:rPr>
                <w:rFonts w:ascii="Arial" w:hAnsi="Arial" w:cs="Arial"/>
                <w:b/>
              </w:rPr>
              <w:t>Purposes</w:t>
            </w:r>
          </w:p>
        </w:tc>
        <w:tc>
          <w:tcPr>
            <w:tcW w:w="5954" w:type="dxa"/>
            <w:gridSpan w:val="2"/>
          </w:tcPr>
          <w:p w:rsidR="00B2394E" w:rsidRPr="00982B76" w:rsidRDefault="00B2394E" w:rsidP="00B2394E">
            <w:pPr>
              <w:tabs>
                <w:tab w:val="left" w:pos="709"/>
              </w:tabs>
              <w:spacing w:after="0" w:line="240" w:lineRule="auto"/>
              <w:jc w:val="left"/>
              <w:rPr>
                <w:rFonts w:ascii="Arial" w:hAnsi="Arial" w:cs="Arial"/>
              </w:rPr>
            </w:pPr>
            <w:r>
              <w:rPr>
                <w:rFonts w:ascii="Arial" w:hAnsi="Arial" w:cs="Arial"/>
              </w:rPr>
              <w:t>The Agency supports the Board in maximising the returns on funds for which the Board is responsible in line with the Investment Mandate Directors for each fund.</w:t>
            </w:r>
          </w:p>
        </w:tc>
      </w:tr>
      <w:tr w:rsidR="00B2394E" w:rsidRPr="00F71634" w:rsidTr="00B2394E">
        <w:tc>
          <w:tcPr>
            <w:tcW w:w="7655" w:type="dxa"/>
            <w:gridSpan w:val="3"/>
          </w:tcPr>
          <w:p w:rsidR="00B2394E" w:rsidRPr="006906E4" w:rsidRDefault="00B2394E" w:rsidP="00B2394E">
            <w:pPr>
              <w:tabs>
                <w:tab w:val="left" w:pos="709"/>
              </w:tabs>
              <w:spacing w:after="0" w:line="240" w:lineRule="auto"/>
              <w:jc w:val="left"/>
              <w:rPr>
                <w:rFonts w:ascii="Arial" w:hAnsi="Arial" w:cs="Arial"/>
                <w:b/>
              </w:rPr>
            </w:pPr>
            <w:r w:rsidRPr="006906E4">
              <w:rPr>
                <w:rFonts w:ascii="Arial" w:hAnsi="Arial" w:cs="Arial"/>
                <w:b/>
              </w:rPr>
              <w:t>Performance information</w:t>
            </w:r>
            <w:r>
              <w:rPr>
                <w:rFonts w:ascii="Arial" w:hAnsi="Arial" w:cs="Arial"/>
                <w:b/>
              </w:rPr>
              <w:t>: Program 1.2 – Management of the Investment of the Australian Government Investment Funds</w:t>
            </w:r>
          </w:p>
        </w:tc>
      </w:tr>
      <w:tr w:rsidR="00B2394E" w:rsidRPr="00F71634" w:rsidTr="00B2394E">
        <w:tc>
          <w:tcPr>
            <w:tcW w:w="1701" w:type="dxa"/>
          </w:tcPr>
          <w:p w:rsidR="00B2394E" w:rsidRPr="006906E4" w:rsidRDefault="00B2394E" w:rsidP="00B2394E">
            <w:pPr>
              <w:tabs>
                <w:tab w:val="left" w:pos="709"/>
              </w:tabs>
              <w:spacing w:after="0" w:line="240" w:lineRule="auto"/>
              <w:jc w:val="left"/>
              <w:rPr>
                <w:rFonts w:ascii="Arial" w:hAnsi="Arial" w:cs="Arial"/>
                <w:b/>
              </w:rPr>
            </w:pPr>
            <w:r w:rsidRPr="006906E4">
              <w:rPr>
                <w:rFonts w:ascii="Arial" w:hAnsi="Arial" w:cs="Arial"/>
                <w:b/>
              </w:rPr>
              <w:t>Year</w:t>
            </w:r>
          </w:p>
        </w:tc>
        <w:tc>
          <w:tcPr>
            <w:tcW w:w="3475" w:type="dxa"/>
          </w:tcPr>
          <w:p w:rsidR="00B2394E" w:rsidRPr="006906E4" w:rsidRDefault="00B2394E" w:rsidP="00B2394E">
            <w:pPr>
              <w:tabs>
                <w:tab w:val="left" w:pos="709"/>
              </w:tabs>
              <w:spacing w:after="0" w:line="240" w:lineRule="auto"/>
              <w:jc w:val="left"/>
              <w:rPr>
                <w:rFonts w:ascii="Arial" w:hAnsi="Arial" w:cs="Arial"/>
                <w:b/>
              </w:rPr>
            </w:pPr>
            <w:r>
              <w:rPr>
                <w:rFonts w:ascii="Arial" w:hAnsi="Arial" w:cs="Arial"/>
                <w:b/>
              </w:rPr>
              <w:t>Performance C</w:t>
            </w:r>
            <w:r w:rsidRPr="006906E4">
              <w:rPr>
                <w:rFonts w:ascii="Arial" w:hAnsi="Arial" w:cs="Arial"/>
                <w:b/>
              </w:rPr>
              <w:t>riteria</w:t>
            </w:r>
          </w:p>
        </w:tc>
        <w:tc>
          <w:tcPr>
            <w:tcW w:w="2479" w:type="dxa"/>
          </w:tcPr>
          <w:p w:rsidR="00B2394E" w:rsidRPr="006906E4" w:rsidRDefault="00B2394E" w:rsidP="00B2394E">
            <w:pPr>
              <w:tabs>
                <w:tab w:val="left" w:pos="709"/>
              </w:tabs>
              <w:spacing w:after="0" w:line="240" w:lineRule="auto"/>
              <w:jc w:val="left"/>
              <w:rPr>
                <w:rFonts w:ascii="Arial" w:hAnsi="Arial" w:cs="Arial"/>
                <w:b/>
              </w:rPr>
            </w:pPr>
            <w:r w:rsidRPr="006906E4">
              <w:rPr>
                <w:rFonts w:ascii="Arial" w:hAnsi="Arial" w:cs="Arial"/>
                <w:b/>
              </w:rPr>
              <w:t>Targets</w:t>
            </w:r>
          </w:p>
        </w:tc>
      </w:tr>
      <w:tr w:rsidR="00B2394E" w:rsidRPr="00F71634" w:rsidTr="00B2394E">
        <w:trPr>
          <w:trHeight w:val="60"/>
        </w:trPr>
        <w:tc>
          <w:tcPr>
            <w:tcW w:w="1701" w:type="dxa"/>
          </w:tcPr>
          <w:p w:rsidR="00B2394E" w:rsidRPr="006906E4" w:rsidRDefault="00B2394E" w:rsidP="00B2394E">
            <w:pPr>
              <w:tabs>
                <w:tab w:val="left" w:pos="709"/>
              </w:tabs>
              <w:spacing w:after="0" w:line="240" w:lineRule="auto"/>
              <w:jc w:val="left"/>
              <w:rPr>
                <w:rFonts w:ascii="Arial" w:hAnsi="Arial" w:cs="Arial"/>
              </w:rPr>
            </w:pPr>
            <w:r w:rsidRPr="006906E4">
              <w:rPr>
                <w:rFonts w:ascii="Arial" w:hAnsi="Arial" w:cs="Arial"/>
              </w:rPr>
              <w:t>2015-16</w:t>
            </w:r>
          </w:p>
        </w:tc>
        <w:tc>
          <w:tcPr>
            <w:tcW w:w="3475" w:type="dxa"/>
          </w:tcPr>
          <w:p w:rsidR="00B2394E" w:rsidRPr="00CF3B67" w:rsidRDefault="00B2394E" w:rsidP="0051401E">
            <w:pPr>
              <w:pStyle w:val="Exampletextbullet"/>
              <w:numPr>
                <w:ilvl w:val="0"/>
                <w:numId w:val="51"/>
              </w:numPr>
              <w:spacing w:after="0" w:line="240" w:lineRule="auto"/>
              <w:ind w:left="284" w:hanging="284"/>
              <w:jc w:val="left"/>
              <w:rPr>
                <w:rFonts w:ascii="Arial" w:hAnsi="Arial" w:cs="Arial"/>
                <w:color w:val="auto"/>
              </w:rPr>
            </w:pPr>
            <w:r w:rsidRPr="00CF3B67">
              <w:rPr>
                <w:rFonts w:ascii="Arial" w:hAnsi="Arial" w:cs="Arial"/>
                <w:i w:val="0"/>
                <w:color w:val="auto"/>
              </w:rPr>
              <w:t>Provide assistance and advice to the Board in pursuit of achieving the Investment Mandate target returns as follows:</w:t>
            </w:r>
          </w:p>
          <w:p w:rsidR="00B2394E" w:rsidRPr="00CF3B67" w:rsidRDefault="00B2394E" w:rsidP="0051401E">
            <w:pPr>
              <w:pStyle w:val="Exampletextbullet"/>
              <w:numPr>
                <w:ilvl w:val="1"/>
                <w:numId w:val="51"/>
              </w:numPr>
              <w:spacing w:after="0" w:line="240" w:lineRule="auto"/>
              <w:ind w:left="567" w:hanging="283"/>
              <w:jc w:val="left"/>
              <w:rPr>
                <w:rFonts w:ascii="Arial" w:hAnsi="Arial" w:cs="Arial"/>
                <w:i w:val="0"/>
                <w:color w:val="auto"/>
              </w:rPr>
            </w:pPr>
            <w:proofErr w:type="gramStart"/>
            <w:r w:rsidRPr="00CF3B67">
              <w:rPr>
                <w:rFonts w:ascii="Arial" w:hAnsi="Arial" w:cs="Arial"/>
                <w:i w:val="0"/>
                <w:color w:val="auto"/>
              </w:rPr>
              <w:t>for</w:t>
            </w:r>
            <w:proofErr w:type="gramEnd"/>
            <w:r w:rsidRPr="00CF3B67">
              <w:rPr>
                <w:rFonts w:ascii="Arial" w:hAnsi="Arial" w:cs="Arial"/>
                <w:i w:val="0"/>
                <w:color w:val="auto"/>
              </w:rPr>
              <w:t xml:space="preserve"> each of the Nation-building Funds and the DCAF of the Australian three month bank bill swap rate plus 0.3% per annum, calculated on a rolling 12 month basis while minimising the probability of capital loss over a 12 month horizon.</w:t>
            </w:r>
          </w:p>
          <w:p w:rsidR="00B2394E" w:rsidRDefault="00B2394E" w:rsidP="00B2394E">
            <w:pPr>
              <w:pStyle w:val="Exampletextbullet"/>
              <w:numPr>
                <w:ilvl w:val="0"/>
                <w:numId w:val="0"/>
              </w:numPr>
              <w:spacing w:after="0" w:line="240" w:lineRule="auto"/>
              <w:ind w:left="567"/>
              <w:jc w:val="left"/>
              <w:rPr>
                <w:rFonts w:ascii="Arial" w:hAnsi="Arial" w:cs="Arial"/>
                <w:i w:val="0"/>
                <w:color w:val="auto"/>
              </w:rPr>
            </w:pPr>
          </w:p>
          <w:p w:rsidR="00B2394E" w:rsidRPr="00CF3B67" w:rsidRDefault="00B2394E" w:rsidP="00B2394E">
            <w:pPr>
              <w:pStyle w:val="Exampletextbullet"/>
              <w:numPr>
                <w:ilvl w:val="0"/>
                <w:numId w:val="0"/>
              </w:numPr>
              <w:spacing w:after="0" w:line="240" w:lineRule="auto"/>
              <w:ind w:left="567"/>
              <w:jc w:val="left"/>
              <w:rPr>
                <w:rFonts w:ascii="Arial" w:hAnsi="Arial" w:cs="Arial"/>
                <w:i w:val="0"/>
                <w:color w:val="auto"/>
              </w:rPr>
            </w:pPr>
          </w:p>
          <w:p w:rsidR="00B2394E" w:rsidRPr="00CF3B67" w:rsidRDefault="00B2394E" w:rsidP="0051401E">
            <w:pPr>
              <w:pStyle w:val="Exampletextbullet"/>
              <w:numPr>
                <w:ilvl w:val="1"/>
                <w:numId w:val="51"/>
              </w:numPr>
              <w:spacing w:after="0" w:line="240" w:lineRule="auto"/>
              <w:ind w:left="567" w:hanging="283"/>
              <w:jc w:val="left"/>
              <w:rPr>
                <w:rFonts w:ascii="Arial" w:hAnsi="Arial" w:cs="Arial"/>
                <w:i w:val="0"/>
                <w:color w:val="auto"/>
              </w:rPr>
            </w:pPr>
            <w:r w:rsidRPr="00CF3B67">
              <w:rPr>
                <w:rFonts w:ascii="Arial" w:hAnsi="Arial" w:cs="Arial"/>
                <w:i w:val="0"/>
                <w:color w:val="auto"/>
              </w:rPr>
              <w:t>for the MRFF the Reserve Bank of Australia Cash Rate target +1.5 to 2.0 per cent per annum, net of investment fees, over a rolling 10 year term with acceptable but not excessive risk.</w:t>
            </w:r>
          </w:p>
          <w:p w:rsidR="00B2394E" w:rsidRPr="00CF3B67" w:rsidRDefault="00B2394E" w:rsidP="00B2394E">
            <w:pPr>
              <w:pStyle w:val="Exampletextbullet"/>
              <w:numPr>
                <w:ilvl w:val="0"/>
                <w:numId w:val="0"/>
              </w:numPr>
              <w:spacing w:after="0" w:line="240" w:lineRule="auto"/>
              <w:jc w:val="left"/>
              <w:rPr>
                <w:rFonts w:ascii="Arial" w:hAnsi="Arial" w:cs="Arial"/>
                <w:i w:val="0"/>
                <w:color w:val="auto"/>
              </w:rPr>
            </w:pPr>
          </w:p>
        </w:tc>
        <w:tc>
          <w:tcPr>
            <w:tcW w:w="2479" w:type="dxa"/>
          </w:tcPr>
          <w:p w:rsidR="00B2394E" w:rsidRPr="00CF3B67" w:rsidRDefault="00B2394E" w:rsidP="0051401E">
            <w:pPr>
              <w:pStyle w:val="Exampletextbullet"/>
              <w:numPr>
                <w:ilvl w:val="0"/>
                <w:numId w:val="51"/>
              </w:numPr>
              <w:spacing w:after="0" w:line="240" w:lineRule="auto"/>
              <w:ind w:left="284" w:hanging="284"/>
              <w:jc w:val="left"/>
              <w:rPr>
                <w:rFonts w:ascii="Arial" w:hAnsi="Arial" w:cs="Arial"/>
              </w:rPr>
            </w:pPr>
            <w:r w:rsidRPr="0051401E">
              <w:rPr>
                <w:rFonts w:ascii="Arial" w:hAnsi="Arial" w:cs="Arial"/>
                <w:i w:val="0"/>
                <w:color w:val="auto"/>
              </w:rPr>
              <w:t>As at 31 March 2016 actual returns:</w:t>
            </w:r>
          </w:p>
          <w:p w:rsidR="00B2394E" w:rsidRPr="00CF3B67" w:rsidRDefault="00B2394E" w:rsidP="00B2394E">
            <w:pPr>
              <w:tabs>
                <w:tab w:val="left" w:pos="709"/>
              </w:tabs>
              <w:spacing w:after="0" w:line="240" w:lineRule="auto"/>
              <w:rPr>
                <w:rFonts w:ascii="Arial" w:hAnsi="Arial" w:cs="Arial"/>
              </w:rPr>
            </w:pPr>
          </w:p>
          <w:p w:rsidR="00B2394E" w:rsidRPr="00CF3B67" w:rsidRDefault="00B2394E" w:rsidP="00B2394E">
            <w:pPr>
              <w:pStyle w:val="ListParagraph"/>
              <w:tabs>
                <w:tab w:val="left" w:pos="709"/>
              </w:tabs>
              <w:spacing w:after="0" w:line="240" w:lineRule="auto"/>
              <w:ind w:left="211"/>
              <w:rPr>
                <w:rFonts w:ascii="Arial" w:hAnsi="Arial" w:cs="Arial"/>
                <w:sz w:val="16"/>
                <w:szCs w:val="16"/>
              </w:rPr>
            </w:pPr>
          </w:p>
          <w:p w:rsidR="00B2394E" w:rsidRPr="00CF3B67" w:rsidRDefault="00B2394E" w:rsidP="0051401E">
            <w:pPr>
              <w:pStyle w:val="Exampletextbullet"/>
              <w:numPr>
                <w:ilvl w:val="1"/>
                <w:numId w:val="51"/>
              </w:numPr>
              <w:spacing w:after="0" w:line="240" w:lineRule="auto"/>
              <w:ind w:left="567" w:hanging="283"/>
              <w:jc w:val="left"/>
              <w:rPr>
                <w:rFonts w:ascii="Arial" w:hAnsi="Arial" w:cs="Arial"/>
                <w:i w:val="0"/>
                <w:color w:val="auto"/>
              </w:rPr>
            </w:pPr>
            <w:r w:rsidRPr="00CF3B67">
              <w:rPr>
                <w:rFonts w:ascii="Arial" w:hAnsi="Arial" w:cs="Arial"/>
                <w:i w:val="0"/>
                <w:color w:val="auto"/>
              </w:rPr>
              <w:t>BAF 2.5%.</w:t>
            </w:r>
          </w:p>
          <w:p w:rsidR="00B2394E" w:rsidRPr="00CF3B67" w:rsidRDefault="00B2394E" w:rsidP="0051401E">
            <w:pPr>
              <w:pStyle w:val="Exampletextbullet"/>
              <w:numPr>
                <w:ilvl w:val="0"/>
                <w:numId w:val="0"/>
              </w:numPr>
              <w:spacing w:after="0" w:line="240" w:lineRule="auto"/>
              <w:ind w:left="567"/>
              <w:jc w:val="left"/>
              <w:rPr>
                <w:rFonts w:ascii="Arial" w:hAnsi="Arial" w:cs="Arial"/>
                <w:i w:val="0"/>
                <w:color w:val="auto"/>
              </w:rPr>
            </w:pPr>
          </w:p>
          <w:p w:rsidR="00B2394E" w:rsidRPr="00CF3B67" w:rsidRDefault="00B2394E" w:rsidP="0051401E">
            <w:pPr>
              <w:pStyle w:val="Exampletextbullet"/>
              <w:numPr>
                <w:ilvl w:val="1"/>
                <w:numId w:val="51"/>
              </w:numPr>
              <w:spacing w:after="0" w:line="240" w:lineRule="auto"/>
              <w:ind w:left="567" w:hanging="283"/>
              <w:jc w:val="left"/>
              <w:rPr>
                <w:rFonts w:ascii="Arial" w:hAnsi="Arial" w:cs="Arial"/>
                <w:i w:val="0"/>
                <w:color w:val="auto"/>
              </w:rPr>
            </w:pPr>
            <w:r w:rsidRPr="00CF3B67">
              <w:rPr>
                <w:rFonts w:ascii="Arial" w:hAnsi="Arial" w:cs="Arial"/>
                <w:i w:val="0"/>
                <w:color w:val="auto"/>
              </w:rPr>
              <w:t>EIF 2.4%.</w:t>
            </w:r>
          </w:p>
          <w:p w:rsidR="00B2394E" w:rsidRPr="00CF3B67" w:rsidRDefault="00B2394E" w:rsidP="0051401E">
            <w:pPr>
              <w:pStyle w:val="Exampletextbullet"/>
              <w:numPr>
                <w:ilvl w:val="0"/>
                <w:numId w:val="0"/>
              </w:numPr>
              <w:spacing w:after="0" w:line="240" w:lineRule="auto"/>
              <w:ind w:left="567"/>
              <w:jc w:val="left"/>
              <w:rPr>
                <w:rFonts w:ascii="Arial" w:hAnsi="Arial" w:cs="Arial"/>
                <w:i w:val="0"/>
                <w:color w:val="auto"/>
              </w:rPr>
            </w:pPr>
          </w:p>
          <w:p w:rsidR="00B2394E" w:rsidRPr="00CF3B67" w:rsidRDefault="00B2394E" w:rsidP="0051401E">
            <w:pPr>
              <w:pStyle w:val="Exampletextbullet"/>
              <w:numPr>
                <w:ilvl w:val="1"/>
                <w:numId w:val="51"/>
              </w:numPr>
              <w:spacing w:after="0" w:line="240" w:lineRule="auto"/>
              <w:ind w:left="567" w:hanging="283"/>
              <w:jc w:val="left"/>
              <w:rPr>
                <w:rFonts w:ascii="Arial" w:hAnsi="Arial" w:cs="Arial"/>
                <w:i w:val="0"/>
                <w:color w:val="auto"/>
              </w:rPr>
            </w:pPr>
            <w:r w:rsidRPr="00CF3B67">
              <w:rPr>
                <w:rFonts w:ascii="Arial" w:hAnsi="Arial" w:cs="Arial"/>
                <w:i w:val="0"/>
                <w:color w:val="auto"/>
              </w:rPr>
              <w:t>DCAF</w:t>
            </w:r>
            <w:r>
              <w:rPr>
                <w:rFonts w:ascii="Arial" w:hAnsi="Arial" w:cs="Arial"/>
                <w:i w:val="0"/>
                <w:color w:val="auto"/>
              </w:rPr>
              <w:t xml:space="preserve"> </w:t>
            </w:r>
            <w:r w:rsidRPr="00CF3B67">
              <w:rPr>
                <w:rFonts w:ascii="Arial" w:hAnsi="Arial" w:cs="Arial"/>
                <w:i w:val="0"/>
                <w:color w:val="auto"/>
              </w:rPr>
              <w:t>2.4%.</w:t>
            </w:r>
          </w:p>
          <w:p w:rsidR="00B2394E" w:rsidRPr="00CF3B67" w:rsidRDefault="00B2394E" w:rsidP="0051401E">
            <w:pPr>
              <w:pStyle w:val="Exampletextbullet"/>
              <w:numPr>
                <w:ilvl w:val="0"/>
                <w:numId w:val="0"/>
              </w:numPr>
              <w:spacing w:after="0" w:line="240" w:lineRule="auto"/>
              <w:ind w:left="567"/>
              <w:jc w:val="left"/>
              <w:rPr>
                <w:rFonts w:ascii="Arial" w:hAnsi="Arial" w:cs="Arial"/>
                <w:i w:val="0"/>
                <w:color w:val="auto"/>
              </w:rPr>
            </w:pPr>
          </w:p>
          <w:p w:rsidR="00B2394E" w:rsidRPr="00CF3B67" w:rsidRDefault="00B2394E" w:rsidP="0051401E">
            <w:pPr>
              <w:pStyle w:val="Exampletextbullet"/>
              <w:numPr>
                <w:ilvl w:val="1"/>
                <w:numId w:val="51"/>
              </w:numPr>
              <w:spacing w:after="0" w:line="240" w:lineRule="auto"/>
              <w:ind w:left="567" w:hanging="283"/>
              <w:jc w:val="left"/>
              <w:rPr>
                <w:rFonts w:ascii="Arial" w:hAnsi="Arial" w:cs="Arial"/>
                <w:i w:val="0"/>
                <w:color w:val="auto"/>
              </w:rPr>
            </w:pPr>
            <w:r w:rsidRPr="00CF3B67">
              <w:rPr>
                <w:rFonts w:ascii="Arial" w:hAnsi="Arial" w:cs="Arial"/>
                <w:i w:val="0"/>
                <w:color w:val="auto"/>
              </w:rPr>
              <w:t>Target benchmark return 2.5%.</w:t>
            </w:r>
          </w:p>
          <w:p w:rsidR="00B2394E" w:rsidRPr="00CF3B67" w:rsidRDefault="00B2394E" w:rsidP="00B2394E">
            <w:pPr>
              <w:pStyle w:val="Exampletextbullet"/>
              <w:numPr>
                <w:ilvl w:val="0"/>
                <w:numId w:val="0"/>
              </w:numPr>
              <w:spacing w:after="0" w:line="240" w:lineRule="auto"/>
              <w:ind w:left="353"/>
              <w:jc w:val="left"/>
              <w:rPr>
                <w:rFonts w:ascii="Arial" w:hAnsi="Arial" w:cs="Arial"/>
                <w:color w:val="auto"/>
              </w:rPr>
            </w:pPr>
          </w:p>
          <w:p w:rsidR="00B2394E" w:rsidRPr="00CF3B67" w:rsidRDefault="00B2394E" w:rsidP="0051401E">
            <w:pPr>
              <w:pStyle w:val="ListParagraph"/>
              <w:numPr>
                <w:ilvl w:val="0"/>
                <w:numId w:val="51"/>
              </w:numPr>
              <w:tabs>
                <w:tab w:val="left" w:pos="709"/>
              </w:tabs>
              <w:spacing w:after="0" w:line="240" w:lineRule="auto"/>
              <w:ind w:left="211" w:hanging="211"/>
              <w:rPr>
                <w:rFonts w:ascii="Arial" w:hAnsi="Arial" w:cs="Arial"/>
                <w:sz w:val="16"/>
                <w:szCs w:val="16"/>
              </w:rPr>
            </w:pPr>
            <w:r w:rsidRPr="00CF3B67">
              <w:rPr>
                <w:rFonts w:ascii="Arial" w:hAnsi="Arial" w:cs="Arial"/>
                <w:sz w:val="16"/>
                <w:szCs w:val="16"/>
              </w:rPr>
              <w:t>As at 31 March 2016 the actual return was -0.5%. The target return applies from 1 December 2015.</w:t>
            </w:r>
          </w:p>
          <w:p w:rsidR="00B2394E" w:rsidRPr="00CF3B67" w:rsidRDefault="00B2394E" w:rsidP="00B2394E">
            <w:pPr>
              <w:pStyle w:val="Exampletextbullet"/>
              <w:numPr>
                <w:ilvl w:val="0"/>
                <w:numId w:val="0"/>
              </w:numPr>
              <w:spacing w:after="0" w:line="240" w:lineRule="auto"/>
              <w:jc w:val="left"/>
              <w:rPr>
                <w:rFonts w:ascii="Arial" w:hAnsi="Arial" w:cs="Arial"/>
                <w:color w:val="auto"/>
              </w:rPr>
            </w:pPr>
          </w:p>
        </w:tc>
      </w:tr>
      <w:tr w:rsidR="00B2394E" w:rsidRPr="00F71634" w:rsidTr="00B2394E">
        <w:tc>
          <w:tcPr>
            <w:tcW w:w="1701" w:type="dxa"/>
          </w:tcPr>
          <w:p w:rsidR="00B2394E" w:rsidRPr="00D90278" w:rsidRDefault="00B2394E" w:rsidP="00B2394E">
            <w:pPr>
              <w:tabs>
                <w:tab w:val="left" w:pos="709"/>
              </w:tabs>
              <w:spacing w:after="0" w:line="240" w:lineRule="auto"/>
              <w:jc w:val="left"/>
              <w:rPr>
                <w:rFonts w:ascii="Arial" w:hAnsi="Arial" w:cs="Arial"/>
              </w:rPr>
            </w:pPr>
            <w:r w:rsidRPr="006906E4">
              <w:rPr>
                <w:rFonts w:ascii="Arial" w:hAnsi="Arial" w:cs="Arial"/>
              </w:rPr>
              <w:t>2016-17</w:t>
            </w:r>
          </w:p>
        </w:tc>
        <w:tc>
          <w:tcPr>
            <w:tcW w:w="3475" w:type="dxa"/>
          </w:tcPr>
          <w:p w:rsidR="00B2394E" w:rsidRDefault="00B2394E" w:rsidP="0051401E">
            <w:pPr>
              <w:pStyle w:val="Exampletextbullet"/>
              <w:numPr>
                <w:ilvl w:val="0"/>
                <w:numId w:val="51"/>
              </w:numPr>
              <w:spacing w:after="0" w:line="240" w:lineRule="auto"/>
              <w:ind w:left="284" w:hanging="284"/>
              <w:jc w:val="left"/>
              <w:rPr>
                <w:rFonts w:ascii="Arial" w:hAnsi="Arial" w:cs="Arial"/>
                <w:i w:val="0"/>
                <w:color w:val="auto"/>
              </w:rPr>
            </w:pPr>
            <w:r w:rsidRPr="002A5B9F">
              <w:rPr>
                <w:rFonts w:ascii="Arial" w:hAnsi="Arial" w:cs="Arial"/>
                <w:i w:val="0"/>
                <w:color w:val="auto"/>
              </w:rPr>
              <w:t>Provide assistance and advice to the Board in pursuit of achieving the Investment Mandate target returns as follows:</w:t>
            </w:r>
          </w:p>
          <w:p w:rsidR="00B2394E" w:rsidRDefault="00B2394E" w:rsidP="0051401E">
            <w:pPr>
              <w:pStyle w:val="Exampletextbullet"/>
              <w:numPr>
                <w:ilvl w:val="1"/>
                <w:numId w:val="51"/>
              </w:numPr>
              <w:spacing w:after="0" w:line="240" w:lineRule="auto"/>
              <w:ind w:left="567" w:hanging="283"/>
              <w:jc w:val="left"/>
              <w:rPr>
                <w:rFonts w:ascii="Arial" w:hAnsi="Arial" w:cs="Arial"/>
                <w:i w:val="0"/>
                <w:color w:val="auto"/>
              </w:rPr>
            </w:pPr>
            <w:proofErr w:type="gramStart"/>
            <w:r w:rsidRPr="002A5B9F">
              <w:rPr>
                <w:rFonts w:ascii="Arial" w:hAnsi="Arial" w:cs="Arial"/>
                <w:i w:val="0"/>
                <w:color w:val="auto"/>
              </w:rPr>
              <w:t>for</w:t>
            </w:r>
            <w:proofErr w:type="gramEnd"/>
            <w:r w:rsidRPr="002A5B9F">
              <w:rPr>
                <w:rFonts w:ascii="Arial" w:hAnsi="Arial" w:cs="Arial"/>
                <w:i w:val="0"/>
                <w:color w:val="auto"/>
              </w:rPr>
              <w:t xml:space="preserve"> each of the Nation-building Funds and the </w:t>
            </w:r>
            <w:r>
              <w:rPr>
                <w:rFonts w:ascii="Arial" w:hAnsi="Arial" w:cs="Arial"/>
                <w:i w:val="0"/>
                <w:color w:val="auto"/>
              </w:rPr>
              <w:t>DCAF</w:t>
            </w:r>
            <w:r w:rsidRPr="002A5B9F">
              <w:rPr>
                <w:rFonts w:ascii="Arial" w:hAnsi="Arial" w:cs="Arial"/>
                <w:i w:val="0"/>
                <w:color w:val="auto"/>
              </w:rPr>
              <w:t xml:space="preserve"> of the Australian three month bank bill swap rate plus 0.3%</w:t>
            </w:r>
            <w:r w:rsidR="00447B6D">
              <w:rPr>
                <w:rFonts w:ascii="Arial" w:hAnsi="Arial" w:cs="Arial"/>
                <w:i w:val="0"/>
                <w:color w:val="auto"/>
              </w:rPr>
              <w:t> </w:t>
            </w:r>
            <w:r w:rsidRPr="002A5B9F">
              <w:rPr>
                <w:rFonts w:ascii="Arial" w:hAnsi="Arial" w:cs="Arial"/>
                <w:i w:val="0"/>
                <w:color w:val="auto"/>
              </w:rPr>
              <w:t>per annum, calculated on a rolling 12 month basis while minimising the probability of capital loss over a 12 month horizon.</w:t>
            </w:r>
          </w:p>
          <w:p w:rsidR="00B2394E" w:rsidRPr="002A5B9F" w:rsidRDefault="00B2394E" w:rsidP="0051401E">
            <w:pPr>
              <w:pStyle w:val="Exampletextbullet"/>
              <w:numPr>
                <w:ilvl w:val="0"/>
                <w:numId w:val="0"/>
              </w:numPr>
              <w:spacing w:after="0" w:line="240" w:lineRule="auto"/>
              <w:ind w:left="567"/>
              <w:jc w:val="left"/>
              <w:rPr>
                <w:rFonts w:ascii="Arial" w:hAnsi="Arial" w:cs="Arial"/>
                <w:i w:val="0"/>
                <w:color w:val="auto"/>
              </w:rPr>
            </w:pPr>
          </w:p>
          <w:p w:rsidR="00B2394E" w:rsidRDefault="00B2394E" w:rsidP="0051401E">
            <w:pPr>
              <w:pStyle w:val="Exampletextbullet"/>
              <w:numPr>
                <w:ilvl w:val="1"/>
                <w:numId w:val="51"/>
              </w:numPr>
              <w:spacing w:after="0" w:line="240" w:lineRule="auto"/>
              <w:ind w:left="567" w:hanging="283"/>
              <w:jc w:val="left"/>
              <w:rPr>
                <w:rFonts w:ascii="Arial" w:hAnsi="Arial" w:cs="Arial"/>
                <w:i w:val="0"/>
                <w:color w:val="auto"/>
              </w:rPr>
            </w:pPr>
            <w:r>
              <w:rPr>
                <w:rFonts w:ascii="Arial" w:hAnsi="Arial" w:cs="Arial"/>
                <w:i w:val="0"/>
                <w:color w:val="auto"/>
              </w:rPr>
              <w:t>f</w:t>
            </w:r>
            <w:r w:rsidRPr="002A5B9F">
              <w:rPr>
                <w:rFonts w:ascii="Arial" w:hAnsi="Arial" w:cs="Arial"/>
                <w:i w:val="0"/>
                <w:color w:val="auto"/>
              </w:rPr>
              <w:t xml:space="preserve">or the </w:t>
            </w:r>
            <w:r>
              <w:rPr>
                <w:rFonts w:ascii="Arial" w:hAnsi="Arial" w:cs="Arial"/>
                <w:i w:val="0"/>
                <w:color w:val="auto"/>
              </w:rPr>
              <w:t>MRFF</w:t>
            </w:r>
            <w:r w:rsidRPr="002A5B9F">
              <w:rPr>
                <w:rFonts w:ascii="Arial" w:hAnsi="Arial" w:cs="Arial"/>
                <w:i w:val="0"/>
                <w:color w:val="auto"/>
              </w:rPr>
              <w:t xml:space="preserve"> the Reserve Bank of Australia Cash Rate target +1.5 to 2.0 per cent per annum, net of investment fees, over a rolling 10</w:t>
            </w:r>
            <w:r w:rsidR="00447B6D">
              <w:rPr>
                <w:rFonts w:ascii="Arial" w:hAnsi="Arial" w:cs="Arial"/>
                <w:i w:val="0"/>
                <w:color w:val="auto"/>
              </w:rPr>
              <w:t> </w:t>
            </w:r>
            <w:r w:rsidRPr="002A5B9F">
              <w:rPr>
                <w:rFonts w:ascii="Arial" w:hAnsi="Arial" w:cs="Arial"/>
                <w:i w:val="0"/>
                <w:color w:val="auto"/>
              </w:rPr>
              <w:t>year term with acceptable but not excessive risk.</w:t>
            </w:r>
          </w:p>
          <w:p w:rsidR="00B2394E" w:rsidRPr="002A5B9F" w:rsidRDefault="00B2394E" w:rsidP="00B2394E">
            <w:pPr>
              <w:pStyle w:val="Exampletextbullet"/>
              <w:numPr>
                <w:ilvl w:val="0"/>
                <w:numId w:val="0"/>
              </w:numPr>
              <w:spacing w:after="0" w:line="240" w:lineRule="auto"/>
              <w:jc w:val="left"/>
              <w:rPr>
                <w:rFonts w:ascii="Arial" w:hAnsi="Arial" w:cs="Arial"/>
                <w:i w:val="0"/>
                <w:color w:val="auto"/>
              </w:rPr>
            </w:pPr>
          </w:p>
        </w:tc>
        <w:tc>
          <w:tcPr>
            <w:tcW w:w="2479" w:type="dxa"/>
          </w:tcPr>
          <w:p w:rsidR="00B2394E" w:rsidRPr="002A5B9F" w:rsidRDefault="00B2394E" w:rsidP="0051401E">
            <w:pPr>
              <w:pStyle w:val="Exampletextbullet"/>
              <w:numPr>
                <w:ilvl w:val="0"/>
                <w:numId w:val="51"/>
              </w:numPr>
              <w:spacing w:after="0" w:line="240" w:lineRule="auto"/>
              <w:ind w:left="284" w:hanging="284"/>
              <w:jc w:val="left"/>
              <w:rPr>
                <w:rFonts w:ascii="Arial" w:hAnsi="Arial" w:cs="Arial"/>
              </w:rPr>
            </w:pPr>
            <w:r w:rsidRPr="0051401E">
              <w:rPr>
                <w:rFonts w:ascii="Arial" w:hAnsi="Arial" w:cs="Arial"/>
                <w:i w:val="0"/>
                <w:color w:val="auto"/>
              </w:rPr>
              <w:t>To achieve a return above the target return and with regard to the risk parameters of the mandate.</w:t>
            </w:r>
          </w:p>
        </w:tc>
      </w:tr>
    </w:tbl>
    <w:p w:rsidR="00B2394E" w:rsidRDefault="00B2394E" w:rsidP="0074791F">
      <w:pPr>
        <w:spacing w:after="0" w:line="240" w:lineRule="auto"/>
        <w:jc w:val="left"/>
        <w:rPr>
          <w:rFonts w:ascii="Arial" w:hAnsi="Arial" w:cs="Arial"/>
        </w:rPr>
      </w:pPr>
      <w:r>
        <w:rPr>
          <w:rFonts w:ascii="Arial" w:hAnsi="Arial" w:cs="Arial"/>
        </w:rPr>
        <w:t>Table continues on next page</w:t>
      </w:r>
      <w:r>
        <w:rPr>
          <w:rFonts w:ascii="Arial" w:hAnsi="Arial" w:cs="Arial"/>
        </w:rPr>
        <w:br w:type="page"/>
      </w:r>
    </w:p>
    <w:p w:rsidR="00B2394E" w:rsidRPr="00417B4D" w:rsidRDefault="00B2394E" w:rsidP="00B2394E">
      <w:pPr>
        <w:pStyle w:val="Heading5"/>
        <w:spacing w:after="0"/>
        <w:rPr>
          <w:rFonts w:cs="Arial"/>
          <w:sz w:val="16"/>
          <w:szCs w:val="16"/>
        </w:rPr>
      </w:pPr>
      <w:r w:rsidRPr="00F71634">
        <w:lastRenderedPageBreak/>
        <w:t>Table 2.</w:t>
      </w:r>
      <w:r>
        <w:t>1</w:t>
      </w:r>
      <w:r w:rsidRPr="00F71634">
        <w:t>.</w:t>
      </w:r>
      <w:r>
        <w:t>2</w:t>
      </w:r>
      <w:r w:rsidRPr="00F71634">
        <w:t>: Pe</w:t>
      </w:r>
      <w:r>
        <w:t>rformance Criteria for Outcome 1 (Continued)</w:t>
      </w:r>
    </w:p>
    <w:tbl>
      <w:tblPr>
        <w:tblStyle w:val="TableGrid"/>
        <w:tblW w:w="0" w:type="auto"/>
        <w:tblLook w:val="04A0"/>
      </w:tblPr>
      <w:tblGrid>
        <w:gridCol w:w="1701"/>
        <w:gridCol w:w="3475"/>
        <w:gridCol w:w="2479"/>
      </w:tblGrid>
      <w:tr w:rsidR="00B2394E" w:rsidRPr="00F71634" w:rsidTr="00B2394E">
        <w:tc>
          <w:tcPr>
            <w:tcW w:w="7655" w:type="dxa"/>
            <w:gridSpan w:val="3"/>
          </w:tcPr>
          <w:p w:rsidR="00B2394E" w:rsidRPr="006906E4" w:rsidRDefault="00B2394E" w:rsidP="00B2394E">
            <w:pPr>
              <w:tabs>
                <w:tab w:val="left" w:pos="709"/>
              </w:tabs>
              <w:spacing w:after="0" w:line="240" w:lineRule="auto"/>
              <w:jc w:val="left"/>
              <w:rPr>
                <w:rFonts w:ascii="Arial" w:hAnsi="Arial" w:cs="Arial"/>
                <w:b/>
              </w:rPr>
            </w:pPr>
            <w:r w:rsidRPr="006906E4">
              <w:rPr>
                <w:rFonts w:ascii="Arial" w:hAnsi="Arial" w:cs="Arial"/>
                <w:b/>
              </w:rPr>
              <w:t>Performance information</w:t>
            </w:r>
            <w:r>
              <w:rPr>
                <w:rFonts w:ascii="Arial" w:hAnsi="Arial" w:cs="Arial"/>
                <w:b/>
              </w:rPr>
              <w:t>: Program 1.2 – Management of the Investment of the Australian Government Investment Funds</w:t>
            </w:r>
          </w:p>
        </w:tc>
      </w:tr>
      <w:tr w:rsidR="00B2394E" w:rsidRPr="00F71634" w:rsidTr="00B2394E">
        <w:tc>
          <w:tcPr>
            <w:tcW w:w="1701" w:type="dxa"/>
          </w:tcPr>
          <w:p w:rsidR="00B2394E" w:rsidRPr="006906E4" w:rsidRDefault="00B2394E" w:rsidP="00B2394E">
            <w:pPr>
              <w:tabs>
                <w:tab w:val="left" w:pos="709"/>
              </w:tabs>
              <w:spacing w:after="0" w:line="240" w:lineRule="auto"/>
              <w:jc w:val="left"/>
              <w:rPr>
                <w:rFonts w:ascii="Arial" w:hAnsi="Arial" w:cs="Arial"/>
                <w:b/>
              </w:rPr>
            </w:pPr>
            <w:r w:rsidRPr="006906E4">
              <w:rPr>
                <w:rFonts w:ascii="Arial" w:hAnsi="Arial" w:cs="Arial"/>
                <w:b/>
              </w:rPr>
              <w:t>Year</w:t>
            </w:r>
          </w:p>
        </w:tc>
        <w:tc>
          <w:tcPr>
            <w:tcW w:w="3475" w:type="dxa"/>
          </w:tcPr>
          <w:p w:rsidR="00B2394E" w:rsidRPr="006906E4" w:rsidRDefault="00B2394E" w:rsidP="00B2394E">
            <w:pPr>
              <w:tabs>
                <w:tab w:val="left" w:pos="709"/>
              </w:tabs>
              <w:spacing w:after="0" w:line="240" w:lineRule="auto"/>
              <w:jc w:val="left"/>
              <w:rPr>
                <w:rFonts w:ascii="Arial" w:hAnsi="Arial" w:cs="Arial"/>
                <w:b/>
              </w:rPr>
            </w:pPr>
            <w:r>
              <w:rPr>
                <w:rFonts w:ascii="Arial" w:hAnsi="Arial" w:cs="Arial"/>
                <w:b/>
              </w:rPr>
              <w:t>Performance C</w:t>
            </w:r>
            <w:r w:rsidRPr="006906E4">
              <w:rPr>
                <w:rFonts w:ascii="Arial" w:hAnsi="Arial" w:cs="Arial"/>
                <w:b/>
              </w:rPr>
              <w:t>riteria</w:t>
            </w:r>
          </w:p>
        </w:tc>
        <w:tc>
          <w:tcPr>
            <w:tcW w:w="2479" w:type="dxa"/>
          </w:tcPr>
          <w:p w:rsidR="00B2394E" w:rsidRPr="006906E4" w:rsidRDefault="00B2394E" w:rsidP="00B2394E">
            <w:pPr>
              <w:tabs>
                <w:tab w:val="left" w:pos="709"/>
              </w:tabs>
              <w:spacing w:after="0" w:line="240" w:lineRule="auto"/>
              <w:jc w:val="left"/>
              <w:rPr>
                <w:rFonts w:ascii="Arial" w:hAnsi="Arial" w:cs="Arial"/>
                <w:b/>
              </w:rPr>
            </w:pPr>
            <w:r w:rsidRPr="006906E4">
              <w:rPr>
                <w:rFonts w:ascii="Arial" w:hAnsi="Arial" w:cs="Arial"/>
                <w:b/>
              </w:rPr>
              <w:t>Targets</w:t>
            </w:r>
          </w:p>
        </w:tc>
      </w:tr>
      <w:tr w:rsidR="00B2394E" w:rsidRPr="00A71380" w:rsidTr="00B2394E">
        <w:tc>
          <w:tcPr>
            <w:tcW w:w="1701" w:type="dxa"/>
          </w:tcPr>
          <w:p w:rsidR="00B2394E" w:rsidRPr="006906E4" w:rsidRDefault="00B2394E" w:rsidP="00B2394E">
            <w:pPr>
              <w:tabs>
                <w:tab w:val="left" w:pos="709"/>
              </w:tabs>
              <w:spacing w:after="0" w:line="240" w:lineRule="auto"/>
              <w:jc w:val="left"/>
              <w:rPr>
                <w:rFonts w:ascii="Arial" w:hAnsi="Arial" w:cs="Arial"/>
              </w:rPr>
            </w:pPr>
            <w:r w:rsidRPr="006906E4">
              <w:rPr>
                <w:rFonts w:ascii="Arial" w:hAnsi="Arial" w:cs="Arial"/>
              </w:rPr>
              <w:t>2017-18 and beyond</w:t>
            </w:r>
          </w:p>
        </w:tc>
        <w:tc>
          <w:tcPr>
            <w:tcW w:w="3475" w:type="dxa"/>
          </w:tcPr>
          <w:p w:rsidR="00B2394E" w:rsidRPr="009346F5" w:rsidRDefault="00B2394E" w:rsidP="0051401E">
            <w:pPr>
              <w:pStyle w:val="Exampletextbullet"/>
              <w:numPr>
                <w:ilvl w:val="0"/>
                <w:numId w:val="51"/>
              </w:numPr>
              <w:spacing w:after="0" w:line="240" w:lineRule="auto"/>
              <w:ind w:left="357" w:hanging="357"/>
              <w:jc w:val="left"/>
              <w:rPr>
                <w:rFonts w:ascii="Arial" w:hAnsi="Arial" w:cs="Arial"/>
                <w:i w:val="0"/>
                <w:color w:val="auto"/>
              </w:rPr>
            </w:pPr>
            <w:r w:rsidRPr="00C77B3F">
              <w:rPr>
                <w:rFonts w:ascii="Arial" w:hAnsi="Arial" w:cs="Arial"/>
                <w:i w:val="0"/>
                <w:color w:val="auto"/>
              </w:rPr>
              <w:t>Provide assistance and advice to the Board in pursuit of achieving the Investment Mandate target returns as follows:</w:t>
            </w:r>
          </w:p>
          <w:p w:rsidR="00B2394E" w:rsidRDefault="00B2394E" w:rsidP="0051401E">
            <w:pPr>
              <w:pStyle w:val="Exampletextbullet"/>
              <w:numPr>
                <w:ilvl w:val="1"/>
                <w:numId w:val="51"/>
              </w:numPr>
              <w:spacing w:after="0" w:line="240" w:lineRule="auto"/>
              <w:ind w:left="567" w:hanging="196"/>
              <w:jc w:val="left"/>
              <w:rPr>
                <w:rFonts w:ascii="Arial" w:hAnsi="Arial" w:cs="Arial"/>
                <w:i w:val="0"/>
                <w:color w:val="auto"/>
              </w:rPr>
            </w:pPr>
            <w:proofErr w:type="gramStart"/>
            <w:r w:rsidRPr="00B7600D">
              <w:rPr>
                <w:rFonts w:ascii="Arial" w:hAnsi="Arial" w:cs="Arial"/>
                <w:i w:val="0"/>
                <w:color w:val="auto"/>
              </w:rPr>
              <w:t>for</w:t>
            </w:r>
            <w:proofErr w:type="gramEnd"/>
            <w:r w:rsidRPr="00B7600D">
              <w:rPr>
                <w:rFonts w:ascii="Arial" w:hAnsi="Arial" w:cs="Arial"/>
                <w:i w:val="0"/>
                <w:color w:val="auto"/>
              </w:rPr>
              <w:t xml:space="preserve"> each of the Nation-building Funds and </w:t>
            </w:r>
            <w:r>
              <w:rPr>
                <w:rFonts w:ascii="Arial" w:hAnsi="Arial" w:cs="Arial"/>
                <w:i w:val="0"/>
                <w:color w:val="auto"/>
              </w:rPr>
              <w:t>the DCAF</w:t>
            </w:r>
            <w:r w:rsidRPr="00B7600D">
              <w:rPr>
                <w:rFonts w:ascii="Arial" w:hAnsi="Arial" w:cs="Arial"/>
                <w:i w:val="0"/>
                <w:color w:val="auto"/>
              </w:rPr>
              <w:t xml:space="preserve"> of the Australian three month bank bill swap rate plus 0.3%</w:t>
            </w:r>
            <w:r w:rsidR="00447B6D">
              <w:rPr>
                <w:rFonts w:ascii="Arial" w:hAnsi="Arial" w:cs="Arial"/>
                <w:i w:val="0"/>
                <w:color w:val="auto"/>
              </w:rPr>
              <w:t> </w:t>
            </w:r>
            <w:r w:rsidRPr="00B7600D">
              <w:rPr>
                <w:rFonts w:ascii="Arial" w:hAnsi="Arial" w:cs="Arial"/>
                <w:i w:val="0"/>
                <w:color w:val="auto"/>
              </w:rPr>
              <w:t>per annum, calculated on a rolling 12 month basis while minimising the probability of capital loss over a 12 month horizon.</w:t>
            </w:r>
          </w:p>
          <w:p w:rsidR="00B2394E" w:rsidRPr="00B872D6" w:rsidRDefault="00B2394E" w:rsidP="00B2394E">
            <w:pPr>
              <w:pStyle w:val="Exampletextbullet"/>
              <w:numPr>
                <w:ilvl w:val="0"/>
                <w:numId w:val="0"/>
              </w:numPr>
              <w:spacing w:after="0" w:line="240" w:lineRule="auto"/>
              <w:ind w:left="371"/>
              <w:jc w:val="left"/>
              <w:rPr>
                <w:rFonts w:ascii="Arial" w:hAnsi="Arial" w:cs="Arial"/>
                <w:i w:val="0"/>
                <w:color w:val="auto"/>
              </w:rPr>
            </w:pPr>
          </w:p>
          <w:p w:rsidR="00B2394E" w:rsidRDefault="00B2394E" w:rsidP="0051401E">
            <w:pPr>
              <w:pStyle w:val="Exampletextbullet"/>
              <w:numPr>
                <w:ilvl w:val="1"/>
                <w:numId w:val="51"/>
              </w:numPr>
              <w:spacing w:after="0" w:line="240" w:lineRule="auto"/>
              <w:ind w:left="567" w:hanging="196"/>
              <w:jc w:val="left"/>
              <w:rPr>
                <w:rFonts w:ascii="Arial" w:hAnsi="Arial" w:cs="Arial"/>
                <w:i w:val="0"/>
                <w:color w:val="auto"/>
              </w:rPr>
            </w:pPr>
            <w:r>
              <w:rPr>
                <w:rFonts w:ascii="Arial" w:hAnsi="Arial" w:cs="Arial"/>
                <w:i w:val="0"/>
                <w:color w:val="auto"/>
              </w:rPr>
              <w:t>f</w:t>
            </w:r>
            <w:r w:rsidRPr="00B7600D">
              <w:rPr>
                <w:rFonts w:ascii="Arial" w:hAnsi="Arial" w:cs="Arial"/>
                <w:i w:val="0"/>
                <w:color w:val="auto"/>
              </w:rPr>
              <w:t xml:space="preserve">or </w:t>
            </w:r>
            <w:r>
              <w:rPr>
                <w:rFonts w:ascii="Arial" w:hAnsi="Arial" w:cs="Arial"/>
                <w:i w:val="0"/>
                <w:color w:val="auto"/>
              </w:rPr>
              <w:t>the MRFF</w:t>
            </w:r>
            <w:r w:rsidRPr="00B7600D">
              <w:rPr>
                <w:rFonts w:ascii="Arial" w:hAnsi="Arial" w:cs="Arial"/>
                <w:i w:val="0"/>
                <w:color w:val="auto"/>
              </w:rPr>
              <w:t xml:space="preserve"> the Reserve Bank of Australia Cash Rate target +1.5 to 2.0 per cent per annum, net of investment fees, over a rolling 10</w:t>
            </w:r>
            <w:r w:rsidR="00447B6D">
              <w:rPr>
                <w:rFonts w:ascii="Arial" w:hAnsi="Arial" w:cs="Arial"/>
                <w:i w:val="0"/>
                <w:color w:val="auto"/>
              </w:rPr>
              <w:t> </w:t>
            </w:r>
            <w:r w:rsidRPr="00B7600D">
              <w:rPr>
                <w:rFonts w:ascii="Arial" w:hAnsi="Arial" w:cs="Arial"/>
                <w:i w:val="0"/>
                <w:color w:val="auto"/>
              </w:rPr>
              <w:t>year term with acceptable but not excessive risk.</w:t>
            </w:r>
          </w:p>
          <w:p w:rsidR="00B2394E" w:rsidRPr="00B7600D" w:rsidRDefault="00B2394E" w:rsidP="00B2394E">
            <w:pPr>
              <w:pStyle w:val="Exampletextbullet"/>
              <w:numPr>
                <w:ilvl w:val="0"/>
                <w:numId w:val="0"/>
              </w:numPr>
              <w:spacing w:after="0" w:line="240" w:lineRule="auto"/>
              <w:ind w:left="371"/>
              <w:jc w:val="left"/>
              <w:rPr>
                <w:rFonts w:ascii="Arial" w:hAnsi="Arial" w:cs="Arial"/>
                <w:i w:val="0"/>
                <w:color w:val="auto"/>
              </w:rPr>
            </w:pPr>
          </w:p>
        </w:tc>
        <w:tc>
          <w:tcPr>
            <w:tcW w:w="2479" w:type="dxa"/>
          </w:tcPr>
          <w:p w:rsidR="00B2394E" w:rsidRPr="00A71380" w:rsidRDefault="00B2394E" w:rsidP="0051401E">
            <w:pPr>
              <w:pStyle w:val="ListParagraph"/>
              <w:numPr>
                <w:ilvl w:val="0"/>
                <w:numId w:val="51"/>
              </w:numPr>
              <w:tabs>
                <w:tab w:val="left" w:pos="709"/>
              </w:tabs>
              <w:spacing w:after="0" w:line="240" w:lineRule="auto"/>
              <w:ind w:left="211" w:hanging="211"/>
              <w:rPr>
                <w:rFonts w:ascii="Arial" w:hAnsi="Arial" w:cs="Arial"/>
                <w:i/>
                <w:sz w:val="16"/>
                <w:szCs w:val="16"/>
              </w:rPr>
            </w:pPr>
            <w:r w:rsidRPr="00A71380">
              <w:rPr>
                <w:rFonts w:ascii="Arial" w:hAnsi="Arial" w:cs="Arial"/>
                <w:sz w:val="16"/>
                <w:szCs w:val="16"/>
              </w:rPr>
              <w:t>To achieve a return above the target return and with regard to the risk parameters of the mandate.</w:t>
            </w:r>
          </w:p>
        </w:tc>
      </w:tr>
    </w:tbl>
    <w:p w:rsidR="00B2394E" w:rsidRPr="00BE6D85" w:rsidRDefault="00B2394E" w:rsidP="00B2394E">
      <w:pPr>
        <w:pStyle w:val="Heading2"/>
      </w:pPr>
      <w:r w:rsidRPr="00C3303C">
        <w:rPr>
          <w:rFonts w:ascii="Book Antiqua" w:hAnsi="Book Antiqua"/>
          <w:i/>
          <w:color w:val="FF0000"/>
          <w:sz w:val="20"/>
        </w:rPr>
        <w:br w:type="page"/>
      </w:r>
      <w:r w:rsidRPr="00BE6D85">
        <w:lastRenderedPageBreak/>
        <w:t xml:space="preserve">Section 3: Budgeted </w:t>
      </w:r>
      <w:r>
        <w:t>F</w:t>
      </w:r>
      <w:r w:rsidRPr="00BE6D85">
        <w:t xml:space="preserve">inancial </w:t>
      </w:r>
      <w:r>
        <w:t>S</w:t>
      </w:r>
      <w:r w:rsidRPr="00BE6D85">
        <w:t>tatements</w:t>
      </w:r>
    </w:p>
    <w:p w:rsidR="00B2394E" w:rsidRPr="00BE1C0C" w:rsidRDefault="00B2394E" w:rsidP="0051401E">
      <w:pPr>
        <w:spacing w:after="0" w:line="240" w:lineRule="auto"/>
        <w:jc w:val="left"/>
        <w:rPr>
          <w:rFonts w:ascii="Book Antiqua" w:hAnsi="Book Antiqua"/>
          <w:sz w:val="20"/>
          <w:szCs w:val="20"/>
        </w:rPr>
      </w:pPr>
      <w:r w:rsidRPr="00BE1C0C">
        <w:rPr>
          <w:rFonts w:ascii="Book Antiqua" w:hAnsi="Book Antiqua"/>
          <w:sz w:val="20"/>
          <w:szCs w:val="20"/>
        </w:rPr>
        <w:t xml:space="preserve">Section 3 presents budgeted financial statements which provide a comprehensive snapshot of entity finances for the 2016-17 </w:t>
      </w:r>
      <w:r w:rsidR="0051401E">
        <w:rPr>
          <w:rFonts w:ascii="Book Antiqua" w:hAnsi="Book Antiqua"/>
          <w:sz w:val="20"/>
          <w:szCs w:val="20"/>
        </w:rPr>
        <w:t>B</w:t>
      </w:r>
      <w:r w:rsidRPr="00BE1C0C">
        <w:rPr>
          <w:rFonts w:ascii="Book Antiqua" w:hAnsi="Book Antiqua"/>
          <w:sz w:val="20"/>
          <w:szCs w:val="20"/>
        </w:rPr>
        <w:t xml:space="preserve">udget </w:t>
      </w:r>
      <w:r w:rsidR="0051401E">
        <w:rPr>
          <w:rFonts w:ascii="Book Antiqua" w:hAnsi="Book Antiqua"/>
          <w:sz w:val="20"/>
          <w:szCs w:val="20"/>
        </w:rPr>
        <w:t>Y</w:t>
      </w:r>
      <w:r w:rsidRPr="00BE1C0C">
        <w:rPr>
          <w:rFonts w:ascii="Book Antiqua" w:hAnsi="Book Antiqua"/>
          <w:sz w:val="20"/>
          <w:szCs w:val="20"/>
        </w:rPr>
        <w:t xml:space="preserve">ear, including the impact of </w:t>
      </w:r>
      <w:r w:rsidR="0051401E">
        <w:rPr>
          <w:rFonts w:ascii="Book Antiqua" w:hAnsi="Book Antiqua"/>
          <w:sz w:val="20"/>
          <w:szCs w:val="20"/>
        </w:rPr>
        <w:t>B</w:t>
      </w:r>
      <w:r w:rsidRPr="00BE1C0C">
        <w:rPr>
          <w:rFonts w:ascii="Book Antiqua" w:hAnsi="Book Antiqua"/>
          <w:sz w:val="20"/>
          <w:szCs w:val="20"/>
        </w:rPr>
        <w:t>udget measures and resourcing on financial statements.</w:t>
      </w:r>
    </w:p>
    <w:p w:rsidR="00B2394E" w:rsidRDefault="00B2394E" w:rsidP="0051401E">
      <w:pPr>
        <w:spacing w:after="0" w:line="240" w:lineRule="auto"/>
        <w:jc w:val="left"/>
      </w:pPr>
    </w:p>
    <w:p w:rsidR="00B2394E" w:rsidRPr="00D1001C" w:rsidRDefault="00B2394E" w:rsidP="0051401E">
      <w:pPr>
        <w:pStyle w:val="Heading3"/>
        <w:spacing w:before="0" w:after="0"/>
      </w:pPr>
      <w:r>
        <w:t>3.1</w:t>
      </w:r>
      <w:r>
        <w:tab/>
        <w:t>Budgeted Financial Statements</w:t>
      </w:r>
    </w:p>
    <w:p w:rsidR="00B2394E" w:rsidRDefault="00B2394E" w:rsidP="0051401E">
      <w:pPr>
        <w:pStyle w:val="Heading4"/>
        <w:spacing w:before="0" w:after="0"/>
      </w:pPr>
    </w:p>
    <w:p w:rsidR="00B2394E" w:rsidRDefault="00B2394E" w:rsidP="0051401E">
      <w:pPr>
        <w:pStyle w:val="Heading4"/>
        <w:spacing w:before="0" w:after="0"/>
      </w:pPr>
      <w:r>
        <w:t>3.1.1</w:t>
      </w:r>
      <w:r>
        <w:tab/>
        <w:t xml:space="preserve">Differences </w:t>
      </w:r>
      <w:proofErr w:type="gramStart"/>
      <w:r>
        <w:t>Between</w:t>
      </w:r>
      <w:proofErr w:type="gramEnd"/>
      <w:r>
        <w:t xml:space="preserve"> Entity Resourcing and Financial Statements</w:t>
      </w:r>
    </w:p>
    <w:p w:rsidR="00B2394E" w:rsidRDefault="00B2394E" w:rsidP="0051401E">
      <w:pPr>
        <w:pStyle w:val="ExampleText0"/>
        <w:spacing w:after="0" w:line="240" w:lineRule="auto"/>
        <w:rPr>
          <w:i w:val="0"/>
          <w:color w:val="auto"/>
        </w:rPr>
      </w:pPr>
    </w:p>
    <w:p w:rsidR="00B2394E" w:rsidRPr="00BE1C0C" w:rsidRDefault="00B2394E" w:rsidP="0051401E">
      <w:pPr>
        <w:pStyle w:val="ExampleText0"/>
        <w:spacing w:after="0" w:line="240" w:lineRule="auto"/>
        <w:rPr>
          <w:rFonts w:ascii="Book Antiqua" w:hAnsi="Book Antiqua"/>
          <w:i w:val="0"/>
          <w:color w:val="auto"/>
          <w:sz w:val="20"/>
          <w:szCs w:val="20"/>
        </w:rPr>
      </w:pPr>
      <w:r w:rsidRPr="00BE1C0C">
        <w:rPr>
          <w:rFonts w:ascii="Book Antiqua" w:hAnsi="Book Antiqua"/>
          <w:i w:val="0"/>
          <w:color w:val="auto"/>
          <w:sz w:val="20"/>
          <w:szCs w:val="20"/>
        </w:rPr>
        <w:t>No material differences exist between entity resourcing and the financial statements.</w:t>
      </w:r>
    </w:p>
    <w:p w:rsidR="00B2394E" w:rsidRDefault="00B2394E" w:rsidP="0051401E">
      <w:pPr>
        <w:pStyle w:val="Heading4"/>
        <w:spacing w:before="0" w:after="0"/>
      </w:pPr>
    </w:p>
    <w:p w:rsidR="00B2394E" w:rsidRDefault="00B2394E" w:rsidP="0051401E">
      <w:pPr>
        <w:pStyle w:val="Heading4"/>
        <w:spacing w:before="0" w:after="0"/>
      </w:pPr>
      <w:r>
        <w:t>3.1.2</w:t>
      </w:r>
      <w:r>
        <w:tab/>
        <w:t>Explanatory Notes and Analysis of Budgeted Financial Statements</w:t>
      </w:r>
    </w:p>
    <w:p w:rsidR="00B2394E" w:rsidRDefault="00B2394E" w:rsidP="0051401E">
      <w:pPr>
        <w:spacing w:after="0" w:line="240" w:lineRule="auto"/>
        <w:jc w:val="left"/>
      </w:pPr>
    </w:p>
    <w:p w:rsidR="00B2394E" w:rsidRPr="00BE1C0C" w:rsidRDefault="00B2394E" w:rsidP="0051401E">
      <w:pPr>
        <w:spacing w:after="0" w:line="240" w:lineRule="auto"/>
        <w:jc w:val="left"/>
        <w:rPr>
          <w:rFonts w:ascii="Book Antiqua" w:hAnsi="Book Antiqua"/>
          <w:sz w:val="20"/>
          <w:szCs w:val="20"/>
        </w:rPr>
      </w:pPr>
      <w:r w:rsidRPr="00BE1C0C">
        <w:rPr>
          <w:rFonts w:ascii="Book Antiqua" w:hAnsi="Book Antiqua"/>
          <w:sz w:val="20"/>
          <w:szCs w:val="20"/>
        </w:rPr>
        <w:t xml:space="preserve">Departmental expenditure will increase over the 2016-17 estimate year in line with maintaining and developing the FFMA’s ability to support the Board in managing the Future Fund and other Australian Government Asset Funds. </w:t>
      </w:r>
    </w:p>
    <w:p w:rsidR="00B2394E" w:rsidRPr="00BE1C0C" w:rsidRDefault="00B2394E" w:rsidP="0051401E">
      <w:pPr>
        <w:spacing w:after="0" w:line="240" w:lineRule="auto"/>
        <w:jc w:val="left"/>
        <w:rPr>
          <w:rFonts w:ascii="Book Antiqua" w:hAnsi="Book Antiqua"/>
          <w:sz w:val="20"/>
          <w:szCs w:val="20"/>
        </w:rPr>
      </w:pPr>
    </w:p>
    <w:p w:rsidR="00B2394E" w:rsidRPr="00BE1C0C" w:rsidRDefault="00B2394E" w:rsidP="0051401E">
      <w:pPr>
        <w:pStyle w:val="ExampleText0"/>
        <w:spacing w:after="0" w:line="240" w:lineRule="auto"/>
        <w:rPr>
          <w:rFonts w:ascii="Book Antiqua" w:hAnsi="Book Antiqua"/>
          <w:color w:val="auto"/>
          <w:sz w:val="20"/>
          <w:szCs w:val="20"/>
        </w:rPr>
      </w:pPr>
      <w:r w:rsidRPr="00BE1C0C">
        <w:rPr>
          <w:rFonts w:ascii="Book Antiqua" w:hAnsi="Book Antiqua"/>
          <w:i w:val="0"/>
          <w:color w:val="auto"/>
          <w:sz w:val="20"/>
          <w:szCs w:val="20"/>
        </w:rPr>
        <w:t>Administered expenditure will increase over the 2016-17 estimate year as a result of the expected growth of the portfolio and the evolution of the asset allocation in line with the Board’s investment strategy.</w:t>
      </w:r>
    </w:p>
    <w:p w:rsidR="00B2394E" w:rsidRPr="00D1001C" w:rsidRDefault="00B2394E" w:rsidP="00B2394E">
      <w:pPr>
        <w:pStyle w:val="ExampleText0"/>
        <w:spacing w:after="0" w:line="240" w:lineRule="auto"/>
        <w:rPr>
          <w:color w:val="auto"/>
        </w:rPr>
      </w:pPr>
    </w:p>
    <w:p w:rsidR="00B2394E" w:rsidRDefault="00B2394E" w:rsidP="00B2394E">
      <w:pPr>
        <w:pStyle w:val="Heading3"/>
      </w:pPr>
      <w:r>
        <w:br w:type="page"/>
      </w:r>
      <w:bookmarkStart w:id="5" w:name="_Toc444523882"/>
      <w:r>
        <w:lastRenderedPageBreak/>
        <w:t>3.2.1</w:t>
      </w:r>
      <w:r>
        <w:tab/>
        <w:t>Budgeted Financial Statements Tables</w:t>
      </w:r>
      <w:bookmarkEnd w:id="5"/>
    </w:p>
    <w:p w:rsidR="00B2394E" w:rsidRDefault="00B2394E" w:rsidP="00BE1C0C">
      <w:pPr>
        <w:pStyle w:val="Heading5"/>
        <w:spacing w:after="0"/>
        <w:rPr>
          <w:snapToGrid w:val="0"/>
        </w:rPr>
      </w:pPr>
      <w:r w:rsidRPr="00E855E0">
        <w:t>Table</w:t>
      </w:r>
      <w:r>
        <w:t xml:space="preserve"> 3.</w:t>
      </w:r>
      <w:r w:rsidRPr="00E855E0">
        <w:t>1</w:t>
      </w:r>
      <w:r>
        <w:t>:</w:t>
      </w:r>
      <w:r w:rsidRPr="00E855E0">
        <w:t xml:space="preserve"> Comprehensive </w:t>
      </w:r>
      <w:r>
        <w:t>I</w:t>
      </w:r>
      <w:r w:rsidRPr="00E855E0">
        <w:t xml:space="preserve">ncome </w:t>
      </w:r>
      <w:r>
        <w:t>S</w:t>
      </w:r>
      <w:r w:rsidRPr="00E855E0">
        <w:t>tatement (</w:t>
      </w:r>
      <w:r>
        <w:t>S</w:t>
      </w:r>
      <w:r w:rsidRPr="00E855E0">
        <w:t xml:space="preserve">howing </w:t>
      </w:r>
      <w:r>
        <w:t>N</w:t>
      </w:r>
      <w:r w:rsidRPr="00E855E0">
        <w:t xml:space="preserve">et </w:t>
      </w:r>
      <w:r>
        <w:t>C</w:t>
      </w:r>
      <w:r w:rsidRPr="00E855E0">
        <w:t xml:space="preserve">ost of </w:t>
      </w:r>
      <w:r>
        <w:t>S</w:t>
      </w:r>
      <w:r w:rsidRPr="00E855E0">
        <w:t>ervices)</w:t>
      </w:r>
      <w:r>
        <w:t xml:space="preserve"> </w:t>
      </w:r>
      <w:r>
        <w:rPr>
          <w:snapToGrid w:val="0"/>
        </w:rPr>
        <w:t>for the Period Ended 30 June</w:t>
      </w:r>
    </w:p>
    <w:tbl>
      <w:tblPr>
        <w:tblW w:w="7120" w:type="dxa"/>
        <w:tblInd w:w="96" w:type="dxa"/>
        <w:tblLook w:val="04A0"/>
      </w:tblPr>
      <w:tblGrid>
        <w:gridCol w:w="3040"/>
        <w:gridCol w:w="928"/>
        <w:gridCol w:w="800"/>
        <w:gridCol w:w="821"/>
        <w:gridCol w:w="821"/>
        <w:gridCol w:w="821"/>
      </w:tblGrid>
      <w:tr w:rsidR="00E02AC1" w:rsidRPr="00E02AC1" w:rsidTr="00E02AC1">
        <w:trPr>
          <w:trHeight w:val="900"/>
        </w:trPr>
        <w:tc>
          <w:tcPr>
            <w:tcW w:w="3040" w:type="dxa"/>
            <w:tcBorders>
              <w:top w:val="single" w:sz="4" w:space="0" w:color="auto"/>
              <w:left w:val="nil"/>
              <w:bottom w:val="nil"/>
              <w:right w:val="nil"/>
            </w:tcBorders>
            <w:shd w:val="clear" w:color="auto" w:fill="auto"/>
            <w:noWrap/>
            <w:hideMark/>
          </w:tcPr>
          <w:p w:rsidR="00E02AC1" w:rsidRPr="00E02AC1" w:rsidRDefault="00E02AC1" w:rsidP="00E02AC1">
            <w:pPr>
              <w:spacing w:after="0" w:line="240" w:lineRule="auto"/>
              <w:jc w:val="left"/>
              <w:rPr>
                <w:rFonts w:ascii="Arial" w:hAnsi="Arial" w:cs="Arial"/>
                <w:b/>
                <w:bCs/>
              </w:rPr>
            </w:pPr>
            <w:r w:rsidRPr="00E02AC1">
              <w:rPr>
                <w:rFonts w:ascii="Arial" w:hAnsi="Arial" w:cs="Arial"/>
                <w:b/>
                <w:bCs/>
              </w:rPr>
              <w:t> </w:t>
            </w:r>
          </w:p>
        </w:tc>
        <w:tc>
          <w:tcPr>
            <w:tcW w:w="820" w:type="dxa"/>
            <w:tcBorders>
              <w:top w:val="single" w:sz="4" w:space="0" w:color="auto"/>
              <w:left w:val="nil"/>
              <w:bottom w:val="single" w:sz="4" w:space="0" w:color="auto"/>
              <w:right w:val="nil"/>
            </w:tcBorders>
            <w:shd w:val="clear" w:color="auto" w:fill="auto"/>
            <w:hideMark/>
          </w:tcPr>
          <w:p w:rsidR="00E02AC1" w:rsidRPr="00E02AC1" w:rsidRDefault="00E02AC1" w:rsidP="00E02AC1">
            <w:pPr>
              <w:spacing w:after="0" w:line="240" w:lineRule="auto"/>
              <w:jc w:val="right"/>
              <w:rPr>
                <w:rFonts w:ascii="Arial" w:hAnsi="Arial" w:cs="Arial"/>
              </w:rPr>
            </w:pPr>
            <w:r w:rsidRPr="00E02AC1">
              <w:rPr>
                <w:rFonts w:ascii="Arial" w:hAnsi="Arial" w:cs="Arial"/>
              </w:rPr>
              <w:t>2015-16 Estimated actual</w:t>
            </w:r>
            <w:r w:rsidRPr="00E02AC1">
              <w:rPr>
                <w:rFonts w:ascii="Arial" w:hAnsi="Arial" w:cs="Arial"/>
              </w:rPr>
              <w:br/>
              <w:t>$'000</w:t>
            </w:r>
          </w:p>
        </w:tc>
        <w:tc>
          <w:tcPr>
            <w:tcW w:w="800" w:type="dxa"/>
            <w:tcBorders>
              <w:top w:val="single" w:sz="4" w:space="0" w:color="auto"/>
              <w:left w:val="nil"/>
              <w:bottom w:val="single" w:sz="4" w:space="0" w:color="auto"/>
              <w:right w:val="nil"/>
            </w:tcBorders>
            <w:shd w:val="clear" w:color="000000" w:fill="E6E6E6"/>
            <w:hideMark/>
          </w:tcPr>
          <w:p w:rsidR="00E02AC1" w:rsidRPr="00E02AC1" w:rsidRDefault="00E02AC1" w:rsidP="00E02AC1">
            <w:pPr>
              <w:spacing w:after="0" w:line="240" w:lineRule="auto"/>
              <w:jc w:val="right"/>
              <w:rPr>
                <w:rFonts w:ascii="Arial" w:hAnsi="Arial" w:cs="Arial"/>
              </w:rPr>
            </w:pPr>
            <w:r w:rsidRPr="00E02AC1">
              <w:rPr>
                <w:rFonts w:ascii="Arial" w:hAnsi="Arial" w:cs="Arial"/>
              </w:rPr>
              <w:t>2016-17</w:t>
            </w:r>
            <w:r w:rsidRPr="00E02AC1">
              <w:rPr>
                <w:rFonts w:ascii="Arial" w:hAnsi="Arial" w:cs="Arial"/>
              </w:rPr>
              <w:br/>
              <w:t>Budget</w:t>
            </w:r>
            <w:r w:rsidRPr="00E02AC1">
              <w:rPr>
                <w:rFonts w:ascii="Arial" w:hAnsi="Arial" w:cs="Arial"/>
              </w:rPr>
              <w:br/>
            </w:r>
            <w:r w:rsidRPr="00E02AC1">
              <w:rPr>
                <w:rFonts w:ascii="Arial" w:hAnsi="Arial" w:cs="Arial"/>
              </w:rPr>
              <w:br/>
              <w:t>$'000</w:t>
            </w:r>
          </w:p>
        </w:tc>
        <w:tc>
          <w:tcPr>
            <w:tcW w:w="820" w:type="dxa"/>
            <w:tcBorders>
              <w:top w:val="single" w:sz="4" w:space="0" w:color="auto"/>
              <w:left w:val="nil"/>
              <w:bottom w:val="single" w:sz="4" w:space="0" w:color="auto"/>
              <w:right w:val="nil"/>
            </w:tcBorders>
            <w:shd w:val="clear" w:color="auto" w:fill="auto"/>
            <w:hideMark/>
          </w:tcPr>
          <w:p w:rsidR="00E02AC1" w:rsidRPr="00E02AC1" w:rsidRDefault="00E02AC1" w:rsidP="00E02AC1">
            <w:pPr>
              <w:spacing w:after="0" w:line="240" w:lineRule="auto"/>
              <w:jc w:val="right"/>
              <w:rPr>
                <w:rFonts w:ascii="Arial" w:hAnsi="Arial" w:cs="Arial"/>
              </w:rPr>
            </w:pPr>
            <w:r w:rsidRPr="00E02AC1">
              <w:rPr>
                <w:rFonts w:ascii="Arial" w:hAnsi="Arial" w:cs="Arial"/>
              </w:rPr>
              <w:t>2017-18 Forward estimate</w:t>
            </w:r>
            <w:r w:rsidRPr="00E02AC1">
              <w:rPr>
                <w:rFonts w:ascii="Arial" w:hAnsi="Arial" w:cs="Arial"/>
              </w:rPr>
              <w:br/>
              <w:t>$'000</w:t>
            </w:r>
          </w:p>
        </w:tc>
        <w:tc>
          <w:tcPr>
            <w:tcW w:w="820" w:type="dxa"/>
            <w:tcBorders>
              <w:top w:val="single" w:sz="4" w:space="0" w:color="auto"/>
              <w:left w:val="nil"/>
              <w:bottom w:val="single" w:sz="4" w:space="0" w:color="auto"/>
              <w:right w:val="nil"/>
            </w:tcBorders>
            <w:shd w:val="clear" w:color="auto" w:fill="auto"/>
            <w:hideMark/>
          </w:tcPr>
          <w:p w:rsidR="00E02AC1" w:rsidRPr="00E02AC1" w:rsidRDefault="00E02AC1" w:rsidP="00E02AC1">
            <w:pPr>
              <w:spacing w:after="0" w:line="240" w:lineRule="auto"/>
              <w:jc w:val="right"/>
              <w:rPr>
                <w:rFonts w:ascii="Arial" w:hAnsi="Arial" w:cs="Arial"/>
              </w:rPr>
            </w:pPr>
            <w:r w:rsidRPr="00E02AC1">
              <w:rPr>
                <w:rFonts w:ascii="Arial" w:hAnsi="Arial" w:cs="Arial"/>
              </w:rPr>
              <w:t>2018-19 Forward estimate</w:t>
            </w:r>
            <w:r w:rsidRPr="00E02AC1">
              <w:rPr>
                <w:rFonts w:ascii="Arial" w:hAnsi="Arial" w:cs="Arial"/>
              </w:rPr>
              <w:br/>
              <w:t>$'000</w:t>
            </w:r>
          </w:p>
        </w:tc>
        <w:tc>
          <w:tcPr>
            <w:tcW w:w="820" w:type="dxa"/>
            <w:tcBorders>
              <w:top w:val="single" w:sz="4" w:space="0" w:color="auto"/>
              <w:left w:val="nil"/>
              <w:bottom w:val="single" w:sz="4" w:space="0" w:color="auto"/>
              <w:right w:val="nil"/>
            </w:tcBorders>
            <w:shd w:val="clear" w:color="auto" w:fill="auto"/>
            <w:hideMark/>
          </w:tcPr>
          <w:p w:rsidR="00E02AC1" w:rsidRPr="00E02AC1" w:rsidRDefault="00E02AC1" w:rsidP="00E02AC1">
            <w:pPr>
              <w:spacing w:after="0" w:line="240" w:lineRule="auto"/>
              <w:jc w:val="right"/>
              <w:rPr>
                <w:rFonts w:ascii="Arial" w:hAnsi="Arial" w:cs="Arial"/>
              </w:rPr>
            </w:pPr>
            <w:r w:rsidRPr="00E02AC1">
              <w:rPr>
                <w:rFonts w:ascii="Arial" w:hAnsi="Arial" w:cs="Arial"/>
              </w:rPr>
              <w:t>2019-20</w:t>
            </w:r>
            <w:r w:rsidRPr="00E02AC1">
              <w:rPr>
                <w:rFonts w:ascii="Arial" w:hAnsi="Arial" w:cs="Arial"/>
              </w:rPr>
              <w:br/>
              <w:t>Forward estimate</w:t>
            </w:r>
            <w:r w:rsidRPr="00E02AC1">
              <w:rPr>
                <w:rFonts w:ascii="Arial" w:hAnsi="Arial" w:cs="Arial"/>
              </w:rPr>
              <w:br/>
              <w:t>$'000</w:t>
            </w:r>
          </w:p>
        </w:tc>
      </w:tr>
      <w:tr w:rsidR="00E02AC1" w:rsidRPr="00E02AC1" w:rsidTr="00E02AC1">
        <w:trPr>
          <w:trHeight w:val="222"/>
        </w:trPr>
        <w:tc>
          <w:tcPr>
            <w:tcW w:w="3040" w:type="dxa"/>
            <w:tcBorders>
              <w:top w:val="nil"/>
              <w:left w:val="nil"/>
              <w:bottom w:val="nil"/>
              <w:right w:val="nil"/>
            </w:tcBorders>
            <w:shd w:val="clear" w:color="auto" w:fill="auto"/>
            <w:noWrap/>
            <w:hideMark/>
          </w:tcPr>
          <w:p w:rsidR="00E02AC1" w:rsidRPr="00E02AC1" w:rsidRDefault="00E02AC1" w:rsidP="00E02AC1">
            <w:pPr>
              <w:spacing w:after="0" w:line="240" w:lineRule="auto"/>
              <w:jc w:val="left"/>
              <w:rPr>
                <w:rFonts w:ascii="Arial" w:hAnsi="Arial" w:cs="Arial"/>
                <w:b/>
                <w:bCs/>
              </w:rPr>
            </w:pPr>
            <w:r w:rsidRPr="00E02AC1">
              <w:rPr>
                <w:rFonts w:ascii="Arial" w:hAnsi="Arial" w:cs="Arial"/>
                <w:b/>
                <w:bCs/>
              </w:rPr>
              <w:t>EXPENSES</w:t>
            </w:r>
          </w:p>
        </w:tc>
        <w:tc>
          <w:tcPr>
            <w:tcW w:w="820" w:type="dxa"/>
            <w:tcBorders>
              <w:top w:val="nil"/>
              <w:left w:val="nil"/>
              <w:bottom w:val="nil"/>
              <w:right w:val="nil"/>
            </w:tcBorders>
            <w:shd w:val="clear" w:color="auto" w:fill="auto"/>
            <w:noWrap/>
            <w:hideMark/>
          </w:tcPr>
          <w:p w:rsidR="00E02AC1" w:rsidRPr="00E02AC1" w:rsidRDefault="00E02AC1" w:rsidP="00E02AC1">
            <w:pPr>
              <w:spacing w:after="0" w:line="240" w:lineRule="auto"/>
              <w:jc w:val="right"/>
              <w:rPr>
                <w:rFonts w:ascii="Arial" w:hAnsi="Arial" w:cs="Arial"/>
              </w:rPr>
            </w:pPr>
          </w:p>
        </w:tc>
        <w:tc>
          <w:tcPr>
            <w:tcW w:w="800" w:type="dxa"/>
            <w:tcBorders>
              <w:top w:val="nil"/>
              <w:left w:val="nil"/>
              <w:bottom w:val="nil"/>
              <w:right w:val="nil"/>
            </w:tcBorders>
            <w:shd w:val="clear" w:color="000000" w:fill="E6E6E6"/>
            <w:noWrap/>
            <w:hideMark/>
          </w:tcPr>
          <w:p w:rsidR="00E02AC1" w:rsidRPr="00E02AC1" w:rsidRDefault="00E02AC1" w:rsidP="00E02AC1">
            <w:pPr>
              <w:spacing w:after="0" w:line="240" w:lineRule="auto"/>
              <w:jc w:val="right"/>
              <w:rPr>
                <w:rFonts w:ascii="Arial" w:hAnsi="Arial" w:cs="Arial"/>
                <w:b/>
                <w:bCs/>
              </w:rPr>
            </w:pPr>
            <w:r w:rsidRPr="00E02AC1">
              <w:rPr>
                <w:rFonts w:ascii="Arial" w:hAnsi="Arial" w:cs="Arial"/>
                <w:b/>
                <w:bCs/>
              </w:rPr>
              <w:t> </w:t>
            </w:r>
          </w:p>
        </w:tc>
        <w:tc>
          <w:tcPr>
            <w:tcW w:w="820" w:type="dxa"/>
            <w:tcBorders>
              <w:top w:val="nil"/>
              <w:left w:val="nil"/>
              <w:bottom w:val="nil"/>
              <w:right w:val="nil"/>
            </w:tcBorders>
            <w:shd w:val="clear" w:color="auto" w:fill="auto"/>
            <w:noWrap/>
            <w:hideMark/>
          </w:tcPr>
          <w:p w:rsidR="00E02AC1" w:rsidRPr="00E02AC1" w:rsidRDefault="00E02AC1" w:rsidP="00E02AC1">
            <w:pPr>
              <w:spacing w:after="0" w:line="240" w:lineRule="auto"/>
              <w:jc w:val="right"/>
              <w:rPr>
                <w:rFonts w:ascii="Arial" w:hAnsi="Arial" w:cs="Arial"/>
                <w:b/>
                <w:bCs/>
              </w:rPr>
            </w:pPr>
          </w:p>
        </w:tc>
        <w:tc>
          <w:tcPr>
            <w:tcW w:w="820" w:type="dxa"/>
            <w:tcBorders>
              <w:top w:val="nil"/>
              <w:left w:val="nil"/>
              <w:bottom w:val="nil"/>
              <w:right w:val="nil"/>
            </w:tcBorders>
            <w:shd w:val="clear" w:color="auto" w:fill="auto"/>
            <w:noWrap/>
            <w:hideMark/>
          </w:tcPr>
          <w:p w:rsidR="00E02AC1" w:rsidRPr="00E02AC1" w:rsidRDefault="00E02AC1" w:rsidP="00E02AC1">
            <w:pPr>
              <w:spacing w:after="0" w:line="240" w:lineRule="auto"/>
              <w:jc w:val="right"/>
              <w:rPr>
                <w:rFonts w:ascii="Arial" w:hAnsi="Arial" w:cs="Arial"/>
                <w:b/>
                <w:bCs/>
              </w:rPr>
            </w:pPr>
          </w:p>
        </w:tc>
        <w:tc>
          <w:tcPr>
            <w:tcW w:w="820" w:type="dxa"/>
            <w:tcBorders>
              <w:top w:val="nil"/>
              <w:left w:val="nil"/>
              <w:bottom w:val="nil"/>
              <w:right w:val="nil"/>
            </w:tcBorders>
            <w:shd w:val="clear" w:color="auto" w:fill="auto"/>
            <w:noWrap/>
            <w:hideMark/>
          </w:tcPr>
          <w:p w:rsidR="00E02AC1" w:rsidRPr="00E02AC1" w:rsidRDefault="00E02AC1" w:rsidP="00E02AC1">
            <w:pPr>
              <w:spacing w:after="0" w:line="240" w:lineRule="auto"/>
              <w:jc w:val="right"/>
              <w:rPr>
                <w:rFonts w:ascii="Arial" w:hAnsi="Arial" w:cs="Arial"/>
                <w:b/>
                <w:bCs/>
              </w:rPr>
            </w:pPr>
          </w:p>
        </w:tc>
      </w:tr>
      <w:tr w:rsidR="00E02AC1" w:rsidRPr="00E02AC1" w:rsidTr="00E02AC1">
        <w:trPr>
          <w:trHeight w:val="222"/>
        </w:trPr>
        <w:tc>
          <w:tcPr>
            <w:tcW w:w="3040" w:type="dxa"/>
            <w:tcBorders>
              <w:top w:val="nil"/>
              <w:left w:val="nil"/>
              <w:bottom w:val="nil"/>
              <w:right w:val="nil"/>
            </w:tcBorders>
            <w:shd w:val="clear" w:color="auto" w:fill="auto"/>
            <w:noWrap/>
            <w:hideMark/>
          </w:tcPr>
          <w:p w:rsidR="00E02AC1" w:rsidRPr="00E02AC1" w:rsidRDefault="00E02AC1" w:rsidP="00E02AC1">
            <w:pPr>
              <w:spacing w:after="0" w:line="240" w:lineRule="auto"/>
              <w:ind w:firstLineChars="100" w:firstLine="160"/>
              <w:jc w:val="left"/>
              <w:rPr>
                <w:rFonts w:ascii="Arial" w:hAnsi="Arial" w:cs="Arial"/>
              </w:rPr>
            </w:pPr>
            <w:r w:rsidRPr="00E02AC1">
              <w:rPr>
                <w:rFonts w:ascii="Arial" w:hAnsi="Arial" w:cs="Arial"/>
              </w:rPr>
              <w:t>Employee benefits</w:t>
            </w:r>
          </w:p>
        </w:tc>
        <w:tc>
          <w:tcPr>
            <w:tcW w:w="820" w:type="dxa"/>
            <w:tcBorders>
              <w:top w:val="nil"/>
              <w:left w:val="nil"/>
              <w:bottom w:val="nil"/>
              <w:right w:val="nil"/>
            </w:tcBorders>
            <w:shd w:val="clear" w:color="auto" w:fill="auto"/>
            <w:noWrap/>
            <w:hideMark/>
          </w:tcPr>
          <w:p w:rsidR="00E02AC1" w:rsidRPr="00E02AC1" w:rsidRDefault="00E02AC1" w:rsidP="00E02AC1">
            <w:pPr>
              <w:spacing w:after="0" w:line="240" w:lineRule="auto"/>
              <w:jc w:val="right"/>
              <w:rPr>
                <w:rFonts w:ascii="Arial" w:hAnsi="Arial" w:cs="Arial"/>
              </w:rPr>
            </w:pPr>
            <w:r w:rsidRPr="00E02AC1">
              <w:rPr>
                <w:rFonts w:ascii="Arial" w:hAnsi="Arial" w:cs="Arial"/>
              </w:rPr>
              <w:t xml:space="preserve">35,237 </w:t>
            </w:r>
          </w:p>
        </w:tc>
        <w:tc>
          <w:tcPr>
            <w:tcW w:w="800" w:type="dxa"/>
            <w:tcBorders>
              <w:top w:val="nil"/>
              <w:left w:val="nil"/>
              <w:bottom w:val="nil"/>
              <w:right w:val="nil"/>
            </w:tcBorders>
            <w:shd w:val="clear" w:color="000000" w:fill="E6E6E6"/>
            <w:noWrap/>
            <w:hideMark/>
          </w:tcPr>
          <w:p w:rsidR="00E02AC1" w:rsidRPr="00E02AC1" w:rsidRDefault="00E02AC1" w:rsidP="00E02AC1">
            <w:pPr>
              <w:spacing w:after="0" w:line="240" w:lineRule="auto"/>
              <w:jc w:val="right"/>
              <w:rPr>
                <w:rFonts w:ascii="Arial" w:hAnsi="Arial" w:cs="Arial"/>
              </w:rPr>
            </w:pPr>
            <w:r w:rsidRPr="00E02AC1">
              <w:rPr>
                <w:rFonts w:ascii="Arial" w:hAnsi="Arial" w:cs="Arial"/>
              </w:rPr>
              <w:t xml:space="preserve">40,926 </w:t>
            </w:r>
          </w:p>
        </w:tc>
        <w:tc>
          <w:tcPr>
            <w:tcW w:w="820" w:type="dxa"/>
            <w:tcBorders>
              <w:top w:val="nil"/>
              <w:left w:val="nil"/>
              <w:bottom w:val="nil"/>
              <w:right w:val="nil"/>
            </w:tcBorders>
            <w:shd w:val="clear" w:color="auto" w:fill="auto"/>
            <w:noWrap/>
            <w:hideMark/>
          </w:tcPr>
          <w:p w:rsidR="00E02AC1" w:rsidRPr="00E02AC1" w:rsidRDefault="00E02AC1" w:rsidP="00E02AC1">
            <w:pPr>
              <w:spacing w:after="0" w:line="240" w:lineRule="auto"/>
              <w:jc w:val="right"/>
              <w:rPr>
                <w:rFonts w:ascii="Arial" w:hAnsi="Arial" w:cs="Arial"/>
              </w:rPr>
            </w:pPr>
            <w:r w:rsidRPr="00E02AC1">
              <w:rPr>
                <w:rFonts w:ascii="Arial" w:hAnsi="Arial" w:cs="Arial"/>
              </w:rPr>
              <w:t xml:space="preserve">44,637 </w:t>
            </w:r>
          </w:p>
        </w:tc>
        <w:tc>
          <w:tcPr>
            <w:tcW w:w="820" w:type="dxa"/>
            <w:tcBorders>
              <w:top w:val="nil"/>
              <w:left w:val="nil"/>
              <w:bottom w:val="nil"/>
              <w:right w:val="nil"/>
            </w:tcBorders>
            <w:shd w:val="clear" w:color="auto" w:fill="auto"/>
            <w:noWrap/>
            <w:hideMark/>
          </w:tcPr>
          <w:p w:rsidR="00E02AC1" w:rsidRPr="00E02AC1" w:rsidRDefault="00E02AC1" w:rsidP="00E02AC1">
            <w:pPr>
              <w:spacing w:after="0" w:line="240" w:lineRule="auto"/>
              <w:jc w:val="right"/>
              <w:rPr>
                <w:rFonts w:ascii="Arial" w:hAnsi="Arial" w:cs="Arial"/>
              </w:rPr>
            </w:pPr>
            <w:r w:rsidRPr="00E02AC1">
              <w:rPr>
                <w:rFonts w:ascii="Arial" w:hAnsi="Arial" w:cs="Arial"/>
              </w:rPr>
              <w:t xml:space="preserve">46,408 </w:t>
            </w:r>
          </w:p>
        </w:tc>
        <w:tc>
          <w:tcPr>
            <w:tcW w:w="820" w:type="dxa"/>
            <w:tcBorders>
              <w:top w:val="nil"/>
              <w:left w:val="nil"/>
              <w:bottom w:val="nil"/>
              <w:right w:val="nil"/>
            </w:tcBorders>
            <w:shd w:val="clear" w:color="auto" w:fill="auto"/>
            <w:noWrap/>
            <w:hideMark/>
          </w:tcPr>
          <w:p w:rsidR="00E02AC1" w:rsidRPr="00E02AC1" w:rsidRDefault="00E02AC1" w:rsidP="00E02AC1">
            <w:pPr>
              <w:spacing w:after="0" w:line="240" w:lineRule="auto"/>
              <w:jc w:val="right"/>
              <w:rPr>
                <w:rFonts w:ascii="Arial" w:hAnsi="Arial" w:cs="Arial"/>
              </w:rPr>
            </w:pPr>
            <w:r w:rsidRPr="00E02AC1">
              <w:rPr>
                <w:rFonts w:ascii="Arial" w:hAnsi="Arial" w:cs="Arial"/>
              </w:rPr>
              <w:t xml:space="preserve">48,275 </w:t>
            </w:r>
          </w:p>
        </w:tc>
      </w:tr>
      <w:tr w:rsidR="00E02AC1" w:rsidRPr="00E02AC1" w:rsidTr="00E02AC1">
        <w:trPr>
          <w:trHeight w:val="222"/>
        </w:trPr>
        <w:tc>
          <w:tcPr>
            <w:tcW w:w="3040" w:type="dxa"/>
            <w:tcBorders>
              <w:top w:val="nil"/>
              <w:left w:val="nil"/>
              <w:bottom w:val="nil"/>
              <w:right w:val="nil"/>
            </w:tcBorders>
            <w:shd w:val="clear" w:color="auto" w:fill="auto"/>
            <w:noWrap/>
            <w:hideMark/>
          </w:tcPr>
          <w:p w:rsidR="00E02AC1" w:rsidRPr="00E02AC1" w:rsidRDefault="00E02AC1" w:rsidP="00E02AC1">
            <w:pPr>
              <w:spacing w:after="0" w:line="240" w:lineRule="auto"/>
              <w:ind w:firstLineChars="100" w:firstLine="160"/>
              <w:jc w:val="left"/>
              <w:rPr>
                <w:rFonts w:ascii="Arial" w:hAnsi="Arial" w:cs="Arial"/>
              </w:rPr>
            </w:pPr>
            <w:r w:rsidRPr="00E02AC1">
              <w:rPr>
                <w:rFonts w:ascii="Arial" w:hAnsi="Arial" w:cs="Arial"/>
              </w:rPr>
              <w:t>Suppliers</w:t>
            </w:r>
          </w:p>
        </w:tc>
        <w:tc>
          <w:tcPr>
            <w:tcW w:w="820" w:type="dxa"/>
            <w:tcBorders>
              <w:top w:val="nil"/>
              <w:left w:val="nil"/>
              <w:bottom w:val="nil"/>
              <w:right w:val="nil"/>
            </w:tcBorders>
            <w:shd w:val="clear" w:color="auto" w:fill="auto"/>
            <w:noWrap/>
            <w:hideMark/>
          </w:tcPr>
          <w:p w:rsidR="00E02AC1" w:rsidRPr="00E02AC1" w:rsidRDefault="00E02AC1" w:rsidP="00E02AC1">
            <w:pPr>
              <w:spacing w:after="0" w:line="240" w:lineRule="auto"/>
              <w:jc w:val="right"/>
              <w:rPr>
                <w:rFonts w:ascii="Arial" w:hAnsi="Arial" w:cs="Arial"/>
              </w:rPr>
            </w:pPr>
            <w:r w:rsidRPr="00E02AC1">
              <w:rPr>
                <w:rFonts w:ascii="Arial" w:hAnsi="Arial" w:cs="Arial"/>
              </w:rPr>
              <w:t xml:space="preserve">13,307 </w:t>
            </w:r>
          </w:p>
        </w:tc>
        <w:tc>
          <w:tcPr>
            <w:tcW w:w="800" w:type="dxa"/>
            <w:tcBorders>
              <w:top w:val="nil"/>
              <w:left w:val="nil"/>
              <w:bottom w:val="nil"/>
              <w:right w:val="nil"/>
            </w:tcBorders>
            <w:shd w:val="clear" w:color="000000" w:fill="E6E6E6"/>
            <w:noWrap/>
            <w:hideMark/>
          </w:tcPr>
          <w:p w:rsidR="00E02AC1" w:rsidRPr="00E02AC1" w:rsidRDefault="00E02AC1" w:rsidP="00E02AC1">
            <w:pPr>
              <w:spacing w:after="0" w:line="240" w:lineRule="auto"/>
              <w:jc w:val="right"/>
              <w:rPr>
                <w:rFonts w:ascii="Arial" w:hAnsi="Arial" w:cs="Arial"/>
              </w:rPr>
            </w:pPr>
            <w:r w:rsidRPr="00E02AC1">
              <w:rPr>
                <w:rFonts w:ascii="Arial" w:hAnsi="Arial" w:cs="Arial"/>
              </w:rPr>
              <w:t xml:space="preserve">19,688 </w:t>
            </w:r>
          </w:p>
        </w:tc>
        <w:tc>
          <w:tcPr>
            <w:tcW w:w="820" w:type="dxa"/>
            <w:tcBorders>
              <w:top w:val="nil"/>
              <w:left w:val="nil"/>
              <w:bottom w:val="nil"/>
              <w:right w:val="nil"/>
            </w:tcBorders>
            <w:shd w:val="clear" w:color="auto" w:fill="auto"/>
            <w:noWrap/>
            <w:hideMark/>
          </w:tcPr>
          <w:p w:rsidR="00E02AC1" w:rsidRPr="00E02AC1" w:rsidRDefault="00E02AC1" w:rsidP="00E02AC1">
            <w:pPr>
              <w:spacing w:after="0" w:line="240" w:lineRule="auto"/>
              <w:jc w:val="right"/>
              <w:rPr>
                <w:rFonts w:ascii="Arial" w:hAnsi="Arial" w:cs="Arial"/>
              </w:rPr>
            </w:pPr>
            <w:r w:rsidRPr="00E02AC1">
              <w:rPr>
                <w:rFonts w:ascii="Arial" w:hAnsi="Arial" w:cs="Arial"/>
              </w:rPr>
              <w:t xml:space="preserve">20,438 </w:t>
            </w:r>
          </w:p>
        </w:tc>
        <w:tc>
          <w:tcPr>
            <w:tcW w:w="820" w:type="dxa"/>
            <w:tcBorders>
              <w:top w:val="nil"/>
              <w:left w:val="nil"/>
              <w:bottom w:val="nil"/>
              <w:right w:val="nil"/>
            </w:tcBorders>
            <w:shd w:val="clear" w:color="auto" w:fill="auto"/>
            <w:noWrap/>
            <w:hideMark/>
          </w:tcPr>
          <w:p w:rsidR="00E02AC1" w:rsidRPr="00E02AC1" w:rsidRDefault="00E02AC1" w:rsidP="00E02AC1">
            <w:pPr>
              <w:spacing w:after="0" w:line="240" w:lineRule="auto"/>
              <w:jc w:val="right"/>
              <w:rPr>
                <w:rFonts w:ascii="Arial" w:hAnsi="Arial" w:cs="Arial"/>
              </w:rPr>
            </w:pPr>
            <w:r w:rsidRPr="00E02AC1">
              <w:rPr>
                <w:rFonts w:ascii="Arial" w:hAnsi="Arial" w:cs="Arial"/>
              </w:rPr>
              <w:t xml:space="preserve">20,795 </w:t>
            </w:r>
          </w:p>
        </w:tc>
        <w:tc>
          <w:tcPr>
            <w:tcW w:w="820" w:type="dxa"/>
            <w:tcBorders>
              <w:top w:val="nil"/>
              <w:left w:val="nil"/>
              <w:bottom w:val="nil"/>
              <w:right w:val="nil"/>
            </w:tcBorders>
            <w:shd w:val="clear" w:color="auto" w:fill="auto"/>
            <w:noWrap/>
            <w:hideMark/>
          </w:tcPr>
          <w:p w:rsidR="00E02AC1" w:rsidRPr="00E02AC1" w:rsidRDefault="00E02AC1" w:rsidP="00E02AC1">
            <w:pPr>
              <w:spacing w:after="0" w:line="240" w:lineRule="auto"/>
              <w:jc w:val="right"/>
              <w:rPr>
                <w:rFonts w:ascii="Arial" w:hAnsi="Arial" w:cs="Arial"/>
              </w:rPr>
            </w:pPr>
            <w:r w:rsidRPr="00E02AC1">
              <w:rPr>
                <w:rFonts w:ascii="Arial" w:hAnsi="Arial" w:cs="Arial"/>
              </w:rPr>
              <w:t xml:space="preserve">21,099 </w:t>
            </w:r>
          </w:p>
        </w:tc>
      </w:tr>
      <w:tr w:rsidR="00E02AC1" w:rsidRPr="00E02AC1" w:rsidTr="00E02AC1">
        <w:trPr>
          <w:trHeight w:val="222"/>
        </w:trPr>
        <w:tc>
          <w:tcPr>
            <w:tcW w:w="3040" w:type="dxa"/>
            <w:tcBorders>
              <w:top w:val="nil"/>
              <w:left w:val="nil"/>
              <w:bottom w:val="nil"/>
              <w:right w:val="nil"/>
            </w:tcBorders>
            <w:shd w:val="clear" w:color="auto" w:fill="auto"/>
            <w:noWrap/>
            <w:hideMark/>
          </w:tcPr>
          <w:p w:rsidR="00E02AC1" w:rsidRPr="00E02AC1" w:rsidRDefault="00E02AC1" w:rsidP="00E02AC1">
            <w:pPr>
              <w:spacing w:after="0" w:line="240" w:lineRule="auto"/>
              <w:ind w:firstLineChars="100" w:firstLine="160"/>
              <w:jc w:val="left"/>
              <w:rPr>
                <w:rFonts w:ascii="Arial" w:hAnsi="Arial" w:cs="Arial"/>
              </w:rPr>
            </w:pPr>
            <w:r w:rsidRPr="00E02AC1">
              <w:rPr>
                <w:rFonts w:ascii="Arial" w:hAnsi="Arial" w:cs="Arial"/>
              </w:rPr>
              <w:t>Depreciation and amortisation</w:t>
            </w:r>
          </w:p>
        </w:tc>
        <w:tc>
          <w:tcPr>
            <w:tcW w:w="820" w:type="dxa"/>
            <w:tcBorders>
              <w:top w:val="nil"/>
              <w:left w:val="nil"/>
              <w:bottom w:val="nil"/>
              <w:right w:val="nil"/>
            </w:tcBorders>
            <w:shd w:val="clear" w:color="auto" w:fill="auto"/>
            <w:noWrap/>
            <w:hideMark/>
          </w:tcPr>
          <w:p w:rsidR="00E02AC1" w:rsidRPr="00E02AC1" w:rsidRDefault="00E02AC1" w:rsidP="00E02AC1">
            <w:pPr>
              <w:spacing w:after="0" w:line="240" w:lineRule="auto"/>
              <w:jc w:val="right"/>
              <w:rPr>
                <w:rFonts w:ascii="Arial" w:hAnsi="Arial" w:cs="Arial"/>
              </w:rPr>
            </w:pPr>
            <w:r w:rsidRPr="00E02AC1">
              <w:rPr>
                <w:rFonts w:ascii="Arial" w:hAnsi="Arial" w:cs="Arial"/>
              </w:rPr>
              <w:t xml:space="preserve">1,273 </w:t>
            </w:r>
          </w:p>
        </w:tc>
        <w:tc>
          <w:tcPr>
            <w:tcW w:w="800" w:type="dxa"/>
            <w:tcBorders>
              <w:top w:val="nil"/>
              <w:left w:val="nil"/>
              <w:bottom w:val="nil"/>
              <w:right w:val="nil"/>
            </w:tcBorders>
            <w:shd w:val="clear" w:color="000000" w:fill="E6E6E6"/>
            <w:noWrap/>
            <w:hideMark/>
          </w:tcPr>
          <w:p w:rsidR="00E02AC1" w:rsidRPr="00E02AC1" w:rsidRDefault="00E02AC1" w:rsidP="00E02AC1">
            <w:pPr>
              <w:spacing w:after="0" w:line="240" w:lineRule="auto"/>
              <w:jc w:val="right"/>
              <w:rPr>
                <w:rFonts w:ascii="Arial" w:hAnsi="Arial" w:cs="Arial"/>
              </w:rPr>
            </w:pPr>
            <w:r w:rsidRPr="00E02AC1">
              <w:rPr>
                <w:rFonts w:ascii="Arial" w:hAnsi="Arial" w:cs="Arial"/>
              </w:rPr>
              <w:t xml:space="preserve">2,202 </w:t>
            </w:r>
          </w:p>
        </w:tc>
        <w:tc>
          <w:tcPr>
            <w:tcW w:w="820" w:type="dxa"/>
            <w:tcBorders>
              <w:top w:val="nil"/>
              <w:left w:val="nil"/>
              <w:bottom w:val="nil"/>
              <w:right w:val="nil"/>
            </w:tcBorders>
            <w:shd w:val="clear" w:color="auto" w:fill="auto"/>
            <w:noWrap/>
            <w:hideMark/>
          </w:tcPr>
          <w:p w:rsidR="00E02AC1" w:rsidRPr="00E02AC1" w:rsidRDefault="00E02AC1" w:rsidP="00E02AC1">
            <w:pPr>
              <w:spacing w:after="0" w:line="240" w:lineRule="auto"/>
              <w:jc w:val="right"/>
              <w:rPr>
                <w:rFonts w:ascii="Arial" w:hAnsi="Arial" w:cs="Arial"/>
              </w:rPr>
            </w:pPr>
            <w:r w:rsidRPr="00E02AC1">
              <w:rPr>
                <w:rFonts w:ascii="Arial" w:hAnsi="Arial" w:cs="Arial"/>
              </w:rPr>
              <w:t xml:space="preserve">2,452 </w:t>
            </w:r>
          </w:p>
        </w:tc>
        <w:tc>
          <w:tcPr>
            <w:tcW w:w="820" w:type="dxa"/>
            <w:tcBorders>
              <w:top w:val="nil"/>
              <w:left w:val="nil"/>
              <w:bottom w:val="nil"/>
              <w:right w:val="nil"/>
            </w:tcBorders>
            <w:shd w:val="clear" w:color="auto" w:fill="auto"/>
            <w:noWrap/>
            <w:hideMark/>
          </w:tcPr>
          <w:p w:rsidR="00E02AC1" w:rsidRPr="00E02AC1" w:rsidRDefault="00E02AC1" w:rsidP="00E02AC1">
            <w:pPr>
              <w:spacing w:after="0" w:line="240" w:lineRule="auto"/>
              <w:jc w:val="right"/>
              <w:rPr>
                <w:rFonts w:ascii="Arial" w:hAnsi="Arial" w:cs="Arial"/>
              </w:rPr>
            </w:pPr>
            <w:r w:rsidRPr="00E02AC1">
              <w:rPr>
                <w:rFonts w:ascii="Arial" w:hAnsi="Arial" w:cs="Arial"/>
              </w:rPr>
              <w:t xml:space="preserve">2,463 </w:t>
            </w:r>
          </w:p>
        </w:tc>
        <w:tc>
          <w:tcPr>
            <w:tcW w:w="820" w:type="dxa"/>
            <w:tcBorders>
              <w:top w:val="nil"/>
              <w:left w:val="nil"/>
              <w:bottom w:val="nil"/>
              <w:right w:val="nil"/>
            </w:tcBorders>
            <w:shd w:val="clear" w:color="auto" w:fill="auto"/>
            <w:noWrap/>
            <w:hideMark/>
          </w:tcPr>
          <w:p w:rsidR="00E02AC1" w:rsidRPr="00E02AC1" w:rsidRDefault="00E02AC1" w:rsidP="00E02AC1">
            <w:pPr>
              <w:spacing w:after="0" w:line="240" w:lineRule="auto"/>
              <w:jc w:val="right"/>
              <w:rPr>
                <w:rFonts w:ascii="Arial" w:hAnsi="Arial" w:cs="Arial"/>
              </w:rPr>
            </w:pPr>
            <w:r w:rsidRPr="00E02AC1">
              <w:rPr>
                <w:rFonts w:ascii="Arial" w:hAnsi="Arial" w:cs="Arial"/>
              </w:rPr>
              <w:t xml:space="preserve">2,194 </w:t>
            </w:r>
          </w:p>
        </w:tc>
      </w:tr>
      <w:tr w:rsidR="00E02AC1" w:rsidRPr="00E02AC1" w:rsidTr="00E02AC1">
        <w:trPr>
          <w:trHeight w:val="222"/>
        </w:trPr>
        <w:tc>
          <w:tcPr>
            <w:tcW w:w="3040" w:type="dxa"/>
            <w:tcBorders>
              <w:top w:val="nil"/>
              <w:left w:val="nil"/>
              <w:bottom w:val="nil"/>
              <w:right w:val="nil"/>
            </w:tcBorders>
            <w:shd w:val="clear" w:color="auto" w:fill="auto"/>
            <w:noWrap/>
            <w:hideMark/>
          </w:tcPr>
          <w:p w:rsidR="00E02AC1" w:rsidRPr="00E02AC1" w:rsidRDefault="00E02AC1" w:rsidP="00E02AC1">
            <w:pPr>
              <w:spacing w:after="0" w:line="240" w:lineRule="auto"/>
              <w:jc w:val="left"/>
              <w:rPr>
                <w:rFonts w:ascii="Arial" w:hAnsi="Arial" w:cs="Arial"/>
                <w:b/>
                <w:bCs/>
              </w:rPr>
            </w:pPr>
            <w:r w:rsidRPr="00E02AC1">
              <w:rPr>
                <w:rFonts w:ascii="Arial" w:hAnsi="Arial" w:cs="Arial"/>
                <w:b/>
                <w:bCs/>
              </w:rPr>
              <w:t>Total expenses</w:t>
            </w:r>
          </w:p>
        </w:tc>
        <w:tc>
          <w:tcPr>
            <w:tcW w:w="820" w:type="dxa"/>
            <w:tcBorders>
              <w:top w:val="single" w:sz="4" w:space="0" w:color="auto"/>
              <w:left w:val="nil"/>
              <w:bottom w:val="single" w:sz="4" w:space="0" w:color="auto"/>
              <w:right w:val="nil"/>
            </w:tcBorders>
            <w:shd w:val="clear" w:color="auto" w:fill="auto"/>
            <w:noWrap/>
            <w:hideMark/>
          </w:tcPr>
          <w:p w:rsidR="00E02AC1" w:rsidRPr="00E02AC1" w:rsidRDefault="00E02AC1" w:rsidP="00E02AC1">
            <w:pPr>
              <w:spacing w:after="0" w:line="240" w:lineRule="auto"/>
              <w:jc w:val="right"/>
              <w:rPr>
                <w:rFonts w:ascii="Arial" w:hAnsi="Arial" w:cs="Arial"/>
                <w:b/>
                <w:bCs/>
              </w:rPr>
            </w:pPr>
            <w:r w:rsidRPr="00E02AC1">
              <w:rPr>
                <w:rFonts w:ascii="Arial" w:hAnsi="Arial" w:cs="Arial"/>
                <w:b/>
                <w:bCs/>
              </w:rPr>
              <w:t xml:space="preserve">49,817 </w:t>
            </w:r>
          </w:p>
        </w:tc>
        <w:tc>
          <w:tcPr>
            <w:tcW w:w="800" w:type="dxa"/>
            <w:tcBorders>
              <w:top w:val="single" w:sz="4" w:space="0" w:color="auto"/>
              <w:left w:val="nil"/>
              <w:bottom w:val="single" w:sz="4" w:space="0" w:color="auto"/>
              <w:right w:val="nil"/>
            </w:tcBorders>
            <w:shd w:val="clear" w:color="000000" w:fill="E6E6E6"/>
            <w:noWrap/>
            <w:hideMark/>
          </w:tcPr>
          <w:p w:rsidR="00E02AC1" w:rsidRPr="00E02AC1" w:rsidRDefault="00E02AC1" w:rsidP="00E02AC1">
            <w:pPr>
              <w:spacing w:after="0" w:line="240" w:lineRule="auto"/>
              <w:jc w:val="right"/>
              <w:rPr>
                <w:rFonts w:ascii="Arial" w:hAnsi="Arial" w:cs="Arial"/>
                <w:b/>
                <w:bCs/>
              </w:rPr>
            </w:pPr>
            <w:r w:rsidRPr="00E02AC1">
              <w:rPr>
                <w:rFonts w:ascii="Arial" w:hAnsi="Arial" w:cs="Arial"/>
                <w:b/>
                <w:bCs/>
              </w:rPr>
              <w:t xml:space="preserve">62,816 </w:t>
            </w:r>
          </w:p>
        </w:tc>
        <w:tc>
          <w:tcPr>
            <w:tcW w:w="820" w:type="dxa"/>
            <w:tcBorders>
              <w:top w:val="single" w:sz="4" w:space="0" w:color="auto"/>
              <w:left w:val="nil"/>
              <w:bottom w:val="single" w:sz="4" w:space="0" w:color="auto"/>
              <w:right w:val="nil"/>
            </w:tcBorders>
            <w:shd w:val="clear" w:color="auto" w:fill="auto"/>
            <w:noWrap/>
            <w:hideMark/>
          </w:tcPr>
          <w:p w:rsidR="00E02AC1" w:rsidRPr="00E02AC1" w:rsidRDefault="00E02AC1" w:rsidP="00E02AC1">
            <w:pPr>
              <w:spacing w:after="0" w:line="240" w:lineRule="auto"/>
              <w:jc w:val="right"/>
              <w:rPr>
                <w:rFonts w:ascii="Arial" w:hAnsi="Arial" w:cs="Arial"/>
                <w:b/>
                <w:bCs/>
              </w:rPr>
            </w:pPr>
            <w:r w:rsidRPr="00E02AC1">
              <w:rPr>
                <w:rFonts w:ascii="Arial" w:hAnsi="Arial" w:cs="Arial"/>
                <w:b/>
                <w:bCs/>
              </w:rPr>
              <w:t xml:space="preserve">67,527 </w:t>
            </w:r>
          </w:p>
        </w:tc>
        <w:tc>
          <w:tcPr>
            <w:tcW w:w="820" w:type="dxa"/>
            <w:tcBorders>
              <w:top w:val="single" w:sz="4" w:space="0" w:color="auto"/>
              <w:left w:val="nil"/>
              <w:bottom w:val="single" w:sz="4" w:space="0" w:color="auto"/>
              <w:right w:val="nil"/>
            </w:tcBorders>
            <w:shd w:val="clear" w:color="auto" w:fill="auto"/>
            <w:noWrap/>
            <w:hideMark/>
          </w:tcPr>
          <w:p w:rsidR="00E02AC1" w:rsidRPr="00E02AC1" w:rsidRDefault="00E02AC1" w:rsidP="00E02AC1">
            <w:pPr>
              <w:spacing w:after="0" w:line="240" w:lineRule="auto"/>
              <w:jc w:val="right"/>
              <w:rPr>
                <w:rFonts w:ascii="Arial" w:hAnsi="Arial" w:cs="Arial"/>
                <w:b/>
                <w:bCs/>
              </w:rPr>
            </w:pPr>
            <w:r w:rsidRPr="00E02AC1">
              <w:rPr>
                <w:rFonts w:ascii="Arial" w:hAnsi="Arial" w:cs="Arial"/>
                <w:b/>
                <w:bCs/>
              </w:rPr>
              <w:t xml:space="preserve">69,666 </w:t>
            </w:r>
          </w:p>
        </w:tc>
        <w:tc>
          <w:tcPr>
            <w:tcW w:w="820" w:type="dxa"/>
            <w:tcBorders>
              <w:top w:val="single" w:sz="4" w:space="0" w:color="auto"/>
              <w:left w:val="nil"/>
              <w:bottom w:val="single" w:sz="4" w:space="0" w:color="auto"/>
              <w:right w:val="nil"/>
            </w:tcBorders>
            <w:shd w:val="clear" w:color="auto" w:fill="auto"/>
            <w:noWrap/>
            <w:hideMark/>
          </w:tcPr>
          <w:p w:rsidR="00E02AC1" w:rsidRPr="00E02AC1" w:rsidRDefault="00E02AC1" w:rsidP="00E02AC1">
            <w:pPr>
              <w:spacing w:after="0" w:line="240" w:lineRule="auto"/>
              <w:jc w:val="right"/>
              <w:rPr>
                <w:rFonts w:ascii="Arial" w:hAnsi="Arial" w:cs="Arial"/>
                <w:b/>
                <w:bCs/>
              </w:rPr>
            </w:pPr>
            <w:r w:rsidRPr="00E02AC1">
              <w:rPr>
                <w:rFonts w:ascii="Arial" w:hAnsi="Arial" w:cs="Arial"/>
                <w:b/>
                <w:bCs/>
              </w:rPr>
              <w:t xml:space="preserve">71,568 </w:t>
            </w:r>
          </w:p>
        </w:tc>
      </w:tr>
      <w:tr w:rsidR="00E02AC1" w:rsidRPr="00E02AC1" w:rsidTr="00E02AC1">
        <w:trPr>
          <w:trHeight w:val="222"/>
        </w:trPr>
        <w:tc>
          <w:tcPr>
            <w:tcW w:w="3040" w:type="dxa"/>
            <w:tcBorders>
              <w:top w:val="nil"/>
              <w:left w:val="nil"/>
              <w:bottom w:val="nil"/>
              <w:right w:val="nil"/>
            </w:tcBorders>
            <w:shd w:val="clear" w:color="auto" w:fill="auto"/>
            <w:noWrap/>
            <w:hideMark/>
          </w:tcPr>
          <w:p w:rsidR="00E02AC1" w:rsidRPr="00E02AC1" w:rsidRDefault="00E02AC1" w:rsidP="00E02AC1">
            <w:pPr>
              <w:spacing w:after="0" w:line="240" w:lineRule="auto"/>
              <w:jc w:val="left"/>
              <w:rPr>
                <w:rFonts w:ascii="Arial" w:hAnsi="Arial" w:cs="Arial"/>
                <w:b/>
                <w:bCs/>
              </w:rPr>
            </w:pPr>
            <w:r w:rsidRPr="00E02AC1">
              <w:rPr>
                <w:rFonts w:ascii="Arial" w:hAnsi="Arial" w:cs="Arial"/>
                <w:b/>
                <w:bCs/>
              </w:rPr>
              <w:t xml:space="preserve">LESS: </w:t>
            </w:r>
          </w:p>
        </w:tc>
        <w:tc>
          <w:tcPr>
            <w:tcW w:w="820" w:type="dxa"/>
            <w:tcBorders>
              <w:top w:val="nil"/>
              <w:left w:val="nil"/>
              <w:bottom w:val="nil"/>
              <w:right w:val="nil"/>
            </w:tcBorders>
            <w:shd w:val="clear" w:color="auto" w:fill="auto"/>
            <w:noWrap/>
            <w:hideMark/>
          </w:tcPr>
          <w:p w:rsidR="00E02AC1" w:rsidRPr="00E02AC1" w:rsidRDefault="00E02AC1" w:rsidP="00E02AC1">
            <w:pPr>
              <w:spacing w:after="0" w:line="240" w:lineRule="auto"/>
              <w:jc w:val="right"/>
              <w:rPr>
                <w:rFonts w:ascii="Arial" w:hAnsi="Arial" w:cs="Arial"/>
              </w:rPr>
            </w:pPr>
          </w:p>
        </w:tc>
        <w:tc>
          <w:tcPr>
            <w:tcW w:w="800" w:type="dxa"/>
            <w:tcBorders>
              <w:top w:val="nil"/>
              <w:left w:val="nil"/>
              <w:bottom w:val="nil"/>
              <w:right w:val="nil"/>
            </w:tcBorders>
            <w:shd w:val="clear" w:color="000000" w:fill="E6E6E6"/>
            <w:noWrap/>
            <w:hideMark/>
          </w:tcPr>
          <w:p w:rsidR="00E02AC1" w:rsidRPr="00E02AC1" w:rsidRDefault="00E02AC1" w:rsidP="00E02AC1">
            <w:pPr>
              <w:spacing w:after="0" w:line="240" w:lineRule="auto"/>
              <w:jc w:val="right"/>
              <w:rPr>
                <w:rFonts w:ascii="Arial" w:hAnsi="Arial" w:cs="Arial"/>
                <w:b/>
                <w:bCs/>
              </w:rPr>
            </w:pPr>
            <w:r w:rsidRPr="00E02AC1">
              <w:rPr>
                <w:rFonts w:ascii="Arial" w:hAnsi="Arial" w:cs="Arial"/>
                <w:b/>
                <w:bCs/>
              </w:rPr>
              <w:t> </w:t>
            </w:r>
          </w:p>
        </w:tc>
        <w:tc>
          <w:tcPr>
            <w:tcW w:w="820" w:type="dxa"/>
            <w:tcBorders>
              <w:top w:val="nil"/>
              <w:left w:val="nil"/>
              <w:bottom w:val="nil"/>
              <w:right w:val="nil"/>
            </w:tcBorders>
            <w:shd w:val="clear" w:color="auto" w:fill="auto"/>
            <w:noWrap/>
            <w:hideMark/>
          </w:tcPr>
          <w:p w:rsidR="00E02AC1" w:rsidRPr="00E02AC1" w:rsidRDefault="00E02AC1" w:rsidP="00E02AC1">
            <w:pPr>
              <w:spacing w:after="0" w:line="240" w:lineRule="auto"/>
              <w:jc w:val="right"/>
              <w:rPr>
                <w:rFonts w:ascii="Arial" w:hAnsi="Arial" w:cs="Arial"/>
                <w:b/>
                <w:bCs/>
              </w:rPr>
            </w:pPr>
          </w:p>
        </w:tc>
        <w:tc>
          <w:tcPr>
            <w:tcW w:w="820" w:type="dxa"/>
            <w:tcBorders>
              <w:top w:val="nil"/>
              <w:left w:val="nil"/>
              <w:bottom w:val="nil"/>
              <w:right w:val="nil"/>
            </w:tcBorders>
            <w:shd w:val="clear" w:color="auto" w:fill="auto"/>
            <w:noWrap/>
            <w:hideMark/>
          </w:tcPr>
          <w:p w:rsidR="00E02AC1" w:rsidRPr="00E02AC1" w:rsidRDefault="00E02AC1" w:rsidP="00E02AC1">
            <w:pPr>
              <w:spacing w:after="0" w:line="240" w:lineRule="auto"/>
              <w:jc w:val="right"/>
              <w:rPr>
                <w:rFonts w:ascii="Arial" w:hAnsi="Arial" w:cs="Arial"/>
                <w:b/>
                <w:bCs/>
              </w:rPr>
            </w:pPr>
          </w:p>
        </w:tc>
        <w:tc>
          <w:tcPr>
            <w:tcW w:w="820" w:type="dxa"/>
            <w:tcBorders>
              <w:top w:val="nil"/>
              <w:left w:val="nil"/>
              <w:bottom w:val="nil"/>
              <w:right w:val="nil"/>
            </w:tcBorders>
            <w:shd w:val="clear" w:color="auto" w:fill="auto"/>
            <w:noWrap/>
            <w:hideMark/>
          </w:tcPr>
          <w:p w:rsidR="00E02AC1" w:rsidRPr="00E02AC1" w:rsidRDefault="00E02AC1" w:rsidP="00E02AC1">
            <w:pPr>
              <w:spacing w:after="0" w:line="240" w:lineRule="auto"/>
              <w:jc w:val="right"/>
              <w:rPr>
                <w:rFonts w:ascii="Arial" w:hAnsi="Arial" w:cs="Arial"/>
                <w:b/>
                <w:bCs/>
              </w:rPr>
            </w:pPr>
          </w:p>
        </w:tc>
      </w:tr>
      <w:tr w:rsidR="00E02AC1" w:rsidRPr="00E02AC1" w:rsidTr="00E02AC1">
        <w:trPr>
          <w:trHeight w:val="222"/>
        </w:trPr>
        <w:tc>
          <w:tcPr>
            <w:tcW w:w="3040" w:type="dxa"/>
            <w:tcBorders>
              <w:top w:val="nil"/>
              <w:left w:val="nil"/>
              <w:bottom w:val="nil"/>
              <w:right w:val="nil"/>
            </w:tcBorders>
            <w:shd w:val="clear" w:color="auto" w:fill="auto"/>
            <w:noWrap/>
            <w:hideMark/>
          </w:tcPr>
          <w:p w:rsidR="00E02AC1" w:rsidRPr="00E02AC1" w:rsidRDefault="00E02AC1" w:rsidP="00E02AC1">
            <w:pPr>
              <w:spacing w:after="0" w:line="240" w:lineRule="auto"/>
              <w:jc w:val="left"/>
              <w:rPr>
                <w:rFonts w:ascii="Arial" w:hAnsi="Arial" w:cs="Arial"/>
                <w:b/>
                <w:bCs/>
              </w:rPr>
            </w:pPr>
            <w:r w:rsidRPr="00E02AC1">
              <w:rPr>
                <w:rFonts w:ascii="Arial" w:hAnsi="Arial" w:cs="Arial"/>
                <w:b/>
                <w:bCs/>
              </w:rPr>
              <w:t>OWN-SOURCE INCOME</w:t>
            </w:r>
          </w:p>
        </w:tc>
        <w:tc>
          <w:tcPr>
            <w:tcW w:w="820" w:type="dxa"/>
            <w:tcBorders>
              <w:top w:val="nil"/>
              <w:left w:val="nil"/>
              <w:bottom w:val="nil"/>
              <w:right w:val="nil"/>
            </w:tcBorders>
            <w:shd w:val="clear" w:color="auto" w:fill="auto"/>
            <w:noWrap/>
            <w:hideMark/>
          </w:tcPr>
          <w:p w:rsidR="00E02AC1" w:rsidRPr="00E02AC1" w:rsidRDefault="00E02AC1" w:rsidP="00E02AC1">
            <w:pPr>
              <w:spacing w:after="0" w:line="240" w:lineRule="auto"/>
              <w:jc w:val="right"/>
              <w:rPr>
                <w:rFonts w:ascii="Arial" w:hAnsi="Arial" w:cs="Arial"/>
              </w:rPr>
            </w:pPr>
          </w:p>
        </w:tc>
        <w:tc>
          <w:tcPr>
            <w:tcW w:w="800" w:type="dxa"/>
            <w:tcBorders>
              <w:top w:val="nil"/>
              <w:left w:val="nil"/>
              <w:bottom w:val="nil"/>
              <w:right w:val="nil"/>
            </w:tcBorders>
            <w:shd w:val="clear" w:color="000000" w:fill="E6E6E6"/>
            <w:noWrap/>
            <w:hideMark/>
          </w:tcPr>
          <w:p w:rsidR="00E02AC1" w:rsidRPr="00E02AC1" w:rsidRDefault="00E02AC1" w:rsidP="00E02AC1">
            <w:pPr>
              <w:spacing w:after="0" w:line="240" w:lineRule="auto"/>
              <w:jc w:val="right"/>
              <w:rPr>
                <w:rFonts w:ascii="Arial" w:hAnsi="Arial" w:cs="Arial"/>
                <w:b/>
                <w:bCs/>
              </w:rPr>
            </w:pPr>
            <w:r w:rsidRPr="00E02AC1">
              <w:rPr>
                <w:rFonts w:ascii="Arial" w:hAnsi="Arial" w:cs="Arial"/>
                <w:b/>
                <w:bCs/>
              </w:rPr>
              <w:t> </w:t>
            </w:r>
          </w:p>
        </w:tc>
        <w:tc>
          <w:tcPr>
            <w:tcW w:w="820" w:type="dxa"/>
            <w:tcBorders>
              <w:top w:val="nil"/>
              <w:left w:val="nil"/>
              <w:bottom w:val="nil"/>
              <w:right w:val="nil"/>
            </w:tcBorders>
            <w:shd w:val="clear" w:color="auto" w:fill="auto"/>
            <w:noWrap/>
            <w:hideMark/>
          </w:tcPr>
          <w:p w:rsidR="00E02AC1" w:rsidRPr="00E02AC1" w:rsidRDefault="00E02AC1" w:rsidP="00E02AC1">
            <w:pPr>
              <w:spacing w:after="0" w:line="240" w:lineRule="auto"/>
              <w:jc w:val="right"/>
              <w:rPr>
                <w:rFonts w:ascii="Arial" w:hAnsi="Arial" w:cs="Arial"/>
                <w:b/>
                <w:bCs/>
              </w:rPr>
            </w:pPr>
          </w:p>
        </w:tc>
        <w:tc>
          <w:tcPr>
            <w:tcW w:w="820" w:type="dxa"/>
            <w:tcBorders>
              <w:top w:val="nil"/>
              <w:left w:val="nil"/>
              <w:bottom w:val="nil"/>
              <w:right w:val="nil"/>
            </w:tcBorders>
            <w:shd w:val="clear" w:color="auto" w:fill="auto"/>
            <w:noWrap/>
            <w:hideMark/>
          </w:tcPr>
          <w:p w:rsidR="00E02AC1" w:rsidRPr="00E02AC1" w:rsidRDefault="00E02AC1" w:rsidP="00E02AC1">
            <w:pPr>
              <w:spacing w:after="0" w:line="240" w:lineRule="auto"/>
              <w:jc w:val="right"/>
              <w:rPr>
                <w:rFonts w:ascii="Arial" w:hAnsi="Arial" w:cs="Arial"/>
                <w:b/>
                <w:bCs/>
              </w:rPr>
            </w:pPr>
          </w:p>
        </w:tc>
        <w:tc>
          <w:tcPr>
            <w:tcW w:w="820" w:type="dxa"/>
            <w:tcBorders>
              <w:top w:val="nil"/>
              <w:left w:val="nil"/>
              <w:bottom w:val="nil"/>
              <w:right w:val="nil"/>
            </w:tcBorders>
            <w:shd w:val="clear" w:color="auto" w:fill="auto"/>
            <w:noWrap/>
            <w:hideMark/>
          </w:tcPr>
          <w:p w:rsidR="00E02AC1" w:rsidRPr="00E02AC1" w:rsidRDefault="00E02AC1" w:rsidP="00E02AC1">
            <w:pPr>
              <w:spacing w:after="0" w:line="240" w:lineRule="auto"/>
              <w:jc w:val="right"/>
              <w:rPr>
                <w:rFonts w:ascii="Arial" w:hAnsi="Arial" w:cs="Arial"/>
                <w:b/>
                <w:bCs/>
              </w:rPr>
            </w:pPr>
          </w:p>
        </w:tc>
      </w:tr>
      <w:tr w:rsidR="00E02AC1" w:rsidRPr="00E02AC1" w:rsidTr="00E02AC1">
        <w:trPr>
          <w:trHeight w:val="222"/>
        </w:trPr>
        <w:tc>
          <w:tcPr>
            <w:tcW w:w="3040" w:type="dxa"/>
            <w:tcBorders>
              <w:top w:val="nil"/>
              <w:left w:val="nil"/>
              <w:bottom w:val="nil"/>
              <w:right w:val="nil"/>
            </w:tcBorders>
            <w:shd w:val="clear" w:color="auto" w:fill="auto"/>
            <w:noWrap/>
            <w:hideMark/>
          </w:tcPr>
          <w:p w:rsidR="00E02AC1" w:rsidRPr="00E02AC1" w:rsidRDefault="00E02AC1" w:rsidP="00E02AC1">
            <w:pPr>
              <w:spacing w:after="0" w:line="240" w:lineRule="auto"/>
              <w:ind w:firstLineChars="100" w:firstLine="161"/>
              <w:jc w:val="left"/>
              <w:rPr>
                <w:rFonts w:ascii="Arial" w:hAnsi="Arial" w:cs="Arial"/>
                <w:b/>
                <w:bCs/>
              </w:rPr>
            </w:pPr>
            <w:r w:rsidRPr="00E02AC1">
              <w:rPr>
                <w:rFonts w:ascii="Arial" w:hAnsi="Arial" w:cs="Arial"/>
                <w:b/>
                <w:bCs/>
              </w:rPr>
              <w:t>Own-source revenue</w:t>
            </w:r>
          </w:p>
        </w:tc>
        <w:tc>
          <w:tcPr>
            <w:tcW w:w="820" w:type="dxa"/>
            <w:tcBorders>
              <w:top w:val="nil"/>
              <w:left w:val="nil"/>
              <w:bottom w:val="nil"/>
              <w:right w:val="nil"/>
            </w:tcBorders>
            <w:shd w:val="clear" w:color="auto" w:fill="auto"/>
            <w:noWrap/>
            <w:hideMark/>
          </w:tcPr>
          <w:p w:rsidR="00E02AC1" w:rsidRPr="00E02AC1" w:rsidRDefault="00E02AC1" w:rsidP="00E02AC1">
            <w:pPr>
              <w:spacing w:after="0" w:line="240" w:lineRule="auto"/>
              <w:jc w:val="right"/>
              <w:rPr>
                <w:rFonts w:ascii="Arial" w:hAnsi="Arial" w:cs="Arial"/>
              </w:rPr>
            </w:pPr>
          </w:p>
        </w:tc>
        <w:tc>
          <w:tcPr>
            <w:tcW w:w="800" w:type="dxa"/>
            <w:tcBorders>
              <w:top w:val="nil"/>
              <w:left w:val="nil"/>
              <w:bottom w:val="nil"/>
              <w:right w:val="nil"/>
            </w:tcBorders>
            <w:shd w:val="clear" w:color="000000" w:fill="E6E6E6"/>
            <w:noWrap/>
            <w:hideMark/>
          </w:tcPr>
          <w:p w:rsidR="00E02AC1" w:rsidRPr="00E02AC1" w:rsidRDefault="00E02AC1" w:rsidP="00E02AC1">
            <w:pPr>
              <w:spacing w:after="0" w:line="240" w:lineRule="auto"/>
              <w:jc w:val="right"/>
              <w:rPr>
                <w:rFonts w:ascii="Arial" w:hAnsi="Arial" w:cs="Arial"/>
                <w:b/>
                <w:bCs/>
              </w:rPr>
            </w:pPr>
            <w:r w:rsidRPr="00E02AC1">
              <w:rPr>
                <w:rFonts w:ascii="Arial" w:hAnsi="Arial" w:cs="Arial"/>
                <w:b/>
                <w:bCs/>
              </w:rPr>
              <w:t> </w:t>
            </w:r>
          </w:p>
        </w:tc>
        <w:tc>
          <w:tcPr>
            <w:tcW w:w="820" w:type="dxa"/>
            <w:tcBorders>
              <w:top w:val="nil"/>
              <w:left w:val="nil"/>
              <w:bottom w:val="nil"/>
              <w:right w:val="nil"/>
            </w:tcBorders>
            <w:shd w:val="clear" w:color="auto" w:fill="auto"/>
            <w:noWrap/>
            <w:hideMark/>
          </w:tcPr>
          <w:p w:rsidR="00E02AC1" w:rsidRPr="00E02AC1" w:rsidRDefault="00E02AC1" w:rsidP="00E02AC1">
            <w:pPr>
              <w:spacing w:after="0" w:line="240" w:lineRule="auto"/>
              <w:jc w:val="right"/>
              <w:rPr>
                <w:rFonts w:ascii="Arial" w:hAnsi="Arial" w:cs="Arial"/>
                <w:b/>
                <w:bCs/>
              </w:rPr>
            </w:pPr>
          </w:p>
        </w:tc>
        <w:tc>
          <w:tcPr>
            <w:tcW w:w="820" w:type="dxa"/>
            <w:tcBorders>
              <w:top w:val="nil"/>
              <w:left w:val="nil"/>
              <w:bottom w:val="nil"/>
              <w:right w:val="nil"/>
            </w:tcBorders>
            <w:shd w:val="clear" w:color="auto" w:fill="auto"/>
            <w:noWrap/>
            <w:hideMark/>
          </w:tcPr>
          <w:p w:rsidR="00E02AC1" w:rsidRPr="00E02AC1" w:rsidRDefault="00E02AC1" w:rsidP="00E02AC1">
            <w:pPr>
              <w:spacing w:after="0" w:line="240" w:lineRule="auto"/>
              <w:jc w:val="right"/>
              <w:rPr>
                <w:rFonts w:ascii="Arial" w:hAnsi="Arial" w:cs="Arial"/>
                <w:b/>
                <w:bCs/>
              </w:rPr>
            </w:pPr>
          </w:p>
        </w:tc>
        <w:tc>
          <w:tcPr>
            <w:tcW w:w="820" w:type="dxa"/>
            <w:tcBorders>
              <w:top w:val="nil"/>
              <w:left w:val="nil"/>
              <w:bottom w:val="nil"/>
              <w:right w:val="nil"/>
            </w:tcBorders>
            <w:shd w:val="clear" w:color="auto" w:fill="auto"/>
            <w:noWrap/>
            <w:hideMark/>
          </w:tcPr>
          <w:p w:rsidR="00E02AC1" w:rsidRPr="00E02AC1" w:rsidRDefault="00E02AC1" w:rsidP="00E02AC1">
            <w:pPr>
              <w:spacing w:after="0" w:line="240" w:lineRule="auto"/>
              <w:jc w:val="right"/>
              <w:rPr>
                <w:rFonts w:ascii="Arial" w:hAnsi="Arial" w:cs="Arial"/>
                <w:b/>
                <w:bCs/>
              </w:rPr>
            </w:pPr>
          </w:p>
        </w:tc>
      </w:tr>
      <w:tr w:rsidR="00E02AC1" w:rsidRPr="00E02AC1" w:rsidTr="00E02AC1">
        <w:trPr>
          <w:trHeight w:val="222"/>
        </w:trPr>
        <w:tc>
          <w:tcPr>
            <w:tcW w:w="3040" w:type="dxa"/>
            <w:tcBorders>
              <w:top w:val="nil"/>
              <w:left w:val="nil"/>
              <w:bottom w:val="nil"/>
              <w:right w:val="nil"/>
            </w:tcBorders>
            <w:shd w:val="clear" w:color="auto" w:fill="auto"/>
            <w:noWrap/>
            <w:hideMark/>
          </w:tcPr>
          <w:p w:rsidR="00E02AC1" w:rsidRPr="00E02AC1" w:rsidRDefault="00E02AC1" w:rsidP="00E02AC1">
            <w:pPr>
              <w:spacing w:after="0" w:line="240" w:lineRule="auto"/>
              <w:ind w:firstLineChars="200" w:firstLine="320"/>
              <w:jc w:val="left"/>
              <w:rPr>
                <w:rFonts w:ascii="Arial" w:hAnsi="Arial" w:cs="Arial"/>
              </w:rPr>
            </w:pPr>
            <w:r w:rsidRPr="00E02AC1">
              <w:rPr>
                <w:rFonts w:ascii="Arial" w:hAnsi="Arial" w:cs="Arial"/>
              </w:rPr>
              <w:t>Other</w:t>
            </w:r>
          </w:p>
        </w:tc>
        <w:tc>
          <w:tcPr>
            <w:tcW w:w="820" w:type="dxa"/>
            <w:tcBorders>
              <w:top w:val="nil"/>
              <w:left w:val="nil"/>
              <w:bottom w:val="nil"/>
              <w:right w:val="nil"/>
            </w:tcBorders>
            <w:shd w:val="clear" w:color="auto" w:fill="auto"/>
            <w:noWrap/>
            <w:hideMark/>
          </w:tcPr>
          <w:p w:rsidR="00E02AC1" w:rsidRPr="00E02AC1" w:rsidRDefault="00E02AC1" w:rsidP="00E02AC1">
            <w:pPr>
              <w:spacing w:after="0" w:line="240" w:lineRule="auto"/>
              <w:jc w:val="right"/>
              <w:rPr>
                <w:rFonts w:ascii="Arial" w:hAnsi="Arial" w:cs="Arial"/>
              </w:rPr>
            </w:pPr>
            <w:r w:rsidRPr="00E02AC1">
              <w:rPr>
                <w:rFonts w:ascii="Arial" w:hAnsi="Arial" w:cs="Arial"/>
              </w:rPr>
              <w:t xml:space="preserve">49,661 </w:t>
            </w:r>
          </w:p>
        </w:tc>
        <w:tc>
          <w:tcPr>
            <w:tcW w:w="800" w:type="dxa"/>
            <w:tcBorders>
              <w:top w:val="nil"/>
              <w:left w:val="nil"/>
              <w:bottom w:val="nil"/>
              <w:right w:val="nil"/>
            </w:tcBorders>
            <w:shd w:val="clear" w:color="000000" w:fill="E6E6E6"/>
            <w:noWrap/>
            <w:hideMark/>
          </w:tcPr>
          <w:p w:rsidR="00E02AC1" w:rsidRPr="00E02AC1" w:rsidRDefault="00E02AC1" w:rsidP="00E02AC1">
            <w:pPr>
              <w:spacing w:after="0" w:line="240" w:lineRule="auto"/>
              <w:jc w:val="right"/>
              <w:rPr>
                <w:rFonts w:ascii="Arial" w:hAnsi="Arial" w:cs="Arial"/>
              </w:rPr>
            </w:pPr>
            <w:r w:rsidRPr="00E02AC1">
              <w:rPr>
                <w:rFonts w:ascii="Arial" w:hAnsi="Arial" w:cs="Arial"/>
              </w:rPr>
              <w:t xml:space="preserve">62,660 </w:t>
            </w:r>
          </w:p>
        </w:tc>
        <w:tc>
          <w:tcPr>
            <w:tcW w:w="820" w:type="dxa"/>
            <w:tcBorders>
              <w:top w:val="nil"/>
              <w:left w:val="nil"/>
              <w:bottom w:val="nil"/>
              <w:right w:val="nil"/>
            </w:tcBorders>
            <w:shd w:val="clear" w:color="auto" w:fill="auto"/>
            <w:noWrap/>
            <w:hideMark/>
          </w:tcPr>
          <w:p w:rsidR="00E02AC1" w:rsidRPr="00E02AC1" w:rsidRDefault="00E02AC1" w:rsidP="00E02AC1">
            <w:pPr>
              <w:spacing w:after="0" w:line="240" w:lineRule="auto"/>
              <w:jc w:val="right"/>
              <w:rPr>
                <w:rFonts w:ascii="Arial" w:hAnsi="Arial" w:cs="Arial"/>
              </w:rPr>
            </w:pPr>
            <w:r w:rsidRPr="00E02AC1">
              <w:rPr>
                <w:rFonts w:ascii="Arial" w:hAnsi="Arial" w:cs="Arial"/>
              </w:rPr>
              <w:t xml:space="preserve">67,371 </w:t>
            </w:r>
          </w:p>
        </w:tc>
        <w:tc>
          <w:tcPr>
            <w:tcW w:w="820" w:type="dxa"/>
            <w:tcBorders>
              <w:top w:val="nil"/>
              <w:left w:val="nil"/>
              <w:bottom w:val="nil"/>
              <w:right w:val="nil"/>
            </w:tcBorders>
            <w:shd w:val="clear" w:color="auto" w:fill="auto"/>
            <w:noWrap/>
            <w:hideMark/>
          </w:tcPr>
          <w:p w:rsidR="00E02AC1" w:rsidRPr="00E02AC1" w:rsidRDefault="00E02AC1" w:rsidP="00E02AC1">
            <w:pPr>
              <w:spacing w:after="0" w:line="240" w:lineRule="auto"/>
              <w:jc w:val="right"/>
              <w:rPr>
                <w:rFonts w:ascii="Arial" w:hAnsi="Arial" w:cs="Arial"/>
              </w:rPr>
            </w:pPr>
            <w:r w:rsidRPr="00E02AC1">
              <w:rPr>
                <w:rFonts w:ascii="Arial" w:hAnsi="Arial" w:cs="Arial"/>
              </w:rPr>
              <w:t xml:space="preserve">69,510 </w:t>
            </w:r>
          </w:p>
        </w:tc>
        <w:tc>
          <w:tcPr>
            <w:tcW w:w="820" w:type="dxa"/>
            <w:tcBorders>
              <w:top w:val="nil"/>
              <w:left w:val="nil"/>
              <w:bottom w:val="nil"/>
              <w:right w:val="nil"/>
            </w:tcBorders>
            <w:shd w:val="clear" w:color="auto" w:fill="auto"/>
            <w:noWrap/>
            <w:hideMark/>
          </w:tcPr>
          <w:p w:rsidR="00E02AC1" w:rsidRPr="00E02AC1" w:rsidRDefault="00E02AC1" w:rsidP="00E02AC1">
            <w:pPr>
              <w:spacing w:after="0" w:line="240" w:lineRule="auto"/>
              <w:jc w:val="right"/>
              <w:rPr>
                <w:rFonts w:ascii="Arial" w:hAnsi="Arial" w:cs="Arial"/>
              </w:rPr>
            </w:pPr>
            <w:r w:rsidRPr="00E02AC1">
              <w:rPr>
                <w:rFonts w:ascii="Arial" w:hAnsi="Arial" w:cs="Arial"/>
              </w:rPr>
              <w:t xml:space="preserve">71,412 </w:t>
            </w:r>
          </w:p>
        </w:tc>
      </w:tr>
      <w:tr w:rsidR="00E02AC1" w:rsidRPr="00E02AC1" w:rsidTr="00E02AC1">
        <w:trPr>
          <w:trHeight w:val="222"/>
        </w:trPr>
        <w:tc>
          <w:tcPr>
            <w:tcW w:w="3040" w:type="dxa"/>
            <w:tcBorders>
              <w:top w:val="nil"/>
              <w:left w:val="nil"/>
              <w:bottom w:val="nil"/>
              <w:right w:val="nil"/>
            </w:tcBorders>
            <w:shd w:val="clear" w:color="auto" w:fill="auto"/>
            <w:noWrap/>
            <w:hideMark/>
          </w:tcPr>
          <w:p w:rsidR="00E02AC1" w:rsidRPr="00E02AC1" w:rsidRDefault="00E02AC1" w:rsidP="00E02AC1">
            <w:pPr>
              <w:spacing w:after="0" w:line="240" w:lineRule="auto"/>
              <w:ind w:firstLineChars="100" w:firstLine="161"/>
              <w:jc w:val="left"/>
              <w:rPr>
                <w:rFonts w:ascii="Arial" w:hAnsi="Arial" w:cs="Arial"/>
                <w:b/>
                <w:bCs/>
              </w:rPr>
            </w:pPr>
            <w:r w:rsidRPr="00E02AC1">
              <w:rPr>
                <w:rFonts w:ascii="Arial" w:hAnsi="Arial" w:cs="Arial"/>
                <w:b/>
                <w:bCs/>
              </w:rPr>
              <w:t>Total own-source revenue</w:t>
            </w:r>
          </w:p>
        </w:tc>
        <w:tc>
          <w:tcPr>
            <w:tcW w:w="820" w:type="dxa"/>
            <w:tcBorders>
              <w:top w:val="single" w:sz="4" w:space="0" w:color="auto"/>
              <w:left w:val="nil"/>
              <w:bottom w:val="single" w:sz="4" w:space="0" w:color="auto"/>
              <w:right w:val="nil"/>
            </w:tcBorders>
            <w:shd w:val="clear" w:color="auto" w:fill="auto"/>
            <w:noWrap/>
            <w:hideMark/>
          </w:tcPr>
          <w:p w:rsidR="00E02AC1" w:rsidRPr="00E02AC1" w:rsidRDefault="00E02AC1" w:rsidP="00E02AC1">
            <w:pPr>
              <w:spacing w:after="0" w:line="240" w:lineRule="auto"/>
              <w:jc w:val="right"/>
              <w:rPr>
                <w:rFonts w:ascii="Arial" w:hAnsi="Arial" w:cs="Arial"/>
                <w:b/>
                <w:bCs/>
              </w:rPr>
            </w:pPr>
            <w:r w:rsidRPr="00E02AC1">
              <w:rPr>
                <w:rFonts w:ascii="Arial" w:hAnsi="Arial" w:cs="Arial"/>
                <w:b/>
                <w:bCs/>
              </w:rPr>
              <w:t xml:space="preserve">49,661 </w:t>
            </w:r>
          </w:p>
        </w:tc>
        <w:tc>
          <w:tcPr>
            <w:tcW w:w="800" w:type="dxa"/>
            <w:tcBorders>
              <w:top w:val="single" w:sz="4" w:space="0" w:color="auto"/>
              <w:left w:val="nil"/>
              <w:bottom w:val="single" w:sz="4" w:space="0" w:color="auto"/>
              <w:right w:val="nil"/>
            </w:tcBorders>
            <w:shd w:val="clear" w:color="000000" w:fill="E6E6E6"/>
            <w:noWrap/>
            <w:hideMark/>
          </w:tcPr>
          <w:p w:rsidR="00E02AC1" w:rsidRPr="00E02AC1" w:rsidRDefault="00E02AC1" w:rsidP="00E02AC1">
            <w:pPr>
              <w:spacing w:after="0" w:line="240" w:lineRule="auto"/>
              <w:jc w:val="right"/>
              <w:rPr>
                <w:rFonts w:ascii="Arial" w:hAnsi="Arial" w:cs="Arial"/>
                <w:b/>
                <w:bCs/>
              </w:rPr>
            </w:pPr>
            <w:r w:rsidRPr="00E02AC1">
              <w:rPr>
                <w:rFonts w:ascii="Arial" w:hAnsi="Arial" w:cs="Arial"/>
                <w:b/>
                <w:bCs/>
              </w:rPr>
              <w:t xml:space="preserve">62,660 </w:t>
            </w:r>
          </w:p>
        </w:tc>
        <w:tc>
          <w:tcPr>
            <w:tcW w:w="820" w:type="dxa"/>
            <w:tcBorders>
              <w:top w:val="single" w:sz="4" w:space="0" w:color="auto"/>
              <w:left w:val="nil"/>
              <w:bottom w:val="single" w:sz="4" w:space="0" w:color="auto"/>
              <w:right w:val="nil"/>
            </w:tcBorders>
            <w:shd w:val="clear" w:color="auto" w:fill="auto"/>
            <w:noWrap/>
            <w:hideMark/>
          </w:tcPr>
          <w:p w:rsidR="00E02AC1" w:rsidRPr="00E02AC1" w:rsidRDefault="00E02AC1" w:rsidP="00E02AC1">
            <w:pPr>
              <w:spacing w:after="0" w:line="240" w:lineRule="auto"/>
              <w:jc w:val="right"/>
              <w:rPr>
                <w:rFonts w:ascii="Arial" w:hAnsi="Arial" w:cs="Arial"/>
                <w:b/>
                <w:bCs/>
              </w:rPr>
            </w:pPr>
            <w:r w:rsidRPr="00E02AC1">
              <w:rPr>
                <w:rFonts w:ascii="Arial" w:hAnsi="Arial" w:cs="Arial"/>
                <w:b/>
                <w:bCs/>
              </w:rPr>
              <w:t xml:space="preserve">67,371 </w:t>
            </w:r>
          </w:p>
        </w:tc>
        <w:tc>
          <w:tcPr>
            <w:tcW w:w="820" w:type="dxa"/>
            <w:tcBorders>
              <w:top w:val="single" w:sz="4" w:space="0" w:color="auto"/>
              <w:left w:val="nil"/>
              <w:bottom w:val="single" w:sz="4" w:space="0" w:color="auto"/>
              <w:right w:val="nil"/>
            </w:tcBorders>
            <w:shd w:val="clear" w:color="auto" w:fill="auto"/>
            <w:noWrap/>
            <w:hideMark/>
          </w:tcPr>
          <w:p w:rsidR="00E02AC1" w:rsidRPr="00E02AC1" w:rsidRDefault="00E02AC1" w:rsidP="00E02AC1">
            <w:pPr>
              <w:spacing w:after="0" w:line="240" w:lineRule="auto"/>
              <w:jc w:val="right"/>
              <w:rPr>
                <w:rFonts w:ascii="Arial" w:hAnsi="Arial" w:cs="Arial"/>
                <w:b/>
                <w:bCs/>
              </w:rPr>
            </w:pPr>
            <w:r w:rsidRPr="00E02AC1">
              <w:rPr>
                <w:rFonts w:ascii="Arial" w:hAnsi="Arial" w:cs="Arial"/>
                <w:b/>
                <w:bCs/>
              </w:rPr>
              <w:t xml:space="preserve">69,510 </w:t>
            </w:r>
          </w:p>
        </w:tc>
        <w:tc>
          <w:tcPr>
            <w:tcW w:w="820" w:type="dxa"/>
            <w:tcBorders>
              <w:top w:val="single" w:sz="4" w:space="0" w:color="auto"/>
              <w:left w:val="nil"/>
              <w:bottom w:val="single" w:sz="4" w:space="0" w:color="auto"/>
              <w:right w:val="nil"/>
            </w:tcBorders>
            <w:shd w:val="clear" w:color="auto" w:fill="auto"/>
            <w:noWrap/>
            <w:hideMark/>
          </w:tcPr>
          <w:p w:rsidR="00E02AC1" w:rsidRPr="00E02AC1" w:rsidRDefault="00E02AC1" w:rsidP="00E02AC1">
            <w:pPr>
              <w:spacing w:after="0" w:line="240" w:lineRule="auto"/>
              <w:jc w:val="right"/>
              <w:rPr>
                <w:rFonts w:ascii="Arial" w:hAnsi="Arial" w:cs="Arial"/>
                <w:b/>
                <w:bCs/>
              </w:rPr>
            </w:pPr>
            <w:r w:rsidRPr="00E02AC1">
              <w:rPr>
                <w:rFonts w:ascii="Arial" w:hAnsi="Arial" w:cs="Arial"/>
                <w:b/>
                <w:bCs/>
              </w:rPr>
              <w:t xml:space="preserve">71,412 </w:t>
            </w:r>
          </w:p>
        </w:tc>
      </w:tr>
      <w:tr w:rsidR="00E02AC1" w:rsidRPr="00E02AC1" w:rsidTr="00E02AC1">
        <w:trPr>
          <w:trHeight w:val="222"/>
        </w:trPr>
        <w:tc>
          <w:tcPr>
            <w:tcW w:w="3040" w:type="dxa"/>
            <w:tcBorders>
              <w:top w:val="nil"/>
              <w:left w:val="nil"/>
              <w:bottom w:val="nil"/>
              <w:right w:val="nil"/>
            </w:tcBorders>
            <w:shd w:val="clear" w:color="auto" w:fill="auto"/>
            <w:noWrap/>
            <w:hideMark/>
          </w:tcPr>
          <w:p w:rsidR="00E02AC1" w:rsidRPr="00E02AC1" w:rsidRDefault="00E02AC1" w:rsidP="00E02AC1">
            <w:pPr>
              <w:spacing w:after="0" w:line="240" w:lineRule="auto"/>
              <w:ind w:firstLineChars="100" w:firstLine="161"/>
              <w:jc w:val="left"/>
              <w:rPr>
                <w:rFonts w:ascii="Arial" w:hAnsi="Arial" w:cs="Arial"/>
                <w:b/>
                <w:bCs/>
              </w:rPr>
            </w:pPr>
            <w:r w:rsidRPr="00E02AC1">
              <w:rPr>
                <w:rFonts w:ascii="Arial" w:hAnsi="Arial" w:cs="Arial"/>
                <w:b/>
                <w:bCs/>
              </w:rPr>
              <w:t>Gains</w:t>
            </w:r>
          </w:p>
        </w:tc>
        <w:tc>
          <w:tcPr>
            <w:tcW w:w="820" w:type="dxa"/>
            <w:tcBorders>
              <w:top w:val="nil"/>
              <w:left w:val="nil"/>
              <w:bottom w:val="nil"/>
              <w:right w:val="nil"/>
            </w:tcBorders>
            <w:shd w:val="clear" w:color="auto" w:fill="auto"/>
            <w:noWrap/>
            <w:hideMark/>
          </w:tcPr>
          <w:p w:rsidR="00E02AC1" w:rsidRPr="00E02AC1" w:rsidRDefault="00E02AC1" w:rsidP="00E02AC1">
            <w:pPr>
              <w:spacing w:after="0" w:line="240" w:lineRule="auto"/>
              <w:jc w:val="right"/>
              <w:rPr>
                <w:rFonts w:ascii="Arial" w:hAnsi="Arial" w:cs="Arial"/>
              </w:rPr>
            </w:pPr>
          </w:p>
        </w:tc>
        <w:tc>
          <w:tcPr>
            <w:tcW w:w="800" w:type="dxa"/>
            <w:tcBorders>
              <w:top w:val="nil"/>
              <w:left w:val="nil"/>
              <w:bottom w:val="nil"/>
              <w:right w:val="nil"/>
            </w:tcBorders>
            <w:shd w:val="clear" w:color="000000" w:fill="E6E6E6"/>
            <w:noWrap/>
            <w:hideMark/>
          </w:tcPr>
          <w:p w:rsidR="00E02AC1" w:rsidRPr="00E02AC1" w:rsidRDefault="00E02AC1" w:rsidP="00E02AC1">
            <w:pPr>
              <w:spacing w:after="0" w:line="240" w:lineRule="auto"/>
              <w:jc w:val="right"/>
              <w:rPr>
                <w:rFonts w:ascii="Arial" w:hAnsi="Arial" w:cs="Arial"/>
                <w:b/>
                <w:bCs/>
              </w:rPr>
            </w:pPr>
            <w:r w:rsidRPr="00E02AC1">
              <w:rPr>
                <w:rFonts w:ascii="Arial" w:hAnsi="Arial" w:cs="Arial"/>
                <w:b/>
                <w:bCs/>
              </w:rPr>
              <w:t> </w:t>
            </w:r>
          </w:p>
        </w:tc>
        <w:tc>
          <w:tcPr>
            <w:tcW w:w="820" w:type="dxa"/>
            <w:tcBorders>
              <w:top w:val="nil"/>
              <w:left w:val="nil"/>
              <w:bottom w:val="nil"/>
              <w:right w:val="nil"/>
            </w:tcBorders>
            <w:shd w:val="clear" w:color="auto" w:fill="auto"/>
            <w:noWrap/>
            <w:hideMark/>
          </w:tcPr>
          <w:p w:rsidR="00E02AC1" w:rsidRPr="00E02AC1" w:rsidRDefault="00E02AC1" w:rsidP="00E02AC1">
            <w:pPr>
              <w:spacing w:after="0" w:line="240" w:lineRule="auto"/>
              <w:jc w:val="right"/>
              <w:rPr>
                <w:rFonts w:ascii="Arial" w:hAnsi="Arial" w:cs="Arial"/>
                <w:b/>
                <w:bCs/>
              </w:rPr>
            </w:pPr>
          </w:p>
        </w:tc>
        <w:tc>
          <w:tcPr>
            <w:tcW w:w="820" w:type="dxa"/>
            <w:tcBorders>
              <w:top w:val="nil"/>
              <w:left w:val="nil"/>
              <w:bottom w:val="nil"/>
              <w:right w:val="nil"/>
            </w:tcBorders>
            <w:shd w:val="clear" w:color="auto" w:fill="auto"/>
            <w:noWrap/>
            <w:hideMark/>
          </w:tcPr>
          <w:p w:rsidR="00E02AC1" w:rsidRPr="00E02AC1" w:rsidRDefault="00E02AC1" w:rsidP="00E02AC1">
            <w:pPr>
              <w:spacing w:after="0" w:line="240" w:lineRule="auto"/>
              <w:jc w:val="right"/>
              <w:rPr>
                <w:rFonts w:ascii="Arial" w:hAnsi="Arial" w:cs="Arial"/>
                <w:b/>
                <w:bCs/>
              </w:rPr>
            </w:pPr>
          </w:p>
        </w:tc>
        <w:tc>
          <w:tcPr>
            <w:tcW w:w="820" w:type="dxa"/>
            <w:tcBorders>
              <w:top w:val="nil"/>
              <w:left w:val="nil"/>
              <w:bottom w:val="nil"/>
              <w:right w:val="nil"/>
            </w:tcBorders>
            <w:shd w:val="clear" w:color="auto" w:fill="auto"/>
            <w:noWrap/>
            <w:hideMark/>
          </w:tcPr>
          <w:p w:rsidR="00E02AC1" w:rsidRPr="00E02AC1" w:rsidRDefault="00E02AC1" w:rsidP="00E02AC1">
            <w:pPr>
              <w:spacing w:after="0" w:line="240" w:lineRule="auto"/>
              <w:jc w:val="right"/>
              <w:rPr>
                <w:rFonts w:ascii="Arial" w:hAnsi="Arial" w:cs="Arial"/>
                <w:b/>
                <w:bCs/>
              </w:rPr>
            </w:pPr>
          </w:p>
        </w:tc>
      </w:tr>
      <w:tr w:rsidR="00E02AC1" w:rsidRPr="00E02AC1" w:rsidTr="00E02AC1">
        <w:trPr>
          <w:trHeight w:val="222"/>
        </w:trPr>
        <w:tc>
          <w:tcPr>
            <w:tcW w:w="3040" w:type="dxa"/>
            <w:tcBorders>
              <w:top w:val="nil"/>
              <w:left w:val="nil"/>
              <w:bottom w:val="nil"/>
              <w:right w:val="nil"/>
            </w:tcBorders>
            <w:shd w:val="clear" w:color="auto" w:fill="auto"/>
            <w:noWrap/>
            <w:hideMark/>
          </w:tcPr>
          <w:p w:rsidR="00E02AC1" w:rsidRPr="00E02AC1" w:rsidRDefault="00E02AC1" w:rsidP="00E02AC1">
            <w:pPr>
              <w:spacing w:after="0" w:line="240" w:lineRule="auto"/>
              <w:ind w:firstLineChars="200" w:firstLine="320"/>
              <w:jc w:val="left"/>
              <w:rPr>
                <w:rFonts w:ascii="Arial" w:hAnsi="Arial" w:cs="Arial"/>
              </w:rPr>
            </w:pPr>
            <w:r w:rsidRPr="00E02AC1">
              <w:rPr>
                <w:rFonts w:ascii="Arial" w:hAnsi="Arial" w:cs="Arial"/>
              </w:rPr>
              <w:t>Other</w:t>
            </w:r>
          </w:p>
        </w:tc>
        <w:tc>
          <w:tcPr>
            <w:tcW w:w="820" w:type="dxa"/>
            <w:tcBorders>
              <w:top w:val="nil"/>
              <w:left w:val="nil"/>
              <w:bottom w:val="nil"/>
              <w:right w:val="nil"/>
            </w:tcBorders>
            <w:shd w:val="clear" w:color="auto" w:fill="auto"/>
            <w:noWrap/>
            <w:hideMark/>
          </w:tcPr>
          <w:p w:rsidR="00E02AC1" w:rsidRPr="00E02AC1" w:rsidRDefault="00E02AC1" w:rsidP="00E02AC1">
            <w:pPr>
              <w:spacing w:after="0" w:line="240" w:lineRule="auto"/>
              <w:jc w:val="right"/>
              <w:rPr>
                <w:rFonts w:ascii="Arial" w:hAnsi="Arial" w:cs="Arial"/>
              </w:rPr>
            </w:pPr>
            <w:r w:rsidRPr="00E02AC1">
              <w:rPr>
                <w:rFonts w:ascii="Arial" w:hAnsi="Arial" w:cs="Arial"/>
              </w:rPr>
              <w:t xml:space="preserve">156 </w:t>
            </w:r>
          </w:p>
        </w:tc>
        <w:tc>
          <w:tcPr>
            <w:tcW w:w="800" w:type="dxa"/>
            <w:tcBorders>
              <w:top w:val="nil"/>
              <w:left w:val="nil"/>
              <w:bottom w:val="nil"/>
              <w:right w:val="nil"/>
            </w:tcBorders>
            <w:shd w:val="clear" w:color="000000" w:fill="E6E6E6"/>
            <w:noWrap/>
            <w:hideMark/>
          </w:tcPr>
          <w:p w:rsidR="00E02AC1" w:rsidRPr="00E02AC1" w:rsidRDefault="00E02AC1" w:rsidP="00E02AC1">
            <w:pPr>
              <w:spacing w:after="0" w:line="240" w:lineRule="auto"/>
              <w:jc w:val="right"/>
              <w:rPr>
                <w:rFonts w:ascii="Arial" w:hAnsi="Arial" w:cs="Arial"/>
              </w:rPr>
            </w:pPr>
            <w:r w:rsidRPr="00E02AC1">
              <w:rPr>
                <w:rFonts w:ascii="Arial" w:hAnsi="Arial" w:cs="Arial"/>
              </w:rPr>
              <w:t xml:space="preserve">156 </w:t>
            </w:r>
          </w:p>
        </w:tc>
        <w:tc>
          <w:tcPr>
            <w:tcW w:w="820" w:type="dxa"/>
            <w:tcBorders>
              <w:top w:val="nil"/>
              <w:left w:val="nil"/>
              <w:bottom w:val="nil"/>
              <w:right w:val="nil"/>
            </w:tcBorders>
            <w:shd w:val="clear" w:color="auto" w:fill="auto"/>
            <w:noWrap/>
            <w:hideMark/>
          </w:tcPr>
          <w:p w:rsidR="00E02AC1" w:rsidRPr="00E02AC1" w:rsidRDefault="00E02AC1" w:rsidP="00E02AC1">
            <w:pPr>
              <w:spacing w:after="0" w:line="240" w:lineRule="auto"/>
              <w:jc w:val="right"/>
              <w:rPr>
                <w:rFonts w:ascii="Arial" w:hAnsi="Arial" w:cs="Arial"/>
              </w:rPr>
            </w:pPr>
            <w:r w:rsidRPr="00E02AC1">
              <w:rPr>
                <w:rFonts w:ascii="Arial" w:hAnsi="Arial" w:cs="Arial"/>
              </w:rPr>
              <w:t xml:space="preserve">156 </w:t>
            </w:r>
          </w:p>
        </w:tc>
        <w:tc>
          <w:tcPr>
            <w:tcW w:w="820" w:type="dxa"/>
            <w:tcBorders>
              <w:top w:val="nil"/>
              <w:left w:val="nil"/>
              <w:bottom w:val="nil"/>
              <w:right w:val="nil"/>
            </w:tcBorders>
            <w:shd w:val="clear" w:color="auto" w:fill="auto"/>
            <w:noWrap/>
            <w:hideMark/>
          </w:tcPr>
          <w:p w:rsidR="00E02AC1" w:rsidRPr="00E02AC1" w:rsidRDefault="00E02AC1" w:rsidP="00E02AC1">
            <w:pPr>
              <w:spacing w:after="0" w:line="240" w:lineRule="auto"/>
              <w:jc w:val="right"/>
              <w:rPr>
                <w:rFonts w:ascii="Arial" w:hAnsi="Arial" w:cs="Arial"/>
              </w:rPr>
            </w:pPr>
            <w:r w:rsidRPr="00E02AC1">
              <w:rPr>
                <w:rFonts w:ascii="Arial" w:hAnsi="Arial" w:cs="Arial"/>
              </w:rPr>
              <w:t xml:space="preserve">156 </w:t>
            </w:r>
          </w:p>
        </w:tc>
        <w:tc>
          <w:tcPr>
            <w:tcW w:w="820" w:type="dxa"/>
            <w:tcBorders>
              <w:top w:val="nil"/>
              <w:left w:val="nil"/>
              <w:bottom w:val="nil"/>
              <w:right w:val="nil"/>
            </w:tcBorders>
            <w:shd w:val="clear" w:color="auto" w:fill="auto"/>
            <w:noWrap/>
            <w:hideMark/>
          </w:tcPr>
          <w:p w:rsidR="00E02AC1" w:rsidRPr="00E02AC1" w:rsidRDefault="00E02AC1" w:rsidP="00E02AC1">
            <w:pPr>
              <w:spacing w:after="0" w:line="240" w:lineRule="auto"/>
              <w:jc w:val="right"/>
              <w:rPr>
                <w:rFonts w:ascii="Arial" w:hAnsi="Arial" w:cs="Arial"/>
              </w:rPr>
            </w:pPr>
            <w:r w:rsidRPr="00E02AC1">
              <w:rPr>
                <w:rFonts w:ascii="Arial" w:hAnsi="Arial" w:cs="Arial"/>
              </w:rPr>
              <w:t xml:space="preserve">156 </w:t>
            </w:r>
          </w:p>
        </w:tc>
      </w:tr>
      <w:tr w:rsidR="00E02AC1" w:rsidRPr="00E02AC1" w:rsidTr="00E02AC1">
        <w:trPr>
          <w:trHeight w:val="222"/>
        </w:trPr>
        <w:tc>
          <w:tcPr>
            <w:tcW w:w="3040" w:type="dxa"/>
            <w:tcBorders>
              <w:top w:val="nil"/>
              <w:left w:val="nil"/>
              <w:bottom w:val="nil"/>
              <w:right w:val="nil"/>
            </w:tcBorders>
            <w:shd w:val="clear" w:color="auto" w:fill="auto"/>
            <w:noWrap/>
            <w:hideMark/>
          </w:tcPr>
          <w:p w:rsidR="00E02AC1" w:rsidRPr="00E02AC1" w:rsidRDefault="00E02AC1" w:rsidP="00E02AC1">
            <w:pPr>
              <w:spacing w:after="0" w:line="240" w:lineRule="auto"/>
              <w:ind w:firstLineChars="100" w:firstLine="161"/>
              <w:jc w:val="left"/>
              <w:rPr>
                <w:rFonts w:ascii="Arial" w:hAnsi="Arial" w:cs="Arial"/>
                <w:b/>
                <w:bCs/>
              </w:rPr>
            </w:pPr>
            <w:r w:rsidRPr="00E02AC1">
              <w:rPr>
                <w:rFonts w:ascii="Arial" w:hAnsi="Arial" w:cs="Arial"/>
                <w:b/>
                <w:bCs/>
              </w:rPr>
              <w:t>Total gains</w:t>
            </w:r>
          </w:p>
        </w:tc>
        <w:tc>
          <w:tcPr>
            <w:tcW w:w="820" w:type="dxa"/>
            <w:tcBorders>
              <w:top w:val="single" w:sz="4" w:space="0" w:color="auto"/>
              <w:left w:val="nil"/>
              <w:bottom w:val="single" w:sz="4" w:space="0" w:color="auto"/>
              <w:right w:val="nil"/>
            </w:tcBorders>
            <w:shd w:val="clear" w:color="auto" w:fill="auto"/>
            <w:noWrap/>
            <w:hideMark/>
          </w:tcPr>
          <w:p w:rsidR="00E02AC1" w:rsidRPr="00E02AC1" w:rsidRDefault="00E02AC1" w:rsidP="00E02AC1">
            <w:pPr>
              <w:spacing w:after="0" w:line="240" w:lineRule="auto"/>
              <w:jc w:val="right"/>
              <w:rPr>
                <w:rFonts w:ascii="Arial" w:hAnsi="Arial" w:cs="Arial"/>
                <w:b/>
                <w:bCs/>
              </w:rPr>
            </w:pPr>
            <w:r w:rsidRPr="00E02AC1">
              <w:rPr>
                <w:rFonts w:ascii="Arial" w:hAnsi="Arial" w:cs="Arial"/>
                <w:b/>
                <w:bCs/>
              </w:rPr>
              <w:t xml:space="preserve">156 </w:t>
            </w:r>
          </w:p>
        </w:tc>
        <w:tc>
          <w:tcPr>
            <w:tcW w:w="800" w:type="dxa"/>
            <w:tcBorders>
              <w:top w:val="single" w:sz="4" w:space="0" w:color="auto"/>
              <w:left w:val="nil"/>
              <w:bottom w:val="single" w:sz="4" w:space="0" w:color="auto"/>
              <w:right w:val="nil"/>
            </w:tcBorders>
            <w:shd w:val="clear" w:color="000000" w:fill="E6E6E6"/>
            <w:noWrap/>
            <w:hideMark/>
          </w:tcPr>
          <w:p w:rsidR="00E02AC1" w:rsidRPr="00E02AC1" w:rsidRDefault="00E02AC1" w:rsidP="00E02AC1">
            <w:pPr>
              <w:spacing w:after="0" w:line="240" w:lineRule="auto"/>
              <w:jc w:val="right"/>
              <w:rPr>
                <w:rFonts w:ascii="Arial" w:hAnsi="Arial" w:cs="Arial"/>
                <w:b/>
                <w:bCs/>
              </w:rPr>
            </w:pPr>
            <w:r w:rsidRPr="00E02AC1">
              <w:rPr>
                <w:rFonts w:ascii="Arial" w:hAnsi="Arial" w:cs="Arial"/>
                <w:b/>
                <w:bCs/>
              </w:rPr>
              <w:t xml:space="preserve">156 </w:t>
            </w:r>
          </w:p>
        </w:tc>
        <w:tc>
          <w:tcPr>
            <w:tcW w:w="820" w:type="dxa"/>
            <w:tcBorders>
              <w:top w:val="single" w:sz="4" w:space="0" w:color="auto"/>
              <w:left w:val="nil"/>
              <w:bottom w:val="single" w:sz="4" w:space="0" w:color="auto"/>
              <w:right w:val="nil"/>
            </w:tcBorders>
            <w:shd w:val="clear" w:color="auto" w:fill="auto"/>
            <w:noWrap/>
            <w:hideMark/>
          </w:tcPr>
          <w:p w:rsidR="00E02AC1" w:rsidRPr="00E02AC1" w:rsidRDefault="00E02AC1" w:rsidP="00E02AC1">
            <w:pPr>
              <w:spacing w:after="0" w:line="240" w:lineRule="auto"/>
              <w:jc w:val="right"/>
              <w:rPr>
                <w:rFonts w:ascii="Arial" w:hAnsi="Arial" w:cs="Arial"/>
                <w:b/>
                <w:bCs/>
              </w:rPr>
            </w:pPr>
            <w:r w:rsidRPr="00E02AC1">
              <w:rPr>
                <w:rFonts w:ascii="Arial" w:hAnsi="Arial" w:cs="Arial"/>
                <w:b/>
                <w:bCs/>
              </w:rPr>
              <w:t xml:space="preserve">156 </w:t>
            </w:r>
          </w:p>
        </w:tc>
        <w:tc>
          <w:tcPr>
            <w:tcW w:w="820" w:type="dxa"/>
            <w:tcBorders>
              <w:top w:val="single" w:sz="4" w:space="0" w:color="auto"/>
              <w:left w:val="nil"/>
              <w:bottom w:val="single" w:sz="4" w:space="0" w:color="auto"/>
              <w:right w:val="nil"/>
            </w:tcBorders>
            <w:shd w:val="clear" w:color="auto" w:fill="auto"/>
            <w:noWrap/>
            <w:hideMark/>
          </w:tcPr>
          <w:p w:rsidR="00E02AC1" w:rsidRPr="00E02AC1" w:rsidRDefault="00E02AC1" w:rsidP="00E02AC1">
            <w:pPr>
              <w:spacing w:after="0" w:line="240" w:lineRule="auto"/>
              <w:jc w:val="right"/>
              <w:rPr>
                <w:rFonts w:ascii="Arial" w:hAnsi="Arial" w:cs="Arial"/>
                <w:b/>
                <w:bCs/>
              </w:rPr>
            </w:pPr>
            <w:r w:rsidRPr="00E02AC1">
              <w:rPr>
                <w:rFonts w:ascii="Arial" w:hAnsi="Arial" w:cs="Arial"/>
                <w:b/>
                <w:bCs/>
              </w:rPr>
              <w:t xml:space="preserve">156 </w:t>
            </w:r>
          </w:p>
        </w:tc>
        <w:tc>
          <w:tcPr>
            <w:tcW w:w="820" w:type="dxa"/>
            <w:tcBorders>
              <w:top w:val="single" w:sz="4" w:space="0" w:color="auto"/>
              <w:left w:val="nil"/>
              <w:bottom w:val="single" w:sz="4" w:space="0" w:color="auto"/>
              <w:right w:val="nil"/>
            </w:tcBorders>
            <w:shd w:val="clear" w:color="auto" w:fill="auto"/>
            <w:noWrap/>
            <w:hideMark/>
          </w:tcPr>
          <w:p w:rsidR="00E02AC1" w:rsidRPr="00E02AC1" w:rsidRDefault="00E02AC1" w:rsidP="00E02AC1">
            <w:pPr>
              <w:spacing w:after="0" w:line="240" w:lineRule="auto"/>
              <w:jc w:val="right"/>
              <w:rPr>
                <w:rFonts w:ascii="Arial" w:hAnsi="Arial" w:cs="Arial"/>
                <w:b/>
                <w:bCs/>
              </w:rPr>
            </w:pPr>
            <w:r w:rsidRPr="00E02AC1">
              <w:rPr>
                <w:rFonts w:ascii="Arial" w:hAnsi="Arial" w:cs="Arial"/>
                <w:b/>
                <w:bCs/>
              </w:rPr>
              <w:t xml:space="preserve">156 </w:t>
            </w:r>
          </w:p>
        </w:tc>
      </w:tr>
      <w:tr w:rsidR="00E02AC1" w:rsidRPr="00E02AC1" w:rsidTr="00E02AC1">
        <w:trPr>
          <w:trHeight w:val="222"/>
        </w:trPr>
        <w:tc>
          <w:tcPr>
            <w:tcW w:w="3040" w:type="dxa"/>
            <w:tcBorders>
              <w:top w:val="nil"/>
              <w:left w:val="nil"/>
              <w:bottom w:val="nil"/>
              <w:right w:val="nil"/>
            </w:tcBorders>
            <w:shd w:val="clear" w:color="auto" w:fill="auto"/>
            <w:noWrap/>
            <w:hideMark/>
          </w:tcPr>
          <w:p w:rsidR="00E02AC1" w:rsidRPr="00E02AC1" w:rsidRDefault="00E02AC1" w:rsidP="00E02AC1">
            <w:pPr>
              <w:spacing w:after="0" w:line="240" w:lineRule="auto"/>
              <w:jc w:val="left"/>
              <w:rPr>
                <w:rFonts w:ascii="Arial" w:hAnsi="Arial" w:cs="Arial"/>
                <w:b/>
                <w:bCs/>
              </w:rPr>
            </w:pPr>
            <w:r w:rsidRPr="00E02AC1">
              <w:rPr>
                <w:rFonts w:ascii="Arial" w:hAnsi="Arial" w:cs="Arial"/>
                <w:b/>
                <w:bCs/>
              </w:rPr>
              <w:t>Total own-source income</w:t>
            </w:r>
          </w:p>
        </w:tc>
        <w:tc>
          <w:tcPr>
            <w:tcW w:w="820" w:type="dxa"/>
            <w:tcBorders>
              <w:top w:val="nil"/>
              <w:left w:val="nil"/>
              <w:bottom w:val="single" w:sz="4" w:space="0" w:color="auto"/>
              <w:right w:val="nil"/>
            </w:tcBorders>
            <w:shd w:val="clear" w:color="auto" w:fill="auto"/>
            <w:noWrap/>
            <w:hideMark/>
          </w:tcPr>
          <w:p w:rsidR="00E02AC1" w:rsidRPr="00E02AC1" w:rsidRDefault="00E02AC1" w:rsidP="00E02AC1">
            <w:pPr>
              <w:spacing w:after="0" w:line="240" w:lineRule="auto"/>
              <w:jc w:val="right"/>
              <w:rPr>
                <w:rFonts w:ascii="Arial" w:hAnsi="Arial" w:cs="Arial"/>
                <w:b/>
                <w:bCs/>
              </w:rPr>
            </w:pPr>
            <w:r w:rsidRPr="00E02AC1">
              <w:rPr>
                <w:rFonts w:ascii="Arial" w:hAnsi="Arial" w:cs="Arial"/>
                <w:b/>
                <w:bCs/>
              </w:rPr>
              <w:t xml:space="preserve">49,817 </w:t>
            </w:r>
          </w:p>
        </w:tc>
        <w:tc>
          <w:tcPr>
            <w:tcW w:w="800" w:type="dxa"/>
            <w:tcBorders>
              <w:top w:val="nil"/>
              <w:left w:val="nil"/>
              <w:bottom w:val="single" w:sz="4" w:space="0" w:color="auto"/>
              <w:right w:val="nil"/>
            </w:tcBorders>
            <w:shd w:val="clear" w:color="000000" w:fill="E6E6E6"/>
            <w:noWrap/>
            <w:hideMark/>
          </w:tcPr>
          <w:p w:rsidR="00E02AC1" w:rsidRPr="00E02AC1" w:rsidRDefault="00E02AC1" w:rsidP="00E02AC1">
            <w:pPr>
              <w:spacing w:after="0" w:line="240" w:lineRule="auto"/>
              <w:jc w:val="right"/>
              <w:rPr>
                <w:rFonts w:ascii="Arial" w:hAnsi="Arial" w:cs="Arial"/>
                <w:b/>
                <w:bCs/>
              </w:rPr>
            </w:pPr>
            <w:r w:rsidRPr="00E02AC1">
              <w:rPr>
                <w:rFonts w:ascii="Arial" w:hAnsi="Arial" w:cs="Arial"/>
                <w:b/>
                <w:bCs/>
              </w:rPr>
              <w:t xml:space="preserve">62,816 </w:t>
            </w:r>
          </w:p>
        </w:tc>
        <w:tc>
          <w:tcPr>
            <w:tcW w:w="820" w:type="dxa"/>
            <w:tcBorders>
              <w:top w:val="nil"/>
              <w:left w:val="nil"/>
              <w:bottom w:val="single" w:sz="4" w:space="0" w:color="auto"/>
              <w:right w:val="nil"/>
            </w:tcBorders>
            <w:shd w:val="clear" w:color="auto" w:fill="auto"/>
            <w:noWrap/>
            <w:hideMark/>
          </w:tcPr>
          <w:p w:rsidR="00E02AC1" w:rsidRPr="00E02AC1" w:rsidRDefault="00E02AC1" w:rsidP="00E02AC1">
            <w:pPr>
              <w:spacing w:after="0" w:line="240" w:lineRule="auto"/>
              <w:jc w:val="right"/>
              <w:rPr>
                <w:rFonts w:ascii="Arial" w:hAnsi="Arial" w:cs="Arial"/>
                <w:b/>
                <w:bCs/>
              </w:rPr>
            </w:pPr>
            <w:r w:rsidRPr="00E02AC1">
              <w:rPr>
                <w:rFonts w:ascii="Arial" w:hAnsi="Arial" w:cs="Arial"/>
                <w:b/>
                <w:bCs/>
              </w:rPr>
              <w:t xml:space="preserve">67,527 </w:t>
            </w:r>
          </w:p>
        </w:tc>
        <w:tc>
          <w:tcPr>
            <w:tcW w:w="820" w:type="dxa"/>
            <w:tcBorders>
              <w:top w:val="nil"/>
              <w:left w:val="nil"/>
              <w:bottom w:val="single" w:sz="4" w:space="0" w:color="auto"/>
              <w:right w:val="nil"/>
            </w:tcBorders>
            <w:shd w:val="clear" w:color="auto" w:fill="auto"/>
            <w:noWrap/>
            <w:hideMark/>
          </w:tcPr>
          <w:p w:rsidR="00E02AC1" w:rsidRPr="00E02AC1" w:rsidRDefault="00E02AC1" w:rsidP="00E02AC1">
            <w:pPr>
              <w:spacing w:after="0" w:line="240" w:lineRule="auto"/>
              <w:jc w:val="right"/>
              <w:rPr>
                <w:rFonts w:ascii="Arial" w:hAnsi="Arial" w:cs="Arial"/>
                <w:b/>
                <w:bCs/>
              </w:rPr>
            </w:pPr>
            <w:r w:rsidRPr="00E02AC1">
              <w:rPr>
                <w:rFonts w:ascii="Arial" w:hAnsi="Arial" w:cs="Arial"/>
                <w:b/>
                <w:bCs/>
              </w:rPr>
              <w:t xml:space="preserve">69,666 </w:t>
            </w:r>
          </w:p>
        </w:tc>
        <w:tc>
          <w:tcPr>
            <w:tcW w:w="820" w:type="dxa"/>
            <w:tcBorders>
              <w:top w:val="nil"/>
              <w:left w:val="nil"/>
              <w:bottom w:val="single" w:sz="4" w:space="0" w:color="auto"/>
              <w:right w:val="nil"/>
            </w:tcBorders>
            <w:shd w:val="clear" w:color="auto" w:fill="auto"/>
            <w:noWrap/>
            <w:hideMark/>
          </w:tcPr>
          <w:p w:rsidR="00E02AC1" w:rsidRPr="00E02AC1" w:rsidRDefault="00E02AC1" w:rsidP="00E02AC1">
            <w:pPr>
              <w:spacing w:after="0" w:line="240" w:lineRule="auto"/>
              <w:jc w:val="right"/>
              <w:rPr>
                <w:rFonts w:ascii="Arial" w:hAnsi="Arial" w:cs="Arial"/>
                <w:b/>
                <w:bCs/>
              </w:rPr>
            </w:pPr>
            <w:r w:rsidRPr="00E02AC1">
              <w:rPr>
                <w:rFonts w:ascii="Arial" w:hAnsi="Arial" w:cs="Arial"/>
                <w:b/>
                <w:bCs/>
              </w:rPr>
              <w:t xml:space="preserve">71,568 </w:t>
            </w:r>
          </w:p>
        </w:tc>
      </w:tr>
      <w:tr w:rsidR="00E02AC1" w:rsidRPr="00E02AC1" w:rsidTr="00E02AC1">
        <w:trPr>
          <w:trHeight w:val="222"/>
        </w:trPr>
        <w:tc>
          <w:tcPr>
            <w:tcW w:w="3040" w:type="dxa"/>
            <w:tcBorders>
              <w:top w:val="nil"/>
              <w:left w:val="nil"/>
              <w:bottom w:val="nil"/>
              <w:right w:val="nil"/>
            </w:tcBorders>
            <w:shd w:val="clear" w:color="auto" w:fill="auto"/>
            <w:vAlign w:val="bottom"/>
            <w:hideMark/>
          </w:tcPr>
          <w:p w:rsidR="00E02AC1" w:rsidRPr="00E02AC1" w:rsidRDefault="00E02AC1" w:rsidP="00E02AC1">
            <w:pPr>
              <w:spacing w:after="0" w:line="240" w:lineRule="auto"/>
              <w:jc w:val="left"/>
              <w:rPr>
                <w:rFonts w:ascii="Arial" w:hAnsi="Arial" w:cs="Arial"/>
                <w:b/>
                <w:bCs/>
                <w:color w:val="000000"/>
              </w:rPr>
            </w:pPr>
            <w:r w:rsidRPr="00E02AC1">
              <w:rPr>
                <w:rFonts w:ascii="Arial" w:hAnsi="Arial" w:cs="Arial"/>
                <w:b/>
                <w:bCs/>
                <w:color w:val="000000"/>
              </w:rPr>
              <w:t xml:space="preserve">Net (cost of)/contribution </w:t>
            </w:r>
          </w:p>
        </w:tc>
        <w:tc>
          <w:tcPr>
            <w:tcW w:w="82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b/>
                <w:bCs/>
                <w:color w:val="000000"/>
              </w:rPr>
            </w:pPr>
          </w:p>
        </w:tc>
        <w:tc>
          <w:tcPr>
            <w:tcW w:w="800" w:type="dxa"/>
            <w:tcBorders>
              <w:top w:val="single" w:sz="4" w:space="0" w:color="auto"/>
              <w:left w:val="nil"/>
              <w:bottom w:val="nil"/>
              <w:right w:val="nil"/>
            </w:tcBorders>
            <w:shd w:val="clear" w:color="000000" w:fill="E6E6E6"/>
            <w:noWrap/>
            <w:vAlign w:val="bottom"/>
            <w:hideMark/>
          </w:tcPr>
          <w:p w:rsidR="00E02AC1" w:rsidRPr="00E02AC1" w:rsidRDefault="00E02AC1" w:rsidP="00E02AC1">
            <w:pPr>
              <w:spacing w:after="0" w:line="240" w:lineRule="auto"/>
              <w:jc w:val="right"/>
              <w:rPr>
                <w:rFonts w:ascii="Arial" w:hAnsi="Arial" w:cs="Arial"/>
                <w:b/>
                <w:bCs/>
              </w:rPr>
            </w:pPr>
            <w:r w:rsidRPr="00E02AC1">
              <w:rPr>
                <w:rFonts w:ascii="Arial" w:hAnsi="Arial" w:cs="Arial"/>
                <w:b/>
                <w:bCs/>
              </w:rPr>
              <w:t> </w:t>
            </w:r>
          </w:p>
        </w:tc>
        <w:tc>
          <w:tcPr>
            <w:tcW w:w="82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b/>
                <w:bCs/>
                <w:color w:val="000000"/>
              </w:rPr>
            </w:pPr>
          </w:p>
        </w:tc>
        <w:tc>
          <w:tcPr>
            <w:tcW w:w="82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b/>
                <w:bCs/>
                <w:color w:val="000000"/>
              </w:rPr>
            </w:pPr>
          </w:p>
        </w:tc>
        <w:tc>
          <w:tcPr>
            <w:tcW w:w="82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b/>
                <w:bCs/>
                <w:color w:val="000000"/>
              </w:rPr>
            </w:pPr>
          </w:p>
        </w:tc>
      </w:tr>
      <w:tr w:rsidR="00E02AC1" w:rsidRPr="00E02AC1" w:rsidTr="00E02AC1">
        <w:trPr>
          <w:trHeight w:val="222"/>
        </w:trPr>
        <w:tc>
          <w:tcPr>
            <w:tcW w:w="3040" w:type="dxa"/>
            <w:tcBorders>
              <w:top w:val="nil"/>
              <w:left w:val="nil"/>
              <w:bottom w:val="nil"/>
              <w:right w:val="nil"/>
            </w:tcBorders>
            <w:shd w:val="clear" w:color="auto" w:fill="auto"/>
            <w:noWrap/>
            <w:vAlign w:val="bottom"/>
            <w:hideMark/>
          </w:tcPr>
          <w:p w:rsidR="00E02AC1" w:rsidRPr="00E02AC1" w:rsidRDefault="00E02AC1" w:rsidP="00E02AC1">
            <w:pPr>
              <w:spacing w:after="0" w:line="240" w:lineRule="auto"/>
              <w:ind w:firstLineChars="100" w:firstLine="161"/>
              <w:jc w:val="left"/>
              <w:rPr>
                <w:rFonts w:ascii="Arial" w:hAnsi="Arial" w:cs="Arial"/>
                <w:b/>
                <w:bCs/>
                <w:color w:val="000000"/>
              </w:rPr>
            </w:pPr>
            <w:r w:rsidRPr="00E02AC1">
              <w:rPr>
                <w:rFonts w:ascii="Arial" w:hAnsi="Arial" w:cs="Arial"/>
                <w:b/>
                <w:bCs/>
                <w:color w:val="000000"/>
              </w:rPr>
              <w:t>by services</w:t>
            </w:r>
          </w:p>
        </w:tc>
        <w:tc>
          <w:tcPr>
            <w:tcW w:w="820" w:type="dxa"/>
            <w:tcBorders>
              <w:top w:val="nil"/>
              <w:left w:val="nil"/>
              <w:bottom w:val="single" w:sz="4" w:space="0" w:color="auto"/>
              <w:right w:val="nil"/>
            </w:tcBorders>
            <w:shd w:val="clear" w:color="auto" w:fill="auto"/>
            <w:noWrap/>
            <w:vAlign w:val="bottom"/>
            <w:hideMark/>
          </w:tcPr>
          <w:p w:rsidR="00E02AC1" w:rsidRPr="00E02AC1" w:rsidRDefault="00E02AC1" w:rsidP="00E02AC1">
            <w:pPr>
              <w:spacing w:after="0" w:line="240" w:lineRule="auto"/>
              <w:jc w:val="right"/>
              <w:rPr>
                <w:rFonts w:ascii="Arial" w:hAnsi="Arial" w:cs="Arial"/>
                <w:b/>
                <w:bCs/>
              </w:rPr>
            </w:pPr>
            <w:r w:rsidRPr="00E02AC1">
              <w:rPr>
                <w:rFonts w:ascii="Arial" w:hAnsi="Arial" w:cs="Arial"/>
                <w:b/>
                <w:bCs/>
              </w:rPr>
              <w:t xml:space="preserve">- </w:t>
            </w:r>
          </w:p>
        </w:tc>
        <w:tc>
          <w:tcPr>
            <w:tcW w:w="800" w:type="dxa"/>
            <w:tcBorders>
              <w:top w:val="nil"/>
              <w:left w:val="nil"/>
              <w:bottom w:val="single" w:sz="4" w:space="0" w:color="auto"/>
              <w:right w:val="nil"/>
            </w:tcBorders>
            <w:shd w:val="clear" w:color="000000" w:fill="E6E6E6"/>
            <w:noWrap/>
            <w:vAlign w:val="bottom"/>
            <w:hideMark/>
          </w:tcPr>
          <w:p w:rsidR="00E02AC1" w:rsidRPr="00E02AC1" w:rsidRDefault="00E02AC1" w:rsidP="00E02AC1">
            <w:pPr>
              <w:spacing w:after="0" w:line="240" w:lineRule="auto"/>
              <w:jc w:val="right"/>
              <w:rPr>
                <w:rFonts w:ascii="Arial" w:hAnsi="Arial" w:cs="Arial"/>
                <w:b/>
                <w:bCs/>
              </w:rPr>
            </w:pPr>
            <w:r w:rsidRPr="00E02AC1">
              <w:rPr>
                <w:rFonts w:ascii="Arial" w:hAnsi="Arial" w:cs="Arial"/>
                <w:b/>
                <w:bCs/>
              </w:rPr>
              <w:t xml:space="preserve">- </w:t>
            </w:r>
          </w:p>
        </w:tc>
        <w:tc>
          <w:tcPr>
            <w:tcW w:w="820" w:type="dxa"/>
            <w:tcBorders>
              <w:top w:val="nil"/>
              <w:left w:val="nil"/>
              <w:bottom w:val="single" w:sz="4" w:space="0" w:color="auto"/>
              <w:right w:val="nil"/>
            </w:tcBorders>
            <w:shd w:val="clear" w:color="auto" w:fill="auto"/>
            <w:noWrap/>
            <w:vAlign w:val="bottom"/>
            <w:hideMark/>
          </w:tcPr>
          <w:p w:rsidR="00E02AC1" w:rsidRPr="00E02AC1" w:rsidRDefault="00E02AC1" w:rsidP="00E02AC1">
            <w:pPr>
              <w:spacing w:after="0" w:line="240" w:lineRule="auto"/>
              <w:jc w:val="right"/>
              <w:rPr>
                <w:rFonts w:ascii="Arial" w:hAnsi="Arial" w:cs="Arial"/>
                <w:b/>
                <w:bCs/>
              </w:rPr>
            </w:pPr>
            <w:r w:rsidRPr="00E02AC1">
              <w:rPr>
                <w:rFonts w:ascii="Arial" w:hAnsi="Arial" w:cs="Arial"/>
                <w:b/>
                <w:bCs/>
              </w:rPr>
              <w:t xml:space="preserve">- </w:t>
            </w:r>
          </w:p>
        </w:tc>
        <w:tc>
          <w:tcPr>
            <w:tcW w:w="820" w:type="dxa"/>
            <w:tcBorders>
              <w:top w:val="nil"/>
              <w:left w:val="nil"/>
              <w:bottom w:val="single" w:sz="4" w:space="0" w:color="auto"/>
              <w:right w:val="nil"/>
            </w:tcBorders>
            <w:shd w:val="clear" w:color="auto" w:fill="auto"/>
            <w:noWrap/>
            <w:vAlign w:val="bottom"/>
            <w:hideMark/>
          </w:tcPr>
          <w:p w:rsidR="00E02AC1" w:rsidRPr="00E02AC1" w:rsidRDefault="00E02AC1" w:rsidP="00E02AC1">
            <w:pPr>
              <w:spacing w:after="0" w:line="240" w:lineRule="auto"/>
              <w:jc w:val="right"/>
              <w:rPr>
                <w:rFonts w:ascii="Arial" w:hAnsi="Arial" w:cs="Arial"/>
                <w:b/>
                <w:bCs/>
              </w:rPr>
            </w:pPr>
            <w:r w:rsidRPr="00E02AC1">
              <w:rPr>
                <w:rFonts w:ascii="Arial" w:hAnsi="Arial" w:cs="Arial"/>
                <w:b/>
                <w:bCs/>
              </w:rPr>
              <w:t xml:space="preserve">- </w:t>
            </w:r>
          </w:p>
        </w:tc>
        <w:tc>
          <w:tcPr>
            <w:tcW w:w="820" w:type="dxa"/>
            <w:tcBorders>
              <w:top w:val="nil"/>
              <w:left w:val="nil"/>
              <w:bottom w:val="single" w:sz="4" w:space="0" w:color="auto"/>
              <w:right w:val="nil"/>
            </w:tcBorders>
            <w:shd w:val="clear" w:color="auto" w:fill="auto"/>
            <w:noWrap/>
            <w:vAlign w:val="bottom"/>
            <w:hideMark/>
          </w:tcPr>
          <w:p w:rsidR="00E02AC1" w:rsidRPr="00E02AC1" w:rsidRDefault="00E02AC1" w:rsidP="00E02AC1">
            <w:pPr>
              <w:spacing w:after="0" w:line="240" w:lineRule="auto"/>
              <w:jc w:val="right"/>
              <w:rPr>
                <w:rFonts w:ascii="Arial" w:hAnsi="Arial" w:cs="Arial"/>
                <w:b/>
                <w:bCs/>
              </w:rPr>
            </w:pPr>
            <w:r w:rsidRPr="00E02AC1">
              <w:rPr>
                <w:rFonts w:ascii="Arial" w:hAnsi="Arial" w:cs="Arial"/>
                <w:b/>
                <w:bCs/>
              </w:rPr>
              <w:t xml:space="preserve">- </w:t>
            </w:r>
          </w:p>
        </w:tc>
      </w:tr>
      <w:tr w:rsidR="00E02AC1" w:rsidRPr="00E02AC1" w:rsidTr="00E02AC1">
        <w:trPr>
          <w:trHeight w:val="222"/>
        </w:trPr>
        <w:tc>
          <w:tcPr>
            <w:tcW w:w="3040" w:type="dxa"/>
            <w:tcBorders>
              <w:top w:val="nil"/>
              <w:left w:val="nil"/>
              <w:bottom w:val="nil"/>
              <w:right w:val="nil"/>
            </w:tcBorders>
            <w:shd w:val="clear" w:color="auto" w:fill="auto"/>
            <w:vAlign w:val="bottom"/>
            <w:hideMark/>
          </w:tcPr>
          <w:p w:rsidR="00E02AC1" w:rsidRPr="00E02AC1" w:rsidRDefault="00E02AC1" w:rsidP="00E02AC1">
            <w:pPr>
              <w:spacing w:after="0" w:line="240" w:lineRule="auto"/>
              <w:jc w:val="left"/>
              <w:rPr>
                <w:rFonts w:ascii="Arial" w:hAnsi="Arial" w:cs="Arial"/>
                <w:b/>
                <w:bCs/>
              </w:rPr>
            </w:pPr>
            <w:r w:rsidRPr="00E02AC1">
              <w:rPr>
                <w:rFonts w:ascii="Arial" w:hAnsi="Arial" w:cs="Arial"/>
                <w:b/>
                <w:bCs/>
              </w:rPr>
              <w:t xml:space="preserve">Surplus (deficit) attributable to </w:t>
            </w:r>
          </w:p>
        </w:tc>
        <w:tc>
          <w:tcPr>
            <w:tcW w:w="82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b/>
                <w:bCs/>
                <w:color w:val="000000"/>
              </w:rPr>
            </w:pPr>
          </w:p>
        </w:tc>
        <w:tc>
          <w:tcPr>
            <w:tcW w:w="800" w:type="dxa"/>
            <w:tcBorders>
              <w:top w:val="nil"/>
              <w:left w:val="nil"/>
              <w:bottom w:val="nil"/>
              <w:right w:val="nil"/>
            </w:tcBorders>
            <w:shd w:val="clear" w:color="000000" w:fill="E6E6E6"/>
            <w:noWrap/>
            <w:vAlign w:val="bottom"/>
            <w:hideMark/>
          </w:tcPr>
          <w:p w:rsidR="00E02AC1" w:rsidRPr="00E02AC1" w:rsidRDefault="00E02AC1" w:rsidP="00E02AC1">
            <w:pPr>
              <w:spacing w:after="0" w:line="240" w:lineRule="auto"/>
              <w:jc w:val="right"/>
              <w:rPr>
                <w:rFonts w:ascii="Arial" w:hAnsi="Arial" w:cs="Arial"/>
                <w:b/>
                <w:bCs/>
              </w:rPr>
            </w:pPr>
            <w:r w:rsidRPr="00E02AC1">
              <w:rPr>
                <w:rFonts w:ascii="Arial" w:hAnsi="Arial" w:cs="Arial"/>
                <w:b/>
                <w:bCs/>
              </w:rPr>
              <w:t> </w:t>
            </w:r>
          </w:p>
        </w:tc>
        <w:tc>
          <w:tcPr>
            <w:tcW w:w="82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b/>
                <w:bCs/>
                <w:color w:val="000000"/>
              </w:rPr>
            </w:pPr>
          </w:p>
        </w:tc>
        <w:tc>
          <w:tcPr>
            <w:tcW w:w="82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b/>
                <w:bCs/>
                <w:color w:val="000000"/>
              </w:rPr>
            </w:pPr>
          </w:p>
        </w:tc>
        <w:tc>
          <w:tcPr>
            <w:tcW w:w="82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b/>
                <w:bCs/>
                <w:color w:val="000000"/>
              </w:rPr>
            </w:pPr>
          </w:p>
        </w:tc>
      </w:tr>
      <w:tr w:rsidR="00E02AC1" w:rsidRPr="00E02AC1" w:rsidTr="00E02AC1">
        <w:trPr>
          <w:trHeight w:val="222"/>
        </w:trPr>
        <w:tc>
          <w:tcPr>
            <w:tcW w:w="3040" w:type="dxa"/>
            <w:tcBorders>
              <w:top w:val="nil"/>
              <w:left w:val="nil"/>
              <w:bottom w:val="nil"/>
              <w:right w:val="nil"/>
            </w:tcBorders>
            <w:shd w:val="clear" w:color="auto" w:fill="auto"/>
            <w:vAlign w:val="bottom"/>
            <w:hideMark/>
          </w:tcPr>
          <w:p w:rsidR="00E02AC1" w:rsidRPr="00E02AC1" w:rsidRDefault="00E02AC1" w:rsidP="00E02AC1">
            <w:pPr>
              <w:spacing w:after="0" w:line="240" w:lineRule="auto"/>
              <w:ind w:firstLineChars="100" w:firstLine="161"/>
              <w:jc w:val="left"/>
              <w:rPr>
                <w:rFonts w:ascii="Arial" w:hAnsi="Arial" w:cs="Arial"/>
                <w:b/>
                <w:bCs/>
              </w:rPr>
            </w:pPr>
            <w:r w:rsidRPr="00E02AC1">
              <w:rPr>
                <w:rFonts w:ascii="Arial" w:hAnsi="Arial" w:cs="Arial"/>
                <w:b/>
                <w:bCs/>
              </w:rPr>
              <w:t>the Australian Government</w:t>
            </w:r>
          </w:p>
        </w:tc>
        <w:tc>
          <w:tcPr>
            <w:tcW w:w="820" w:type="dxa"/>
            <w:tcBorders>
              <w:top w:val="nil"/>
              <w:left w:val="nil"/>
              <w:bottom w:val="single" w:sz="4" w:space="0" w:color="auto"/>
              <w:right w:val="nil"/>
            </w:tcBorders>
            <w:shd w:val="clear" w:color="auto" w:fill="auto"/>
            <w:noWrap/>
            <w:vAlign w:val="bottom"/>
            <w:hideMark/>
          </w:tcPr>
          <w:p w:rsidR="00E02AC1" w:rsidRPr="00E02AC1" w:rsidRDefault="00E02AC1" w:rsidP="00E02AC1">
            <w:pPr>
              <w:spacing w:after="0" w:line="240" w:lineRule="auto"/>
              <w:jc w:val="right"/>
              <w:rPr>
                <w:rFonts w:ascii="Arial" w:hAnsi="Arial" w:cs="Arial"/>
                <w:b/>
                <w:bCs/>
              </w:rPr>
            </w:pPr>
            <w:r w:rsidRPr="00E02AC1">
              <w:rPr>
                <w:rFonts w:ascii="Arial" w:hAnsi="Arial" w:cs="Arial"/>
                <w:b/>
                <w:bCs/>
              </w:rPr>
              <w:t xml:space="preserve">- </w:t>
            </w:r>
          </w:p>
        </w:tc>
        <w:tc>
          <w:tcPr>
            <w:tcW w:w="800" w:type="dxa"/>
            <w:tcBorders>
              <w:top w:val="nil"/>
              <w:left w:val="nil"/>
              <w:bottom w:val="single" w:sz="4" w:space="0" w:color="auto"/>
              <w:right w:val="nil"/>
            </w:tcBorders>
            <w:shd w:val="clear" w:color="000000" w:fill="E6E6E6"/>
            <w:noWrap/>
            <w:vAlign w:val="bottom"/>
            <w:hideMark/>
          </w:tcPr>
          <w:p w:rsidR="00E02AC1" w:rsidRPr="00E02AC1" w:rsidRDefault="00E02AC1" w:rsidP="00E02AC1">
            <w:pPr>
              <w:spacing w:after="0" w:line="240" w:lineRule="auto"/>
              <w:jc w:val="right"/>
              <w:rPr>
                <w:rFonts w:ascii="Arial" w:hAnsi="Arial" w:cs="Arial"/>
                <w:b/>
                <w:bCs/>
              </w:rPr>
            </w:pPr>
            <w:r w:rsidRPr="00E02AC1">
              <w:rPr>
                <w:rFonts w:ascii="Arial" w:hAnsi="Arial" w:cs="Arial"/>
                <w:b/>
                <w:bCs/>
              </w:rPr>
              <w:t xml:space="preserve">- </w:t>
            </w:r>
          </w:p>
        </w:tc>
        <w:tc>
          <w:tcPr>
            <w:tcW w:w="820" w:type="dxa"/>
            <w:tcBorders>
              <w:top w:val="nil"/>
              <w:left w:val="nil"/>
              <w:bottom w:val="single" w:sz="4" w:space="0" w:color="auto"/>
              <w:right w:val="nil"/>
            </w:tcBorders>
            <w:shd w:val="clear" w:color="auto" w:fill="auto"/>
            <w:noWrap/>
            <w:vAlign w:val="bottom"/>
            <w:hideMark/>
          </w:tcPr>
          <w:p w:rsidR="00E02AC1" w:rsidRPr="00E02AC1" w:rsidRDefault="00E02AC1" w:rsidP="00E02AC1">
            <w:pPr>
              <w:spacing w:after="0" w:line="240" w:lineRule="auto"/>
              <w:jc w:val="right"/>
              <w:rPr>
                <w:rFonts w:ascii="Arial" w:hAnsi="Arial" w:cs="Arial"/>
                <w:b/>
                <w:bCs/>
              </w:rPr>
            </w:pPr>
            <w:r w:rsidRPr="00E02AC1">
              <w:rPr>
                <w:rFonts w:ascii="Arial" w:hAnsi="Arial" w:cs="Arial"/>
                <w:b/>
                <w:bCs/>
              </w:rPr>
              <w:t xml:space="preserve">- </w:t>
            </w:r>
          </w:p>
        </w:tc>
        <w:tc>
          <w:tcPr>
            <w:tcW w:w="820" w:type="dxa"/>
            <w:tcBorders>
              <w:top w:val="nil"/>
              <w:left w:val="nil"/>
              <w:bottom w:val="single" w:sz="4" w:space="0" w:color="auto"/>
              <w:right w:val="nil"/>
            </w:tcBorders>
            <w:shd w:val="clear" w:color="auto" w:fill="auto"/>
            <w:noWrap/>
            <w:vAlign w:val="bottom"/>
            <w:hideMark/>
          </w:tcPr>
          <w:p w:rsidR="00E02AC1" w:rsidRPr="00E02AC1" w:rsidRDefault="00E02AC1" w:rsidP="00E02AC1">
            <w:pPr>
              <w:spacing w:after="0" w:line="240" w:lineRule="auto"/>
              <w:jc w:val="right"/>
              <w:rPr>
                <w:rFonts w:ascii="Arial" w:hAnsi="Arial" w:cs="Arial"/>
                <w:b/>
                <w:bCs/>
              </w:rPr>
            </w:pPr>
            <w:r w:rsidRPr="00E02AC1">
              <w:rPr>
                <w:rFonts w:ascii="Arial" w:hAnsi="Arial" w:cs="Arial"/>
                <w:b/>
                <w:bCs/>
              </w:rPr>
              <w:t xml:space="preserve">- </w:t>
            </w:r>
          </w:p>
        </w:tc>
        <w:tc>
          <w:tcPr>
            <w:tcW w:w="820" w:type="dxa"/>
            <w:tcBorders>
              <w:top w:val="nil"/>
              <w:left w:val="nil"/>
              <w:bottom w:val="single" w:sz="4" w:space="0" w:color="auto"/>
              <w:right w:val="nil"/>
            </w:tcBorders>
            <w:shd w:val="clear" w:color="auto" w:fill="auto"/>
            <w:noWrap/>
            <w:vAlign w:val="bottom"/>
            <w:hideMark/>
          </w:tcPr>
          <w:p w:rsidR="00E02AC1" w:rsidRPr="00E02AC1" w:rsidRDefault="00E02AC1" w:rsidP="00E02AC1">
            <w:pPr>
              <w:spacing w:after="0" w:line="240" w:lineRule="auto"/>
              <w:jc w:val="right"/>
              <w:rPr>
                <w:rFonts w:ascii="Arial" w:hAnsi="Arial" w:cs="Arial"/>
                <w:b/>
                <w:bCs/>
              </w:rPr>
            </w:pPr>
            <w:r w:rsidRPr="00E02AC1">
              <w:rPr>
                <w:rFonts w:ascii="Arial" w:hAnsi="Arial" w:cs="Arial"/>
                <w:b/>
                <w:bCs/>
              </w:rPr>
              <w:t xml:space="preserve">- </w:t>
            </w:r>
          </w:p>
        </w:tc>
      </w:tr>
      <w:tr w:rsidR="00E02AC1" w:rsidRPr="00E02AC1" w:rsidTr="00E02AC1">
        <w:trPr>
          <w:trHeight w:val="222"/>
        </w:trPr>
        <w:tc>
          <w:tcPr>
            <w:tcW w:w="3040" w:type="dxa"/>
            <w:tcBorders>
              <w:top w:val="nil"/>
              <w:left w:val="nil"/>
              <w:bottom w:val="nil"/>
              <w:right w:val="nil"/>
            </w:tcBorders>
            <w:shd w:val="clear" w:color="auto" w:fill="auto"/>
            <w:vAlign w:val="bottom"/>
            <w:hideMark/>
          </w:tcPr>
          <w:p w:rsidR="00E02AC1" w:rsidRPr="00E02AC1" w:rsidRDefault="00E02AC1" w:rsidP="00E02AC1">
            <w:pPr>
              <w:spacing w:after="0" w:line="240" w:lineRule="auto"/>
              <w:jc w:val="left"/>
              <w:rPr>
                <w:rFonts w:ascii="Arial" w:hAnsi="Arial" w:cs="Arial"/>
                <w:b/>
                <w:bCs/>
              </w:rPr>
            </w:pPr>
            <w:r w:rsidRPr="00E02AC1">
              <w:rPr>
                <w:rFonts w:ascii="Arial" w:hAnsi="Arial" w:cs="Arial"/>
                <w:b/>
                <w:bCs/>
              </w:rPr>
              <w:t>Total comprehensive income</w:t>
            </w:r>
          </w:p>
        </w:tc>
        <w:tc>
          <w:tcPr>
            <w:tcW w:w="82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color w:val="000000"/>
              </w:rPr>
            </w:pPr>
            <w:r w:rsidRPr="00E02AC1">
              <w:rPr>
                <w:rFonts w:ascii="Arial" w:hAnsi="Arial" w:cs="Arial"/>
                <w:color w:val="000000"/>
              </w:rPr>
              <w:t> </w:t>
            </w:r>
          </w:p>
        </w:tc>
        <w:tc>
          <w:tcPr>
            <w:tcW w:w="800" w:type="dxa"/>
            <w:tcBorders>
              <w:top w:val="nil"/>
              <w:left w:val="nil"/>
              <w:bottom w:val="nil"/>
              <w:right w:val="nil"/>
            </w:tcBorders>
            <w:shd w:val="clear" w:color="000000" w:fill="E6E6E6"/>
            <w:noWrap/>
            <w:vAlign w:val="bottom"/>
            <w:hideMark/>
          </w:tcPr>
          <w:p w:rsidR="00E02AC1" w:rsidRPr="00E02AC1" w:rsidRDefault="00E02AC1" w:rsidP="00E02AC1">
            <w:pPr>
              <w:spacing w:after="0" w:line="240" w:lineRule="auto"/>
              <w:jc w:val="right"/>
              <w:rPr>
                <w:rFonts w:ascii="Arial" w:hAnsi="Arial" w:cs="Arial"/>
                <w:b/>
                <w:bCs/>
              </w:rPr>
            </w:pPr>
            <w:r w:rsidRPr="00E02AC1">
              <w:rPr>
                <w:rFonts w:ascii="Arial" w:hAnsi="Arial" w:cs="Arial"/>
                <w:b/>
                <w:bCs/>
              </w:rPr>
              <w:t> </w:t>
            </w:r>
          </w:p>
        </w:tc>
        <w:tc>
          <w:tcPr>
            <w:tcW w:w="82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color w:val="000000"/>
              </w:rPr>
            </w:pPr>
            <w:r w:rsidRPr="00E02AC1">
              <w:rPr>
                <w:rFonts w:ascii="Arial" w:hAnsi="Arial" w:cs="Arial"/>
                <w:color w:val="000000"/>
              </w:rPr>
              <w:t> </w:t>
            </w:r>
          </w:p>
        </w:tc>
        <w:tc>
          <w:tcPr>
            <w:tcW w:w="82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color w:val="000000"/>
              </w:rPr>
            </w:pPr>
            <w:r w:rsidRPr="00E02AC1">
              <w:rPr>
                <w:rFonts w:ascii="Arial" w:hAnsi="Arial" w:cs="Arial"/>
                <w:color w:val="000000"/>
              </w:rPr>
              <w:t> </w:t>
            </w:r>
          </w:p>
        </w:tc>
        <w:tc>
          <w:tcPr>
            <w:tcW w:w="82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color w:val="000000"/>
              </w:rPr>
            </w:pPr>
            <w:r w:rsidRPr="00E02AC1">
              <w:rPr>
                <w:rFonts w:ascii="Arial" w:hAnsi="Arial" w:cs="Arial"/>
                <w:color w:val="000000"/>
              </w:rPr>
              <w:t> </w:t>
            </w:r>
          </w:p>
        </w:tc>
      </w:tr>
      <w:tr w:rsidR="00E02AC1" w:rsidRPr="00E02AC1" w:rsidTr="00E02AC1">
        <w:trPr>
          <w:trHeight w:val="222"/>
        </w:trPr>
        <w:tc>
          <w:tcPr>
            <w:tcW w:w="3860" w:type="dxa"/>
            <w:gridSpan w:val="2"/>
            <w:tcBorders>
              <w:top w:val="nil"/>
              <w:left w:val="nil"/>
              <w:bottom w:val="nil"/>
              <w:right w:val="nil"/>
            </w:tcBorders>
            <w:shd w:val="clear" w:color="auto" w:fill="auto"/>
            <w:noWrap/>
            <w:vAlign w:val="bottom"/>
            <w:hideMark/>
          </w:tcPr>
          <w:p w:rsidR="00E02AC1" w:rsidRPr="00E02AC1" w:rsidRDefault="00E02AC1" w:rsidP="00E02AC1">
            <w:pPr>
              <w:spacing w:after="0" w:line="240" w:lineRule="auto"/>
              <w:ind w:firstLineChars="100" w:firstLine="161"/>
              <w:jc w:val="left"/>
              <w:rPr>
                <w:rFonts w:ascii="Arial" w:hAnsi="Arial" w:cs="Arial"/>
                <w:b/>
                <w:bCs/>
              </w:rPr>
            </w:pPr>
            <w:r w:rsidRPr="00E02AC1">
              <w:rPr>
                <w:rFonts w:ascii="Arial" w:hAnsi="Arial" w:cs="Arial"/>
                <w:b/>
                <w:bCs/>
              </w:rPr>
              <w:t>(loss) attributable to the Australian</w:t>
            </w:r>
          </w:p>
        </w:tc>
        <w:tc>
          <w:tcPr>
            <w:tcW w:w="800" w:type="dxa"/>
            <w:tcBorders>
              <w:top w:val="nil"/>
              <w:left w:val="nil"/>
              <w:bottom w:val="nil"/>
              <w:right w:val="nil"/>
            </w:tcBorders>
            <w:shd w:val="clear" w:color="000000" w:fill="E6E6E6"/>
            <w:noWrap/>
            <w:vAlign w:val="bottom"/>
            <w:hideMark/>
          </w:tcPr>
          <w:p w:rsidR="00E02AC1" w:rsidRPr="00E02AC1" w:rsidRDefault="00E02AC1" w:rsidP="00E02AC1">
            <w:pPr>
              <w:spacing w:after="0" w:line="240" w:lineRule="auto"/>
              <w:jc w:val="right"/>
              <w:rPr>
                <w:rFonts w:ascii="Arial" w:hAnsi="Arial" w:cs="Arial"/>
                <w:b/>
                <w:bCs/>
              </w:rPr>
            </w:pPr>
            <w:r w:rsidRPr="00E02AC1">
              <w:rPr>
                <w:rFonts w:ascii="Arial" w:hAnsi="Arial" w:cs="Arial"/>
                <w:b/>
                <w:bCs/>
              </w:rPr>
              <w:t> </w:t>
            </w:r>
          </w:p>
        </w:tc>
        <w:tc>
          <w:tcPr>
            <w:tcW w:w="82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b/>
                <w:bCs/>
                <w:color w:val="000000"/>
              </w:rPr>
            </w:pPr>
          </w:p>
        </w:tc>
        <w:tc>
          <w:tcPr>
            <w:tcW w:w="82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b/>
                <w:bCs/>
                <w:color w:val="000000"/>
              </w:rPr>
            </w:pPr>
          </w:p>
        </w:tc>
        <w:tc>
          <w:tcPr>
            <w:tcW w:w="82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b/>
                <w:bCs/>
                <w:color w:val="000000"/>
              </w:rPr>
            </w:pPr>
          </w:p>
        </w:tc>
      </w:tr>
      <w:tr w:rsidR="00E02AC1" w:rsidRPr="00E02AC1" w:rsidTr="00E02AC1">
        <w:trPr>
          <w:trHeight w:val="222"/>
        </w:trPr>
        <w:tc>
          <w:tcPr>
            <w:tcW w:w="3040" w:type="dxa"/>
            <w:tcBorders>
              <w:top w:val="nil"/>
              <w:left w:val="nil"/>
              <w:bottom w:val="single" w:sz="4" w:space="0" w:color="auto"/>
              <w:right w:val="nil"/>
            </w:tcBorders>
            <w:shd w:val="clear" w:color="auto" w:fill="auto"/>
            <w:vAlign w:val="bottom"/>
            <w:hideMark/>
          </w:tcPr>
          <w:p w:rsidR="00E02AC1" w:rsidRPr="00E02AC1" w:rsidRDefault="00E02AC1" w:rsidP="00E02AC1">
            <w:pPr>
              <w:spacing w:after="0" w:line="240" w:lineRule="auto"/>
              <w:ind w:firstLineChars="100" w:firstLine="161"/>
              <w:jc w:val="left"/>
              <w:rPr>
                <w:rFonts w:ascii="Arial" w:hAnsi="Arial" w:cs="Arial"/>
                <w:b/>
                <w:bCs/>
              </w:rPr>
            </w:pPr>
            <w:r w:rsidRPr="00E02AC1">
              <w:rPr>
                <w:rFonts w:ascii="Arial" w:hAnsi="Arial" w:cs="Arial"/>
                <w:b/>
                <w:bCs/>
              </w:rPr>
              <w:t>Government</w:t>
            </w:r>
          </w:p>
        </w:tc>
        <w:tc>
          <w:tcPr>
            <w:tcW w:w="820" w:type="dxa"/>
            <w:tcBorders>
              <w:top w:val="nil"/>
              <w:left w:val="nil"/>
              <w:bottom w:val="single" w:sz="4" w:space="0" w:color="auto"/>
              <w:right w:val="nil"/>
            </w:tcBorders>
            <w:shd w:val="clear" w:color="auto" w:fill="auto"/>
            <w:noWrap/>
            <w:vAlign w:val="bottom"/>
            <w:hideMark/>
          </w:tcPr>
          <w:p w:rsidR="00E02AC1" w:rsidRPr="00E02AC1" w:rsidRDefault="00E02AC1" w:rsidP="00E02AC1">
            <w:pPr>
              <w:spacing w:after="0" w:line="240" w:lineRule="auto"/>
              <w:jc w:val="right"/>
              <w:rPr>
                <w:rFonts w:ascii="Arial" w:hAnsi="Arial" w:cs="Arial"/>
                <w:b/>
                <w:bCs/>
              </w:rPr>
            </w:pPr>
            <w:r w:rsidRPr="00E02AC1">
              <w:rPr>
                <w:rFonts w:ascii="Arial" w:hAnsi="Arial" w:cs="Arial"/>
                <w:b/>
                <w:bCs/>
              </w:rPr>
              <w:t xml:space="preserve">- </w:t>
            </w:r>
          </w:p>
        </w:tc>
        <w:tc>
          <w:tcPr>
            <w:tcW w:w="800" w:type="dxa"/>
            <w:tcBorders>
              <w:top w:val="nil"/>
              <w:left w:val="nil"/>
              <w:bottom w:val="single" w:sz="4" w:space="0" w:color="auto"/>
              <w:right w:val="nil"/>
            </w:tcBorders>
            <w:shd w:val="clear" w:color="000000" w:fill="E6E6E6"/>
            <w:noWrap/>
            <w:vAlign w:val="bottom"/>
            <w:hideMark/>
          </w:tcPr>
          <w:p w:rsidR="00E02AC1" w:rsidRPr="00E02AC1" w:rsidRDefault="00E02AC1" w:rsidP="00E02AC1">
            <w:pPr>
              <w:spacing w:after="0" w:line="240" w:lineRule="auto"/>
              <w:jc w:val="right"/>
              <w:rPr>
                <w:rFonts w:ascii="Arial" w:hAnsi="Arial" w:cs="Arial"/>
                <w:b/>
                <w:bCs/>
              </w:rPr>
            </w:pPr>
            <w:r w:rsidRPr="00E02AC1">
              <w:rPr>
                <w:rFonts w:ascii="Arial" w:hAnsi="Arial" w:cs="Arial"/>
                <w:b/>
                <w:bCs/>
              </w:rPr>
              <w:t xml:space="preserve">- </w:t>
            </w:r>
          </w:p>
        </w:tc>
        <w:tc>
          <w:tcPr>
            <w:tcW w:w="820" w:type="dxa"/>
            <w:tcBorders>
              <w:top w:val="nil"/>
              <w:left w:val="nil"/>
              <w:bottom w:val="single" w:sz="4" w:space="0" w:color="auto"/>
              <w:right w:val="nil"/>
            </w:tcBorders>
            <w:shd w:val="clear" w:color="auto" w:fill="auto"/>
            <w:noWrap/>
            <w:vAlign w:val="bottom"/>
            <w:hideMark/>
          </w:tcPr>
          <w:p w:rsidR="00E02AC1" w:rsidRPr="00E02AC1" w:rsidRDefault="00E02AC1" w:rsidP="00E02AC1">
            <w:pPr>
              <w:spacing w:after="0" w:line="240" w:lineRule="auto"/>
              <w:jc w:val="right"/>
              <w:rPr>
                <w:rFonts w:ascii="Arial" w:hAnsi="Arial" w:cs="Arial"/>
                <w:b/>
                <w:bCs/>
              </w:rPr>
            </w:pPr>
            <w:r w:rsidRPr="00E02AC1">
              <w:rPr>
                <w:rFonts w:ascii="Arial" w:hAnsi="Arial" w:cs="Arial"/>
                <w:b/>
                <w:bCs/>
              </w:rPr>
              <w:t xml:space="preserve">- </w:t>
            </w:r>
          </w:p>
        </w:tc>
        <w:tc>
          <w:tcPr>
            <w:tcW w:w="820" w:type="dxa"/>
            <w:tcBorders>
              <w:top w:val="nil"/>
              <w:left w:val="nil"/>
              <w:bottom w:val="single" w:sz="4" w:space="0" w:color="auto"/>
              <w:right w:val="nil"/>
            </w:tcBorders>
            <w:shd w:val="clear" w:color="auto" w:fill="auto"/>
            <w:noWrap/>
            <w:vAlign w:val="bottom"/>
            <w:hideMark/>
          </w:tcPr>
          <w:p w:rsidR="00E02AC1" w:rsidRPr="00E02AC1" w:rsidRDefault="00E02AC1" w:rsidP="00E02AC1">
            <w:pPr>
              <w:spacing w:after="0" w:line="240" w:lineRule="auto"/>
              <w:jc w:val="right"/>
              <w:rPr>
                <w:rFonts w:ascii="Arial" w:hAnsi="Arial" w:cs="Arial"/>
                <w:b/>
                <w:bCs/>
              </w:rPr>
            </w:pPr>
            <w:r w:rsidRPr="00E02AC1">
              <w:rPr>
                <w:rFonts w:ascii="Arial" w:hAnsi="Arial" w:cs="Arial"/>
                <w:b/>
                <w:bCs/>
              </w:rPr>
              <w:t xml:space="preserve">- </w:t>
            </w:r>
          </w:p>
        </w:tc>
        <w:tc>
          <w:tcPr>
            <w:tcW w:w="820" w:type="dxa"/>
            <w:tcBorders>
              <w:top w:val="nil"/>
              <w:left w:val="nil"/>
              <w:bottom w:val="single" w:sz="4" w:space="0" w:color="auto"/>
              <w:right w:val="nil"/>
            </w:tcBorders>
            <w:shd w:val="clear" w:color="auto" w:fill="auto"/>
            <w:noWrap/>
            <w:vAlign w:val="bottom"/>
            <w:hideMark/>
          </w:tcPr>
          <w:p w:rsidR="00E02AC1" w:rsidRPr="00E02AC1" w:rsidRDefault="00E02AC1" w:rsidP="00E02AC1">
            <w:pPr>
              <w:spacing w:after="0" w:line="240" w:lineRule="auto"/>
              <w:jc w:val="right"/>
              <w:rPr>
                <w:rFonts w:ascii="Arial" w:hAnsi="Arial" w:cs="Arial"/>
                <w:b/>
                <w:bCs/>
              </w:rPr>
            </w:pPr>
            <w:r w:rsidRPr="00E02AC1">
              <w:rPr>
                <w:rFonts w:ascii="Arial" w:hAnsi="Arial" w:cs="Arial"/>
                <w:b/>
                <w:bCs/>
              </w:rPr>
              <w:t xml:space="preserve">- </w:t>
            </w:r>
          </w:p>
        </w:tc>
      </w:tr>
    </w:tbl>
    <w:p w:rsidR="00B2394E" w:rsidRDefault="00B2394E" w:rsidP="00BE1C0C">
      <w:pPr>
        <w:pStyle w:val="Source"/>
        <w:jc w:val="left"/>
      </w:pPr>
      <w:proofErr w:type="gramStart"/>
      <w:r w:rsidRPr="00E4582E">
        <w:t>Prepared on Australian Accounting Standards basis</w:t>
      </w:r>
      <w:r>
        <w:t>.</w:t>
      </w:r>
      <w:proofErr w:type="gramEnd"/>
      <w:r>
        <w:t xml:space="preserve"> </w:t>
      </w:r>
    </w:p>
    <w:p w:rsidR="00B2394E" w:rsidRDefault="00B2394E" w:rsidP="00B2394E">
      <w:pPr>
        <w:pStyle w:val="Source"/>
      </w:pPr>
    </w:p>
    <w:p w:rsidR="00B2394E" w:rsidRDefault="00B2394E" w:rsidP="00BE1C0C">
      <w:pPr>
        <w:pStyle w:val="Heading5"/>
        <w:spacing w:after="0"/>
      </w:pPr>
      <w:r>
        <w:br w:type="page"/>
      </w:r>
      <w:r w:rsidRPr="00E4582E">
        <w:lastRenderedPageBreak/>
        <w:t>Table</w:t>
      </w:r>
      <w:r>
        <w:t xml:space="preserve"> 3.</w:t>
      </w:r>
      <w:r w:rsidRPr="00E4582E">
        <w:t>2: Budg</w:t>
      </w:r>
      <w:r>
        <w:t xml:space="preserve">eted Departmental Balance Sheet </w:t>
      </w:r>
      <w:r w:rsidRPr="00E4582E">
        <w:t>(as at 30 June)</w:t>
      </w:r>
    </w:p>
    <w:tbl>
      <w:tblPr>
        <w:tblW w:w="7160" w:type="dxa"/>
        <w:tblInd w:w="96" w:type="dxa"/>
        <w:tblLook w:val="04A0"/>
      </w:tblPr>
      <w:tblGrid>
        <w:gridCol w:w="2960"/>
        <w:gridCol w:w="928"/>
        <w:gridCol w:w="840"/>
        <w:gridCol w:w="840"/>
        <w:gridCol w:w="840"/>
        <w:gridCol w:w="840"/>
      </w:tblGrid>
      <w:tr w:rsidR="00E02AC1" w:rsidRPr="00E02AC1" w:rsidTr="00E02AC1">
        <w:trPr>
          <w:trHeight w:val="900"/>
        </w:trPr>
        <w:tc>
          <w:tcPr>
            <w:tcW w:w="2960" w:type="dxa"/>
            <w:tcBorders>
              <w:top w:val="single" w:sz="4" w:space="0" w:color="auto"/>
              <w:left w:val="nil"/>
              <w:bottom w:val="nil"/>
              <w:right w:val="nil"/>
            </w:tcBorders>
            <w:shd w:val="clear" w:color="auto" w:fill="auto"/>
            <w:noWrap/>
            <w:hideMark/>
          </w:tcPr>
          <w:p w:rsidR="00E02AC1" w:rsidRPr="00E02AC1" w:rsidRDefault="00E02AC1" w:rsidP="00E02AC1">
            <w:pPr>
              <w:spacing w:after="0" w:line="240" w:lineRule="auto"/>
              <w:jc w:val="left"/>
              <w:rPr>
                <w:rFonts w:ascii="Arial" w:hAnsi="Arial" w:cs="Arial"/>
                <w:b/>
                <w:bCs/>
              </w:rPr>
            </w:pPr>
            <w:r w:rsidRPr="00E02AC1">
              <w:rPr>
                <w:rFonts w:ascii="Arial" w:hAnsi="Arial" w:cs="Arial"/>
                <w:b/>
                <w:bCs/>
              </w:rPr>
              <w:t> </w:t>
            </w:r>
          </w:p>
        </w:tc>
        <w:tc>
          <w:tcPr>
            <w:tcW w:w="840" w:type="dxa"/>
            <w:tcBorders>
              <w:top w:val="single" w:sz="4" w:space="0" w:color="auto"/>
              <w:left w:val="nil"/>
              <w:bottom w:val="single" w:sz="4" w:space="0" w:color="auto"/>
              <w:right w:val="nil"/>
            </w:tcBorders>
            <w:shd w:val="clear" w:color="auto" w:fill="auto"/>
            <w:hideMark/>
          </w:tcPr>
          <w:p w:rsidR="00E02AC1" w:rsidRPr="00E02AC1" w:rsidRDefault="00E02AC1" w:rsidP="00E02AC1">
            <w:pPr>
              <w:spacing w:after="0" w:line="240" w:lineRule="auto"/>
              <w:jc w:val="right"/>
              <w:rPr>
                <w:rFonts w:ascii="Arial" w:hAnsi="Arial" w:cs="Arial"/>
              </w:rPr>
            </w:pPr>
            <w:r w:rsidRPr="00E02AC1">
              <w:rPr>
                <w:rFonts w:ascii="Arial" w:hAnsi="Arial" w:cs="Arial"/>
              </w:rPr>
              <w:t>2015-16 Estimated actual</w:t>
            </w:r>
            <w:r w:rsidRPr="00E02AC1">
              <w:rPr>
                <w:rFonts w:ascii="Arial" w:hAnsi="Arial" w:cs="Arial"/>
              </w:rPr>
              <w:br/>
              <w:t>$'000</w:t>
            </w:r>
          </w:p>
        </w:tc>
        <w:tc>
          <w:tcPr>
            <w:tcW w:w="840" w:type="dxa"/>
            <w:tcBorders>
              <w:top w:val="single" w:sz="4" w:space="0" w:color="auto"/>
              <w:left w:val="nil"/>
              <w:bottom w:val="single" w:sz="4" w:space="0" w:color="auto"/>
              <w:right w:val="nil"/>
            </w:tcBorders>
            <w:shd w:val="clear" w:color="000000" w:fill="E6E6E6"/>
            <w:hideMark/>
          </w:tcPr>
          <w:p w:rsidR="00E02AC1" w:rsidRPr="00E02AC1" w:rsidRDefault="00E02AC1" w:rsidP="00E02AC1">
            <w:pPr>
              <w:spacing w:after="0" w:line="240" w:lineRule="auto"/>
              <w:jc w:val="right"/>
              <w:rPr>
                <w:rFonts w:ascii="Arial" w:hAnsi="Arial" w:cs="Arial"/>
              </w:rPr>
            </w:pPr>
            <w:r w:rsidRPr="00E02AC1">
              <w:rPr>
                <w:rFonts w:ascii="Arial" w:hAnsi="Arial" w:cs="Arial"/>
              </w:rPr>
              <w:t>2016-17</w:t>
            </w:r>
            <w:r w:rsidRPr="00E02AC1">
              <w:rPr>
                <w:rFonts w:ascii="Arial" w:hAnsi="Arial" w:cs="Arial"/>
              </w:rPr>
              <w:br/>
              <w:t>Budget</w:t>
            </w:r>
            <w:r w:rsidRPr="00E02AC1">
              <w:rPr>
                <w:rFonts w:ascii="Arial" w:hAnsi="Arial" w:cs="Arial"/>
              </w:rPr>
              <w:br/>
            </w:r>
            <w:r w:rsidRPr="00E02AC1">
              <w:rPr>
                <w:rFonts w:ascii="Arial" w:hAnsi="Arial" w:cs="Arial"/>
              </w:rPr>
              <w:br/>
              <w:t>$'000</w:t>
            </w:r>
          </w:p>
        </w:tc>
        <w:tc>
          <w:tcPr>
            <w:tcW w:w="840" w:type="dxa"/>
            <w:tcBorders>
              <w:top w:val="single" w:sz="4" w:space="0" w:color="auto"/>
              <w:left w:val="nil"/>
              <w:bottom w:val="single" w:sz="4" w:space="0" w:color="auto"/>
              <w:right w:val="nil"/>
            </w:tcBorders>
            <w:shd w:val="clear" w:color="auto" w:fill="auto"/>
            <w:hideMark/>
          </w:tcPr>
          <w:p w:rsidR="00E02AC1" w:rsidRPr="00E02AC1" w:rsidRDefault="00E02AC1" w:rsidP="00E02AC1">
            <w:pPr>
              <w:spacing w:after="0" w:line="240" w:lineRule="auto"/>
              <w:jc w:val="right"/>
              <w:rPr>
                <w:rFonts w:ascii="Arial" w:hAnsi="Arial" w:cs="Arial"/>
              </w:rPr>
            </w:pPr>
            <w:r w:rsidRPr="00E02AC1">
              <w:rPr>
                <w:rFonts w:ascii="Arial" w:hAnsi="Arial" w:cs="Arial"/>
              </w:rPr>
              <w:t>2017-18 Forward estimate</w:t>
            </w:r>
            <w:r w:rsidRPr="00E02AC1">
              <w:rPr>
                <w:rFonts w:ascii="Arial" w:hAnsi="Arial" w:cs="Arial"/>
              </w:rPr>
              <w:br/>
              <w:t>$'000</w:t>
            </w:r>
          </w:p>
        </w:tc>
        <w:tc>
          <w:tcPr>
            <w:tcW w:w="840" w:type="dxa"/>
            <w:tcBorders>
              <w:top w:val="single" w:sz="4" w:space="0" w:color="auto"/>
              <w:left w:val="nil"/>
              <w:bottom w:val="single" w:sz="4" w:space="0" w:color="auto"/>
              <w:right w:val="nil"/>
            </w:tcBorders>
            <w:shd w:val="clear" w:color="auto" w:fill="auto"/>
            <w:hideMark/>
          </w:tcPr>
          <w:p w:rsidR="00E02AC1" w:rsidRPr="00E02AC1" w:rsidRDefault="00E02AC1" w:rsidP="00E02AC1">
            <w:pPr>
              <w:spacing w:after="0" w:line="240" w:lineRule="auto"/>
              <w:jc w:val="right"/>
              <w:rPr>
                <w:rFonts w:ascii="Arial" w:hAnsi="Arial" w:cs="Arial"/>
              </w:rPr>
            </w:pPr>
            <w:r w:rsidRPr="00E02AC1">
              <w:rPr>
                <w:rFonts w:ascii="Arial" w:hAnsi="Arial" w:cs="Arial"/>
              </w:rPr>
              <w:t>2018-19 Forward estimate</w:t>
            </w:r>
            <w:r w:rsidRPr="00E02AC1">
              <w:rPr>
                <w:rFonts w:ascii="Arial" w:hAnsi="Arial" w:cs="Arial"/>
              </w:rPr>
              <w:br/>
              <w:t>$'000</w:t>
            </w:r>
          </w:p>
        </w:tc>
        <w:tc>
          <w:tcPr>
            <w:tcW w:w="840" w:type="dxa"/>
            <w:tcBorders>
              <w:top w:val="single" w:sz="4" w:space="0" w:color="auto"/>
              <w:left w:val="nil"/>
              <w:bottom w:val="single" w:sz="4" w:space="0" w:color="auto"/>
              <w:right w:val="nil"/>
            </w:tcBorders>
            <w:shd w:val="clear" w:color="auto" w:fill="auto"/>
            <w:hideMark/>
          </w:tcPr>
          <w:p w:rsidR="00E02AC1" w:rsidRPr="00E02AC1" w:rsidRDefault="00E02AC1" w:rsidP="00E02AC1">
            <w:pPr>
              <w:spacing w:after="0" w:line="240" w:lineRule="auto"/>
              <w:jc w:val="right"/>
              <w:rPr>
                <w:rFonts w:ascii="Arial" w:hAnsi="Arial" w:cs="Arial"/>
              </w:rPr>
            </w:pPr>
            <w:r w:rsidRPr="00E02AC1">
              <w:rPr>
                <w:rFonts w:ascii="Arial" w:hAnsi="Arial" w:cs="Arial"/>
              </w:rPr>
              <w:t>2019-20</w:t>
            </w:r>
            <w:r w:rsidRPr="00E02AC1">
              <w:rPr>
                <w:rFonts w:ascii="Arial" w:hAnsi="Arial" w:cs="Arial"/>
              </w:rPr>
              <w:br/>
              <w:t>Forward estimate</w:t>
            </w:r>
            <w:r w:rsidRPr="00E02AC1">
              <w:rPr>
                <w:rFonts w:ascii="Arial" w:hAnsi="Arial" w:cs="Arial"/>
              </w:rPr>
              <w:br/>
              <w:t>$'000</w:t>
            </w:r>
          </w:p>
        </w:tc>
      </w:tr>
      <w:tr w:rsidR="00E02AC1" w:rsidRPr="00E02AC1" w:rsidTr="00E02AC1">
        <w:trPr>
          <w:trHeight w:val="222"/>
        </w:trPr>
        <w:tc>
          <w:tcPr>
            <w:tcW w:w="296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b/>
                <w:bCs/>
                <w:color w:val="000000"/>
              </w:rPr>
            </w:pPr>
            <w:r w:rsidRPr="00E02AC1">
              <w:rPr>
                <w:rFonts w:ascii="Arial" w:hAnsi="Arial" w:cs="Arial"/>
                <w:b/>
                <w:bCs/>
                <w:color w:val="000000"/>
              </w:rPr>
              <w:t>ASSETS</w:t>
            </w:r>
          </w:p>
        </w:tc>
        <w:tc>
          <w:tcPr>
            <w:tcW w:w="84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color w:val="000000"/>
              </w:rPr>
            </w:pPr>
          </w:p>
        </w:tc>
        <w:tc>
          <w:tcPr>
            <w:tcW w:w="840" w:type="dxa"/>
            <w:tcBorders>
              <w:top w:val="nil"/>
              <w:left w:val="nil"/>
              <w:bottom w:val="nil"/>
              <w:right w:val="nil"/>
            </w:tcBorders>
            <w:shd w:val="clear" w:color="000000" w:fill="E6E6E6"/>
            <w:noWrap/>
            <w:vAlign w:val="center"/>
            <w:hideMark/>
          </w:tcPr>
          <w:p w:rsidR="00E02AC1" w:rsidRPr="00E02AC1" w:rsidRDefault="00E02AC1" w:rsidP="00E02AC1">
            <w:pPr>
              <w:spacing w:after="0" w:line="240" w:lineRule="auto"/>
              <w:jc w:val="left"/>
              <w:rPr>
                <w:rFonts w:ascii="Arial" w:hAnsi="Arial" w:cs="Arial"/>
                <w:color w:val="000000"/>
              </w:rPr>
            </w:pPr>
            <w:r w:rsidRPr="00E02AC1">
              <w:rPr>
                <w:rFonts w:ascii="Arial" w:hAnsi="Arial" w:cs="Arial"/>
                <w:color w:val="000000"/>
              </w:rPr>
              <w:t> </w:t>
            </w:r>
          </w:p>
        </w:tc>
        <w:tc>
          <w:tcPr>
            <w:tcW w:w="84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color w:val="000000"/>
              </w:rPr>
            </w:pPr>
          </w:p>
        </w:tc>
        <w:tc>
          <w:tcPr>
            <w:tcW w:w="84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color w:val="000000"/>
              </w:rPr>
            </w:pPr>
          </w:p>
        </w:tc>
        <w:tc>
          <w:tcPr>
            <w:tcW w:w="84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color w:val="000000"/>
              </w:rPr>
            </w:pPr>
          </w:p>
        </w:tc>
      </w:tr>
      <w:tr w:rsidR="00E02AC1" w:rsidRPr="00E02AC1" w:rsidTr="00E02AC1">
        <w:trPr>
          <w:trHeight w:val="222"/>
        </w:trPr>
        <w:tc>
          <w:tcPr>
            <w:tcW w:w="296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ind w:firstLineChars="100" w:firstLine="161"/>
              <w:jc w:val="left"/>
              <w:rPr>
                <w:rFonts w:ascii="Arial" w:hAnsi="Arial" w:cs="Arial"/>
                <w:b/>
                <w:bCs/>
                <w:color w:val="000000"/>
              </w:rPr>
            </w:pPr>
            <w:r w:rsidRPr="00E02AC1">
              <w:rPr>
                <w:rFonts w:ascii="Arial" w:hAnsi="Arial" w:cs="Arial"/>
                <w:b/>
                <w:bCs/>
                <w:color w:val="000000"/>
              </w:rPr>
              <w:t>Financial assets</w:t>
            </w:r>
          </w:p>
        </w:tc>
        <w:tc>
          <w:tcPr>
            <w:tcW w:w="84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color w:val="000000"/>
              </w:rPr>
            </w:pPr>
          </w:p>
        </w:tc>
        <w:tc>
          <w:tcPr>
            <w:tcW w:w="840" w:type="dxa"/>
            <w:tcBorders>
              <w:top w:val="nil"/>
              <w:left w:val="nil"/>
              <w:bottom w:val="nil"/>
              <w:right w:val="nil"/>
            </w:tcBorders>
            <w:shd w:val="clear" w:color="000000" w:fill="E6E6E6"/>
            <w:noWrap/>
            <w:vAlign w:val="center"/>
            <w:hideMark/>
          </w:tcPr>
          <w:p w:rsidR="00E02AC1" w:rsidRPr="00E02AC1" w:rsidRDefault="00E02AC1" w:rsidP="00E02AC1">
            <w:pPr>
              <w:spacing w:after="0" w:line="240" w:lineRule="auto"/>
              <w:jc w:val="left"/>
              <w:rPr>
                <w:rFonts w:ascii="Arial" w:hAnsi="Arial" w:cs="Arial"/>
                <w:color w:val="000000"/>
              </w:rPr>
            </w:pPr>
            <w:r w:rsidRPr="00E02AC1">
              <w:rPr>
                <w:rFonts w:ascii="Arial" w:hAnsi="Arial" w:cs="Arial"/>
                <w:color w:val="000000"/>
              </w:rPr>
              <w:t> </w:t>
            </w:r>
          </w:p>
        </w:tc>
        <w:tc>
          <w:tcPr>
            <w:tcW w:w="84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color w:val="000000"/>
              </w:rPr>
            </w:pPr>
          </w:p>
        </w:tc>
        <w:tc>
          <w:tcPr>
            <w:tcW w:w="84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color w:val="000000"/>
              </w:rPr>
            </w:pPr>
          </w:p>
        </w:tc>
        <w:tc>
          <w:tcPr>
            <w:tcW w:w="84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color w:val="000000"/>
              </w:rPr>
            </w:pPr>
          </w:p>
        </w:tc>
      </w:tr>
      <w:tr w:rsidR="00E02AC1" w:rsidRPr="00E02AC1" w:rsidTr="00E02AC1">
        <w:trPr>
          <w:trHeight w:val="222"/>
        </w:trPr>
        <w:tc>
          <w:tcPr>
            <w:tcW w:w="296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ind w:firstLineChars="200" w:firstLine="320"/>
              <w:jc w:val="left"/>
              <w:rPr>
                <w:rFonts w:ascii="Arial" w:hAnsi="Arial" w:cs="Arial"/>
                <w:color w:val="000000"/>
              </w:rPr>
            </w:pPr>
            <w:r w:rsidRPr="00E02AC1">
              <w:rPr>
                <w:rFonts w:ascii="Arial" w:hAnsi="Arial" w:cs="Arial"/>
                <w:color w:val="000000"/>
              </w:rPr>
              <w:t xml:space="preserve">Cash </w:t>
            </w:r>
            <w:r w:rsidRPr="00E02AC1">
              <w:rPr>
                <w:rFonts w:ascii="Arial" w:hAnsi="Arial" w:cs="Arial"/>
              </w:rPr>
              <w:t>and cash equivalents</w:t>
            </w:r>
          </w:p>
        </w:tc>
        <w:tc>
          <w:tcPr>
            <w:tcW w:w="84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color w:val="000000"/>
              </w:rPr>
            </w:pPr>
            <w:r w:rsidRPr="00E02AC1">
              <w:rPr>
                <w:rFonts w:ascii="Arial" w:hAnsi="Arial" w:cs="Arial"/>
                <w:color w:val="000000"/>
              </w:rPr>
              <w:t>758</w:t>
            </w:r>
          </w:p>
        </w:tc>
        <w:tc>
          <w:tcPr>
            <w:tcW w:w="840" w:type="dxa"/>
            <w:tcBorders>
              <w:top w:val="nil"/>
              <w:left w:val="nil"/>
              <w:bottom w:val="nil"/>
              <w:right w:val="nil"/>
            </w:tcBorders>
            <w:shd w:val="clear" w:color="000000" w:fill="E6E6E6"/>
            <w:noWrap/>
            <w:vAlign w:val="center"/>
            <w:hideMark/>
          </w:tcPr>
          <w:p w:rsidR="00E02AC1" w:rsidRPr="00E02AC1" w:rsidRDefault="00E02AC1" w:rsidP="00E02AC1">
            <w:pPr>
              <w:spacing w:after="0" w:line="240" w:lineRule="auto"/>
              <w:jc w:val="right"/>
              <w:rPr>
                <w:rFonts w:ascii="Arial" w:hAnsi="Arial" w:cs="Arial"/>
                <w:color w:val="000000"/>
              </w:rPr>
            </w:pPr>
            <w:r w:rsidRPr="00E02AC1">
              <w:rPr>
                <w:rFonts w:ascii="Arial" w:hAnsi="Arial" w:cs="Arial"/>
                <w:color w:val="000000"/>
              </w:rPr>
              <w:t>758</w:t>
            </w:r>
          </w:p>
        </w:tc>
        <w:tc>
          <w:tcPr>
            <w:tcW w:w="84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color w:val="000000"/>
              </w:rPr>
            </w:pPr>
            <w:r w:rsidRPr="00E02AC1">
              <w:rPr>
                <w:rFonts w:ascii="Arial" w:hAnsi="Arial" w:cs="Arial"/>
                <w:color w:val="000000"/>
              </w:rPr>
              <w:t>758</w:t>
            </w:r>
          </w:p>
        </w:tc>
        <w:tc>
          <w:tcPr>
            <w:tcW w:w="84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color w:val="000000"/>
              </w:rPr>
            </w:pPr>
            <w:r w:rsidRPr="00E02AC1">
              <w:rPr>
                <w:rFonts w:ascii="Arial" w:hAnsi="Arial" w:cs="Arial"/>
                <w:color w:val="000000"/>
              </w:rPr>
              <w:t>758</w:t>
            </w:r>
          </w:p>
        </w:tc>
        <w:tc>
          <w:tcPr>
            <w:tcW w:w="84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color w:val="000000"/>
              </w:rPr>
            </w:pPr>
            <w:r w:rsidRPr="00E02AC1">
              <w:rPr>
                <w:rFonts w:ascii="Arial" w:hAnsi="Arial" w:cs="Arial"/>
                <w:color w:val="000000"/>
              </w:rPr>
              <w:t>758</w:t>
            </w:r>
          </w:p>
        </w:tc>
      </w:tr>
      <w:tr w:rsidR="00E02AC1" w:rsidRPr="00E02AC1" w:rsidTr="00E02AC1">
        <w:trPr>
          <w:trHeight w:val="222"/>
        </w:trPr>
        <w:tc>
          <w:tcPr>
            <w:tcW w:w="296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ind w:firstLineChars="200" w:firstLine="320"/>
              <w:jc w:val="left"/>
              <w:rPr>
                <w:rFonts w:ascii="Arial" w:hAnsi="Arial" w:cs="Arial"/>
              </w:rPr>
            </w:pPr>
            <w:r w:rsidRPr="00E02AC1">
              <w:rPr>
                <w:rFonts w:ascii="Arial" w:hAnsi="Arial" w:cs="Arial"/>
              </w:rPr>
              <w:t>Trade and other receivables</w:t>
            </w:r>
          </w:p>
        </w:tc>
        <w:tc>
          <w:tcPr>
            <w:tcW w:w="84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color w:val="000000"/>
              </w:rPr>
            </w:pPr>
            <w:r w:rsidRPr="00E02AC1">
              <w:rPr>
                <w:rFonts w:ascii="Arial" w:hAnsi="Arial" w:cs="Arial"/>
                <w:color w:val="000000"/>
              </w:rPr>
              <w:t>18,740</w:t>
            </w:r>
          </w:p>
        </w:tc>
        <w:tc>
          <w:tcPr>
            <w:tcW w:w="840" w:type="dxa"/>
            <w:tcBorders>
              <w:top w:val="nil"/>
              <w:left w:val="nil"/>
              <w:bottom w:val="nil"/>
              <w:right w:val="nil"/>
            </w:tcBorders>
            <w:shd w:val="clear" w:color="000000" w:fill="E6E6E6"/>
            <w:noWrap/>
            <w:vAlign w:val="center"/>
            <w:hideMark/>
          </w:tcPr>
          <w:p w:rsidR="00E02AC1" w:rsidRPr="00E02AC1" w:rsidRDefault="00E02AC1" w:rsidP="00E02AC1">
            <w:pPr>
              <w:spacing w:after="0" w:line="240" w:lineRule="auto"/>
              <w:jc w:val="right"/>
              <w:rPr>
                <w:rFonts w:ascii="Arial" w:hAnsi="Arial" w:cs="Arial"/>
                <w:color w:val="000000"/>
              </w:rPr>
            </w:pPr>
            <w:r w:rsidRPr="00E02AC1">
              <w:rPr>
                <w:rFonts w:ascii="Arial" w:hAnsi="Arial" w:cs="Arial"/>
                <w:color w:val="000000"/>
              </w:rPr>
              <w:t>23,165</w:t>
            </w:r>
          </w:p>
        </w:tc>
        <w:tc>
          <w:tcPr>
            <w:tcW w:w="84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color w:val="000000"/>
              </w:rPr>
            </w:pPr>
            <w:r w:rsidRPr="00E02AC1">
              <w:rPr>
                <w:rFonts w:ascii="Arial" w:hAnsi="Arial" w:cs="Arial"/>
                <w:color w:val="000000"/>
              </w:rPr>
              <w:t>27,221</w:t>
            </w:r>
          </w:p>
        </w:tc>
        <w:tc>
          <w:tcPr>
            <w:tcW w:w="84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color w:val="000000"/>
              </w:rPr>
            </w:pPr>
            <w:r w:rsidRPr="00E02AC1">
              <w:rPr>
                <w:rFonts w:ascii="Arial" w:hAnsi="Arial" w:cs="Arial"/>
                <w:color w:val="000000"/>
              </w:rPr>
              <w:t>30,843</w:t>
            </w:r>
          </w:p>
        </w:tc>
        <w:tc>
          <w:tcPr>
            <w:tcW w:w="84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color w:val="000000"/>
              </w:rPr>
            </w:pPr>
            <w:r w:rsidRPr="00E02AC1">
              <w:rPr>
                <w:rFonts w:ascii="Arial" w:hAnsi="Arial" w:cs="Arial"/>
                <w:color w:val="000000"/>
              </w:rPr>
              <w:t>33,978</w:t>
            </w:r>
          </w:p>
        </w:tc>
      </w:tr>
      <w:tr w:rsidR="00E02AC1" w:rsidRPr="00E02AC1" w:rsidTr="00E02AC1">
        <w:trPr>
          <w:trHeight w:val="222"/>
        </w:trPr>
        <w:tc>
          <w:tcPr>
            <w:tcW w:w="296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ind w:firstLineChars="100" w:firstLine="161"/>
              <w:jc w:val="left"/>
              <w:rPr>
                <w:rFonts w:ascii="Arial" w:hAnsi="Arial" w:cs="Arial"/>
                <w:b/>
                <w:bCs/>
                <w:color w:val="000000"/>
              </w:rPr>
            </w:pPr>
            <w:r w:rsidRPr="00E02AC1">
              <w:rPr>
                <w:rFonts w:ascii="Arial" w:hAnsi="Arial" w:cs="Arial"/>
                <w:b/>
                <w:bCs/>
                <w:color w:val="000000"/>
              </w:rPr>
              <w:t>Total financial assets</w:t>
            </w:r>
          </w:p>
        </w:tc>
        <w:tc>
          <w:tcPr>
            <w:tcW w:w="840" w:type="dxa"/>
            <w:tcBorders>
              <w:top w:val="single" w:sz="4" w:space="0" w:color="auto"/>
              <w:left w:val="nil"/>
              <w:bottom w:val="single" w:sz="4" w:space="0" w:color="auto"/>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b/>
                <w:bCs/>
                <w:color w:val="000000"/>
              </w:rPr>
            </w:pPr>
            <w:r w:rsidRPr="00E02AC1">
              <w:rPr>
                <w:rFonts w:ascii="Arial" w:hAnsi="Arial" w:cs="Arial"/>
                <w:b/>
                <w:bCs/>
                <w:color w:val="000000"/>
              </w:rPr>
              <w:t>19,498</w:t>
            </w:r>
          </w:p>
        </w:tc>
        <w:tc>
          <w:tcPr>
            <w:tcW w:w="840" w:type="dxa"/>
            <w:tcBorders>
              <w:top w:val="single" w:sz="4" w:space="0" w:color="auto"/>
              <w:left w:val="nil"/>
              <w:bottom w:val="single" w:sz="4" w:space="0" w:color="auto"/>
              <w:right w:val="nil"/>
            </w:tcBorders>
            <w:shd w:val="clear" w:color="000000" w:fill="E6E6E6"/>
            <w:noWrap/>
            <w:vAlign w:val="center"/>
            <w:hideMark/>
          </w:tcPr>
          <w:p w:rsidR="00E02AC1" w:rsidRPr="00E02AC1" w:rsidRDefault="00E02AC1" w:rsidP="00E02AC1">
            <w:pPr>
              <w:spacing w:after="0" w:line="240" w:lineRule="auto"/>
              <w:jc w:val="right"/>
              <w:rPr>
                <w:rFonts w:ascii="Arial" w:hAnsi="Arial" w:cs="Arial"/>
                <w:b/>
                <w:bCs/>
                <w:color w:val="000000"/>
              </w:rPr>
            </w:pPr>
            <w:r w:rsidRPr="00E02AC1">
              <w:rPr>
                <w:rFonts w:ascii="Arial" w:hAnsi="Arial" w:cs="Arial"/>
                <w:b/>
                <w:bCs/>
                <w:color w:val="000000"/>
              </w:rPr>
              <w:t>23,923</w:t>
            </w:r>
          </w:p>
        </w:tc>
        <w:tc>
          <w:tcPr>
            <w:tcW w:w="840" w:type="dxa"/>
            <w:tcBorders>
              <w:top w:val="single" w:sz="4" w:space="0" w:color="auto"/>
              <w:left w:val="nil"/>
              <w:bottom w:val="single" w:sz="4" w:space="0" w:color="auto"/>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b/>
                <w:bCs/>
                <w:color w:val="000000"/>
              </w:rPr>
            </w:pPr>
            <w:r w:rsidRPr="00E02AC1">
              <w:rPr>
                <w:rFonts w:ascii="Arial" w:hAnsi="Arial" w:cs="Arial"/>
                <w:b/>
                <w:bCs/>
                <w:color w:val="000000"/>
              </w:rPr>
              <w:t>27,979</w:t>
            </w:r>
          </w:p>
        </w:tc>
        <w:tc>
          <w:tcPr>
            <w:tcW w:w="840" w:type="dxa"/>
            <w:tcBorders>
              <w:top w:val="single" w:sz="4" w:space="0" w:color="auto"/>
              <w:left w:val="nil"/>
              <w:bottom w:val="single" w:sz="4" w:space="0" w:color="auto"/>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b/>
                <w:bCs/>
                <w:color w:val="000000"/>
              </w:rPr>
            </w:pPr>
            <w:r w:rsidRPr="00E02AC1">
              <w:rPr>
                <w:rFonts w:ascii="Arial" w:hAnsi="Arial" w:cs="Arial"/>
                <w:b/>
                <w:bCs/>
                <w:color w:val="000000"/>
              </w:rPr>
              <w:t>31,601</w:t>
            </w:r>
          </w:p>
        </w:tc>
        <w:tc>
          <w:tcPr>
            <w:tcW w:w="840" w:type="dxa"/>
            <w:tcBorders>
              <w:top w:val="single" w:sz="4" w:space="0" w:color="auto"/>
              <w:left w:val="nil"/>
              <w:bottom w:val="single" w:sz="4" w:space="0" w:color="auto"/>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b/>
                <w:bCs/>
                <w:color w:val="000000"/>
              </w:rPr>
            </w:pPr>
            <w:r w:rsidRPr="00E02AC1">
              <w:rPr>
                <w:rFonts w:ascii="Arial" w:hAnsi="Arial" w:cs="Arial"/>
                <w:b/>
                <w:bCs/>
                <w:color w:val="000000"/>
              </w:rPr>
              <w:t>34,736</w:t>
            </w:r>
          </w:p>
        </w:tc>
      </w:tr>
      <w:tr w:rsidR="00E02AC1" w:rsidRPr="00E02AC1" w:rsidTr="00E02AC1">
        <w:trPr>
          <w:trHeight w:val="222"/>
        </w:trPr>
        <w:tc>
          <w:tcPr>
            <w:tcW w:w="296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ind w:firstLineChars="100" w:firstLine="161"/>
              <w:jc w:val="left"/>
              <w:rPr>
                <w:rFonts w:ascii="Arial" w:hAnsi="Arial" w:cs="Arial"/>
                <w:b/>
                <w:bCs/>
                <w:color w:val="000000"/>
              </w:rPr>
            </w:pPr>
            <w:r w:rsidRPr="00E02AC1">
              <w:rPr>
                <w:rFonts w:ascii="Arial" w:hAnsi="Arial" w:cs="Arial"/>
                <w:b/>
                <w:bCs/>
                <w:color w:val="000000"/>
              </w:rPr>
              <w:t>Non-financial assets</w:t>
            </w:r>
          </w:p>
        </w:tc>
        <w:tc>
          <w:tcPr>
            <w:tcW w:w="84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color w:val="000000"/>
              </w:rPr>
            </w:pPr>
          </w:p>
        </w:tc>
        <w:tc>
          <w:tcPr>
            <w:tcW w:w="840" w:type="dxa"/>
            <w:tcBorders>
              <w:top w:val="nil"/>
              <w:left w:val="nil"/>
              <w:bottom w:val="nil"/>
              <w:right w:val="nil"/>
            </w:tcBorders>
            <w:shd w:val="clear" w:color="000000" w:fill="E6E6E6"/>
            <w:noWrap/>
            <w:vAlign w:val="center"/>
            <w:hideMark/>
          </w:tcPr>
          <w:p w:rsidR="00E02AC1" w:rsidRPr="00E02AC1" w:rsidRDefault="00E02AC1" w:rsidP="00E02AC1">
            <w:pPr>
              <w:spacing w:after="0" w:line="240" w:lineRule="auto"/>
              <w:jc w:val="left"/>
              <w:rPr>
                <w:rFonts w:ascii="Arial" w:hAnsi="Arial" w:cs="Arial"/>
                <w:color w:val="000000"/>
              </w:rPr>
            </w:pPr>
            <w:r w:rsidRPr="00E02AC1">
              <w:rPr>
                <w:rFonts w:ascii="Arial" w:hAnsi="Arial" w:cs="Arial"/>
                <w:color w:val="000000"/>
              </w:rPr>
              <w:t> </w:t>
            </w:r>
          </w:p>
        </w:tc>
        <w:tc>
          <w:tcPr>
            <w:tcW w:w="84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color w:val="000000"/>
              </w:rPr>
            </w:pPr>
          </w:p>
        </w:tc>
        <w:tc>
          <w:tcPr>
            <w:tcW w:w="84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color w:val="000000"/>
              </w:rPr>
            </w:pPr>
          </w:p>
        </w:tc>
        <w:tc>
          <w:tcPr>
            <w:tcW w:w="84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color w:val="000000"/>
              </w:rPr>
            </w:pPr>
          </w:p>
        </w:tc>
      </w:tr>
      <w:tr w:rsidR="00E02AC1" w:rsidRPr="00E02AC1" w:rsidTr="00E02AC1">
        <w:trPr>
          <w:trHeight w:val="222"/>
        </w:trPr>
        <w:tc>
          <w:tcPr>
            <w:tcW w:w="296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ind w:firstLineChars="200" w:firstLine="320"/>
              <w:jc w:val="left"/>
              <w:rPr>
                <w:rFonts w:ascii="Arial" w:hAnsi="Arial" w:cs="Arial"/>
                <w:color w:val="000000"/>
              </w:rPr>
            </w:pPr>
            <w:r w:rsidRPr="00E02AC1">
              <w:rPr>
                <w:rFonts w:ascii="Arial" w:hAnsi="Arial" w:cs="Arial"/>
                <w:color w:val="000000"/>
              </w:rPr>
              <w:t>Property, plant and equipment</w:t>
            </w:r>
          </w:p>
        </w:tc>
        <w:tc>
          <w:tcPr>
            <w:tcW w:w="84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color w:val="000000"/>
              </w:rPr>
            </w:pPr>
            <w:r w:rsidRPr="00E02AC1">
              <w:rPr>
                <w:rFonts w:ascii="Arial" w:hAnsi="Arial" w:cs="Arial"/>
                <w:color w:val="000000"/>
              </w:rPr>
              <w:t>2,495</w:t>
            </w:r>
          </w:p>
        </w:tc>
        <w:tc>
          <w:tcPr>
            <w:tcW w:w="840" w:type="dxa"/>
            <w:tcBorders>
              <w:top w:val="nil"/>
              <w:left w:val="nil"/>
              <w:bottom w:val="nil"/>
              <w:right w:val="nil"/>
            </w:tcBorders>
            <w:shd w:val="clear" w:color="000000" w:fill="E6E6E6"/>
            <w:noWrap/>
            <w:vAlign w:val="center"/>
            <w:hideMark/>
          </w:tcPr>
          <w:p w:rsidR="00E02AC1" w:rsidRPr="00E02AC1" w:rsidRDefault="00E02AC1" w:rsidP="00E02AC1">
            <w:pPr>
              <w:spacing w:after="0" w:line="240" w:lineRule="auto"/>
              <w:jc w:val="right"/>
              <w:rPr>
                <w:rFonts w:ascii="Arial" w:hAnsi="Arial" w:cs="Arial"/>
                <w:color w:val="000000"/>
              </w:rPr>
            </w:pPr>
            <w:r w:rsidRPr="00E02AC1">
              <w:rPr>
                <w:rFonts w:ascii="Arial" w:hAnsi="Arial" w:cs="Arial"/>
                <w:color w:val="000000"/>
              </w:rPr>
              <w:t>2,555</w:t>
            </w:r>
          </w:p>
        </w:tc>
        <w:tc>
          <w:tcPr>
            <w:tcW w:w="84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color w:val="000000"/>
              </w:rPr>
            </w:pPr>
            <w:r w:rsidRPr="00E02AC1">
              <w:rPr>
                <w:rFonts w:ascii="Arial" w:hAnsi="Arial" w:cs="Arial"/>
                <w:color w:val="000000"/>
              </w:rPr>
              <w:t>1,970</w:t>
            </w:r>
          </w:p>
        </w:tc>
        <w:tc>
          <w:tcPr>
            <w:tcW w:w="84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color w:val="000000"/>
              </w:rPr>
            </w:pPr>
            <w:r w:rsidRPr="00E02AC1">
              <w:rPr>
                <w:rFonts w:ascii="Arial" w:hAnsi="Arial" w:cs="Arial"/>
                <w:color w:val="000000"/>
              </w:rPr>
              <w:t>1,442</w:t>
            </w:r>
          </w:p>
        </w:tc>
        <w:tc>
          <w:tcPr>
            <w:tcW w:w="84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color w:val="000000"/>
              </w:rPr>
            </w:pPr>
            <w:r w:rsidRPr="00E02AC1">
              <w:rPr>
                <w:rFonts w:ascii="Arial" w:hAnsi="Arial" w:cs="Arial"/>
                <w:color w:val="000000"/>
              </w:rPr>
              <w:t>909</w:t>
            </w:r>
          </w:p>
        </w:tc>
      </w:tr>
      <w:tr w:rsidR="00E02AC1" w:rsidRPr="00E02AC1" w:rsidTr="00E02AC1">
        <w:trPr>
          <w:trHeight w:val="222"/>
        </w:trPr>
        <w:tc>
          <w:tcPr>
            <w:tcW w:w="296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ind w:firstLineChars="200" w:firstLine="320"/>
              <w:jc w:val="left"/>
              <w:rPr>
                <w:rFonts w:ascii="Arial" w:hAnsi="Arial" w:cs="Arial"/>
                <w:color w:val="000000"/>
              </w:rPr>
            </w:pPr>
            <w:r w:rsidRPr="00E02AC1">
              <w:rPr>
                <w:rFonts w:ascii="Arial" w:hAnsi="Arial" w:cs="Arial"/>
                <w:color w:val="000000"/>
              </w:rPr>
              <w:t>Intangibles</w:t>
            </w:r>
          </w:p>
        </w:tc>
        <w:tc>
          <w:tcPr>
            <w:tcW w:w="84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color w:val="000000"/>
              </w:rPr>
            </w:pPr>
            <w:r w:rsidRPr="00E02AC1">
              <w:rPr>
                <w:rFonts w:ascii="Arial" w:hAnsi="Arial" w:cs="Arial"/>
                <w:color w:val="000000"/>
              </w:rPr>
              <w:t>2,810</w:t>
            </w:r>
          </w:p>
        </w:tc>
        <w:tc>
          <w:tcPr>
            <w:tcW w:w="840" w:type="dxa"/>
            <w:tcBorders>
              <w:top w:val="nil"/>
              <w:left w:val="nil"/>
              <w:bottom w:val="nil"/>
              <w:right w:val="nil"/>
            </w:tcBorders>
            <w:shd w:val="clear" w:color="000000" w:fill="E6E6E6"/>
            <w:noWrap/>
            <w:vAlign w:val="center"/>
            <w:hideMark/>
          </w:tcPr>
          <w:p w:rsidR="00E02AC1" w:rsidRPr="00E02AC1" w:rsidRDefault="00E02AC1" w:rsidP="00E02AC1">
            <w:pPr>
              <w:spacing w:after="0" w:line="240" w:lineRule="auto"/>
              <w:jc w:val="right"/>
              <w:rPr>
                <w:rFonts w:ascii="Arial" w:hAnsi="Arial" w:cs="Arial"/>
                <w:color w:val="000000"/>
              </w:rPr>
            </w:pPr>
            <w:r w:rsidRPr="00E02AC1">
              <w:rPr>
                <w:rFonts w:ascii="Arial" w:hAnsi="Arial" w:cs="Arial"/>
                <w:color w:val="000000"/>
              </w:rPr>
              <w:t>3,900</w:t>
            </w:r>
          </w:p>
        </w:tc>
        <w:tc>
          <w:tcPr>
            <w:tcW w:w="84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color w:val="000000"/>
              </w:rPr>
            </w:pPr>
            <w:r w:rsidRPr="00E02AC1">
              <w:rPr>
                <w:rFonts w:ascii="Arial" w:hAnsi="Arial" w:cs="Arial"/>
                <w:color w:val="000000"/>
              </w:rPr>
              <w:t>2,783</w:t>
            </w:r>
          </w:p>
        </w:tc>
        <w:tc>
          <w:tcPr>
            <w:tcW w:w="84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color w:val="000000"/>
              </w:rPr>
            </w:pPr>
            <w:r w:rsidRPr="00E02AC1">
              <w:rPr>
                <w:rFonts w:ascii="Arial" w:hAnsi="Arial" w:cs="Arial"/>
                <w:color w:val="000000"/>
              </w:rPr>
              <w:t>1,598</w:t>
            </w:r>
          </w:p>
        </w:tc>
        <w:tc>
          <w:tcPr>
            <w:tcW w:w="84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color w:val="000000"/>
              </w:rPr>
            </w:pPr>
            <w:r w:rsidRPr="00E02AC1">
              <w:rPr>
                <w:rFonts w:ascii="Arial" w:hAnsi="Arial" w:cs="Arial"/>
                <w:color w:val="000000"/>
              </w:rPr>
              <w:t>687</w:t>
            </w:r>
          </w:p>
        </w:tc>
      </w:tr>
      <w:tr w:rsidR="00E02AC1" w:rsidRPr="00E02AC1" w:rsidTr="00E02AC1">
        <w:trPr>
          <w:trHeight w:val="222"/>
        </w:trPr>
        <w:tc>
          <w:tcPr>
            <w:tcW w:w="296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ind w:firstLineChars="100" w:firstLine="161"/>
              <w:jc w:val="left"/>
              <w:rPr>
                <w:rFonts w:ascii="Arial" w:hAnsi="Arial" w:cs="Arial"/>
                <w:b/>
                <w:bCs/>
                <w:color w:val="000000"/>
              </w:rPr>
            </w:pPr>
            <w:r w:rsidRPr="00E02AC1">
              <w:rPr>
                <w:rFonts w:ascii="Arial" w:hAnsi="Arial" w:cs="Arial"/>
                <w:b/>
                <w:bCs/>
                <w:color w:val="000000"/>
              </w:rPr>
              <w:t>Total non-financial assets</w:t>
            </w:r>
          </w:p>
        </w:tc>
        <w:tc>
          <w:tcPr>
            <w:tcW w:w="840" w:type="dxa"/>
            <w:tcBorders>
              <w:top w:val="single" w:sz="4" w:space="0" w:color="auto"/>
              <w:left w:val="nil"/>
              <w:bottom w:val="single" w:sz="4" w:space="0" w:color="auto"/>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b/>
                <w:bCs/>
                <w:color w:val="000000"/>
              </w:rPr>
            </w:pPr>
            <w:r w:rsidRPr="00E02AC1">
              <w:rPr>
                <w:rFonts w:ascii="Arial" w:hAnsi="Arial" w:cs="Arial"/>
                <w:b/>
                <w:bCs/>
                <w:color w:val="000000"/>
              </w:rPr>
              <w:t>5,305</w:t>
            </w:r>
          </w:p>
        </w:tc>
        <w:tc>
          <w:tcPr>
            <w:tcW w:w="840" w:type="dxa"/>
            <w:tcBorders>
              <w:top w:val="single" w:sz="4" w:space="0" w:color="auto"/>
              <w:left w:val="nil"/>
              <w:bottom w:val="single" w:sz="4" w:space="0" w:color="auto"/>
              <w:right w:val="nil"/>
            </w:tcBorders>
            <w:shd w:val="clear" w:color="000000" w:fill="E6E6E6"/>
            <w:noWrap/>
            <w:vAlign w:val="center"/>
            <w:hideMark/>
          </w:tcPr>
          <w:p w:rsidR="00E02AC1" w:rsidRPr="00E02AC1" w:rsidRDefault="00E02AC1" w:rsidP="00E02AC1">
            <w:pPr>
              <w:spacing w:after="0" w:line="240" w:lineRule="auto"/>
              <w:jc w:val="right"/>
              <w:rPr>
                <w:rFonts w:ascii="Arial" w:hAnsi="Arial" w:cs="Arial"/>
                <w:b/>
                <w:bCs/>
                <w:color w:val="000000"/>
              </w:rPr>
            </w:pPr>
            <w:r w:rsidRPr="00E02AC1">
              <w:rPr>
                <w:rFonts w:ascii="Arial" w:hAnsi="Arial" w:cs="Arial"/>
                <w:b/>
                <w:bCs/>
                <w:color w:val="000000"/>
              </w:rPr>
              <w:t>6,455</w:t>
            </w:r>
          </w:p>
        </w:tc>
        <w:tc>
          <w:tcPr>
            <w:tcW w:w="840" w:type="dxa"/>
            <w:tcBorders>
              <w:top w:val="single" w:sz="4" w:space="0" w:color="auto"/>
              <w:left w:val="nil"/>
              <w:bottom w:val="single" w:sz="4" w:space="0" w:color="auto"/>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b/>
                <w:bCs/>
                <w:color w:val="000000"/>
              </w:rPr>
            </w:pPr>
            <w:r w:rsidRPr="00E02AC1">
              <w:rPr>
                <w:rFonts w:ascii="Arial" w:hAnsi="Arial" w:cs="Arial"/>
                <w:b/>
                <w:bCs/>
                <w:color w:val="000000"/>
              </w:rPr>
              <w:t>4,753</w:t>
            </w:r>
          </w:p>
        </w:tc>
        <w:tc>
          <w:tcPr>
            <w:tcW w:w="840" w:type="dxa"/>
            <w:tcBorders>
              <w:top w:val="single" w:sz="4" w:space="0" w:color="auto"/>
              <w:left w:val="nil"/>
              <w:bottom w:val="single" w:sz="4" w:space="0" w:color="auto"/>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b/>
                <w:bCs/>
                <w:color w:val="000000"/>
              </w:rPr>
            </w:pPr>
            <w:r w:rsidRPr="00E02AC1">
              <w:rPr>
                <w:rFonts w:ascii="Arial" w:hAnsi="Arial" w:cs="Arial"/>
                <w:b/>
                <w:bCs/>
                <w:color w:val="000000"/>
              </w:rPr>
              <w:t>3,040</w:t>
            </w:r>
          </w:p>
        </w:tc>
        <w:tc>
          <w:tcPr>
            <w:tcW w:w="840" w:type="dxa"/>
            <w:tcBorders>
              <w:top w:val="single" w:sz="4" w:space="0" w:color="auto"/>
              <w:left w:val="nil"/>
              <w:bottom w:val="single" w:sz="4" w:space="0" w:color="auto"/>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b/>
                <w:bCs/>
                <w:color w:val="000000"/>
              </w:rPr>
            </w:pPr>
            <w:r w:rsidRPr="00E02AC1">
              <w:rPr>
                <w:rFonts w:ascii="Arial" w:hAnsi="Arial" w:cs="Arial"/>
                <w:b/>
                <w:bCs/>
                <w:color w:val="000000"/>
              </w:rPr>
              <w:t>1,596</w:t>
            </w:r>
          </w:p>
        </w:tc>
      </w:tr>
      <w:tr w:rsidR="00E02AC1" w:rsidRPr="00E02AC1" w:rsidTr="00E02AC1">
        <w:trPr>
          <w:trHeight w:val="222"/>
        </w:trPr>
        <w:tc>
          <w:tcPr>
            <w:tcW w:w="296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ind w:firstLineChars="100" w:firstLine="160"/>
              <w:jc w:val="left"/>
              <w:rPr>
                <w:rFonts w:ascii="Arial" w:hAnsi="Arial" w:cs="Arial"/>
              </w:rPr>
            </w:pPr>
            <w:r w:rsidRPr="00E02AC1">
              <w:rPr>
                <w:rFonts w:ascii="Arial" w:hAnsi="Arial" w:cs="Arial"/>
              </w:rPr>
              <w:t>Assets held for sale</w:t>
            </w:r>
          </w:p>
        </w:tc>
        <w:tc>
          <w:tcPr>
            <w:tcW w:w="840" w:type="dxa"/>
            <w:tcBorders>
              <w:top w:val="single" w:sz="4" w:space="0" w:color="000000"/>
              <w:left w:val="nil"/>
              <w:bottom w:val="single" w:sz="4" w:space="0" w:color="000000"/>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color w:val="000000"/>
              </w:rPr>
            </w:pPr>
            <w:r w:rsidRPr="00E02AC1">
              <w:rPr>
                <w:rFonts w:ascii="Arial" w:hAnsi="Arial" w:cs="Arial"/>
                <w:color w:val="000000"/>
              </w:rPr>
              <w:t> </w:t>
            </w:r>
          </w:p>
        </w:tc>
        <w:tc>
          <w:tcPr>
            <w:tcW w:w="840" w:type="dxa"/>
            <w:tcBorders>
              <w:top w:val="single" w:sz="4" w:space="0" w:color="000000"/>
              <w:left w:val="nil"/>
              <w:bottom w:val="single" w:sz="4" w:space="0" w:color="000000"/>
              <w:right w:val="nil"/>
            </w:tcBorders>
            <w:shd w:val="clear" w:color="000000" w:fill="E6E6E6"/>
            <w:noWrap/>
            <w:vAlign w:val="center"/>
            <w:hideMark/>
          </w:tcPr>
          <w:p w:rsidR="00E02AC1" w:rsidRPr="00E02AC1" w:rsidRDefault="00E02AC1" w:rsidP="00E02AC1">
            <w:pPr>
              <w:spacing w:after="0" w:line="240" w:lineRule="auto"/>
              <w:jc w:val="left"/>
              <w:rPr>
                <w:rFonts w:ascii="Arial" w:hAnsi="Arial" w:cs="Arial"/>
                <w:color w:val="000000"/>
              </w:rPr>
            </w:pPr>
            <w:r w:rsidRPr="00E02AC1">
              <w:rPr>
                <w:rFonts w:ascii="Arial" w:hAnsi="Arial" w:cs="Arial"/>
                <w:color w:val="000000"/>
              </w:rPr>
              <w:t> </w:t>
            </w:r>
          </w:p>
        </w:tc>
        <w:tc>
          <w:tcPr>
            <w:tcW w:w="840" w:type="dxa"/>
            <w:tcBorders>
              <w:top w:val="single" w:sz="4" w:space="0" w:color="000000"/>
              <w:left w:val="nil"/>
              <w:bottom w:val="single" w:sz="4" w:space="0" w:color="000000"/>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color w:val="000000"/>
              </w:rPr>
            </w:pPr>
            <w:r w:rsidRPr="00E02AC1">
              <w:rPr>
                <w:rFonts w:ascii="Arial" w:hAnsi="Arial" w:cs="Arial"/>
                <w:color w:val="000000"/>
              </w:rPr>
              <w:t> </w:t>
            </w:r>
          </w:p>
        </w:tc>
        <w:tc>
          <w:tcPr>
            <w:tcW w:w="840" w:type="dxa"/>
            <w:tcBorders>
              <w:top w:val="single" w:sz="4" w:space="0" w:color="000000"/>
              <w:left w:val="nil"/>
              <w:bottom w:val="single" w:sz="4" w:space="0" w:color="000000"/>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color w:val="000000"/>
              </w:rPr>
            </w:pPr>
            <w:r w:rsidRPr="00E02AC1">
              <w:rPr>
                <w:rFonts w:ascii="Arial" w:hAnsi="Arial" w:cs="Arial"/>
                <w:color w:val="000000"/>
              </w:rPr>
              <w:t> </w:t>
            </w:r>
          </w:p>
        </w:tc>
        <w:tc>
          <w:tcPr>
            <w:tcW w:w="840" w:type="dxa"/>
            <w:tcBorders>
              <w:top w:val="single" w:sz="4" w:space="0" w:color="000000"/>
              <w:left w:val="nil"/>
              <w:bottom w:val="single" w:sz="4" w:space="0" w:color="000000"/>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color w:val="000000"/>
              </w:rPr>
            </w:pPr>
            <w:r w:rsidRPr="00E02AC1">
              <w:rPr>
                <w:rFonts w:ascii="Arial" w:hAnsi="Arial" w:cs="Arial"/>
                <w:color w:val="000000"/>
              </w:rPr>
              <w:t> </w:t>
            </w:r>
          </w:p>
        </w:tc>
      </w:tr>
      <w:tr w:rsidR="00E02AC1" w:rsidRPr="00E02AC1" w:rsidTr="00E02AC1">
        <w:trPr>
          <w:trHeight w:val="222"/>
        </w:trPr>
        <w:tc>
          <w:tcPr>
            <w:tcW w:w="296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b/>
                <w:bCs/>
                <w:color w:val="000000"/>
              </w:rPr>
            </w:pPr>
            <w:r w:rsidRPr="00E02AC1">
              <w:rPr>
                <w:rFonts w:ascii="Arial" w:hAnsi="Arial" w:cs="Arial"/>
                <w:b/>
                <w:bCs/>
                <w:color w:val="000000"/>
              </w:rPr>
              <w:t>Total assets</w:t>
            </w:r>
          </w:p>
        </w:tc>
        <w:tc>
          <w:tcPr>
            <w:tcW w:w="840" w:type="dxa"/>
            <w:tcBorders>
              <w:top w:val="single" w:sz="4" w:space="0" w:color="auto"/>
              <w:left w:val="nil"/>
              <w:bottom w:val="single" w:sz="4" w:space="0" w:color="auto"/>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b/>
                <w:bCs/>
                <w:color w:val="000000"/>
              </w:rPr>
            </w:pPr>
            <w:r w:rsidRPr="00E02AC1">
              <w:rPr>
                <w:rFonts w:ascii="Arial" w:hAnsi="Arial" w:cs="Arial"/>
                <w:b/>
                <w:bCs/>
                <w:color w:val="000000"/>
              </w:rPr>
              <w:t>24,803</w:t>
            </w:r>
          </w:p>
        </w:tc>
        <w:tc>
          <w:tcPr>
            <w:tcW w:w="840" w:type="dxa"/>
            <w:tcBorders>
              <w:top w:val="single" w:sz="4" w:space="0" w:color="auto"/>
              <w:left w:val="nil"/>
              <w:bottom w:val="single" w:sz="4" w:space="0" w:color="auto"/>
              <w:right w:val="nil"/>
            </w:tcBorders>
            <w:shd w:val="clear" w:color="000000" w:fill="E6E6E6"/>
            <w:noWrap/>
            <w:vAlign w:val="center"/>
            <w:hideMark/>
          </w:tcPr>
          <w:p w:rsidR="00E02AC1" w:rsidRPr="00E02AC1" w:rsidRDefault="00E02AC1" w:rsidP="00E02AC1">
            <w:pPr>
              <w:spacing w:after="0" w:line="240" w:lineRule="auto"/>
              <w:jc w:val="right"/>
              <w:rPr>
                <w:rFonts w:ascii="Arial" w:hAnsi="Arial" w:cs="Arial"/>
                <w:b/>
                <w:bCs/>
                <w:color w:val="000000"/>
              </w:rPr>
            </w:pPr>
            <w:r w:rsidRPr="00E02AC1">
              <w:rPr>
                <w:rFonts w:ascii="Arial" w:hAnsi="Arial" w:cs="Arial"/>
                <w:b/>
                <w:bCs/>
                <w:color w:val="000000"/>
              </w:rPr>
              <w:t>30,378</w:t>
            </w:r>
          </w:p>
        </w:tc>
        <w:tc>
          <w:tcPr>
            <w:tcW w:w="840" w:type="dxa"/>
            <w:tcBorders>
              <w:top w:val="single" w:sz="4" w:space="0" w:color="auto"/>
              <w:left w:val="nil"/>
              <w:bottom w:val="single" w:sz="4" w:space="0" w:color="auto"/>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b/>
                <w:bCs/>
                <w:color w:val="000000"/>
              </w:rPr>
            </w:pPr>
            <w:r w:rsidRPr="00E02AC1">
              <w:rPr>
                <w:rFonts w:ascii="Arial" w:hAnsi="Arial" w:cs="Arial"/>
                <w:b/>
                <w:bCs/>
                <w:color w:val="000000"/>
              </w:rPr>
              <w:t>32,732</w:t>
            </w:r>
          </w:p>
        </w:tc>
        <w:tc>
          <w:tcPr>
            <w:tcW w:w="840" w:type="dxa"/>
            <w:tcBorders>
              <w:top w:val="single" w:sz="4" w:space="0" w:color="auto"/>
              <w:left w:val="nil"/>
              <w:bottom w:val="single" w:sz="4" w:space="0" w:color="auto"/>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b/>
                <w:bCs/>
                <w:color w:val="000000"/>
              </w:rPr>
            </w:pPr>
            <w:r w:rsidRPr="00E02AC1">
              <w:rPr>
                <w:rFonts w:ascii="Arial" w:hAnsi="Arial" w:cs="Arial"/>
                <w:b/>
                <w:bCs/>
                <w:color w:val="000000"/>
              </w:rPr>
              <w:t>34,641</w:t>
            </w:r>
          </w:p>
        </w:tc>
        <w:tc>
          <w:tcPr>
            <w:tcW w:w="840" w:type="dxa"/>
            <w:tcBorders>
              <w:top w:val="single" w:sz="4" w:space="0" w:color="auto"/>
              <w:left w:val="nil"/>
              <w:bottom w:val="single" w:sz="4" w:space="0" w:color="auto"/>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b/>
                <w:bCs/>
                <w:color w:val="000000"/>
              </w:rPr>
            </w:pPr>
            <w:r w:rsidRPr="00E02AC1">
              <w:rPr>
                <w:rFonts w:ascii="Arial" w:hAnsi="Arial" w:cs="Arial"/>
                <w:b/>
                <w:bCs/>
                <w:color w:val="000000"/>
              </w:rPr>
              <w:t>36,332</w:t>
            </w:r>
          </w:p>
        </w:tc>
      </w:tr>
      <w:tr w:rsidR="00E02AC1" w:rsidRPr="00E02AC1" w:rsidTr="00E02AC1">
        <w:trPr>
          <w:trHeight w:val="222"/>
        </w:trPr>
        <w:tc>
          <w:tcPr>
            <w:tcW w:w="296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b/>
                <w:bCs/>
                <w:color w:val="000000"/>
              </w:rPr>
            </w:pPr>
            <w:r w:rsidRPr="00E02AC1">
              <w:rPr>
                <w:rFonts w:ascii="Arial" w:hAnsi="Arial" w:cs="Arial"/>
                <w:b/>
                <w:bCs/>
                <w:color w:val="000000"/>
              </w:rPr>
              <w:t>LIABILITIES</w:t>
            </w:r>
          </w:p>
        </w:tc>
        <w:tc>
          <w:tcPr>
            <w:tcW w:w="84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color w:val="000000"/>
              </w:rPr>
            </w:pPr>
          </w:p>
        </w:tc>
        <w:tc>
          <w:tcPr>
            <w:tcW w:w="840" w:type="dxa"/>
            <w:tcBorders>
              <w:top w:val="nil"/>
              <w:left w:val="nil"/>
              <w:bottom w:val="nil"/>
              <w:right w:val="nil"/>
            </w:tcBorders>
            <w:shd w:val="clear" w:color="000000" w:fill="E6E6E6"/>
            <w:noWrap/>
            <w:vAlign w:val="center"/>
            <w:hideMark/>
          </w:tcPr>
          <w:p w:rsidR="00E02AC1" w:rsidRPr="00E02AC1" w:rsidRDefault="00E02AC1" w:rsidP="00E02AC1">
            <w:pPr>
              <w:spacing w:after="0" w:line="240" w:lineRule="auto"/>
              <w:jc w:val="left"/>
              <w:rPr>
                <w:rFonts w:ascii="Arial" w:hAnsi="Arial" w:cs="Arial"/>
                <w:color w:val="000000"/>
              </w:rPr>
            </w:pPr>
            <w:r w:rsidRPr="00E02AC1">
              <w:rPr>
                <w:rFonts w:ascii="Arial" w:hAnsi="Arial" w:cs="Arial"/>
                <w:color w:val="000000"/>
              </w:rPr>
              <w:t> </w:t>
            </w:r>
          </w:p>
        </w:tc>
        <w:tc>
          <w:tcPr>
            <w:tcW w:w="84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color w:val="000000"/>
              </w:rPr>
            </w:pPr>
          </w:p>
        </w:tc>
        <w:tc>
          <w:tcPr>
            <w:tcW w:w="84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color w:val="000000"/>
              </w:rPr>
            </w:pPr>
          </w:p>
        </w:tc>
        <w:tc>
          <w:tcPr>
            <w:tcW w:w="84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color w:val="000000"/>
              </w:rPr>
            </w:pPr>
          </w:p>
        </w:tc>
      </w:tr>
      <w:tr w:rsidR="00E02AC1" w:rsidRPr="00E02AC1" w:rsidTr="00E02AC1">
        <w:trPr>
          <w:trHeight w:val="222"/>
        </w:trPr>
        <w:tc>
          <w:tcPr>
            <w:tcW w:w="296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ind w:firstLineChars="100" w:firstLine="161"/>
              <w:jc w:val="left"/>
              <w:rPr>
                <w:rFonts w:ascii="Arial" w:hAnsi="Arial" w:cs="Arial"/>
                <w:b/>
                <w:bCs/>
                <w:color w:val="000000"/>
              </w:rPr>
            </w:pPr>
            <w:r w:rsidRPr="00E02AC1">
              <w:rPr>
                <w:rFonts w:ascii="Arial" w:hAnsi="Arial" w:cs="Arial"/>
                <w:b/>
                <w:bCs/>
                <w:color w:val="000000"/>
              </w:rPr>
              <w:t>Payables</w:t>
            </w:r>
          </w:p>
        </w:tc>
        <w:tc>
          <w:tcPr>
            <w:tcW w:w="84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color w:val="000000"/>
              </w:rPr>
            </w:pPr>
          </w:p>
        </w:tc>
        <w:tc>
          <w:tcPr>
            <w:tcW w:w="840" w:type="dxa"/>
            <w:tcBorders>
              <w:top w:val="nil"/>
              <w:left w:val="nil"/>
              <w:bottom w:val="nil"/>
              <w:right w:val="nil"/>
            </w:tcBorders>
            <w:shd w:val="clear" w:color="000000" w:fill="E6E6E6"/>
            <w:noWrap/>
            <w:vAlign w:val="center"/>
            <w:hideMark/>
          </w:tcPr>
          <w:p w:rsidR="00E02AC1" w:rsidRPr="00E02AC1" w:rsidRDefault="00E02AC1" w:rsidP="00E02AC1">
            <w:pPr>
              <w:spacing w:after="0" w:line="240" w:lineRule="auto"/>
              <w:jc w:val="left"/>
              <w:rPr>
                <w:rFonts w:ascii="Arial" w:hAnsi="Arial" w:cs="Arial"/>
                <w:color w:val="000000"/>
              </w:rPr>
            </w:pPr>
            <w:r w:rsidRPr="00E02AC1">
              <w:rPr>
                <w:rFonts w:ascii="Arial" w:hAnsi="Arial" w:cs="Arial"/>
                <w:color w:val="000000"/>
              </w:rPr>
              <w:t> </w:t>
            </w:r>
          </w:p>
        </w:tc>
        <w:tc>
          <w:tcPr>
            <w:tcW w:w="84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color w:val="000000"/>
              </w:rPr>
            </w:pPr>
          </w:p>
        </w:tc>
        <w:tc>
          <w:tcPr>
            <w:tcW w:w="84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color w:val="000000"/>
              </w:rPr>
            </w:pPr>
          </w:p>
        </w:tc>
        <w:tc>
          <w:tcPr>
            <w:tcW w:w="84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color w:val="000000"/>
              </w:rPr>
            </w:pPr>
          </w:p>
        </w:tc>
      </w:tr>
      <w:tr w:rsidR="00E02AC1" w:rsidRPr="00E02AC1" w:rsidTr="00E02AC1">
        <w:trPr>
          <w:trHeight w:val="222"/>
        </w:trPr>
        <w:tc>
          <w:tcPr>
            <w:tcW w:w="296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ind w:firstLineChars="200" w:firstLine="320"/>
              <w:jc w:val="left"/>
              <w:rPr>
                <w:rFonts w:ascii="Arial" w:hAnsi="Arial" w:cs="Arial"/>
                <w:color w:val="000000"/>
              </w:rPr>
            </w:pPr>
            <w:r w:rsidRPr="00E02AC1">
              <w:rPr>
                <w:rFonts w:ascii="Arial" w:hAnsi="Arial" w:cs="Arial"/>
                <w:color w:val="000000"/>
              </w:rPr>
              <w:t>Other payables</w:t>
            </w:r>
          </w:p>
        </w:tc>
        <w:tc>
          <w:tcPr>
            <w:tcW w:w="84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color w:val="000000"/>
              </w:rPr>
            </w:pPr>
            <w:r w:rsidRPr="00E02AC1">
              <w:rPr>
                <w:rFonts w:ascii="Arial" w:hAnsi="Arial" w:cs="Arial"/>
                <w:color w:val="000000"/>
              </w:rPr>
              <w:t>5,536</w:t>
            </w:r>
          </w:p>
        </w:tc>
        <w:tc>
          <w:tcPr>
            <w:tcW w:w="840" w:type="dxa"/>
            <w:tcBorders>
              <w:top w:val="nil"/>
              <w:left w:val="nil"/>
              <w:bottom w:val="nil"/>
              <w:right w:val="nil"/>
            </w:tcBorders>
            <w:shd w:val="clear" w:color="000000" w:fill="E6E6E6"/>
            <w:noWrap/>
            <w:vAlign w:val="center"/>
            <w:hideMark/>
          </w:tcPr>
          <w:p w:rsidR="00E02AC1" w:rsidRPr="00E02AC1" w:rsidRDefault="00E02AC1" w:rsidP="00E02AC1">
            <w:pPr>
              <w:spacing w:after="0" w:line="240" w:lineRule="auto"/>
              <w:jc w:val="right"/>
              <w:rPr>
                <w:rFonts w:ascii="Arial" w:hAnsi="Arial" w:cs="Arial"/>
                <w:color w:val="000000"/>
              </w:rPr>
            </w:pPr>
            <w:r w:rsidRPr="00E02AC1">
              <w:rPr>
                <w:rFonts w:ascii="Arial" w:hAnsi="Arial" w:cs="Arial"/>
                <w:color w:val="000000"/>
              </w:rPr>
              <w:t>6,812</w:t>
            </w:r>
          </w:p>
        </w:tc>
        <w:tc>
          <w:tcPr>
            <w:tcW w:w="84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color w:val="000000"/>
              </w:rPr>
            </w:pPr>
            <w:r w:rsidRPr="00E02AC1">
              <w:rPr>
                <w:rFonts w:ascii="Arial" w:hAnsi="Arial" w:cs="Arial"/>
                <w:color w:val="000000"/>
              </w:rPr>
              <w:t>7,308</w:t>
            </w:r>
          </w:p>
        </w:tc>
        <w:tc>
          <w:tcPr>
            <w:tcW w:w="84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color w:val="000000"/>
              </w:rPr>
            </w:pPr>
            <w:r w:rsidRPr="00E02AC1">
              <w:rPr>
                <w:rFonts w:ascii="Arial" w:hAnsi="Arial" w:cs="Arial"/>
                <w:color w:val="000000"/>
              </w:rPr>
              <w:t>7,535</w:t>
            </w:r>
          </w:p>
        </w:tc>
        <w:tc>
          <w:tcPr>
            <w:tcW w:w="84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color w:val="000000"/>
              </w:rPr>
            </w:pPr>
            <w:r w:rsidRPr="00E02AC1">
              <w:rPr>
                <w:rFonts w:ascii="Arial" w:hAnsi="Arial" w:cs="Arial"/>
                <w:color w:val="000000"/>
              </w:rPr>
              <w:t>7,687</w:t>
            </w:r>
          </w:p>
        </w:tc>
      </w:tr>
      <w:tr w:rsidR="00E02AC1" w:rsidRPr="00E02AC1" w:rsidTr="00E02AC1">
        <w:trPr>
          <w:trHeight w:val="222"/>
        </w:trPr>
        <w:tc>
          <w:tcPr>
            <w:tcW w:w="296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ind w:firstLineChars="100" w:firstLine="161"/>
              <w:jc w:val="left"/>
              <w:rPr>
                <w:rFonts w:ascii="Arial" w:hAnsi="Arial" w:cs="Arial"/>
                <w:b/>
                <w:bCs/>
                <w:color w:val="000000"/>
              </w:rPr>
            </w:pPr>
            <w:r w:rsidRPr="00E02AC1">
              <w:rPr>
                <w:rFonts w:ascii="Arial" w:hAnsi="Arial" w:cs="Arial"/>
                <w:b/>
                <w:bCs/>
                <w:color w:val="000000"/>
              </w:rPr>
              <w:t>Total payables</w:t>
            </w:r>
          </w:p>
        </w:tc>
        <w:tc>
          <w:tcPr>
            <w:tcW w:w="840" w:type="dxa"/>
            <w:tcBorders>
              <w:top w:val="single" w:sz="4" w:space="0" w:color="auto"/>
              <w:left w:val="nil"/>
              <w:bottom w:val="single" w:sz="4" w:space="0" w:color="auto"/>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b/>
                <w:bCs/>
                <w:color w:val="000000"/>
              </w:rPr>
            </w:pPr>
            <w:r w:rsidRPr="00E02AC1">
              <w:rPr>
                <w:rFonts w:ascii="Arial" w:hAnsi="Arial" w:cs="Arial"/>
                <w:b/>
                <w:bCs/>
                <w:color w:val="000000"/>
              </w:rPr>
              <w:t>5,536</w:t>
            </w:r>
          </w:p>
        </w:tc>
        <w:tc>
          <w:tcPr>
            <w:tcW w:w="840" w:type="dxa"/>
            <w:tcBorders>
              <w:top w:val="single" w:sz="4" w:space="0" w:color="auto"/>
              <w:left w:val="nil"/>
              <w:bottom w:val="single" w:sz="4" w:space="0" w:color="auto"/>
              <w:right w:val="nil"/>
            </w:tcBorders>
            <w:shd w:val="clear" w:color="000000" w:fill="E6E6E6"/>
            <w:noWrap/>
            <w:vAlign w:val="center"/>
            <w:hideMark/>
          </w:tcPr>
          <w:p w:rsidR="00E02AC1" w:rsidRPr="00E02AC1" w:rsidRDefault="00E02AC1" w:rsidP="00E02AC1">
            <w:pPr>
              <w:spacing w:after="0" w:line="240" w:lineRule="auto"/>
              <w:jc w:val="right"/>
              <w:rPr>
                <w:rFonts w:ascii="Arial" w:hAnsi="Arial" w:cs="Arial"/>
                <w:b/>
                <w:bCs/>
                <w:color w:val="000000"/>
              </w:rPr>
            </w:pPr>
            <w:r w:rsidRPr="00E02AC1">
              <w:rPr>
                <w:rFonts w:ascii="Arial" w:hAnsi="Arial" w:cs="Arial"/>
                <w:b/>
                <w:bCs/>
                <w:color w:val="000000"/>
              </w:rPr>
              <w:t>6,812</w:t>
            </w:r>
          </w:p>
        </w:tc>
        <w:tc>
          <w:tcPr>
            <w:tcW w:w="840" w:type="dxa"/>
            <w:tcBorders>
              <w:top w:val="single" w:sz="4" w:space="0" w:color="auto"/>
              <w:left w:val="nil"/>
              <w:bottom w:val="single" w:sz="4" w:space="0" w:color="auto"/>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b/>
                <w:bCs/>
                <w:color w:val="000000"/>
              </w:rPr>
            </w:pPr>
            <w:r w:rsidRPr="00E02AC1">
              <w:rPr>
                <w:rFonts w:ascii="Arial" w:hAnsi="Arial" w:cs="Arial"/>
                <w:b/>
                <w:bCs/>
                <w:color w:val="000000"/>
              </w:rPr>
              <w:t>7,308</w:t>
            </w:r>
          </w:p>
        </w:tc>
        <w:tc>
          <w:tcPr>
            <w:tcW w:w="840" w:type="dxa"/>
            <w:tcBorders>
              <w:top w:val="single" w:sz="4" w:space="0" w:color="auto"/>
              <w:left w:val="nil"/>
              <w:bottom w:val="single" w:sz="4" w:space="0" w:color="auto"/>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b/>
                <w:bCs/>
                <w:color w:val="000000"/>
              </w:rPr>
            </w:pPr>
            <w:r w:rsidRPr="00E02AC1">
              <w:rPr>
                <w:rFonts w:ascii="Arial" w:hAnsi="Arial" w:cs="Arial"/>
                <w:b/>
                <w:bCs/>
                <w:color w:val="000000"/>
              </w:rPr>
              <w:t>7,535</w:t>
            </w:r>
          </w:p>
        </w:tc>
        <w:tc>
          <w:tcPr>
            <w:tcW w:w="840" w:type="dxa"/>
            <w:tcBorders>
              <w:top w:val="single" w:sz="4" w:space="0" w:color="auto"/>
              <w:left w:val="nil"/>
              <w:bottom w:val="single" w:sz="4" w:space="0" w:color="auto"/>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b/>
                <w:bCs/>
                <w:color w:val="000000"/>
              </w:rPr>
            </w:pPr>
            <w:r w:rsidRPr="00E02AC1">
              <w:rPr>
                <w:rFonts w:ascii="Arial" w:hAnsi="Arial" w:cs="Arial"/>
                <w:b/>
                <w:bCs/>
                <w:color w:val="000000"/>
              </w:rPr>
              <w:t>7,687</w:t>
            </w:r>
          </w:p>
        </w:tc>
      </w:tr>
      <w:tr w:rsidR="00E02AC1" w:rsidRPr="00E02AC1" w:rsidTr="00E02AC1">
        <w:trPr>
          <w:trHeight w:val="222"/>
        </w:trPr>
        <w:tc>
          <w:tcPr>
            <w:tcW w:w="296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ind w:firstLineChars="100" w:firstLine="161"/>
              <w:jc w:val="left"/>
              <w:rPr>
                <w:rFonts w:ascii="Arial" w:hAnsi="Arial" w:cs="Arial"/>
                <w:b/>
                <w:bCs/>
                <w:color w:val="000000"/>
              </w:rPr>
            </w:pPr>
            <w:r w:rsidRPr="00E02AC1">
              <w:rPr>
                <w:rFonts w:ascii="Arial" w:hAnsi="Arial" w:cs="Arial"/>
                <w:b/>
                <w:bCs/>
                <w:color w:val="000000"/>
              </w:rPr>
              <w:t>Provisions</w:t>
            </w:r>
          </w:p>
        </w:tc>
        <w:tc>
          <w:tcPr>
            <w:tcW w:w="84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color w:val="000000"/>
              </w:rPr>
            </w:pPr>
          </w:p>
        </w:tc>
        <w:tc>
          <w:tcPr>
            <w:tcW w:w="840" w:type="dxa"/>
            <w:tcBorders>
              <w:top w:val="nil"/>
              <w:left w:val="nil"/>
              <w:bottom w:val="nil"/>
              <w:right w:val="nil"/>
            </w:tcBorders>
            <w:shd w:val="clear" w:color="000000" w:fill="E6E6E6"/>
            <w:noWrap/>
            <w:vAlign w:val="center"/>
            <w:hideMark/>
          </w:tcPr>
          <w:p w:rsidR="00E02AC1" w:rsidRPr="00E02AC1" w:rsidRDefault="00E02AC1" w:rsidP="00E02AC1">
            <w:pPr>
              <w:spacing w:after="0" w:line="240" w:lineRule="auto"/>
              <w:jc w:val="left"/>
              <w:rPr>
                <w:rFonts w:ascii="Arial" w:hAnsi="Arial" w:cs="Arial"/>
                <w:color w:val="000000"/>
              </w:rPr>
            </w:pPr>
            <w:r w:rsidRPr="00E02AC1">
              <w:rPr>
                <w:rFonts w:ascii="Arial" w:hAnsi="Arial" w:cs="Arial"/>
                <w:color w:val="000000"/>
              </w:rPr>
              <w:t> </w:t>
            </w:r>
          </w:p>
        </w:tc>
        <w:tc>
          <w:tcPr>
            <w:tcW w:w="84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color w:val="000000"/>
              </w:rPr>
            </w:pPr>
          </w:p>
        </w:tc>
        <w:tc>
          <w:tcPr>
            <w:tcW w:w="84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color w:val="000000"/>
              </w:rPr>
            </w:pPr>
          </w:p>
        </w:tc>
        <w:tc>
          <w:tcPr>
            <w:tcW w:w="84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color w:val="000000"/>
              </w:rPr>
            </w:pPr>
          </w:p>
        </w:tc>
      </w:tr>
      <w:tr w:rsidR="00E02AC1" w:rsidRPr="00E02AC1" w:rsidTr="00E02AC1">
        <w:trPr>
          <w:trHeight w:val="222"/>
        </w:trPr>
        <w:tc>
          <w:tcPr>
            <w:tcW w:w="296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ind w:firstLineChars="200" w:firstLine="320"/>
              <w:jc w:val="left"/>
              <w:rPr>
                <w:rFonts w:ascii="Arial" w:hAnsi="Arial" w:cs="Arial"/>
                <w:color w:val="000000"/>
              </w:rPr>
            </w:pPr>
            <w:r w:rsidRPr="00E02AC1">
              <w:rPr>
                <w:rFonts w:ascii="Arial" w:hAnsi="Arial" w:cs="Arial"/>
                <w:color w:val="000000"/>
              </w:rPr>
              <w:t>Employee provisions</w:t>
            </w:r>
          </w:p>
        </w:tc>
        <w:tc>
          <w:tcPr>
            <w:tcW w:w="84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color w:val="000000"/>
              </w:rPr>
            </w:pPr>
            <w:r w:rsidRPr="00E02AC1">
              <w:rPr>
                <w:rFonts w:ascii="Arial" w:hAnsi="Arial" w:cs="Arial"/>
                <w:color w:val="000000"/>
              </w:rPr>
              <w:t>18,339</w:t>
            </w:r>
          </w:p>
        </w:tc>
        <w:tc>
          <w:tcPr>
            <w:tcW w:w="840" w:type="dxa"/>
            <w:tcBorders>
              <w:top w:val="nil"/>
              <w:left w:val="nil"/>
              <w:bottom w:val="nil"/>
              <w:right w:val="nil"/>
            </w:tcBorders>
            <w:shd w:val="clear" w:color="000000" w:fill="E6E6E6"/>
            <w:noWrap/>
            <w:vAlign w:val="center"/>
            <w:hideMark/>
          </w:tcPr>
          <w:p w:rsidR="00E02AC1" w:rsidRPr="00E02AC1" w:rsidRDefault="00E02AC1" w:rsidP="00E02AC1">
            <w:pPr>
              <w:spacing w:after="0" w:line="240" w:lineRule="auto"/>
              <w:jc w:val="right"/>
              <w:rPr>
                <w:rFonts w:ascii="Arial" w:hAnsi="Arial" w:cs="Arial"/>
                <w:color w:val="000000"/>
              </w:rPr>
            </w:pPr>
            <w:r w:rsidRPr="00E02AC1">
              <w:rPr>
                <w:rFonts w:ascii="Arial" w:hAnsi="Arial" w:cs="Arial"/>
                <w:color w:val="000000"/>
              </w:rPr>
              <w:t>21,206</w:t>
            </w:r>
          </w:p>
        </w:tc>
        <w:tc>
          <w:tcPr>
            <w:tcW w:w="84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color w:val="000000"/>
              </w:rPr>
            </w:pPr>
            <w:r w:rsidRPr="00E02AC1">
              <w:rPr>
                <w:rFonts w:ascii="Arial" w:hAnsi="Arial" w:cs="Arial"/>
                <w:color w:val="000000"/>
              </w:rPr>
              <w:t>23,351</w:t>
            </w:r>
          </w:p>
        </w:tc>
        <w:tc>
          <w:tcPr>
            <w:tcW w:w="84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color w:val="000000"/>
              </w:rPr>
            </w:pPr>
            <w:r w:rsidRPr="00E02AC1">
              <w:rPr>
                <w:rFonts w:ascii="Arial" w:hAnsi="Arial" w:cs="Arial"/>
                <w:color w:val="000000"/>
              </w:rPr>
              <w:t>25,320</w:t>
            </w:r>
          </w:p>
        </w:tc>
        <w:tc>
          <w:tcPr>
            <w:tcW w:w="84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color w:val="000000"/>
              </w:rPr>
            </w:pPr>
            <w:r w:rsidRPr="00E02AC1">
              <w:rPr>
                <w:rFonts w:ascii="Arial" w:hAnsi="Arial" w:cs="Arial"/>
                <w:color w:val="000000"/>
              </w:rPr>
              <w:t>27,146</w:t>
            </w:r>
          </w:p>
        </w:tc>
      </w:tr>
      <w:tr w:rsidR="00E02AC1" w:rsidRPr="00E02AC1" w:rsidTr="00E02AC1">
        <w:trPr>
          <w:trHeight w:val="222"/>
        </w:trPr>
        <w:tc>
          <w:tcPr>
            <w:tcW w:w="296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ind w:firstLineChars="200" w:firstLine="320"/>
              <w:jc w:val="left"/>
              <w:rPr>
                <w:rFonts w:ascii="Arial" w:hAnsi="Arial" w:cs="Arial"/>
                <w:color w:val="000000"/>
              </w:rPr>
            </w:pPr>
            <w:r w:rsidRPr="00E02AC1">
              <w:rPr>
                <w:rFonts w:ascii="Arial" w:hAnsi="Arial" w:cs="Arial"/>
                <w:color w:val="000000"/>
              </w:rPr>
              <w:t>Other provisions</w:t>
            </w:r>
          </w:p>
        </w:tc>
        <w:tc>
          <w:tcPr>
            <w:tcW w:w="84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color w:val="000000"/>
              </w:rPr>
            </w:pPr>
            <w:r w:rsidRPr="00E02AC1">
              <w:rPr>
                <w:rFonts w:ascii="Arial" w:hAnsi="Arial" w:cs="Arial"/>
                <w:color w:val="000000"/>
              </w:rPr>
              <w:t>928</w:t>
            </w:r>
          </w:p>
        </w:tc>
        <w:tc>
          <w:tcPr>
            <w:tcW w:w="840" w:type="dxa"/>
            <w:tcBorders>
              <w:top w:val="nil"/>
              <w:left w:val="nil"/>
              <w:bottom w:val="nil"/>
              <w:right w:val="nil"/>
            </w:tcBorders>
            <w:shd w:val="clear" w:color="000000" w:fill="E6E6E6"/>
            <w:noWrap/>
            <w:vAlign w:val="center"/>
            <w:hideMark/>
          </w:tcPr>
          <w:p w:rsidR="00E02AC1" w:rsidRPr="00E02AC1" w:rsidRDefault="00E02AC1" w:rsidP="00E02AC1">
            <w:pPr>
              <w:spacing w:after="0" w:line="240" w:lineRule="auto"/>
              <w:jc w:val="right"/>
              <w:rPr>
                <w:rFonts w:ascii="Arial" w:hAnsi="Arial" w:cs="Arial"/>
                <w:color w:val="000000"/>
              </w:rPr>
            </w:pPr>
            <w:r w:rsidRPr="00E02AC1">
              <w:rPr>
                <w:rFonts w:ascii="Arial" w:hAnsi="Arial" w:cs="Arial"/>
                <w:color w:val="000000"/>
              </w:rPr>
              <w:t>2,360</w:t>
            </w:r>
          </w:p>
        </w:tc>
        <w:tc>
          <w:tcPr>
            <w:tcW w:w="84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color w:val="000000"/>
              </w:rPr>
            </w:pPr>
            <w:r w:rsidRPr="00E02AC1">
              <w:rPr>
                <w:rFonts w:ascii="Arial" w:hAnsi="Arial" w:cs="Arial"/>
                <w:color w:val="000000"/>
              </w:rPr>
              <w:t>2,073</w:t>
            </w:r>
          </w:p>
        </w:tc>
        <w:tc>
          <w:tcPr>
            <w:tcW w:w="84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color w:val="000000"/>
              </w:rPr>
            </w:pPr>
            <w:r w:rsidRPr="00E02AC1">
              <w:rPr>
                <w:rFonts w:ascii="Arial" w:hAnsi="Arial" w:cs="Arial"/>
                <w:color w:val="000000"/>
              </w:rPr>
              <w:t>1,786</w:t>
            </w:r>
          </w:p>
        </w:tc>
        <w:tc>
          <w:tcPr>
            <w:tcW w:w="84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color w:val="000000"/>
              </w:rPr>
            </w:pPr>
            <w:r w:rsidRPr="00E02AC1">
              <w:rPr>
                <w:rFonts w:ascii="Arial" w:hAnsi="Arial" w:cs="Arial"/>
                <w:color w:val="000000"/>
              </w:rPr>
              <w:t>1,499</w:t>
            </w:r>
          </w:p>
        </w:tc>
      </w:tr>
      <w:tr w:rsidR="00E02AC1" w:rsidRPr="00E02AC1" w:rsidTr="00E02AC1">
        <w:trPr>
          <w:trHeight w:val="222"/>
        </w:trPr>
        <w:tc>
          <w:tcPr>
            <w:tcW w:w="296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ind w:firstLineChars="100" w:firstLine="161"/>
              <w:jc w:val="left"/>
              <w:rPr>
                <w:rFonts w:ascii="Arial" w:hAnsi="Arial" w:cs="Arial"/>
                <w:b/>
                <w:bCs/>
                <w:color w:val="000000"/>
              </w:rPr>
            </w:pPr>
            <w:r w:rsidRPr="00E02AC1">
              <w:rPr>
                <w:rFonts w:ascii="Arial" w:hAnsi="Arial" w:cs="Arial"/>
                <w:b/>
                <w:bCs/>
                <w:color w:val="000000"/>
              </w:rPr>
              <w:t>Total provisions</w:t>
            </w:r>
          </w:p>
        </w:tc>
        <w:tc>
          <w:tcPr>
            <w:tcW w:w="840" w:type="dxa"/>
            <w:tcBorders>
              <w:top w:val="single" w:sz="4" w:space="0" w:color="auto"/>
              <w:left w:val="nil"/>
              <w:bottom w:val="single" w:sz="4" w:space="0" w:color="auto"/>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b/>
                <w:bCs/>
                <w:color w:val="000000"/>
              </w:rPr>
            </w:pPr>
            <w:r w:rsidRPr="00E02AC1">
              <w:rPr>
                <w:rFonts w:ascii="Arial" w:hAnsi="Arial" w:cs="Arial"/>
                <w:b/>
                <w:bCs/>
                <w:color w:val="000000"/>
              </w:rPr>
              <w:t>19,267</w:t>
            </w:r>
          </w:p>
        </w:tc>
        <w:tc>
          <w:tcPr>
            <w:tcW w:w="840" w:type="dxa"/>
            <w:tcBorders>
              <w:top w:val="single" w:sz="4" w:space="0" w:color="auto"/>
              <w:left w:val="nil"/>
              <w:bottom w:val="single" w:sz="4" w:space="0" w:color="auto"/>
              <w:right w:val="nil"/>
            </w:tcBorders>
            <w:shd w:val="clear" w:color="000000" w:fill="E6E6E6"/>
            <w:noWrap/>
            <w:vAlign w:val="center"/>
            <w:hideMark/>
          </w:tcPr>
          <w:p w:rsidR="00E02AC1" w:rsidRPr="00E02AC1" w:rsidRDefault="00E02AC1" w:rsidP="00E02AC1">
            <w:pPr>
              <w:spacing w:after="0" w:line="240" w:lineRule="auto"/>
              <w:jc w:val="right"/>
              <w:rPr>
                <w:rFonts w:ascii="Arial" w:hAnsi="Arial" w:cs="Arial"/>
                <w:b/>
                <w:bCs/>
                <w:color w:val="000000"/>
              </w:rPr>
            </w:pPr>
            <w:r w:rsidRPr="00E02AC1">
              <w:rPr>
                <w:rFonts w:ascii="Arial" w:hAnsi="Arial" w:cs="Arial"/>
                <w:b/>
                <w:bCs/>
                <w:color w:val="000000"/>
              </w:rPr>
              <w:t>23,566</w:t>
            </w:r>
          </w:p>
        </w:tc>
        <w:tc>
          <w:tcPr>
            <w:tcW w:w="840" w:type="dxa"/>
            <w:tcBorders>
              <w:top w:val="single" w:sz="4" w:space="0" w:color="auto"/>
              <w:left w:val="nil"/>
              <w:bottom w:val="single" w:sz="4" w:space="0" w:color="auto"/>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b/>
                <w:bCs/>
                <w:color w:val="000000"/>
              </w:rPr>
            </w:pPr>
            <w:r w:rsidRPr="00E02AC1">
              <w:rPr>
                <w:rFonts w:ascii="Arial" w:hAnsi="Arial" w:cs="Arial"/>
                <w:b/>
                <w:bCs/>
                <w:color w:val="000000"/>
              </w:rPr>
              <w:t>25,424</w:t>
            </w:r>
          </w:p>
        </w:tc>
        <w:tc>
          <w:tcPr>
            <w:tcW w:w="840" w:type="dxa"/>
            <w:tcBorders>
              <w:top w:val="single" w:sz="4" w:space="0" w:color="auto"/>
              <w:left w:val="nil"/>
              <w:bottom w:val="single" w:sz="4" w:space="0" w:color="auto"/>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b/>
                <w:bCs/>
                <w:color w:val="000000"/>
              </w:rPr>
            </w:pPr>
            <w:r w:rsidRPr="00E02AC1">
              <w:rPr>
                <w:rFonts w:ascii="Arial" w:hAnsi="Arial" w:cs="Arial"/>
                <w:b/>
                <w:bCs/>
                <w:color w:val="000000"/>
              </w:rPr>
              <w:t>27,106</w:t>
            </w:r>
          </w:p>
        </w:tc>
        <w:tc>
          <w:tcPr>
            <w:tcW w:w="840" w:type="dxa"/>
            <w:tcBorders>
              <w:top w:val="single" w:sz="4" w:space="0" w:color="auto"/>
              <w:left w:val="nil"/>
              <w:bottom w:val="single" w:sz="4" w:space="0" w:color="auto"/>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b/>
                <w:bCs/>
                <w:color w:val="000000"/>
              </w:rPr>
            </w:pPr>
            <w:r w:rsidRPr="00E02AC1">
              <w:rPr>
                <w:rFonts w:ascii="Arial" w:hAnsi="Arial" w:cs="Arial"/>
                <w:b/>
                <w:bCs/>
                <w:color w:val="000000"/>
              </w:rPr>
              <w:t>28,645</w:t>
            </w:r>
          </w:p>
        </w:tc>
      </w:tr>
      <w:tr w:rsidR="00E02AC1" w:rsidRPr="00E02AC1" w:rsidTr="00E02AC1">
        <w:trPr>
          <w:trHeight w:val="450"/>
        </w:trPr>
        <w:tc>
          <w:tcPr>
            <w:tcW w:w="2960" w:type="dxa"/>
            <w:tcBorders>
              <w:top w:val="nil"/>
              <w:left w:val="nil"/>
              <w:bottom w:val="nil"/>
              <w:right w:val="nil"/>
            </w:tcBorders>
            <w:shd w:val="clear" w:color="auto" w:fill="auto"/>
            <w:vAlign w:val="center"/>
            <w:hideMark/>
          </w:tcPr>
          <w:p w:rsidR="00E02AC1" w:rsidRPr="00E02AC1" w:rsidRDefault="00E02AC1" w:rsidP="00E02AC1">
            <w:pPr>
              <w:spacing w:after="0" w:line="240" w:lineRule="auto"/>
              <w:ind w:firstLineChars="100" w:firstLine="160"/>
              <w:jc w:val="left"/>
              <w:rPr>
                <w:rFonts w:ascii="Arial" w:hAnsi="Arial" w:cs="Arial"/>
                <w:color w:val="000000"/>
              </w:rPr>
            </w:pPr>
            <w:r w:rsidRPr="00E02AC1">
              <w:rPr>
                <w:rFonts w:ascii="Arial" w:hAnsi="Arial" w:cs="Arial"/>
                <w:color w:val="000000"/>
              </w:rPr>
              <w:t>Liabilities included in disposal groups held for sale</w:t>
            </w:r>
          </w:p>
        </w:tc>
        <w:tc>
          <w:tcPr>
            <w:tcW w:w="84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color w:val="000000"/>
              </w:rPr>
            </w:pPr>
          </w:p>
        </w:tc>
        <w:tc>
          <w:tcPr>
            <w:tcW w:w="840" w:type="dxa"/>
            <w:tcBorders>
              <w:top w:val="nil"/>
              <w:left w:val="nil"/>
              <w:bottom w:val="nil"/>
              <w:right w:val="nil"/>
            </w:tcBorders>
            <w:shd w:val="clear" w:color="000000" w:fill="E6E6E6"/>
            <w:noWrap/>
            <w:vAlign w:val="center"/>
            <w:hideMark/>
          </w:tcPr>
          <w:p w:rsidR="00E02AC1" w:rsidRPr="00E02AC1" w:rsidRDefault="00E02AC1" w:rsidP="00E02AC1">
            <w:pPr>
              <w:spacing w:after="0" w:line="240" w:lineRule="auto"/>
              <w:jc w:val="left"/>
              <w:rPr>
                <w:rFonts w:ascii="Arial" w:hAnsi="Arial" w:cs="Arial"/>
                <w:color w:val="000000"/>
              </w:rPr>
            </w:pPr>
            <w:r w:rsidRPr="00E02AC1">
              <w:rPr>
                <w:rFonts w:ascii="Arial" w:hAnsi="Arial" w:cs="Arial"/>
                <w:color w:val="000000"/>
              </w:rPr>
              <w:t> </w:t>
            </w:r>
          </w:p>
        </w:tc>
        <w:tc>
          <w:tcPr>
            <w:tcW w:w="84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color w:val="000000"/>
              </w:rPr>
            </w:pPr>
          </w:p>
        </w:tc>
        <w:tc>
          <w:tcPr>
            <w:tcW w:w="84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color w:val="000000"/>
              </w:rPr>
            </w:pPr>
          </w:p>
        </w:tc>
        <w:tc>
          <w:tcPr>
            <w:tcW w:w="84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color w:val="000000"/>
              </w:rPr>
            </w:pPr>
          </w:p>
        </w:tc>
      </w:tr>
      <w:tr w:rsidR="00E02AC1" w:rsidRPr="00E02AC1" w:rsidTr="00E02AC1">
        <w:trPr>
          <w:trHeight w:val="222"/>
        </w:trPr>
        <w:tc>
          <w:tcPr>
            <w:tcW w:w="296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b/>
                <w:bCs/>
                <w:color w:val="000000"/>
              </w:rPr>
            </w:pPr>
            <w:r w:rsidRPr="00E02AC1">
              <w:rPr>
                <w:rFonts w:ascii="Arial" w:hAnsi="Arial" w:cs="Arial"/>
                <w:b/>
                <w:bCs/>
                <w:color w:val="000000"/>
              </w:rPr>
              <w:t>Total liabilities</w:t>
            </w:r>
          </w:p>
        </w:tc>
        <w:tc>
          <w:tcPr>
            <w:tcW w:w="840" w:type="dxa"/>
            <w:tcBorders>
              <w:top w:val="single" w:sz="4" w:space="0" w:color="auto"/>
              <w:left w:val="nil"/>
              <w:bottom w:val="single" w:sz="4" w:space="0" w:color="auto"/>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b/>
                <w:bCs/>
                <w:color w:val="000000"/>
              </w:rPr>
            </w:pPr>
            <w:r w:rsidRPr="00E02AC1">
              <w:rPr>
                <w:rFonts w:ascii="Arial" w:hAnsi="Arial" w:cs="Arial"/>
                <w:b/>
                <w:bCs/>
                <w:color w:val="000000"/>
              </w:rPr>
              <w:t>24,803</w:t>
            </w:r>
          </w:p>
        </w:tc>
        <w:tc>
          <w:tcPr>
            <w:tcW w:w="840" w:type="dxa"/>
            <w:tcBorders>
              <w:top w:val="single" w:sz="4" w:space="0" w:color="auto"/>
              <w:left w:val="nil"/>
              <w:bottom w:val="single" w:sz="4" w:space="0" w:color="auto"/>
              <w:right w:val="nil"/>
            </w:tcBorders>
            <w:shd w:val="clear" w:color="000000" w:fill="E6E6E6"/>
            <w:noWrap/>
            <w:vAlign w:val="center"/>
            <w:hideMark/>
          </w:tcPr>
          <w:p w:rsidR="00E02AC1" w:rsidRPr="00E02AC1" w:rsidRDefault="00E02AC1" w:rsidP="00E02AC1">
            <w:pPr>
              <w:spacing w:after="0" w:line="240" w:lineRule="auto"/>
              <w:jc w:val="right"/>
              <w:rPr>
                <w:rFonts w:ascii="Arial" w:hAnsi="Arial" w:cs="Arial"/>
                <w:b/>
                <w:bCs/>
                <w:color w:val="000000"/>
              </w:rPr>
            </w:pPr>
            <w:r w:rsidRPr="00E02AC1">
              <w:rPr>
                <w:rFonts w:ascii="Arial" w:hAnsi="Arial" w:cs="Arial"/>
                <w:b/>
                <w:bCs/>
                <w:color w:val="000000"/>
              </w:rPr>
              <w:t>30,378</w:t>
            </w:r>
          </w:p>
        </w:tc>
        <w:tc>
          <w:tcPr>
            <w:tcW w:w="840" w:type="dxa"/>
            <w:tcBorders>
              <w:top w:val="single" w:sz="4" w:space="0" w:color="auto"/>
              <w:left w:val="nil"/>
              <w:bottom w:val="single" w:sz="4" w:space="0" w:color="auto"/>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b/>
                <w:bCs/>
                <w:color w:val="000000"/>
              </w:rPr>
            </w:pPr>
            <w:r w:rsidRPr="00E02AC1">
              <w:rPr>
                <w:rFonts w:ascii="Arial" w:hAnsi="Arial" w:cs="Arial"/>
                <w:b/>
                <w:bCs/>
                <w:color w:val="000000"/>
              </w:rPr>
              <w:t>32,732</w:t>
            </w:r>
          </w:p>
        </w:tc>
        <w:tc>
          <w:tcPr>
            <w:tcW w:w="840" w:type="dxa"/>
            <w:tcBorders>
              <w:top w:val="single" w:sz="4" w:space="0" w:color="auto"/>
              <w:left w:val="nil"/>
              <w:bottom w:val="single" w:sz="4" w:space="0" w:color="auto"/>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b/>
                <w:bCs/>
                <w:color w:val="000000"/>
              </w:rPr>
            </w:pPr>
            <w:r w:rsidRPr="00E02AC1">
              <w:rPr>
                <w:rFonts w:ascii="Arial" w:hAnsi="Arial" w:cs="Arial"/>
                <w:b/>
                <w:bCs/>
                <w:color w:val="000000"/>
              </w:rPr>
              <w:t>34,641</w:t>
            </w:r>
          </w:p>
        </w:tc>
        <w:tc>
          <w:tcPr>
            <w:tcW w:w="840" w:type="dxa"/>
            <w:tcBorders>
              <w:top w:val="single" w:sz="4" w:space="0" w:color="auto"/>
              <w:left w:val="nil"/>
              <w:bottom w:val="single" w:sz="4" w:space="0" w:color="auto"/>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b/>
                <w:bCs/>
                <w:color w:val="000000"/>
              </w:rPr>
            </w:pPr>
            <w:r w:rsidRPr="00E02AC1">
              <w:rPr>
                <w:rFonts w:ascii="Arial" w:hAnsi="Arial" w:cs="Arial"/>
                <w:b/>
                <w:bCs/>
                <w:color w:val="000000"/>
              </w:rPr>
              <w:t>36,332</w:t>
            </w:r>
          </w:p>
        </w:tc>
      </w:tr>
      <w:tr w:rsidR="00E02AC1" w:rsidRPr="00E02AC1" w:rsidTr="00E02AC1">
        <w:trPr>
          <w:trHeight w:val="222"/>
        </w:trPr>
        <w:tc>
          <w:tcPr>
            <w:tcW w:w="2960" w:type="dxa"/>
            <w:tcBorders>
              <w:top w:val="nil"/>
              <w:left w:val="nil"/>
              <w:bottom w:val="single" w:sz="4" w:space="0" w:color="auto"/>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b/>
                <w:bCs/>
              </w:rPr>
            </w:pPr>
            <w:r w:rsidRPr="00E02AC1">
              <w:rPr>
                <w:rFonts w:ascii="Arial" w:hAnsi="Arial" w:cs="Arial"/>
                <w:b/>
                <w:bCs/>
              </w:rPr>
              <w:t>Net assets</w:t>
            </w:r>
          </w:p>
        </w:tc>
        <w:tc>
          <w:tcPr>
            <w:tcW w:w="840" w:type="dxa"/>
            <w:tcBorders>
              <w:top w:val="nil"/>
              <w:left w:val="nil"/>
              <w:bottom w:val="single" w:sz="4" w:space="0" w:color="auto"/>
              <w:right w:val="nil"/>
            </w:tcBorders>
            <w:shd w:val="clear" w:color="auto" w:fill="auto"/>
            <w:noWrap/>
            <w:vAlign w:val="bottom"/>
            <w:hideMark/>
          </w:tcPr>
          <w:p w:rsidR="00E02AC1" w:rsidRPr="00E02AC1" w:rsidRDefault="00E02AC1" w:rsidP="00E02AC1">
            <w:pPr>
              <w:spacing w:after="0" w:line="240" w:lineRule="auto"/>
              <w:jc w:val="left"/>
              <w:rPr>
                <w:rFonts w:ascii="Arial" w:hAnsi="Arial" w:cs="Arial"/>
                <w:b/>
                <w:bCs/>
                <w:color w:val="000000"/>
              </w:rPr>
            </w:pPr>
            <w:r w:rsidRPr="00E02AC1">
              <w:rPr>
                <w:rFonts w:ascii="Arial" w:hAnsi="Arial" w:cs="Arial"/>
                <w:b/>
                <w:bCs/>
                <w:color w:val="000000"/>
              </w:rPr>
              <w:t xml:space="preserve">  - </w:t>
            </w:r>
          </w:p>
        </w:tc>
        <w:tc>
          <w:tcPr>
            <w:tcW w:w="840" w:type="dxa"/>
            <w:tcBorders>
              <w:top w:val="nil"/>
              <w:left w:val="nil"/>
              <w:bottom w:val="single" w:sz="4" w:space="0" w:color="auto"/>
              <w:right w:val="nil"/>
            </w:tcBorders>
            <w:shd w:val="clear" w:color="000000" w:fill="E6E6E6"/>
            <w:noWrap/>
            <w:vAlign w:val="center"/>
            <w:hideMark/>
          </w:tcPr>
          <w:p w:rsidR="00E02AC1" w:rsidRPr="00E02AC1" w:rsidRDefault="00E02AC1" w:rsidP="00E02AC1">
            <w:pPr>
              <w:spacing w:after="0" w:line="240" w:lineRule="auto"/>
              <w:jc w:val="left"/>
              <w:rPr>
                <w:rFonts w:ascii="Arial" w:hAnsi="Arial" w:cs="Arial"/>
                <w:b/>
                <w:bCs/>
                <w:color w:val="000000"/>
              </w:rPr>
            </w:pPr>
            <w:r w:rsidRPr="00E02AC1">
              <w:rPr>
                <w:rFonts w:ascii="Arial" w:hAnsi="Arial" w:cs="Arial"/>
                <w:b/>
                <w:bCs/>
                <w:color w:val="000000"/>
              </w:rPr>
              <w:t xml:space="preserve">              - </w:t>
            </w:r>
          </w:p>
        </w:tc>
        <w:tc>
          <w:tcPr>
            <w:tcW w:w="840" w:type="dxa"/>
            <w:tcBorders>
              <w:top w:val="nil"/>
              <w:left w:val="nil"/>
              <w:bottom w:val="single" w:sz="4" w:space="0" w:color="auto"/>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b/>
                <w:bCs/>
                <w:color w:val="000000"/>
              </w:rPr>
            </w:pPr>
            <w:r w:rsidRPr="00E02AC1">
              <w:rPr>
                <w:rFonts w:ascii="Arial" w:hAnsi="Arial" w:cs="Arial"/>
                <w:b/>
                <w:bCs/>
                <w:color w:val="000000"/>
              </w:rPr>
              <w:t xml:space="preserve">              - </w:t>
            </w:r>
          </w:p>
        </w:tc>
        <w:tc>
          <w:tcPr>
            <w:tcW w:w="840" w:type="dxa"/>
            <w:tcBorders>
              <w:top w:val="nil"/>
              <w:left w:val="nil"/>
              <w:bottom w:val="single" w:sz="4" w:space="0" w:color="auto"/>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b/>
                <w:bCs/>
                <w:color w:val="000000"/>
              </w:rPr>
            </w:pPr>
            <w:r w:rsidRPr="00E02AC1">
              <w:rPr>
                <w:rFonts w:ascii="Arial" w:hAnsi="Arial" w:cs="Arial"/>
                <w:b/>
                <w:bCs/>
                <w:color w:val="000000"/>
              </w:rPr>
              <w:t xml:space="preserve">              - </w:t>
            </w:r>
          </w:p>
        </w:tc>
        <w:tc>
          <w:tcPr>
            <w:tcW w:w="840" w:type="dxa"/>
            <w:tcBorders>
              <w:top w:val="nil"/>
              <w:left w:val="nil"/>
              <w:bottom w:val="single" w:sz="4" w:space="0" w:color="auto"/>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b/>
                <w:bCs/>
                <w:color w:val="000000"/>
              </w:rPr>
            </w:pPr>
            <w:r w:rsidRPr="00E02AC1">
              <w:rPr>
                <w:rFonts w:ascii="Arial" w:hAnsi="Arial" w:cs="Arial"/>
                <w:b/>
                <w:bCs/>
                <w:color w:val="000000"/>
              </w:rPr>
              <w:t xml:space="preserve">              - </w:t>
            </w:r>
          </w:p>
        </w:tc>
      </w:tr>
    </w:tbl>
    <w:p w:rsidR="00B2394E" w:rsidRPr="00B150F0" w:rsidRDefault="00B2394E" w:rsidP="00BE1C0C">
      <w:pPr>
        <w:pStyle w:val="TableGraphic"/>
        <w:jc w:val="left"/>
        <w:rPr>
          <w:rFonts w:ascii="Arial" w:hAnsi="Arial" w:cs="Arial"/>
          <w:i/>
        </w:rPr>
      </w:pPr>
      <w:proofErr w:type="gramStart"/>
      <w:r w:rsidRPr="00497989">
        <w:rPr>
          <w:rFonts w:ascii="Arial" w:hAnsi="Arial" w:cs="Arial"/>
        </w:rPr>
        <w:t>Prepared on Australian Accounting Standards basis.</w:t>
      </w:r>
      <w:proofErr w:type="gramEnd"/>
    </w:p>
    <w:p w:rsidR="00B2394E" w:rsidRDefault="00B2394E" w:rsidP="00B2394E">
      <w:pPr>
        <w:pStyle w:val="NoSpacing"/>
      </w:pPr>
    </w:p>
    <w:p w:rsidR="00B2394E" w:rsidRDefault="00B2394E" w:rsidP="00B2394E">
      <w:pPr>
        <w:pStyle w:val="TableHeading"/>
      </w:pPr>
    </w:p>
    <w:p w:rsidR="00B2394E" w:rsidRDefault="00B2394E" w:rsidP="00BE1C0C">
      <w:pPr>
        <w:pStyle w:val="Heading5"/>
      </w:pPr>
      <w:r>
        <w:t>Table 3.3</w:t>
      </w:r>
      <w:r w:rsidRPr="00D30CBA">
        <w:t xml:space="preserve">: Departmental </w:t>
      </w:r>
      <w:r>
        <w:t>S</w:t>
      </w:r>
      <w:r w:rsidRPr="00D30CBA">
        <w:t xml:space="preserve">tatement of </w:t>
      </w:r>
      <w:r>
        <w:t>C</w:t>
      </w:r>
      <w:r w:rsidRPr="00D30CBA">
        <w:t xml:space="preserve">hanges in </w:t>
      </w:r>
      <w:r>
        <w:t>E</w:t>
      </w:r>
      <w:r w:rsidRPr="00D30CBA">
        <w:t xml:space="preserve">quity — </w:t>
      </w:r>
      <w:r>
        <w:t>S</w:t>
      </w:r>
      <w:r w:rsidRPr="00D30CBA">
        <w:t>ummar</w:t>
      </w:r>
      <w:r>
        <w:t>y of Movement (Budget Year 2016-17</w:t>
      </w:r>
      <w:r w:rsidRPr="00D30CBA">
        <w:t>)</w:t>
      </w:r>
    </w:p>
    <w:p w:rsidR="00B2394E" w:rsidRPr="00BE1C0C" w:rsidRDefault="00B2394E" w:rsidP="00447B6D">
      <w:pPr>
        <w:jc w:val="left"/>
        <w:rPr>
          <w:rFonts w:ascii="Book Antiqua" w:hAnsi="Book Antiqua"/>
          <w:sz w:val="20"/>
          <w:szCs w:val="20"/>
        </w:rPr>
      </w:pPr>
      <w:r w:rsidRPr="00BE1C0C">
        <w:rPr>
          <w:rFonts w:ascii="Book Antiqua" w:hAnsi="Book Antiqua"/>
          <w:sz w:val="20"/>
          <w:szCs w:val="20"/>
        </w:rPr>
        <w:t>Table 3.3 is not included because FFMA does not have any changes in equity.</w:t>
      </w:r>
    </w:p>
    <w:p w:rsidR="00B2394E" w:rsidRPr="00647836" w:rsidRDefault="00B2394E" w:rsidP="00B2394E">
      <w:pPr>
        <w:pStyle w:val="TableHeading"/>
      </w:pPr>
    </w:p>
    <w:p w:rsidR="00B2394E" w:rsidRDefault="00B2394E" w:rsidP="00B2394E">
      <w:pPr>
        <w:pStyle w:val="Source"/>
      </w:pPr>
    </w:p>
    <w:p w:rsidR="00B2394E" w:rsidRDefault="00B2394E" w:rsidP="00B2394E">
      <w:pPr>
        <w:pStyle w:val="NoSpacing"/>
      </w:pPr>
    </w:p>
    <w:p w:rsidR="00B2394E" w:rsidRDefault="00B2394E" w:rsidP="00BE1C0C">
      <w:pPr>
        <w:pStyle w:val="Heading5"/>
        <w:spacing w:after="0"/>
      </w:pPr>
      <w:r>
        <w:br w:type="page"/>
      </w:r>
      <w:r>
        <w:lastRenderedPageBreak/>
        <w:t xml:space="preserve">Table 3.4: </w:t>
      </w:r>
      <w:r w:rsidRPr="00D30CBA">
        <w:t xml:space="preserve">Budgeted </w:t>
      </w:r>
      <w:r>
        <w:t>D</w:t>
      </w:r>
      <w:r w:rsidRPr="00D30CBA">
        <w:t>epar</w:t>
      </w:r>
      <w:r>
        <w:t xml:space="preserve">tmental Statement of Cash Flows </w:t>
      </w:r>
      <w:r w:rsidRPr="00D30CBA">
        <w:t>(</w:t>
      </w:r>
      <w:r>
        <w:t>for the Period Ended</w:t>
      </w:r>
      <w:r w:rsidRPr="00D30CBA">
        <w:t xml:space="preserve"> 30 June)</w:t>
      </w:r>
    </w:p>
    <w:tbl>
      <w:tblPr>
        <w:tblW w:w="7240" w:type="dxa"/>
        <w:tblInd w:w="96" w:type="dxa"/>
        <w:tblLook w:val="04A0"/>
      </w:tblPr>
      <w:tblGrid>
        <w:gridCol w:w="2840"/>
        <w:gridCol w:w="928"/>
        <w:gridCol w:w="880"/>
        <w:gridCol w:w="880"/>
        <w:gridCol w:w="880"/>
        <w:gridCol w:w="880"/>
      </w:tblGrid>
      <w:tr w:rsidR="00E02AC1" w:rsidRPr="00E02AC1" w:rsidTr="00E02AC1">
        <w:trPr>
          <w:trHeight w:val="900"/>
        </w:trPr>
        <w:tc>
          <w:tcPr>
            <w:tcW w:w="2840" w:type="dxa"/>
            <w:tcBorders>
              <w:top w:val="single" w:sz="4" w:space="0" w:color="auto"/>
              <w:left w:val="nil"/>
              <w:bottom w:val="nil"/>
              <w:right w:val="nil"/>
            </w:tcBorders>
            <w:shd w:val="clear" w:color="auto" w:fill="auto"/>
            <w:noWrap/>
            <w:hideMark/>
          </w:tcPr>
          <w:p w:rsidR="00E02AC1" w:rsidRPr="00E02AC1" w:rsidRDefault="00E02AC1" w:rsidP="00E02AC1">
            <w:pPr>
              <w:spacing w:after="0" w:line="240" w:lineRule="auto"/>
              <w:jc w:val="left"/>
              <w:rPr>
                <w:rFonts w:ascii="Arial" w:hAnsi="Arial" w:cs="Arial"/>
                <w:b/>
                <w:bCs/>
              </w:rPr>
            </w:pPr>
            <w:r w:rsidRPr="00E02AC1">
              <w:rPr>
                <w:rFonts w:ascii="Arial" w:hAnsi="Arial" w:cs="Arial"/>
                <w:b/>
                <w:bCs/>
              </w:rPr>
              <w:t> </w:t>
            </w:r>
          </w:p>
        </w:tc>
        <w:tc>
          <w:tcPr>
            <w:tcW w:w="880" w:type="dxa"/>
            <w:tcBorders>
              <w:top w:val="single" w:sz="4" w:space="0" w:color="auto"/>
              <w:left w:val="nil"/>
              <w:bottom w:val="single" w:sz="4" w:space="0" w:color="auto"/>
              <w:right w:val="nil"/>
            </w:tcBorders>
            <w:shd w:val="clear" w:color="auto" w:fill="auto"/>
            <w:hideMark/>
          </w:tcPr>
          <w:p w:rsidR="00E02AC1" w:rsidRPr="00E02AC1" w:rsidRDefault="00E02AC1" w:rsidP="00E02AC1">
            <w:pPr>
              <w:spacing w:after="0" w:line="240" w:lineRule="auto"/>
              <w:jc w:val="right"/>
              <w:rPr>
                <w:rFonts w:ascii="Arial" w:hAnsi="Arial" w:cs="Arial"/>
              </w:rPr>
            </w:pPr>
            <w:r w:rsidRPr="00E02AC1">
              <w:rPr>
                <w:rFonts w:ascii="Arial" w:hAnsi="Arial" w:cs="Arial"/>
              </w:rPr>
              <w:t>2015-16 Estimated actual</w:t>
            </w:r>
            <w:r w:rsidRPr="00E02AC1">
              <w:rPr>
                <w:rFonts w:ascii="Arial" w:hAnsi="Arial" w:cs="Arial"/>
              </w:rPr>
              <w:br/>
              <w:t>$'000</w:t>
            </w:r>
          </w:p>
        </w:tc>
        <w:tc>
          <w:tcPr>
            <w:tcW w:w="880" w:type="dxa"/>
            <w:tcBorders>
              <w:top w:val="single" w:sz="4" w:space="0" w:color="auto"/>
              <w:left w:val="nil"/>
              <w:bottom w:val="single" w:sz="4" w:space="0" w:color="auto"/>
              <w:right w:val="nil"/>
            </w:tcBorders>
            <w:shd w:val="clear" w:color="000000" w:fill="E6E6E6"/>
            <w:hideMark/>
          </w:tcPr>
          <w:p w:rsidR="00E02AC1" w:rsidRPr="00E02AC1" w:rsidRDefault="00E02AC1" w:rsidP="00E02AC1">
            <w:pPr>
              <w:spacing w:after="0" w:line="240" w:lineRule="auto"/>
              <w:jc w:val="right"/>
              <w:rPr>
                <w:rFonts w:ascii="Arial" w:hAnsi="Arial" w:cs="Arial"/>
              </w:rPr>
            </w:pPr>
            <w:r w:rsidRPr="00E02AC1">
              <w:rPr>
                <w:rFonts w:ascii="Arial" w:hAnsi="Arial" w:cs="Arial"/>
              </w:rPr>
              <w:t>2016-17</w:t>
            </w:r>
            <w:r w:rsidRPr="00E02AC1">
              <w:rPr>
                <w:rFonts w:ascii="Arial" w:hAnsi="Arial" w:cs="Arial"/>
              </w:rPr>
              <w:br/>
              <w:t>Budget</w:t>
            </w:r>
            <w:r w:rsidRPr="00E02AC1">
              <w:rPr>
                <w:rFonts w:ascii="Arial" w:hAnsi="Arial" w:cs="Arial"/>
              </w:rPr>
              <w:br/>
            </w:r>
            <w:r w:rsidRPr="00E02AC1">
              <w:rPr>
                <w:rFonts w:ascii="Arial" w:hAnsi="Arial" w:cs="Arial"/>
              </w:rPr>
              <w:br/>
              <w:t>$'000</w:t>
            </w:r>
          </w:p>
        </w:tc>
        <w:tc>
          <w:tcPr>
            <w:tcW w:w="880" w:type="dxa"/>
            <w:tcBorders>
              <w:top w:val="single" w:sz="4" w:space="0" w:color="auto"/>
              <w:left w:val="nil"/>
              <w:bottom w:val="single" w:sz="4" w:space="0" w:color="auto"/>
              <w:right w:val="nil"/>
            </w:tcBorders>
            <w:shd w:val="clear" w:color="auto" w:fill="auto"/>
            <w:hideMark/>
          </w:tcPr>
          <w:p w:rsidR="00E02AC1" w:rsidRPr="00E02AC1" w:rsidRDefault="00E02AC1" w:rsidP="00E02AC1">
            <w:pPr>
              <w:spacing w:after="0" w:line="240" w:lineRule="auto"/>
              <w:jc w:val="right"/>
              <w:rPr>
                <w:rFonts w:ascii="Arial" w:hAnsi="Arial" w:cs="Arial"/>
              </w:rPr>
            </w:pPr>
            <w:r w:rsidRPr="00E02AC1">
              <w:rPr>
                <w:rFonts w:ascii="Arial" w:hAnsi="Arial" w:cs="Arial"/>
              </w:rPr>
              <w:t>2017-18 Forward estimate</w:t>
            </w:r>
            <w:r w:rsidRPr="00E02AC1">
              <w:rPr>
                <w:rFonts w:ascii="Arial" w:hAnsi="Arial" w:cs="Arial"/>
              </w:rPr>
              <w:br/>
              <w:t>$'000</w:t>
            </w:r>
          </w:p>
        </w:tc>
        <w:tc>
          <w:tcPr>
            <w:tcW w:w="880" w:type="dxa"/>
            <w:tcBorders>
              <w:top w:val="single" w:sz="4" w:space="0" w:color="auto"/>
              <w:left w:val="nil"/>
              <w:bottom w:val="single" w:sz="4" w:space="0" w:color="auto"/>
              <w:right w:val="nil"/>
            </w:tcBorders>
            <w:shd w:val="clear" w:color="auto" w:fill="auto"/>
            <w:hideMark/>
          </w:tcPr>
          <w:p w:rsidR="00E02AC1" w:rsidRPr="00E02AC1" w:rsidRDefault="00E02AC1" w:rsidP="00E02AC1">
            <w:pPr>
              <w:spacing w:after="0" w:line="240" w:lineRule="auto"/>
              <w:jc w:val="right"/>
              <w:rPr>
                <w:rFonts w:ascii="Arial" w:hAnsi="Arial" w:cs="Arial"/>
              </w:rPr>
            </w:pPr>
            <w:r w:rsidRPr="00E02AC1">
              <w:rPr>
                <w:rFonts w:ascii="Arial" w:hAnsi="Arial" w:cs="Arial"/>
              </w:rPr>
              <w:t>2018-19 Forward estimate</w:t>
            </w:r>
            <w:r w:rsidRPr="00E02AC1">
              <w:rPr>
                <w:rFonts w:ascii="Arial" w:hAnsi="Arial" w:cs="Arial"/>
              </w:rPr>
              <w:br/>
              <w:t>$'000</w:t>
            </w:r>
          </w:p>
        </w:tc>
        <w:tc>
          <w:tcPr>
            <w:tcW w:w="880" w:type="dxa"/>
            <w:tcBorders>
              <w:top w:val="single" w:sz="4" w:space="0" w:color="auto"/>
              <w:left w:val="nil"/>
              <w:bottom w:val="single" w:sz="4" w:space="0" w:color="auto"/>
              <w:right w:val="nil"/>
            </w:tcBorders>
            <w:shd w:val="clear" w:color="auto" w:fill="auto"/>
            <w:hideMark/>
          </w:tcPr>
          <w:p w:rsidR="00E02AC1" w:rsidRPr="00E02AC1" w:rsidRDefault="00E02AC1" w:rsidP="00E02AC1">
            <w:pPr>
              <w:spacing w:after="0" w:line="240" w:lineRule="auto"/>
              <w:jc w:val="right"/>
              <w:rPr>
                <w:rFonts w:ascii="Arial" w:hAnsi="Arial" w:cs="Arial"/>
              </w:rPr>
            </w:pPr>
            <w:r w:rsidRPr="00E02AC1">
              <w:rPr>
                <w:rFonts w:ascii="Arial" w:hAnsi="Arial" w:cs="Arial"/>
              </w:rPr>
              <w:t>2019-20</w:t>
            </w:r>
            <w:r w:rsidRPr="00E02AC1">
              <w:rPr>
                <w:rFonts w:ascii="Arial" w:hAnsi="Arial" w:cs="Arial"/>
              </w:rPr>
              <w:br/>
              <w:t>Forward estimate</w:t>
            </w:r>
            <w:r w:rsidRPr="00E02AC1">
              <w:rPr>
                <w:rFonts w:ascii="Arial" w:hAnsi="Arial" w:cs="Arial"/>
              </w:rPr>
              <w:br/>
              <w:t>$'000</w:t>
            </w:r>
          </w:p>
        </w:tc>
      </w:tr>
      <w:tr w:rsidR="00E02AC1" w:rsidRPr="00E02AC1" w:rsidTr="00E02AC1">
        <w:trPr>
          <w:trHeight w:val="225"/>
        </w:trPr>
        <w:tc>
          <w:tcPr>
            <w:tcW w:w="284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b/>
                <w:bCs/>
                <w:color w:val="000000"/>
              </w:rPr>
            </w:pPr>
            <w:r w:rsidRPr="00E02AC1">
              <w:rPr>
                <w:rFonts w:ascii="Arial" w:hAnsi="Arial" w:cs="Arial"/>
                <w:b/>
                <w:bCs/>
                <w:color w:val="000000"/>
              </w:rPr>
              <w:t>OPERATING ACTIVITIES</w:t>
            </w:r>
          </w:p>
        </w:tc>
        <w:tc>
          <w:tcPr>
            <w:tcW w:w="88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color w:val="000000"/>
              </w:rPr>
            </w:pPr>
          </w:p>
        </w:tc>
        <w:tc>
          <w:tcPr>
            <w:tcW w:w="880" w:type="dxa"/>
            <w:tcBorders>
              <w:top w:val="nil"/>
              <w:left w:val="nil"/>
              <w:bottom w:val="nil"/>
              <w:right w:val="nil"/>
            </w:tcBorders>
            <w:shd w:val="clear" w:color="000000" w:fill="E6E6E6"/>
            <w:noWrap/>
            <w:vAlign w:val="center"/>
            <w:hideMark/>
          </w:tcPr>
          <w:p w:rsidR="00E02AC1" w:rsidRPr="00E02AC1" w:rsidRDefault="00E02AC1" w:rsidP="00E02AC1">
            <w:pPr>
              <w:spacing w:after="0" w:line="240" w:lineRule="auto"/>
              <w:jc w:val="left"/>
              <w:rPr>
                <w:rFonts w:ascii="Arial" w:hAnsi="Arial" w:cs="Arial"/>
                <w:color w:val="000000"/>
              </w:rPr>
            </w:pPr>
            <w:r w:rsidRPr="00E02AC1">
              <w:rPr>
                <w:rFonts w:ascii="Arial" w:hAnsi="Arial" w:cs="Arial"/>
                <w:color w:val="000000"/>
              </w:rPr>
              <w:t> </w:t>
            </w:r>
          </w:p>
        </w:tc>
        <w:tc>
          <w:tcPr>
            <w:tcW w:w="88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color w:val="000000"/>
              </w:rPr>
            </w:pPr>
          </w:p>
        </w:tc>
        <w:tc>
          <w:tcPr>
            <w:tcW w:w="88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color w:val="000000"/>
              </w:rPr>
            </w:pPr>
          </w:p>
        </w:tc>
        <w:tc>
          <w:tcPr>
            <w:tcW w:w="88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color w:val="000000"/>
              </w:rPr>
            </w:pPr>
          </w:p>
        </w:tc>
      </w:tr>
      <w:tr w:rsidR="00E02AC1" w:rsidRPr="00E02AC1" w:rsidTr="00E02AC1">
        <w:trPr>
          <w:trHeight w:val="225"/>
        </w:trPr>
        <w:tc>
          <w:tcPr>
            <w:tcW w:w="284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b/>
                <w:bCs/>
                <w:color w:val="000000"/>
              </w:rPr>
            </w:pPr>
            <w:r w:rsidRPr="00E02AC1">
              <w:rPr>
                <w:rFonts w:ascii="Arial" w:hAnsi="Arial" w:cs="Arial"/>
                <w:b/>
                <w:bCs/>
                <w:color w:val="000000"/>
              </w:rPr>
              <w:t>Cash received</w:t>
            </w:r>
          </w:p>
        </w:tc>
        <w:tc>
          <w:tcPr>
            <w:tcW w:w="88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color w:val="000000"/>
              </w:rPr>
            </w:pPr>
          </w:p>
        </w:tc>
        <w:tc>
          <w:tcPr>
            <w:tcW w:w="880" w:type="dxa"/>
            <w:tcBorders>
              <w:top w:val="nil"/>
              <w:left w:val="nil"/>
              <w:bottom w:val="nil"/>
              <w:right w:val="nil"/>
            </w:tcBorders>
            <w:shd w:val="clear" w:color="000000" w:fill="E6E6E6"/>
            <w:noWrap/>
            <w:vAlign w:val="center"/>
            <w:hideMark/>
          </w:tcPr>
          <w:p w:rsidR="00E02AC1" w:rsidRPr="00E02AC1" w:rsidRDefault="00E02AC1" w:rsidP="00E02AC1">
            <w:pPr>
              <w:spacing w:after="0" w:line="240" w:lineRule="auto"/>
              <w:jc w:val="left"/>
              <w:rPr>
                <w:rFonts w:ascii="Arial" w:hAnsi="Arial" w:cs="Arial"/>
                <w:color w:val="000000"/>
              </w:rPr>
            </w:pPr>
            <w:r w:rsidRPr="00E02AC1">
              <w:rPr>
                <w:rFonts w:ascii="Arial" w:hAnsi="Arial" w:cs="Arial"/>
                <w:color w:val="000000"/>
              </w:rPr>
              <w:t> </w:t>
            </w:r>
          </w:p>
        </w:tc>
        <w:tc>
          <w:tcPr>
            <w:tcW w:w="88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color w:val="000000"/>
              </w:rPr>
            </w:pPr>
          </w:p>
        </w:tc>
        <w:tc>
          <w:tcPr>
            <w:tcW w:w="88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color w:val="000000"/>
              </w:rPr>
            </w:pPr>
          </w:p>
        </w:tc>
        <w:tc>
          <w:tcPr>
            <w:tcW w:w="88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color w:val="000000"/>
              </w:rPr>
            </w:pPr>
          </w:p>
        </w:tc>
      </w:tr>
      <w:tr w:rsidR="00E02AC1" w:rsidRPr="00E02AC1" w:rsidTr="00E02AC1">
        <w:trPr>
          <w:trHeight w:val="225"/>
        </w:trPr>
        <w:tc>
          <w:tcPr>
            <w:tcW w:w="284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ind w:firstLineChars="100" w:firstLine="160"/>
              <w:jc w:val="left"/>
              <w:rPr>
                <w:rFonts w:ascii="Arial" w:hAnsi="Arial" w:cs="Arial"/>
                <w:color w:val="000000"/>
              </w:rPr>
            </w:pPr>
            <w:r w:rsidRPr="00E02AC1">
              <w:rPr>
                <w:rFonts w:ascii="Arial" w:hAnsi="Arial" w:cs="Arial"/>
                <w:color w:val="000000"/>
              </w:rPr>
              <w:t xml:space="preserve">Other </w:t>
            </w:r>
          </w:p>
        </w:tc>
        <w:tc>
          <w:tcPr>
            <w:tcW w:w="88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color w:val="000000"/>
              </w:rPr>
            </w:pPr>
            <w:r w:rsidRPr="00E02AC1">
              <w:rPr>
                <w:rFonts w:ascii="Arial" w:hAnsi="Arial" w:cs="Arial"/>
                <w:color w:val="000000"/>
              </w:rPr>
              <w:t xml:space="preserve">55,019 </w:t>
            </w:r>
          </w:p>
        </w:tc>
        <w:tc>
          <w:tcPr>
            <w:tcW w:w="880" w:type="dxa"/>
            <w:tcBorders>
              <w:top w:val="nil"/>
              <w:left w:val="nil"/>
              <w:bottom w:val="nil"/>
              <w:right w:val="nil"/>
            </w:tcBorders>
            <w:shd w:val="clear" w:color="000000" w:fill="E6E6E6"/>
            <w:noWrap/>
            <w:vAlign w:val="center"/>
            <w:hideMark/>
          </w:tcPr>
          <w:p w:rsidR="00E02AC1" w:rsidRPr="00E02AC1" w:rsidRDefault="00E02AC1" w:rsidP="00E02AC1">
            <w:pPr>
              <w:spacing w:after="0" w:line="240" w:lineRule="auto"/>
              <w:jc w:val="right"/>
              <w:rPr>
                <w:rFonts w:ascii="Arial" w:hAnsi="Arial" w:cs="Arial"/>
                <w:color w:val="000000"/>
              </w:rPr>
            </w:pPr>
            <w:r w:rsidRPr="00E02AC1">
              <w:rPr>
                <w:rFonts w:ascii="Arial" w:hAnsi="Arial" w:cs="Arial"/>
                <w:color w:val="000000"/>
              </w:rPr>
              <w:t xml:space="preserve">66,148 </w:t>
            </w:r>
          </w:p>
        </w:tc>
        <w:tc>
          <w:tcPr>
            <w:tcW w:w="88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color w:val="000000"/>
              </w:rPr>
            </w:pPr>
            <w:r w:rsidRPr="00E02AC1">
              <w:rPr>
                <w:rFonts w:ascii="Arial" w:hAnsi="Arial" w:cs="Arial"/>
                <w:color w:val="000000"/>
              </w:rPr>
              <w:t xml:space="preserve">70,077 </w:t>
            </w:r>
          </w:p>
        </w:tc>
        <w:tc>
          <w:tcPr>
            <w:tcW w:w="88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color w:val="000000"/>
              </w:rPr>
            </w:pPr>
            <w:r w:rsidRPr="00E02AC1">
              <w:rPr>
                <w:rFonts w:ascii="Arial" w:hAnsi="Arial" w:cs="Arial"/>
                <w:color w:val="000000"/>
              </w:rPr>
              <w:t xml:space="preserve">72,853 </w:t>
            </w:r>
          </w:p>
        </w:tc>
        <w:tc>
          <w:tcPr>
            <w:tcW w:w="88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color w:val="000000"/>
              </w:rPr>
            </w:pPr>
            <w:r w:rsidRPr="00E02AC1">
              <w:rPr>
                <w:rFonts w:ascii="Arial" w:hAnsi="Arial" w:cs="Arial"/>
                <w:color w:val="000000"/>
              </w:rPr>
              <w:t xml:space="preserve">75,379 </w:t>
            </w:r>
          </w:p>
        </w:tc>
      </w:tr>
      <w:tr w:rsidR="00E02AC1" w:rsidRPr="00E02AC1" w:rsidTr="00E02AC1">
        <w:trPr>
          <w:trHeight w:val="225"/>
        </w:trPr>
        <w:tc>
          <w:tcPr>
            <w:tcW w:w="284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b/>
                <w:bCs/>
                <w:color w:val="000000"/>
              </w:rPr>
            </w:pPr>
            <w:r w:rsidRPr="00E02AC1">
              <w:rPr>
                <w:rFonts w:ascii="Arial" w:hAnsi="Arial" w:cs="Arial"/>
                <w:b/>
                <w:bCs/>
                <w:color w:val="000000"/>
              </w:rPr>
              <w:t>Total cash received</w:t>
            </w:r>
          </w:p>
        </w:tc>
        <w:tc>
          <w:tcPr>
            <w:tcW w:w="880" w:type="dxa"/>
            <w:tcBorders>
              <w:top w:val="single" w:sz="4" w:space="0" w:color="000000"/>
              <w:left w:val="nil"/>
              <w:bottom w:val="single" w:sz="4" w:space="0" w:color="000000"/>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b/>
                <w:bCs/>
                <w:color w:val="000000"/>
              </w:rPr>
            </w:pPr>
            <w:r w:rsidRPr="00E02AC1">
              <w:rPr>
                <w:rFonts w:ascii="Arial" w:hAnsi="Arial" w:cs="Arial"/>
                <w:b/>
                <w:bCs/>
                <w:color w:val="000000"/>
              </w:rPr>
              <w:t xml:space="preserve">55,019 </w:t>
            </w:r>
          </w:p>
        </w:tc>
        <w:tc>
          <w:tcPr>
            <w:tcW w:w="880" w:type="dxa"/>
            <w:tcBorders>
              <w:top w:val="single" w:sz="4" w:space="0" w:color="000000"/>
              <w:left w:val="nil"/>
              <w:bottom w:val="single" w:sz="4" w:space="0" w:color="000000"/>
              <w:right w:val="nil"/>
            </w:tcBorders>
            <w:shd w:val="clear" w:color="000000" w:fill="E6E6E6"/>
            <w:noWrap/>
            <w:vAlign w:val="center"/>
            <w:hideMark/>
          </w:tcPr>
          <w:p w:rsidR="00E02AC1" w:rsidRPr="00E02AC1" w:rsidRDefault="00E02AC1" w:rsidP="00E02AC1">
            <w:pPr>
              <w:spacing w:after="0" w:line="240" w:lineRule="auto"/>
              <w:jc w:val="right"/>
              <w:rPr>
                <w:rFonts w:ascii="Arial" w:hAnsi="Arial" w:cs="Arial"/>
                <w:b/>
                <w:bCs/>
                <w:color w:val="000000"/>
              </w:rPr>
            </w:pPr>
            <w:r w:rsidRPr="00E02AC1">
              <w:rPr>
                <w:rFonts w:ascii="Arial" w:hAnsi="Arial" w:cs="Arial"/>
                <w:b/>
                <w:bCs/>
                <w:color w:val="000000"/>
              </w:rPr>
              <w:t xml:space="preserve">66,148 </w:t>
            </w:r>
          </w:p>
        </w:tc>
        <w:tc>
          <w:tcPr>
            <w:tcW w:w="880" w:type="dxa"/>
            <w:tcBorders>
              <w:top w:val="single" w:sz="4" w:space="0" w:color="000000"/>
              <w:left w:val="nil"/>
              <w:bottom w:val="single" w:sz="4" w:space="0" w:color="000000"/>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b/>
                <w:bCs/>
                <w:color w:val="000000"/>
              </w:rPr>
            </w:pPr>
            <w:r w:rsidRPr="00E02AC1">
              <w:rPr>
                <w:rFonts w:ascii="Arial" w:hAnsi="Arial" w:cs="Arial"/>
                <w:b/>
                <w:bCs/>
                <w:color w:val="000000"/>
              </w:rPr>
              <w:t xml:space="preserve">70,077 </w:t>
            </w:r>
          </w:p>
        </w:tc>
        <w:tc>
          <w:tcPr>
            <w:tcW w:w="880" w:type="dxa"/>
            <w:tcBorders>
              <w:top w:val="single" w:sz="4" w:space="0" w:color="000000"/>
              <w:left w:val="nil"/>
              <w:bottom w:val="single" w:sz="4" w:space="0" w:color="000000"/>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b/>
                <w:bCs/>
                <w:color w:val="000000"/>
              </w:rPr>
            </w:pPr>
            <w:r w:rsidRPr="00E02AC1">
              <w:rPr>
                <w:rFonts w:ascii="Arial" w:hAnsi="Arial" w:cs="Arial"/>
                <w:b/>
                <w:bCs/>
                <w:color w:val="000000"/>
              </w:rPr>
              <w:t xml:space="preserve">72,853 </w:t>
            </w:r>
          </w:p>
        </w:tc>
        <w:tc>
          <w:tcPr>
            <w:tcW w:w="880" w:type="dxa"/>
            <w:tcBorders>
              <w:top w:val="single" w:sz="4" w:space="0" w:color="000000"/>
              <w:left w:val="nil"/>
              <w:bottom w:val="single" w:sz="4" w:space="0" w:color="000000"/>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b/>
                <w:bCs/>
                <w:color w:val="000000"/>
              </w:rPr>
            </w:pPr>
            <w:r w:rsidRPr="00E02AC1">
              <w:rPr>
                <w:rFonts w:ascii="Arial" w:hAnsi="Arial" w:cs="Arial"/>
                <w:b/>
                <w:bCs/>
                <w:color w:val="000000"/>
              </w:rPr>
              <w:t xml:space="preserve">75,379 </w:t>
            </w:r>
          </w:p>
        </w:tc>
      </w:tr>
      <w:tr w:rsidR="00E02AC1" w:rsidRPr="00E02AC1" w:rsidTr="00E02AC1">
        <w:trPr>
          <w:trHeight w:val="225"/>
        </w:trPr>
        <w:tc>
          <w:tcPr>
            <w:tcW w:w="284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b/>
                <w:bCs/>
                <w:color w:val="000000"/>
              </w:rPr>
            </w:pPr>
            <w:r w:rsidRPr="00E02AC1">
              <w:rPr>
                <w:rFonts w:ascii="Arial" w:hAnsi="Arial" w:cs="Arial"/>
                <w:b/>
                <w:bCs/>
                <w:color w:val="000000"/>
              </w:rPr>
              <w:t>Cash used</w:t>
            </w:r>
          </w:p>
        </w:tc>
        <w:tc>
          <w:tcPr>
            <w:tcW w:w="88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color w:val="000000"/>
              </w:rPr>
            </w:pPr>
          </w:p>
        </w:tc>
        <w:tc>
          <w:tcPr>
            <w:tcW w:w="880" w:type="dxa"/>
            <w:tcBorders>
              <w:top w:val="nil"/>
              <w:left w:val="nil"/>
              <w:bottom w:val="nil"/>
              <w:right w:val="nil"/>
            </w:tcBorders>
            <w:shd w:val="clear" w:color="000000" w:fill="E6E6E6"/>
            <w:noWrap/>
            <w:vAlign w:val="center"/>
            <w:hideMark/>
          </w:tcPr>
          <w:p w:rsidR="00E02AC1" w:rsidRPr="00E02AC1" w:rsidRDefault="00E02AC1" w:rsidP="00E02AC1">
            <w:pPr>
              <w:spacing w:after="0" w:line="240" w:lineRule="auto"/>
              <w:jc w:val="left"/>
              <w:rPr>
                <w:rFonts w:ascii="Arial" w:hAnsi="Arial" w:cs="Arial"/>
                <w:color w:val="000000"/>
              </w:rPr>
            </w:pPr>
            <w:r w:rsidRPr="00E02AC1">
              <w:rPr>
                <w:rFonts w:ascii="Arial" w:hAnsi="Arial" w:cs="Arial"/>
                <w:color w:val="000000"/>
              </w:rPr>
              <w:t> </w:t>
            </w:r>
          </w:p>
        </w:tc>
        <w:tc>
          <w:tcPr>
            <w:tcW w:w="88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color w:val="000000"/>
              </w:rPr>
            </w:pPr>
          </w:p>
        </w:tc>
        <w:tc>
          <w:tcPr>
            <w:tcW w:w="88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color w:val="000000"/>
              </w:rPr>
            </w:pPr>
          </w:p>
        </w:tc>
        <w:tc>
          <w:tcPr>
            <w:tcW w:w="88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color w:val="000000"/>
              </w:rPr>
            </w:pPr>
          </w:p>
        </w:tc>
      </w:tr>
      <w:tr w:rsidR="00E02AC1" w:rsidRPr="00E02AC1" w:rsidTr="00E02AC1">
        <w:trPr>
          <w:trHeight w:val="225"/>
        </w:trPr>
        <w:tc>
          <w:tcPr>
            <w:tcW w:w="284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ind w:firstLineChars="100" w:firstLine="160"/>
              <w:jc w:val="left"/>
              <w:rPr>
                <w:rFonts w:ascii="Arial" w:hAnsi="Arial" w:cs="Arial"/>
                <w:color w:val="000000"/>
              </w:rPr>
            </w:pPr>
            <w:r w:rsidRPr="00E02AC1">
              <w:rPr>
                <w:rFonts w:ascii="Arial" w:hAnsi="Arial" w:cs="Arial"/>
                <w:color w:val="000000"/>
              </w:rPr>
              <w:t>Employees</w:t>
            </w:r>
          </w:p>
        </w:tc>
        <w:tc>
          <w:tcPr>
            <w:tcW w:w="88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color w:val="000000"/>
              </w:rPr>
            </w:pPr>
            <w:r w:rsidRPr="00E02AC1">
              <w:rPr>
                <w:rFonts w:ascii="Arial" w:hAnsi="Arial" w:cs="Arial"/>
                <w:color w:val="000000"/>
              </w:rPr>
              <w:t xml:space="preserve">34,894 </w:t>
            </w:r>
          </w:p>
        </w:tc>
        <w:tc>
          <w:tcPr>
            <w:tcW w:w="880" w:type="dxa"/>
            <w:tcBorders>
              <w:top w:val="nil"/>
              <w:left w:val="nil"/>
              <w:bottom w:val="nil"/>
              <w:right w:val="nil"/>
            </w:tcBorders>
            <w:shd w:val="clear" w:color="000000" w:fill="E6E6E6"/>
            <w:noWrap/>
            <w:vAlign w:val="center"/>
            <w:hideMark/>
          </w:tcPr>
          <w:p w:rsidR="00E02AC1" w:rsidRPr="00E02AC1" w:rsidRDefault="00E02AC1" w:rsidP="00E02AC1">
            <w:pPr>
              <w:spacing w:after="0" w:line="240" w:lineRule="auto"/>
              <w:jc w:val="right"/>
              <w:rPr>
                <w:rFonts w:ascii="Arial" w:hAnsi="Arial" w:cs="Arial"/>
                <w:color w:val="000000"/>
              </w:rPr>
            </w:pPr>
            <w:r w:rsidRPr="00E02AC1">
              <w:rPr>
                <w:rFonts w:ascii="Arial" w:hAnsi="Arial" w:cs="Arial"/>
                <w:color w:val="000000"/>
              </w:rPr>
              <w:t xml:space="preserve">37,992 </w:t>
            </w:r>
          </w:p>
        </w:tc>
        <w:tc>
          <w:tcPr>
            <w:tcW w:w="88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color w:val="000000"/>
              </w:rPr>
            </w:pPr>
            <w:r w:rsidRPr="00E02AC1">
              <w:rPr>
                <w:rFonts w:ascii="Arial" w:hAnsi="Arial" w:cs="Arial"/>
                <w:color w:val="000000"/>
              </w:rPr>
              <w:t xml:space="preserve">42,423 </w:t>
            </w:r>
          </w:p>
        </w:tc>
        <w:tc>
          <w:tcPr>
            <w:tcW w:w="88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color w:val="000000"/>
              </w:rPr>
            </w:pPr>
            <w:r w:rsidRPr="00E02AC1">
              <w:rPr>
                <w:rFonts w:ascii="Arial" w:hAnsi="Arial" w:cs="Arial"/>
                <w:color w:val="000000"/>
              </w:rPr>
              <w:t xml:space="preserve">44,368 </w:t>
            </w:r>
          </w:p>
        </w:tc>
        <w:tc>
          <w:tcPr>
            <w:tcW w:w="88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color w:val="000000"/>
              </w:rPr>
            </w:pPr>
            <w:r w:rsidRPr="00E02AC1">
              <w:rPr>
                <w:rFonts w:ascii="Arial" w:hAnsi="Arial" w:cs="Arial"/>
                <w:color w:val="000000"/>
              </w:rPr>
              <w:t xml:space="preserve">46,373 </w:t>
            </w:r>
          </w:p>
        </w:tc>
      </w:tr>
      <w:tr w:rsidR="00E02AC1" w:rsidRPr="00E02AC1" w:rsidTr="00E02AC1">
        <w:trPr>
          <w:trHeight w:val="225"/>
        </w:trPr>
        <w:tc>
          <w:tcPr>
            <w:tcW w:w="284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ind w:firstLineChars="100" w:firstLine="160"/>
              <w:jc w:val="left"/>
              <w:rPr>
                <w:rFonts w:ascii="Arial" w:hAnsi="Arial" w:cs="Arial"/>
                <w:color w:val="000000"/>
              </w:rPr>
            </w:pPr>
            <w:r w:rsidRPr="00E02AC1">
              <w:rPr>
                <w:rFonts w:ascii="Arial" w:hAnsi="Arial" w:cs="Arial"/>
                <w:color w:val="000000"/>
              </w:rPr>
              <w:t>Suppliers</w:t>
            </w:r>
          </w:p>
        </w:tc>
        <w:tc>
          <w:tcPr>
            <w:tcW w:w="88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color w:val="000000"/>
              </w:rPr>
            </w:pPr>
            <w:r w:rsidRPr="00E02AC1">
              <w:rPr>
                <w:rFonts w:ascii="Arial" w:hAnsi="Arial" w:cs="Arial"/>
                <w:color w:val="000000"/>
              </w:rPr>
              <w:t xml:space="preserve">13,185 </w:t>
            </w:r>
          </w:p>
        </w:tc>
        <w:tc>
          <w:tcPr>
            <w:tcW w:w="880" w:type="dxa"/>
            <w:tcBorders>
              <w:top w:val="nil"/>
              <w:left w:val="nil"/>
              <w:bottom w:val="nil"/>
              <w:right w:val="nil"/>
            </w:tcBorders>
            <w:shd w:val="clear" w:color="000000" w:fill="E6E6E6"/>
            <w:noWrap/>
            <w:vAlign w:val="center"/>
            <w:hideMark/>
          </w:tcPr>
          <w:p w:rsidR="00E02AC1" w:rsidRPr="00E02AC1" w:rsidRDefault="00E02AC1" w:rsidP="00E02AC1">
            <w:pPr>
              <w:spacing w:after="0" w:line="240" w:lineRule="auto"/>
              <w:jc w:val="right"/>
              <w:rPr>
                <w:rFonts w:ascii="Arial" w:hAnsi="Arial" w:cs="Arial"/>
                <w:color w:val="000000"/>
              </w:rPr>
            </w:pPr>
            <w:r w:rsidRPr="00E02AC1">
              <w:rPr>
                <w:rFonts w:ascii="Arial" w:hAnsi="Arial" w:cs="Arial"/>
                <w:color w:val="000000"/>
              </w:rPr>
              <w:t xml:space="preserve">19,838 </w:t>
            </w:r>
          </w:p>
        </w:tc>
        <w:tc>
          <w:tcPr>
            <w:tcW w:w="88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color w:val="000000"/>
              </w:rPr>
            </w:pPr>
            <w:r w:rsidRPr="00E02AC1">
              <w:rPr>
                <w:rFonts w:ascii="Arial" w:hAnsi="Arial" w:cs="Arial"/>
                <w:color w:val="000000"/>
              </w:rPr>
              <w:t xml:space="preserve">20,638 </w:t>
            </w:r>
          </w:p>
        </w:tc>
        <w:tc>
          <w:tcPr>
            <w:tcW w:w="88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color w:val="000000"/>
              </w:rPr>
            </w:pPr>
            <w:r w:rsidRPr="00E02AC1">
              <w:rPr>
                <w:rFonts w:ascii="Arial" w:hAnsi="Arial" w:cs="Arial"/>
                <w:color w:val="000000"/>
              </w:rPr>
              <w:t xml:space="preserve">20,998 </w:t>
            </w:r>
          </w:p>
        </w:tc>
        <w:tc>
          <w:tcPr>
            <w:tcW w:w="88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color w:val="000000"/>
              </w:rPr>
            </w:pPr>
            <w:r w:rsidRPr="00E02AC1">
              <w:rPr>
                <w:rFonts w:ascii="Arial" w:hAnsi="Arial" w:cs="Arial"/>
                <w:color w:val="000000"/>
              </w:rPr>
              <w:t xml:space="preserve">21,305 </w:t>
            </w:r>
          </w:p>
        </w:tc>
      </w:tr>
      <w:tr w:rsidR="00E02AC1" w:rsidRPr="00E02AC1" w:rsidTr="00E02AC1">
        <w:trPr>
          <w:trHeight w:val="225"/>
        </w:trPr>
        <w:tc>
          <w:tcPr>
            <w:tcW w:w="284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ind w:firstLineChars="100" w:firstLine="160"/>
              <w:jc w:val="left"/>
              <w:rPr>
                <w:rFonts w:ascii="Arial" w:hAnsi="Arial" w:cs="Arial"/>
              </w:rPr>
            </w:pPr>
            <w:r w:rsidRPr="00E02AC1">
              <w:rPr>
                <w:rFonts w:ascii="Arial" w:hAnsi="Arial" w:cs="Arial"/>
              </w:rPr>
              <w:t>Net GST paid</w:t>
            </w:r>
          </w:p>
        </w:tc>
        <w:tc>
          <w:tcPr>
            <w:tcW w:w="88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color w:val="000000"/>
              </w:rPr>
            </w:pPr>
            <w:r w:rsidRPr="00E02AC1">
              <w:rPr>
                <w:rFonts w:ascii="Arial" w:hAnsi="Arial" w:cs="Arial"/>
                <w:color w:val="000000"/>
              </w:rPr>
              <w:t xml:space="preserve">4,510 </w:t>
            </w:r>
          </w:p>
        </w:tc>
        <w:tc>
          <w:tcPr>
            <w:tcW w:w="880" w:type="dxa"/>
            <w:tcBorders>
              <w:top w:val="nil"/>
              <w:left w:val="nil"/>
              <w:bottom w:val="nil"/>
              <w:right w:val="nil"/>
            </w:tcBorders>
            <w:shd w:val="clear" w:color="000000" w:fill="E6E6E6"/>
            <w:noWrap/>
            <w:vAlign w:val="center"/>
            <w:hideMark/>
          </w:tcPr>
          <w:p w:rsidR="00E02AC1" w:rsidRPr="00E02AC1" w:rsidRDefault="00E02AC1" w:rsidP="00E02AC1">
            <w:pPr>
              <w:spacing w:after="0" w:line="240" w:lineRule="auto"/>
              <w:jc w:val="right"/>
              <w:rPr>
                <w:rFonts w:ascii="Arial" w:hAnsi="Arial" w:cs="Arial"/>
                <w:color w:val="000000"/>
              </w:rPr>
            </w:pPr>
            <w:r w:rsidRPr="00E02AC1">
              <w:rPr>
                <w:rFonts w:ascii="Arial" w:hAnsi="Arial" w:cs="Arial"/>
                <w:color w:val="000000"/>
              </w:rPr>
              <w:t xml:space="preserve">4,966 </w:t>
            </w:r>
          </w:p>
        </w:tc>
        <w:tc>
          <w:tcPr>
            <w:tcW w:w="88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color w:val="000000"/>
              </w:rPr>
            </w:pPr>
            <w:r w:rsidRPr="00E02AC1">
              <w:rPr>
                <w:rFonts w:ascii="Arial" w:hAnsi="Arial" w:cs="Arial"/>
                <w:color w:val="000000"/>
              </w:rPr>
              <w:t xml:space="preserve">6,266 </w:t>
            </w:r>
          </w:p>
        </w:tc>
        <w:tc>
          <w:tcPr>
            <w:tcW w:w="88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color w:val="000000"/>
              </w:rPr>
            </w:pPr>
            <w:r w:rsidRPr="00E02AC1">
              <w:rPr>
                <w:rFonts w:ascii="Arial" w:hAnsi="Arial" w:cs="Arial"/>
                <w:color w:val="000000"/>
              </w:rPr>
              <w:t xml:space="preserve">6,737 </w:t>
            </w:r>
          </w:p>
        </w:tc>
        <w:tc>
          <w:tcPr>
            <w:tcW w:w="88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color w:val="000000"/>
              </w:rPr>
            </w:pPr>
            <w:r w:rsidRPr="00E02AC1">
              <w:rPr>
                <w:rFonts w:ascii="Arial" w:hAnsi="Arial" w:cs="Arial"/>
                <w:color w:val="000000"/>
              </w:rPr>
              <w:t xml:space="preserve">6,951 </w:t>
            </w:r>
          </w:p>
        </w:tc>
      </w:tr>
      <w:tr w:rsidR="00E02AC1" w:rsidRPr="00E02AC1" w:rsidTr="00E02AC1">
        <w:trPr>
          <w:trHeight w:val="225"/>
        </w:trPr>
        <w:tc>
          <w:tcPr>
            <w:tcW w:w="284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b/>
                <w:bCs/>
                <w:color w:val="000000"/>
              </w:rPr>
            </w:pPr>
            <w:r w:rsidRPr="00E02AC1">
              <w:rPr>
                <w:rFonts w:ascii="Arial" w:hAnsi="Arial" w:cs="Arial"/>
                <w:b/>
                <w:bCs/>
                <w:color w:val="000000"/>
              </w:rPr>
              <w:t>Total cash used</w:t>
            </w:r>
          </w:p>
        </w:tc>
        <w:tc>
          <w:tcPr>
            <w:tcW w:w="880" w:type="dxa"/>
            <w:tcBorders>
              <w:top w:val="single" w:sz="4" w:space="0" w:color="000000"/>
              <w:left w:val="nil"/>
              <w:bottom w:val="nil"/>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b/>
                <w:bCs/>
                <w:color w:val="000000"/>
              </w:rPr>
            </w:pPr>
            <w:r w:rsidRPr="00E02AC1">
              <w:rPr>
                <w:rFonts w:ascii="Arial" w:hAnsi="Arial" w:cs="Arial"/>
                <w:b/>
                <w:bCs/>
                <w:color w:val="000000"/>
              </w:rPr>
              <w:t xml:space="preserve">52,589 </w:t>
            </w:r>
          </w:p>
        </w:tc>
        <w:tc>
          <w:tcPr>
            <w:tcW w:w="880" w:type="dxa"/>
            <w:tcBorders>
              <w:top w:val="single" w:sz="4" w:space="0" w:color="000000"/>
              <w:left w:val="nil"/>
              <w:bottom w:val="nil"/>
              <w:right w:val="nil"/>
            </w:tcBorders>
            <w:shd w:val="clear" w:color="000000" w:fill="E6E6E6"/>
            <w:noWrap/>
            <w:vAlign w:val="center"/>
            <w:hideMark/>
          </w:tcPr>
          <w:p w:rsidR="00E02AC1" w:rsidRPr="00E02AC1" w:rsidRDefault="00E02AC1" w:rsidP="00E02AC1">
            <w:pPr>
              <w:spacing w:after="0" w:line="240" w:lineRule="auto"/>
              <w:jc w:val="right"/>
              <w:rPr>
                <w:rFonts w:ascii="Arial" w:hAnsi="Arial" w:cs="Arial"/>
                <w:b/>
                <w:bCs/>
                <w:color w:val="000000"/>
              </w:rPr>
            </w:pPr>
            <w:r w:rsidRPr="00E02AC1">
              <w:rPr>
                <w:rFonts w:ascii="Arial" w:hAnsi="Arial" w:cs="Arial"/>
                <w:b/>
                <w:bCs/>
                <w:color w:val="000000"/>
              </w:rPr>
              <w:t xml:space="preserve">62,796 </w:t>
            </w:r>
          </w:p>
        </w:tc>
        <w:tc>
          <w:tcPr>
            <w:tcW w:w="880" w:type="dxa"/>
            <w:tcBorders>
              <w:top w:val="single" w:sz="4" w:space="0" w:color="000000"/>
              <w:left w:val="nil"/>
              <w:bottom w:val="nil"/>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b/>
                <w:bCs/>
                <w:color w:val="000000"/>
              </w:rPr>
            </w:pPr>
            <w:r w:rsidRPr="00E02AC1">
              <w:rPr>
                <w:rFonts w:ascii="Arial" w:hAnsi="Arial" w:cs="Arial"/>
                <w:b/>
                <w:bCs/>
                <w:color w:val="000000"/>
              </w:rPr>
              <w:t xml:space="preserve">69,327 </w:t>
            </w:r>
          </w:p>
        </w:tc>
        <w:tc>
          <w:tcPr>
            <w:tcW w:w="880" w:type="dxa"/>
            <w:tcBorders>
              <w:top w:val="single" w:sz="4" w:space="0" w:color="000000"/>
              <w:left w:val="nil"/>
              <w:bottom w:val="nil"/>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b/>
                <w:bCs/>
                <w:color w:val="000000"/>
              </w:rPr>
            </w:pPr>
            <w:r w:rsidRPr="00E02AC1">
              <w:rPr>
                <w:rFonts w:ascii="Arial" w:hAnsi="Arial" w:cs="Arial"/>
                <w:b/>
                <w:bCs/>
                <w:color w:val="000000"/>
              </w:rPr>
              <w:t xml:space="preserve">72,103 </w:t>
            </w:r>
          </w:p>
        </w:tc>
        <w:tc>
          <w:tcPr>
            <w:tcW w:w="880" w:type="dxa"/>
            <w:tcBorders>
              <w:top w:val="single" w:sz="4" w:space="0" w:color="000000"/>
              <w:left w:val="nil"/>
              <w:bottom w:val="nil"/>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b/>
                <w:bCs/>
                <w:color w:val="000000"/>
              </w:rPr>
            </w:pPr>
            <w:r w:rsidRPr="00E02AC1">
              <w:rPr>
                <w:rFonts w:ascii="Arial" w:hAnsi="Arial" w:cs="Arial"/>
                <w:b/>
                <w:bCs/>
                <w:color w:val="000000"/>
              </w:rPr>
              <w:t xml:space="preserve">74,629 </w:t>
            </w:r>
          </w:p>
        </w:tc>
      </w:tr>
      <w:tr w:rsidR="00E02AC1" w:rsidRPr="00E02AC1" w:rsidTr="00E02AC1">
        <w:trPr>
          <w:trHeight w:val="225"/>
        </w:trPr>
        <w:tc>
          <w:tcPr>
            <w:tcW w:w="2840" w:type="dxa"/>
            <w:tcBorders>
              <w:top w:val="nil"/>
              <w:left w:val="nil"/>
              <w:bottom w:val="nil"/>
              <w:right w:val="nil"/>
            </w:tcBorders>
            <w:shd w:val="clear" w:color="auto" w:fill="auto"/>
            <w:vAlign w:val="center"/>
            <w:hideMark/>
          </w:tcPr>
          <w:p w:rsidR="00E02AC1" w:rsidRPr="00E02AC1" w:rsidRDefault="00E02AC1" w:rsidP="00E02AC1">
            <w:pPr>
              <w:spacing w:after="0" w:line="240" w:lineRule="auto"/>
              <w:jc w:val="left"/>
              <w:rPr>
                <w:rFonts w:ascii="Arial" w:hAnsi="Arial" w:cs="Arial"/>
                <w:b/>
                <w:bCs/>
                <w:color w:val="000000"/>
              </w:rPr>
            </w:pPr>
            <w:r w:rsidRPr="00E02AC1">
              <w:rPr>
                <w:rFonts w:ascii="Arial" w:hAnsi="Arial" w:cs="Arial"/>
                <w:b/>
                <w:bCs/>
                <w:color w:val="000000"/>
              </w:rPr>
              <w:t xml:space="preserve">Net cash from/(used by) </w:t>
            </w:r>
          </w:p>
        </w:tc>
        <w:tc>
          <w:tcPr>
            <w:tcW w:w="880" w:type="dxa"/>
            <w:tcBorders>
              <w:top w:val="single" w:sz="4" w:space="0" w:color="auto"/>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color w:val="000000"/>
              </w:rPr>
            </w:pPr>
            <w:r w:rsidRPr="00E02AC1">
              <w:rPr>
                <w:rFonts w:ascii="Arial" w:hAnsi="Arial" w:cs="Arial"/>
                <w:color w:val="000000"/>
              </w:rPr>
              <w:t> </w:t>
            </w:r>
          </w:p>
        </w:tc>
        <w:tc>
          <w:tcPr>
            <w:tcW w:w="880" w:type="dxa"/>
            <w:tcBorders>
              <w:top w:val="single" w:sz="4" w:space="0" w:color="auto"/>
              <w:left w:val="nil"/>
              <w:bottom w:val="nil"/>
              <w:right w:val="nil"/>
            </w:tcBorders>
            <w:shd w:val="clear" w:color="000000" w:fill="E6E6E6"/>
            <w:noWrap/>
            <w:vAlign w:val="bottom"/>
            <w:hideMark/>
          </w:tcPr>
          <w:p w:rsidR="00E02AC1" w:rsidRPr="00E02AC1" w:rsidRDefault="00E02AC1" w:rsidP="00E02AC1">
            <w:pPr>
              <w:spacing w:after="0" w:line="240" w:lineRule="auto"/>
              <w:jc w:val="left"/>
              <w:rPr>
                <w:rFonts w:ascii="Arial" w:hAnsi="Arial" w:cs="Arial"/>
                <w:color w:val="000000"/>
              </w:rPr>
            </w:pPr>
            <w:r w:rsidRPr="00E02AC1">
              <w:rPr>
                <w:rFonts w:ascii="Arial" w:hAnsi="Arial" w:cs="Arial"/>
                <w:color w:val="000000"/>
              </w:rPr>
              <w:t> </w:t>
            </w:r>
          </w:p>
        </w:tc>
        <w:tc>
          <w:tcPr>
            <w:tcW w:w="880" w:type="dxa"/>
            <w:tcBorders>
              <w:top w:val="single" w:sz="4" w:space="0" w:color="auto"/>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color w:val="000000"/>
              </w:rPr>
            </w:pPr>
            <w:r w:rsidRPr="00E02AC1">
              <w:rPr>
                <w:rFonts w:ascii="Arial" w:hAnsi="Arial" w:cs="Arial"/>
                <w:color w:val="000000"/>
              </w:rPr>
              <w:t> </w:t>
            </w:r>
          </w:p>
        </w:tc>
        <w:tc>
          <w:tcPr>
            <w:tcW w:w="880" w:type="dxa"/>
            <w:tcBorders>
              <w:top w:val="single" w:sz="4" w:space="0" w:color="auto"/>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color w:val="000000"/>
              </w:rPr>
            </w:pPr>
            <w:r w:rsidRPr="00E02AC1">
              <w:rPr>
                <w:rFonts w:ascii="Arial" w:hAnsi="Arial" w:cs="Arial"/>
                <w:color w:val="000000"/>
              </w:rPr>
              <w:t> </w:t>
            </w:r>
          </w:p>
        </w:tc>
        <w:tc>
          <w:tcPr>
            <w:tcW w:w="880" w:type="dxa"/>
            <w:tcBorders>
              <w:top w:val="single" w:sz="4" w:space="0" w:color="auto"/>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color w:val="000000"/>
              </w:rPr>
            </w:pPr>
            <w:r w:rsidRPr="00E02AC1">
              <w:rPr>
                <w:rFonts w:ascii="Arial" w:hAnsi="Arial" w:cs="Arial"/>
                <w:color w:val="000000"/>
              </w:rPr>
              <w:t> </w:t>
            </w:r>
          </w:p>
        </w:tc>
      </w:tr>
      <w:tr w:rsidR="00E02AC1" w:rsidRPr="00E02AC1" w:rsidTr="00E02AC1">
        <w:trPr>
          <w:trHeight w:val="225"/>
        </w:trPr>
        <w:tc>
          <w:tcPr>
            <w:tcW w:w="2840" w:type="dxa"/>
            <w:tcBorders>
              <w:top w:val="nil"/>
              <w:left w:val="nil"/>
              <w:bottom w:val="nil"/>
              <w:right w:val="nil"/>
            </w:tcBorders>
            <w:shd w:val="clear" w:color="auto" w:fill="auto"/>
            <w:vAlign w:val="center"/>
            <w:hideMark/>
          </w:tcPr>
          <w:p w:rsidR="00E02AC1" w:rsidRPr="00E02AC1" w:rsidRDefault="00E02AC1" w:rsidP="00E02AC1">
            <w:pPr>
              <w:spacing w:after="0" w:line="240" w:lineRule="auto"/>
              <w:ind w:firstLineChars="100" w:firstLine="161"/>
              <w:jc w:val="left"/>
              <w:rPr>
                <w:rFonts w:ascii="Arial" w:hAnsi="Arial" w:cs="Arial"/>
                <w:b/>
                <w:bCs/>
                <w:color w:val="000000"/>
              </w:rPr>
            </w:pPr>
            <w:r w:rsidRPr="00E02AC1">
              <w:rPr>
                <w:rFonts w:ascii="Arial" w:hAnsi="Arial" w:cs="Arial"/>
                <w:b/>
                <w:bCs/>
                <w:color w:val="000000"/>
              </w:rPr>
              <w:t>operating activities</w:t>
            </w:r>
          </w:p>
        </w:tc>
        <w:tc>
          <w:tcPr>
            <w:tcW w:w="880" w:type="dxa"/>
            <w:tcBorders>
              <w:top w:val="nil"/>
              <w:left w:val="nil"/>
              <w:bottom w:val="single" w:sz="4" w:space="0" w:color="auto"/>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b/>
                <w:bCs/>
                <w:color w:val="000000"/>
              </w:rPr>
            </w:pPr>
            <w:r w:rsidRPr="00E02AC1">
              <w:rPr>
                <w:rFonts w:ascii="Arial" w:hAnsi="Arial" w:cs="Arial"/>
                <w:b/>
                <w:bCs/>
                <w:color w:val="000000"/>
              </w:rPr>
              <w:t xml:space="preserve">2,430 </w:t>
            </w:r>
          </w:p>
        </w:tc>
        <w:tc>
          <w:tcPr>
            <w:tcW w:w="880" w:type="dxa"/>
            <w:tcBorders>
              <w:top w:val="nil"/>
              <w:left w:val="nil"/>
              <w:bottom w:val="single" w:sz="4" w:space="0" w:color="auto"/>
              <w:right w:val="nil"/>
            </w:tcBorders>
            <w:shd w:val="clear" w:color="000000" w:fill="E6E6E6"/>
            <w:noWrap/>
            <w:vAlign w:val="center"/>
            <w:hideMark/>
          </w:tcPr>
          <w:p w:rsidR="00E02AC1" w:rsidRPr="00E02AC1" w:rsidRDefault="00E02AC1" w:rsidP="00E02AC1">
            <w:pPr>
              <w:spacing w:after="0" w:line="240" w:lineRule="auto"/>
              <w:jc w:val="right"/>
              <w:rPr>
                <w:rFonts w:ascii="Arial" w:hAnsi="Arial" w:cs="Arial"/>
                <w:b/>
                <w:bCs/>
                <w:color w:val="000000"/>
              </w:rPr>
            </w:pPr>
            <w:r w:rsidRPr="00E02AC1">
              <w:rPr>
                <w:rFonts w:ascii="Arial" w:hAnsi="Arial" w:cs="Arial"/>
                <w:b/>
                <w:bCs/>
                <w:color w:val="000000"/>
              </w:rPr>
              <w:t xml:space="preserve">3,352 </w:t>
            </w:r>
          </w:p>
        </w:tc>
        <w:tc>
          <w:tcPr>
            <w:tcW w:w="880" w:type="dxa"/>
            <w:tcBorders>
              <w:top w:val="nil"/>
              <w:left w:val="nil"/>
              <w:bottom w:val="single" w:sz="4" w:space="0" w:color="auto"/>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b/>
                <w:bCs/>
                <w:color w:val="000000"/>
              </w:rPr>
            </w:pPr>
            <w:r w:rsidRPr="00E02AC1">
              <w:rPr>
                <w:rFonts w:ascii="Arial" w:hAnsi="Arial" w:cs="Arial"/>
                <w:b/>
                <w:bCs/>
                <w:color w:val="000000"/>
              </w:rPr>
              <w:t xml:space="preserve">750 </w:t>
            </w:r>
          </w:p>
        </w:tc>
        <w:tc>
          <w:tcPr>
            <w:tcW w:w="880" w:type="dxa"/>
            <w:tcBorders>
              <w:top w:val="nil"/>
              <w:left w:val="nil"/>
              <w:bottom w:val="single" w:sz="4" w:space="0" w:color="auto"/>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b/>
                <w:bCs/>
                <w:color w:val="000000"/>
              </w:rPr>
            </w:pPr>
            <w:r w:rsidRPr="00E02AC1">
              <w:rPr>
                <w:rFonts w:ascii="Arial" w:hAnsi="Arial" w:cs="Arial"/>
                <w:b/>
                <w:bCs/>
                <w:color w:val="000000"/>
              </w:rPr>
              <w:t xml:space="preserve">750 </w:t>
            </w:r>
          </w:p>
        </w:tc>
        <w:tc>
          <w:tcPr>
            <w:tcW w:w="880" w:type="dxa"/>
            <w:tcBorders>
              <w:top w:val="nil"/>
              <w:left w:val="nil"/>
              <w:bottom w:val="single" w:sz="4" w:space="0" w:color="auto"/>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b/>
                <w:bCs/>
                <w:color w:val="000000"/>
              </w:rPr>
            </w:pPr>
            <w:r w:rsidRPr="00E02AC1">
              <w:rPr>
                <w:rFonts w:ascii="Arial" w:hAnsi="Arial" w:cs="Arial"/>
                <w:b/>
                <w:bCs/>
                <w:color w:val="000000"/>
              </w:rPr>
              <w:t xml:space="preserve">750 </w:t>
            </w:r>
          </w:p>
        </w:tc>
      </w:tr>
      <w:tr w:rsidR="00E02AC1" w:rsidRPr="00E02AC1" w:rsidTr="00E02AC1">
        <w:trPr>
          <w:trHeight w:val="225"/>
        </w:trPr>
        <w:tc>
          <w:tcPr>
            <w:tcW w:w="284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b/>
                <w:bCs/>
                <w:color w:val="000000"/>
              </w:rPr>
            </w:pPr>
            <w:r w:rsidRPr="00E02AC1">
              <w:rPr>
                <w:rFonts w:ascii="Arial" w:hAnsi="Arial" w:cs="Arial"/>
                <w:b/>
                <w:bCs/>
                <w:color w:val="000000"/>
              </w:rPr>
              <w:t>INVESTING ACTIVITIES</w:t>
            </w:r>
          </w:p>
        </w:tc>
        <w:tc>
          <w:tcPr>
            <w:tcW w:w="88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color w:val="000000"/>
              </w:rPr>
            </w:pPr>
          </w:p>
        </w:tc>
        <w:tc>
          <w:tcPr>
            <w:tcW w:w="880" w:type="dxa"/>
            <w:tcBorders>
              <w:top w:val="nil"/>
              <w:left w:val="nil"/>
              <w:bottom w:val="nil"/>
              <w:right w:val="nil"/>
            </w:tcBorders>
            <w:shd w:val="clear" w:color="000000" w:fill="E6E6E6"/>
            <w:noWrap/>
            <w:vAlign w:val="center"/>
            <w:hideMark/>
          </w:tcPr>
          <w:p w:rsidR="00E02AC1" w:rsidRPr="00E02AC1" w:rsidRDefault="00E02AC1" w:rsidP="00E02AC1">
            <w:pPr>
              <w:spacing w:after="0" w:line="240" w:lineRule="auto"/>
              <w:jc w:val="left"/>
              <w:rPr>
                <w:rFonts w:ascii="Arial" w:hAnsi="Arial" w:cs="Arial"/>
                <w:color w:val="000000"/>
              </w:rPr>
            </w:pPr>
            <w:r w:rsidRPr="00E02AC1">
              <w:rPr>
                <w:rFonts w:ascii="Arial" w:hAnsi="Arial" w:cs="Arial"/>
                <w:color w:val="000000"/>
              </w:rPr>
              <w:t> </w:t>
            </w:r>
          </w:p>
        </w:tc>
        <w:tc>
          <w:tcPr>
            <w:tcW w:w="88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color w:val="000000"/>
              </w:rPr>
            </w:pPr>
          </w:p>
        </w:tc>
        <w:tc>
          <w:tcPr>
            <w:tcW w:w="88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color w:val="000000"/>
              </w:rPr>
            </w:pPr>
          </w:p>
        </w:tc>
        <w:tc>
          <w:tcPr>
            <w:tcW w:w="88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color w:val="000000"/>
              </w:rPr>
            </w:pPr>
          </w:p>
        </w:tc>
      </w:tr>
      <w:tr w:rsidR="00E02AC1" w:rsidRPr="00E02AC1" w:rsidTr="00E02AC1">
        <w:trPr>
          <w:trHeight w:val="225"/>
        </w:trPr>
        <w:tc>
          <w:tcPr>
            <w:tcW w:w="284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b/>
                <w:bCs/>
                <w:color w:val="000000"/>
              </w:rPr>
            </w:pPr>
            <w:r w:rsidRPr="00E02AC1">
              <w:rPr>
                <w:rFonts w:ascii="Arial" w:hAnsi="Arial" w:cs="Arial"/>
                <w:b/>
                <w:bCs/>
                <w:color w:val="000000"/>
              </w:rPr>
              <w:t>Cash used</w:t>
            </w:r>
          </w:p>
        </w:tc>
        <w:tc>
          <w:tcPr>
            <w:tcW w:w="88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color w:val="000000"/>
              </w:rPr>
            </w:pPr>
          </w:p>
        </w:tc>
        <w:tc>
          <w:tcPr>
            <w:tcW w:w="880" w:type="dxa"/>
            <w:tcBorders>
              <w:top w:val="nil"/>
              <w:left w:val="nil"/>
              <w:bottom w:val="nil"/>
              <w:right w:val="nil"/>
            </w:tcBorders>
            <w:shd w:val="clear" w:color="000000" w:fill="E6E6E6"/>
            <w:noWrap/>
            <w:vAlign w:val="center"/>
            <w:hideMark/>
          </w:tcPr>
          <w:p w:rsidR="00E02AC1" w:rsidRPr="00E02AC1" w:rsidRDefault="00E02AC1" w:rsidP="00E02AC1">
            <w:pPr>
              <w:spacing w:after="0" w:line="240" w:lineRule="auto"/>
              <w:jc w:val="left"/>
              <w:rPr>
                <w:rFonts w:ascii="Arial" w:hAnsi="Arial" w:cs="Arial"/>
                <w:color w:val="000000"/>
              </w:rPr>
            </w:pPr>
            <w:r w:rsidRPr="00E02AC1">
              <w:rPr>
                <w:rFonts w:ascii="Arial" w:hAnsi="Arial" w:cs="Arial"/>
                <w:color w:val="000000"/>
              </w:rPr>
              <w:t> </w:t>
            </w:r>
          </w:p>
        </w:tc>
        <w:tc>
          <w:tcPr>
            <w:tcW w:w="88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color w:val="000000"/>
              </w:rPr>
            </w:pPr>
          </w:p>
        </w:tc>
        <w:tc>
          <w:tcPr>
            <w:tcW w:w="88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color w:val="000000"/>
              </w:rPr>
            </w:pPr>
          </w:p>
        </w:tc>
        <w:tc>
          <w:tcPr>
            <w:tcW w:w="88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color w:val="000000"/>
              </w:rPr>
            </w:pPr>
          </w:p>
        </w:tc>
      </w:tr>
      <w:tr w:rsidR="00E02AC1" w:rsidRPr="00E02AC1" w:rsidTr="00E02AC1">
        <w:trPr>
          <w:trHeight w:val="225"/>
        </w:trPr>
        <w:tc>
          <w:tcPr>
            <w:tcW w:w="2840" w:type="dxa"/>
            <w:tcBorders>
              <w:top w:val="nil"/>
              <w:left w:val="nil"/>
              <w:bottom w:val="nil"/>
              <w:right w:val="nil"/>
            </w:tcBorders>
            <w:shd w:val="clear" w:color="auto" w:fill="auto"/>
            <w:noWrap/>
            <w:vAlign w:val="bottom"/>
            <w:hideMark/>
          </w:tcPr>
          <w:p w:rsidR="00E02AC1" w:rsidRPr="00E02AC1" w:rsidRDefault="00E02AC1" w:rsidP="00E02AC1">
            <w:pPr>
              <w:spacing w:after="0" w:line="240" w:lineRule="auto"/>
              <w:ind w:firstLineChars="100" w:firstLine="160"/>
              <w:jc w:val="left"/>
              <w:rPr>
                <w:rFonts w:ascii="Arial" w:hAnsi="Arial" w:cs="Arial"/>
                <w:color w:val="000000"/>
              </w:rPr>
            </w:pPr>
            <w:r w:rsidRPr="00E02AC1">
              <w:rPr>
                <w:rFonts w:ascii="Arial" w:hAnsi="Arial" w:cs="Arial"/>
                <w:color w:val="000000"/>
              </w:rPr>
              <w:t xml:space="preserve">Purchase of property, plant and </w:t>
            </w:r>
          </w:p>
        </w:tc>
        <w:tc>
          <w:tcPr>
            <w:tcW w:w="88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color w:val="000000"/>
              </w:rPr>
            </w:pPr>
          </w:p>
        </w:tc>
        <w:tc>
          <w:tcPr>
            <w:tcW w:w="880" w:type="dxa"/>
            <w:tcBorders>
              <w:top w:val="nil"/>
              <w:left w:val="nil"/>
              <w:bottom w:val="nil"/>
              <w:right w:val="nil"/>
            </w:tcBorders>
            <w:shd w:val="clear" w:color="000000" w:fill="E6E6E6"/>
            <w:noWrap/>
            <w:vAlign w:val="center"/>
            <w:hideMark/>
          </w:tcPr>
          <w:p w:rsidR="00E02AC1" w:rsidRPr="00E02AC1" w:rsidRDefault="00E02AC1" w:rsidP="00E02AC1">
            <w:pPr>
              <w:spacing w:after="0" w:line="240" w:lineRule="auto"/>
              <w:jc w:val="left"/>
              <w:rPr>
                <w:rFonts w:ascii="Arial" w:hAnsi="Arial" w:cs="Arial"/>
                <w:color w:val="000000"/>
              </w:rPr>
            </w:pPr>
            <w:r w:rsidRPr="00E02AC1">
              <w:rPr>
                <w:rFonts w:ascii="Arial" w:hAnsi="Arial" w:cs="Arial"/>
                <w:color w:val="000000"/>
              </w:rPr>
              <w:t> </w:t>
            </w:r>
          </w:p>
        </w:tc>
        <w:tc>
          <w:tcPr>
            <w:tcW w:w="88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color w:val="000000"/>
              </w:rPr>
            </w:pPr>
          </w:p>
        </w:tc>
        <w:tc>
          <w:tcPr>
            <w:tcW w:w="88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color w:val="000000"/>
              </w:rPr>
            </w:pPr>
          </w:p>
        </w:tc>
        <w:tc>
          <w:tcPr>
            <w:tcW w:w="88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color w:val="000000"/>
              </w:rPr>
            </w:pPr>
          </w:p>
        </w:tc>
      </w:tr>
      <w:tr w:rsidR="00E02AC1" w:rsidRPr="00E02AC1" w:rsidTr="00E02AC1">
        <w:trPr>
          <w:trHeight w:val="225"/>
        </w:trPr>
        <w:tc>
          <w:tcPr>
            <w:tcW w:w="2840" w:type="dxa"/>
            <w:tcBorders>
              <w:top w:val="nil"/>
              <w:left w:val="nil"/>
              <w:bottom w:val="nil"/>
              <w:right w:val="nil"/>
            </w:tcBorders>
            <w:shd w:val="clear" w:color="auto" w:fill="auto"/>
            <w:noWrap/>
            <w:vAlign w:val="bottom"/>
            <w:hideMark/>
          </w:tcPr>
          <w:p w:rsidR="00E02AC1" w:rsidRPr="00E02AC1" w:rsidRDefault="00E02AC1" w:rsidP="00E02AC1">
            <w:pPr>
              <w:spacing w:after="0" w:line="240" w:lineRule="auto"/>
              <w:ind w:firstLineChars="200" w:firstLine="320"/>
              <w:jc w:val="left"/>
              <w:rPr>
                <w:rFonts w:ascii="Arial" w:hAnsi="Arial" w:cs="Arial"/>
                <w:color w:val="000000"/>
              </w:rPr>
            </w:pPr>
            <w:r w:rsidRPr="00E02AC1">
              <w:rPr>
                <w:rFonts w:ascii="Arial" w:hAnsi="Arial" w:cs="Arial"/>
                <w:color w:val="000000"/>
              </w:rPr>
              <w:t>equipment and intangibles</w:t>
            </w:r>
          </w:p>
        </w:tc>
        <w:tc>
          <w:tcPr>
            <w:tcW w:w="88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color w:val="000000"/>
              </w:rPr>
            </w:pPr>
            <w:r w:rsidRPr="00E02AC1">
              <w:rPr>
                <w:rFonts w:ascii="Arial" w:hAnsi="Arial" w:cs="Arial"/>
                <w:color w:val="000000"/>
              </w:rPr>
              <w:t xml:space="preserve">2,430 </w:t>
            </w:r>
          </w:p>
        </w:tc>
        <w:tc>
          <w:tcPr>
            <w:tcW w:w="880" w:type="dxa"/>
            <w:tcBorders>
              <w:top w:val="nil"/>
              <w:left w:val="nil"/>
              <w:bottom w:val="nil"/>
              <w:right w:val="nil"/>
            </w:tcBorders>
            <w:shd w:val="clear" w:color="000000" w:fill="E6E6E6"/>
            <w:noWrap/>
            <w:vAlign w:val="center"/>
            <w:hideMark/>
          </w:tcPr>
          <w:p w:rsidR="00E02AC1" w:rsidRPr="00E02AC1" w:rsidRDefault="00E02AC1" w:rsidP="00E02AC1">
            <w:pPr>
              <w:spacing w:after="0" w:line="240" w:lineRule="auto"/>
              <w:jc w:val="right"/>
              <w:rPr>
                <w:rFonts w:ascii="Arial" w:hAnsi="Arial" w:cs="Arial"/>
                <w:color w:val="000000"/>
              </w:rPr>
            </w:pPr>
            <w:r w:rsidRPr="00E02AC1">
              <w:rPr>
                <w:rFonts w:ascii="Arial" w:hAnsi="Arial" w:cs="Arial"/>
                <w:color w:val="000000"/>
              </w:rPr>
              <w:t xml:space="preserve">3,352 </w:t>
            </w:r>
          </w:p>
        </w:tc>
        <w:tc>
          <w:tcPr>
            <w:tcW w:w="88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color w:val="000000"/>
              </w:rPr>
            </w:pPr>
            <w:r w:rsidRPr="00E02AC1">
              <w:rPr>
                <w:rFonts w:ascii="Arial" w:hAnsi="Arial" w:cs="Arial"/>
                <w:color w:val="000000"/>
              </w:rPr>
              <w:t xml:space="preserve">750 </w:t>
            </w:r>
          </w:p>
        </w:tc>
        <w:tc>
          <w:tcPr>
            <w:tcW w:w="88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color w:val="000000"/>
              </w:rPr>
            </w:pPr>
            <w:r w:rsidRPr="00E02AC1">
              <w:rPr>
                <w:rFonts w:ascii="Arial" w:hAnsi="Arial" w:cs="Arial"/>
                <w:color w:val="000000"/>
              </w:rPr>
              <w:t xml:space="preserve">750 </w:t>
            </w:r>
          </w:p>
        </w:tc>
        <w:tc>
          <w:tcPr>
            <w:tcW w:w="88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color w:val="000000"/>
              </w:rPr>
            </w:pPr>
            <w:r w:rsidRPr="00E02AC1">
              <w:rPr>
                <w:rFonts w:ascii="Arial" w:hAnsi="Arial" w:cs="Arial"/>
                <w:color w:val="000000"/>
              </w:rPr>
              <w:t xml:space="preserve">750 </w:t>
            </w:r>
          </w:p>
        </w:tc>
      </w:tr>
      <w:tr w:rsidR="00E02AC1" w:rsidRPr="00E02AC1" w:rsidTr="00E02AC1">
        <w:trPr>
          <w:trHeight w:val="225"/>
        </w:trPr>
        <w:tc>
          <w:tcPr>
            <w:tcW w:w="284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b/>
                <w:bCs/>
                <w:color w:val="000000"/>
              </w:rPr>
            </w:pPr>
            <w:r w:rsidRPr="00E02AC1">
              <w:rPr>
                <w:rFonts w:ascii="Arial" w:hAnsi="Arial" w:cs="Arial"/>
                <w:b/>
                <w:bCs/>
                <w:color w:val="000000"/>
              </w:rPr>
              <w:t>Total cash used</w:t>
            </w:r>
          </w:p>
        </w:tc>
        <w:tc>
          <w:tcPr>
            <w:tcW w:w="880" w:type="dxa"/>
            <w:tcBorders>
              <w:top w:val="single" w:sz="4" w:space="0" w:color="000000"/>
              <w:left w:val="nil"/>
              <w:bottom w:val="single" w:sz="4" w:space="0" w:color="000000"/>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b/>
                <w:bCs/>
                <w:color w:val="000000"/>
              </w:rPr>
            </w:pPr>
            <w:r w:rsidRPr="00E02AC1">
              <w:rPr>
                <w:rFonts w:ascii="Arial" w:hAnsi="Arial" w:cs="Arial"/>
                <w:b/>
                <w:bCs/>
                <w:color w:val="000000"/>
              </w:rPr>
              <w:t xml:space="preserve">2,430 </w:t>
            </w:r>
          </w:p>
        </w:tc>
        <w:tc>
          <w:tcPr>
            <w:tcW w:w="880" w:type="dxa"/>
            <w:tcBorders>
              <w:top w:val="single" w:sz="4" w:space="0" w:color="000000"/>
              <w:left w:val="nil"/>
              <w:bottom w:val="single" w:sz="4" w:space="0" w:color="000000"/>
              <w:right w:val="nil"/>
            </w:tcBorders>
            <w:shd w:val="clear" w:color="000000" w:fill="E6E6E6"/>
            <w:noWrap/>
            <w:vAlign w:val="center"/>
            <w:hideMark/>
          </w:tcPr>
          <w:p w:rsidR="00E02AC1" w:rsidRPr="00E02AC1" w:rsidRDefault="00E02AC1" w:rsidP="00E02AC1">
            <w:pPr>
              <w:spacing w:after="0" w:line="240" w:lineRule="auto"/>
              <w:jc w:val="right"/>
              <w:rPr>
                <w:rFonts w:ascii="Arial" w:hAnsi="Arial" w:cs="Arial"/>
                <w:b/>
                <w:bCs/>
                <w:color w:val="000000"/>
              </w:rPr>
            </w:pPr>
            <w:r w:rsidRPr="00E02AC1">
              <w:rPr>
                <w:rFonts w:ascii="Arial" w:hAnsi="Arial" w:cs="Arial"/>
                <w:b/>
                <w:bCs/>
                <w:color w:val="000000"/>
              </w:rPr>
              <w:t xml:space="preserve">3,352 </w:t>
            </w:r>
          </w:p>
        </w:tc>
        <w:tc>
          <w:tcPr>
            <w:tcW w:w="880" w:type="dxa"/>
            <w:tcBorders>
              <w:top w:val="single" w:sz="4" w:space="0" w:color="000000"/>
              <w:left w:val="nil"/>
              <w:bottom w:val="single" w:sz="4" w:space="0" w:color="000000"/>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b/>
                <w:bCs/>
                <w:color w:val="000000"/>
              </w:rPr>
            </w:pPr>
            <w:r w:rsidRPr="00E02AC1">
              <w:rPr>
                <w:rFonts w:ascii="Arial" w:hAnsi="Arial" w:cs="Arial"/>
                <w:b/>
                <w:bCs/>
                <w:color w:val="000000"/>
              </w:rPr>
              <w:t xml:space="preserve">750 </w:t>
            </w:r>
          </w:p>
        </w:tc>
        <w:tc>
          <w:tcPr>
            <w:tcW w:w="880" w:type="dxa"/>
            <w:tcBorders>
              <w:top w:val="single" w:sz="4" w:space="0" w:color="000000"/>
              <w:left w:val="nil"/>
              <w:bottom w:val="single" w:sz="4" w:space="0" w:color="000000"/>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b/>
                <w:bCs/>
                <w:color w:val="000000"/>
              </w:rPr>
            </w:pPr>
            <w:r w:rsidRPr="00E02AC1">
              <w:rPr>
                <w:rFonts w:ascii="Arial" w:hAnsi="Arial" w:cs="Arial"/>
                <w:b/>
                <w:bCs/>
                <w:color w:val="000000"/>
              </w:rPr>
              <w:t xml:space="preserve">750 </w:t>
            </w:r>
          </w:p>
        </w:tc>
        <w:tc>
          <w:tcPr>
            <w:tcW w:w="880" w:type="dxa"/>
            <w:tcBorders>
              <w:top w:val="single" w:sz="4" w:space="0" w:color="000000"/>
              <w:left w:val="nil"/>
              <w:bottom w:val="single" w:sz="4" w:space="0" w:color="000000"/>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b/>
                <w:bCs/>
                <w:color w:val="000000"/>
              </w:rPr>
            </w:pPr>
            <w:r w:rsidRPr="00E02AC1">
              <w:rPr>
                <w:rFonts w:ascii="Arial" w:hAnsi="Arial" w:cs="Arial"/>
                <w:b/>
                <w:bCs/>
                <w:color w:val="000000"/>
              </w:rPr>
              <w:t xml:space="preserve">750 </w:t>
            </w:r>
          </w:p>
        </w:tc>
      </w:tr>
      <w:tr w:rsidR="00E02AC1" w:rsidRPr="00E02AC1" w:rsidTr="00E02AC1">
        <w:trPr>
          <w:trHeight w:val="225"/>
        </w:trPr>
        <w:tc>
          <w:tcPr>
            <w:tcW w:w="284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b/>
                <w:bCs/>
                <w:color w:val="000000"/>
              </w:rPr>
            </w:pPr>
            <w:r w:rsidRPr="00E02AC1">
              <w:rPr>
                <w:rFonts w:ascii="Arial" w:hAnsi="Arial" w:cs="Arial"/>
                <w:b/>
                <w:bCs/>
                <w:color w:val="000000"/>
              </w:rPr>
              <w:t xml:space="preserve">Net cash from/(used by) </w:t>
            </w:r>
          </w:p>
        </w:tc>
        <w:tc>
          <w:tcPr>
            <w:tcW w:w="88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b/>
                <w:bCs/>
                <w:color w:val="000000"/>
              </w:rPr>
            </w:pPr>
          </w:p>
        </w:tc>
        <w:tc>
          <w:tcPr>
            <w:tcW w:w="880" w:type="dxa"/>
            <w:tcBorders>
              <w:top w:val="nil"/>
              <w:left w:val="nil"/>
              <w:bottom w:val="nil"/>
              <w:right w:val="nil"/>
            </w:tcBorders>
            <w:shd w:val="clear" w:color="000000" w:fill="E6E6E6"/>
            <w:noWrap/>
            <w:vAlign w:val="center"/>
            <w:hideMark/>
          </w:tcPr>
          <w:p w:rsidR="00E02AC1" w:rsidRPr="00E02AC1" w:rsidRDefault="00E02AC1" w:rsidP="00E02AC1">
            <w:pPr>
              <w:spacing w:after="0" w:line="240" w:lineRule="auto"/>
              <w:jc w:val="left"/>
              <w:rPr>
                <w:rFonts w:ascii="Arial" w:hAnsi="Arial" w:cs="Arial"/>
                <w:b/>
                <w:bCs/>
                <w:color w:val="000000"/>
              </w:rPr>
            </w:pPr>
            <w:r w:rsidRPr="00E02AC1">
              <w:rPr>
                <w:rFonts w:ascii="Arial" w:hAnsi="Arial" w:cs="Arial"/>
                <w:b/>
                <w:bCs/>
                <w:color w:val="000000"/>
              </w:rPr>
              <w:t> </w:t>
            </w:r>
          </w:p>
        </w:tc>
        <w:tc>
          <w:tcPr>
            <w:tcW w:w="88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b/>
                <w:bCs/>
                <w:color w:val="000000"/>
              </w:rPr>
            </w:pPr>
          </w:p>
        </w:tc>
        <w:tc>
          <w:tcPr>
            <w:tcW w:w="88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b/>
                <w:bCs/>
                <w:color w:val="000000"/>
              </w:rPr>
            </w:pPr>
          </w:p>
        </w:tc>
        <w:tc>
          <w:tcPr>
            <w:tcW w:w="88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b/>
                <w:bCs/>
                <w:color w:val="000000"/>
              </w:rPr>
            </w:pPr>
          </w:p>
        </w:tc>
      </w:tr>
      <w:tr w:rsidR="00E02AC1" w:rsidRPr="00E02AC1" w:rsidTr="00E02AC1">
        <w:trPr>
          <w:trHeight w:val="225"/>
        </w:trPr>
        <w:tc>
          <w:tcPr>
            <w:tcW w:w="284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ind w:firstLineChars="100" w:firstLine="161"/>
              <w:jc w:val="left"/>
              <w:rPr>
                <w:rFonts w:ascii="Arial" w:hAnsi="Arial" w:cs="Arial"/>
                <w:b/>
                <w:bCs/>
                <w:color w:val="000000"/>
              </w:rPr>
            </w:pPr>
            <w:r w:rsidRPr="00E02AC1">
              <w:rPr>
                <w:rFonts w:ascii="Arial" w:hAnsi="Arial" w:cs="Arial"/>
                <w:b/>
                <w:bCs/>
                <w:color w:val="000000"/>
              </w:rPr>
              <w:t>investing activities</w:t>
            </w:r>
          </w:p>
        </w:tc>
        <w:tc>
          <w:tcPr>
            <w:tcW w:w="880" w:type="dxa"/>
            <w:tcBorders>
              <w:top w:val="nil"/>
              <w:left w:val="nil"/>
              <w:bottom w:val="single" w:sz="4" w:space="0" w:color="auto"/>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b/>
                <w:bCs/>
                <w:color w:val="000000"/>
              </w:rPr>
            </w:pPr>
            <w:r w:rsidRPr="00E02AC1">
              <w:rPr>
                <w:rFonts w:ascii="Arial" w:hAnsi="Arial" w:cs="Arial"/>
                <w:b/>
                <w:bCs/>
                <w:color w:val="000000"/>
              </w:rPr>
              <w:t>(2,430)</w:t>
            </w:r>
          </w:p>
        </w:tc>
        <w:tc>
          <w:tcPr>
            <w:tcW w:w="880" w:type="dxa"/>
            <w:tcBorders>
              <w:top w:val="nil"/>
              <w:left w:val="nil"/>
              <w:bottom w:val="single" w:sz="4" w:space="0" w:color="auto"/>
              <w:right w:val="nil"/>
            </w:tcBorders>
            <w:shd w:val="clear" w:color="000000" w:fill="E6E6E6"/>
            <w:noWrap/>
            <w:vAlign w:val="center"/>
            <w:hideMark/>
          </w:tcPr>
          <w:p w:rsidR="00E02AC1" w:rsidRPr="00E02AC1" w:rsidRDefault="00E02AC1" w:rsidP="00E02AC1">
            <w:pPr>
              <w:spacing w:after="0" w:line="240" w:lineRule="auto"/>
              <w:jc w:val="right"/>
              <w:rPr>
                <w:rFonts w:ascii="Arial" w:hAnsi="Arial" w:cs="Arial"/>
                <w:b/>
                <w:bCs/>
                <w:color w:val="000000"/>
              </w:rPr>
            </w:pPr>
            <w:r w:rsidRPr="00E02AC1">
              <w:rPr>
                <w:rFonts w:ascii="Arial" w:hAnsi="Arial" w:cs="Arial"/>
                <w:b/>
                <w:bCs/>
                <w:color w:val="000000"/>
              </w:rPr>
              <w:t>(3,352)</w:t>
            </w:r>
          </w:p>
        </w:tc>
        <w:tc>
          <w:tcPr>
            <w:tcW w:w="880" w:type="dxa"/>
            <w:tcBorders>
              <w:top w:val="nil"/>
              <w:left w:val="nil"/>
              <w:bottom w:val="single" w:sz="4" w:space="0" w:color="auto"/>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b/>
                <w:bCs/>
                <w:color w:val="000000"/>
              </w:rPr>
            </w:pPr>
            <w:r w:rsidRPr="00E02AC1">
              <w:rPr>
                <w:rFonts w:ascii="Arial" w:hAnsi="Arial" w:cs="Arial"/>
                <w:b/>
                <w:bCs/>
                <w:color w:val="000000"/>
              </w:rPr>
              <w:t>(750)</w:t>
            </w:r>
          </w:p>
        </w:tc>
        <w:tc>
          <w:tcPr>
            <w:tcW w:w="880" w:type="dxa"/>
            <w:tcBorders>
              <w:top w:val="nil"/>
              <w:left w:val="nil"/>
              <w:bottom w:val="single" w:sz="4" w:space="0" w:color="auto"/>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b/>
                <w:bCs/>
                <w:color w:val="000000"/>
              </w:rPr>
            </w:pPr>
            <w:r w:rsidRPr="00E02AC1">
              <w:rPr>
                <w:rFonts w:ascii="Arial" w:hAnsi="Arial" w:cs="Arial"/>
                <w:b/>
                <w:bCs/>
                <w:color w:val="000000"/>
              </w:rPr>
              <w:t>(750)</w:t>
            </w:r>
          </w:p>
        </w:tc>
        <w:tc>
          <w:tcPr>
            <w:tcW w:w="880" w:type="dxa"/>
            <w:tcBorders>
              <w:top w:val="nil"/>
              <w:left w:val="nil"/>
              <w:bottom w:val="single" w:sz="4" w:space="0" w:color="auto"/>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b/>
                <w:bCs/>
                <w:color w:val="000000"/>
              </w:rPr>
            </w:pPr>
            <w:r w:rsidRPr="00E02AC1">
              <w:rPr>
                <w:rFonts w:ascii="Arial" w:hAnsi="Arial" w:cs="Arial"/>
                <w:b/>
                <w:bCs/>
                <w:color w:val="000000"/>
              </w:rPr>
              <w:t>(750)</w:t>
            </w:r>
          </w:p>
        </w:tc>
      </w:tr>
      <w:tr w:rsidR="00E02AC1" w:rsidRPr="00E02AC1" w:rsidTr="00E02AC1">
        <w:trPr>
          <w:trHeight w:val="225"/>
        </w:trPr>
        <w:tc>
          <w:tcPr>
            <w:tcW w:w="284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b/>
                <w:bCs/>
                <w:color w:val="000000"/>
              </w:rPr>
            </w:pPr>
            <w:r w:rsidRPr="00E02AC1">
              <w:rPr>
                <w:rFonts w:ascii="Arial" w:hAnsi="Arial" w:cs="Arial"/>
                <w:b/>
                <w:bCs/>
                <w:color w:val="000000"/>
              </w:rPr>
              <w:t xml:space="preserve">Net increase/(decrease) </w:t>
            </w:r>
          </w:p>
        </w:tc>
        <w:tc>
          <w:tcPr>
            <w:tcW w:w="88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b/>
                <w:bCs/>
                <w:color w:val="000000"/>
              </w:rPr>
            </w:pPr>
          </w:p>
        </w:tc>
        <w:tc>
          <w:tcPr>
            <w:tcW w:w="880" w:type="dxa"/>
            <w:tcBorders>
              <w:top w:val="nil"/>
              <w:left w:val="nil"/>
              <w:bottom w:val="nil"/>
              <w:right w:val="nil"/>
            </w:tcBorders>
            <w:shd w:val="clear" w:color="000000" w:fill="E6E6E6"/>
            <w:noWrap/>
            <w:vAlign w:val="center"/>
            <w:hideMark/>
          </w:tcPr>
          <w:p w:rsidR="00E02AC1" w:rsidRPr="00E02AC1" w:rsidRDefault="00E02AC1" w:rsidP="00E02AC1">
            <w:pPr>
              <w:spacing w:after="0" w:line="240" w:lineRule="auto"/>
              <w:jc w:val="left"/>
              <w:rPr>
                <w:rFonts w:ascii="Arial" w:hAnsi="Arial" w:cs="Arial"/>
                <w:b/>
                <w:bCs/>
                <w:color w:val="000000"/>
              </w:rPr>
            </w:pPr>
            <w:r w:rsidRPr="00E02AC1">
              <w:rPr>
                <w:rFonts w:ascii="Arial" w:hAnsi="Arial" w:cs="Arial"/>
                <w:b/>
                <w:bCs/>
                <w:color w:val="000000"/>
              </w:rPr>
              <w:t> </w:t>
            </w:r>
          </w:p>
        </w:tc>
        <w:tc>
          <w:tcPr>
            <w:tcW w:w="88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b/>
                <w:bCs/>
                <w:color w:val="000000"/>
              </w:rPr>
            </w:pPr>
          </w:p>
        </w:tc>
        <w:tc>
          <w:tcPr>
            <w:tcW w:w="88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b/>
                <w:bCs/>
                <w:color w:val="000000"/>
              </w:rPr>
            </w:pPr>
          </w:p>
        </w:tc>
        <w:tc>
          <w:tcPr>
            <w:tcW w:w="88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b/>
                <w:bCs/>
                <w:color w:val="000000"/>
              </w:rPr>
            </w:pPr>
          </w:p>
        </w:tc>
      </w:tr>
      <w:tr w:rsidR="00E02AC1" w:rsidRPr="00E02AC1" w:rsidTr="00E02AC1">
        <w:trPr>
          <w:trHeight w:val="225"/>
        </w:trPr>
        <w:tc>
          <w:tcPr>
            <w:tcW w:w="2840" w:type="dxa"/>
            <w:tcBorders>
              <w:top w:val="nil"/>
              <w:left w:val="nil"/>
              <w:bottom w:val="nil"/>
              <w:right w:val="nil"/>
            </w:tcBorders>
            <w:shd w:val="clear" w:color="auto" w:fill="auto"/>
            <w:vAlign w:val="center"/>
            <w:hideMark/>
          </w:tcPr>
          <w:p w:rsidR="00E02AC1" w:rsidRPr="00E02AC1" w:rsidRDefault="00E02AC1" w:rsidP="00E02AC1">
            <w:pPr>
              <w:spacing w:after="0" w:line="240" w:lineRule="auto"/>
              <w:ind w:firstLineChars="100" w:firstLine="161"/>
              <w:jc w:val="left"/>
              <w:rPr>
                <w:rFonts w:ascii="Arial" w:hAnsi="Arial" w:cs="Arial"/>
                <w:b/>
                <w:bCs/>
                <w:color w:val="000000"/>
              </w:rPr>
            </w:pPr>
            <w:r w:rsidRPr="00E02AC1">
              <w:rPr>
                <w:rFonts w:ascii="Arial" w:hAnsi="Arial" w:cs="Arial"/>
                <w:b/>
                <w:bCs/>
                <w:color w:val="000000"/>
              </w:rPr>
              <w:t>in cash held</w:t>
            </w:r>
          </w:p>
        </w:tc>
        <w:tc>
          <w:tcPr>
            <w:tcW w:w="880" w:type="dxa"/>
            <w:tcBorders>
              <w:top w:val="nil"/>
              <w:left w:val="nil"/>
              <w:bottom w:val="single" w:sz="4" w:space="0" w:color="000000"/>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b/>
                <w:bCs/>
                <w:color w:val="000000"/>
              </w:rPr>
            </w:pPr>
            <w:r w:rsidRPr="00E02AC1">
              <w:rPr>
                <w:rFonts w:ascii="Arial" w:hAnsi="Arial" w:cs="Arial"/>
                <w:b/>
                <w:bCs/>
                <w:color w:val="000000"/>
              </w:rPr>
              <w:t xml:space="preserve">- </w:t>
            </w:r>
          </w:p>
        </w:tc>
        <w:tc>
          <w:tcPr>
            <w:tcW w:w="880" w:type="dxa"/>
            <w:tcBorders>
              <w:top w:val="nil"/>
              <w:left w:val="nil"/>
              <w:bottom w:val="single" w:sz="4" w:space="0" w:color="000000"/>
              <w:right w:val="nil"/>
            </w:tcBorders>
            <w:shd w:val="clear" w:color="000000" w:fill="E6E6E6"/>
            <w:noWrap/>
            <w:vAlign w:val="center"/>
            <w:hideMark/>
          </w:tcPr>
          <w:p w:rsidR="00E02AC1" w:rsidRPr="00E02AC1" w:rsidRDefault="00E02AC1" w:rsidP="00E02AC1">
            <w:pPr>
              <w:spacing w:after="0" w:line="240" w:lineRule="auto"/>
              <w:jc w:val="right"/>
              <w:rPr>
                <w:rFonts w:ascii="Arial" w:hAnsi="Arial" w:cs="Arial"/>
                <w:b/>
                <w:bCs/>
                <w:color w:val="000000"/>
              </w:rPr>
            </w:pPr>
            <w:r w:rsidRPr="00E02AC1">
              <w:rPr>
                <w:rFonts w:ascii="Arial" w:hAnsi="Arial" w:cs="Arial"/>
                <w:b/>
                <w:bCs/>
                <w:color w:val="000000"/>
              </w:rPr>
              <w:t xml:space="preserve">- </w:t>
            </w:r>
          </w:p>
        </w:tc>
        <w:tc>
          <w:tcPr>
            <w:tcW w:w="880" w:type="dxa"/>
            <w:tcBorders>
              <w:top w:val="nil"/>
              <w:left w:val="nil"/>
              <w:bottom w:val="single" w:sz="4" w:space="0" w:color="000000"/>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b/>
                <w:bCs/>
                <w:color w:val="000000"/>
              </w:rPr>
            </w:pPr>
            <w:r w:rsidRPr="00E02AC1">
              <w:rPr>
                <w:rFonts w:ascii="Arial" w:hAnsi="Arial" w:cs="Arial"/>
                <w:b/>
                <w:bCs/>
                <w:color w:val="000000"/>
              </w:rPr>
              <w:t xml:space="preserve">- </w:t>
            </w:r>
          </w:p>
        </w:tc>
        <w:tc>
          <w:tcPr>
            <w:tcW w:w="880" w:type="dxa"/>
            <w:tcBorders>
              <w:top w:val="nil"/>
              <w:left w:val="nil"/>
              <w:bottom w:val="single" w:sz="4" w:space="0" w:color="000000"/>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b/>
                <w:bCs/>
                <w:color w:val="000000"/>
              </w:rPr>
            </w:pPr>
            <w:r w:rsidRPr="00E02AC1">
              <w:rPr>
                <w:rFonts w:ascii="Arial" w:hAnsi="Arial" w:cs="Arial"/>
                <w:b/>
                <w:bCs/>
                <w:color w:val="000000"/>
              </w:rPr>
              <w:t xml:space="preserve">- </w:t>
            </w:r>
          </w:p>
        </w:tc>
        <w:tc>
          <w:tcPr>
            <w:tcW w:w="880" w:type="dxa"/>
            <w:tcBorders>
              <w:top w:val="nil"/>
              <w:left w:val="nil"/>
              <w:bottom w:val="single" w:sz="4" w:space="0" w:color="000000"/>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b/>
                <w:bCs/>
                <w:color w:val="000000"/>
              </w:rPr>
            </w:pPr>
            <w:r w:rsidRPr="00E02AC1">
              <w:rPr>
                <w:rFonts w:ascii="Arial" w:hAnsi="Arial" w:cs="Arial"/>
                <w:b/>
                <w:bCs/>
                <w:color w:val="000000"/>
              </w:rPr>
              <w:t xml:space="preserve">- </w:t>
            </w:r>
          </w:p>
        </w:tc>
      </w:tr>
      <w:tr w:rsidR="00E02AC1" w:rsidRPr="00E02AC1" w:rsidTr="00E02AC1">
        <w:trPr>
          <w:trHeight w:val="225"/>
        </w:trPr>
        <w:tc>
          <w:tcPr>
            <w:tcW w:w="2840" w:type="dxa"/>
            <w:tcBorders>
              <w:top w:val="nil"/>
              <w:left w:val="nil"/>
              <w:bottom w:val="nil"/>
              <w:right w:val="nil"/>
            </w:tcBorders>
            <w:shd w:val="clear" w:color="auto" w:fill="auto"/>
            <w:noWrap/>
            <w:vAlign w:val="bottom"/>
            <w:hideMark/>
          </w:tcPr>
          <w:p w:rsidR="00E02AC1" w:rsidRPr="00E02AC1" w:rsidRDefault="00E02AC1" w:rsidP="00E02AC1">
            <w:pPr>
              <w:spacing w:after="0" w:line="240" w:lineRule="auto"/>
              <w:ind w:firstLineChars="100" w:firstLine="160"/>
              <w:jc w:val="left"/>
              <w:rPr>
                <w:rFonts w:ascii="Arial" w:hAnsi="Arial" w:cs="Arial"/>
                <w:color w:val="000000"/>
              </w:rPr>
            </w:pPr>
            <w:r w:rsidRPr="00E02AC1">
              <w:rPr>
                <w:rFonts w:ascii="Arial" w:hAnsi="Arial" w:cs="Arial"/>
                <w:color w:val="000000"/>
              </w:rPr>
              <w:t xml:space="preserve">Cash and cash equivalents at the </w:t>
            </w:r>
          </w:p>
        </w:tc>
        <w:tc>
          <w:tcPr>
            <w:tcW w:w="88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b/>
                <w:bCs/>
                <w:color w:val="000000"/>
              </w:rPr>
            </w:pPr>
          </w:p>
        </w:tc>
        <w:tc>
          <w:tcPr>
            <w:tcW w:w="880" w:type="dxa"/>
            <w:tcBorders>
              <w:top w:val="nil"/>
              <w:left w:val="nil"/>
              <w:bottom w:val="nil"/>
              <w:right w:val="nil"/>
            </w:tcBorders>
            <w:shd w:val="clear" w:color="000000" w:fill="E6E6E6"/>
            <w:noWrap/>
            <w:vAlign w:val="center"/>
            <w:hideMark/>
          </w:tcPr>
          <w:p w:rsidR="00E02AC1" w:rsidRPr="00E02AC1" w:rsidRDefault="00E02AC1" w:rsidP="00E02AC1">
            <w:pPr>
              <w:spacing w:after="0" w:line="240" w:lineRule="auto"/>
              <w:jc w:val="left"/>
              <w:rPr>
                <w:rFonts w:ascii="Arial" w:hAnsi="Arial" w:cs="Arial"/>
                <w:b/>
                <w:bCs/>
                <w:color w:val="000000"/>
              </w:rPr>
            </w:pPr>
            <w:r w:rsidRPr="00E02AC1">
              <w:rPr>
                <w:rFonts w:ascii="Arial" w:hAnsi="Arial" w:cs="Arial"/>
                <w:b/>
                <w:bCs/>
                <w:color w:val="000000"/>
              </w:rPr>
              <w:t> </w:t>
            </w:r>
          </w:p>
        </w:tc>
        <w:tc>
          <w:tcPr>
            <w:tcW w:w="88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b/>
                <w:bCs/>
                <w:color w:val="000000"/>
              </w:rPr>
            </w:pPr>
          </w:p>
        </w:tc>
        <w:tc>
          <w:tcPr>
            <w:tcW w:w="88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b/>
                <w:bCs/>
                <w:color w:val="000000"/>
              </w:rPr>
            </w:pPr>
          </w:p>
        </w:tc>
        <w:tc>
          <w:tcPr>
            <w:tcW w:w="88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b/>
                <w:bCs/>
                <w:color w:val="000000"/>
              </w:rPr>
            </w:pPr>
          </w:p>
        </w:tc>
      </w:tr>
      <w:tr w:rsidR="00E02AC1" w:rsidRPr="00E02AC1" w:rsidTr="00E02AC1">
        <w:trPr>
          <w:trHeight w:val="225"/>
        </w:trPr>
        <w:tc>
          <w:tcPr>
            <w:tcW w:w="2840" w:type="dxa"/>
            <w:tcBorders>
              <w:top w:val="nil"/>
              <w:left w:val="nil"/>
              <w:bottom w:val="nil"/>
              <w:right w:val="nil"/>
            </w:tcBorders>
            <w:shd w:val="clear" w:color="auto" w:fill="auto"/>
            <w:noWrap/>
            <w:vAlign w:val="bottom"/>
            <w:hideMark/>
          </w:tcPr>
          <w:p w:rsidR="00E02AC1" w:rsidRPr="00E02AC1" w:rsidRDefault="00E02AC1" w:rsidP="00E02AC1">
            <w:pPr>
              <w:spacing w:after="0" w:line="240" w:lineRule="auto"/>
              <w:ind w:firstLineChars="200" w:firstLine="320"/>
              <w:jc w:val="left"/>
              <w:rPr>
                <w:rFonts w:ascii="Arial" w:hAnsi="Arial" w:cs="Arial"/>
                <w:color w:val="000000"/>
              </w:rPr>
            </w:pPr>
            <w:r w:rsidRPr="00E02AC1">
              <w:rPr>
                <w:rFonts w:ascii="Arial" w:hAnsi="Arial" w:cs="Arial"/>
                <w:color w:val="000000"/>
              </w:rPr>
              <w:t>beginning of the reporting period</w:t>
            </w:r>
          </w:p>
        </w:tc>
        <w:tc>
          <w:tcPr>
            <w:tcW w:w="880" w:type="dxa"/>
            <w:tcBorders>
              <w:top w:val="nil"/>
              <w:left w:val="nil"/>
              <w:bottom w:val="single" w:sz="4" w:space="0" w:color="auto"/>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color w:val="000000"/>
              </w:rPr>
            </w:pPr>
            <w:r w:rsidRPr="00E02AC1">
              <w:rPr>
                <w:rFonts w:ascii="Arial" w:hAnsi="Arial" w:cs="Arial"/>
                <w:color w:val="000000"/>
              </w:rPr>
              <w:t xml:space="preserve">758 </w:t>
            </w:r>
          </w:p>
        </w:tc>
        <w:tc>
          <w:tcPr>
            <w:tcW w:w="880" w:type="dxa"/>
            <w:tcBorders>
              <w:top w:val="nil"/>
              <w:left w:val="nil"/>
              <w:bottom w:val="single" w:sz="4" w:space="0" w:color="auto"/>
              <w:right w:val="nil"/>
            </w:tcBorders>
            <w:shd w:val="clear" w:color="000000" w:fill="E6E6E6"/>
            <w:noWrap/>
            <w:vAlign w:val="center"/>
            <w:hideMark/>
          </w:tcPr>
          <w:p w:rsidR="00E02AC1" w:rsidRPr="00E02AC1" w:rsidRDefault="00E02AC1" w:rsidP="00E02AC1">
            <w:pPr>
              <w:spacing w:after="0" w:line="240" w:lineRule="auto"/>
              <w:jc w:val="right"/>
              <w:rPr>
                <w:rFonts w:ascii="Arial" w:hAnsi="Arial" w:cs="Arial"/>
                <w:color w:val="000000"/>
              </w:rPr>
            </w:pPr>
            <w:r w:rsidRPr="00E02AC1">
              <w:rPr>
                <w:rFonts w:ascii="Arial" w:hAnsi="Arial" w:cs="Arial"/>
                <w:color w:val="000000"/>
              </w:rPr>
              <w:t xml:space="preserve">758 </w:t>
            </w:r>
          </w:p>
        </w:tc>
        <w:tc>
          <w:tcPr>
            <w:tcW w:w="880" w:type="dxa"/>
            <w:tcBorders>
              <w:top w:val="nil"/>
              <w:left w:val="nil"/>
              <w:bottom w:val="single" w:sz="4" w:space="0" w:color="auto"/>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color w:val="000000"/>
              </w:rPr>
            </w:pPr>
            <w:r w:rsidRPr="00E02AC1">
              <w:rPr>
                <w:rFonts w:ascii="Arial" w:hAnsi="Arial" w:cs="Arial"/>
                <w:color w:val="000000"/>
              </w:rPr>
              <w:t xml:space="preserve">758 </w:t>
            </w:r>
          </w:p>
        </w:tc>
        <w:tc>
          <w:tcPr>
            <w:tcW w:w="880" w:type="dxa"/>
            <w:tcBorders>
              <w:top w:val="nil"/>
              <w:left w:val="nil"/>
              <w:bottom w:val="single" w:sz="4" w:space="0" w:color="auto"/>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color w:val="000000"/>
              </w:rPr>
            </w:pPr>
            <w:r w:rsidRPr="00E02AC1">
              <w:rPr>
                <w:rFonts w:ascii="Arial" w:hAnsi="Arial" w:cs="Arial"/>
                <w:color w:val="000000"/>
              </w:rPr>
              <w:t xml:space="preserve">758 </w:t>
            </w:r>
          </w:p>
        </w:tc>
        <w:tc>
          <w:tcPr>
            <w:tcW w:w="880" w:type="dxa"/>
            <w:tcBorders>
              <w:top w:val="nil"/>
              <w:left w:val="nil"/>
              <w:bottom w:val="single" w:sz="4" w:space="0" w:color="auto"/>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color w:val="000000"/>
              </w:rPr>
            </w:pPr>
            <w:r w:rsidRPr="00E02AC1">
              <w:rPr>
                <w:rFonts w:ascii="Arial" w:hAnsi="Arial" w:cs="Arial"/>
                <w:color w:val="000000"/>
              </w:rPr>
              <w:t xml:space="preserve">758 </w:t>
            </w:r>
          </w:p>
        </w:tc>
      </w:tr>
      <w:tr w:rsidR="00E02AC1" w:rsidRPr="00E02AC1" w:rsidTr="00E02AC1">
        <w:trPr>
          <w:trHeight w:val="225"/>
        </w:trPr>
        <w:tc>
          <w:tcPr>
            <w:tcW w:w="284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b/>
                <w:bCs/>
                <w:color w:val="000000"/>
              </w:rPr>
            </w:pPr>
            <w:r w:rsidRPr="00E02AC1">
              <w:rPr>
                <w:rFonts w:ascii="Arial" w:hAnsi="Arial" w:cs="Arial"/>
                <w:b/>
                <w:bCs/>
                <w:color w:val="000000"/>
              </w:rPr>
              <w:t xml:space="preserve">Cash and cash equivalents at the </w:t>
            </w:r>
          </w:p>
        </w:tc>
        <w:tc>
          <w:tcPr>
            <w:tcW w:w="88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color w:val="000000"/>
              </w:rPr>
            </w:pPr>
          </w:p>
        </w:tc>
        <w:tc>
          <w:tcPr>
            <w:tcW w:w="880" w:type="dxa"/>
            <w:tcBorders>
              <w:top w:val="nil"/>
              <w:left w:val="nil"/>
              <w:bottom w:val="nil"/>
              <w:right w:val="nil"/>
            </w:tcBorders>
            <w:shd w:val="clear" w:color="000000" w:fill="E6E6E6"/>
            <w:noWrap/>
            <w:vAlign w:val="center"/>
            <w:hideMark/>
          </w:tcPr>
          <w:p w:rsidR="00E02AC1" w:rsidRPr="00E02AC1" w:rsidRDefault="00E02AC1" w:rsidP="00E02AC1">
            <w:pPr>
              <w:spacing w:after="0" w:line="240" w:lineRule="auto"/>
              <w:jc w:val="left"/>
              <w:rPr>
                <w:rFonts w:ascii="Arial" w:hAnsi="Arial" w:cs="Arial"/>
                <w:color w:val="000000"/>
              </w:rPr>
            </w:pPr>
            <w:r w:rsidRPr="00E02AC1">
              <w:rPr>
                <w:rFonts w:ascii="Arial" w:hAnsi="Arial" w:cs="Arial"/>
                <w:color w:val="000000"/>
              </w:rPr>
              <w:t> </w:t>
            </w:r>
          </w:p>
        </w:tc>
        <w:tc>
          <w:tcPr>
            <w:tcW w:w="88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color w:val="000000"/>
              </w:rPr>
            </w:pPr>
          </w:p>
        </w:tc>
        <w:tc>
          <w:tcPr>
            <w:tcW w:w="88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color w:val="000000"/>
              </w:rPr>
            </w:pPr>
          </w:p>
        </w:tc>
        <w:tc>
          <w:tcPr>
            <w:tcW w:w="88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color w:val="000000"/>
              </w:rPr>
            </w:pPr>
          </w:p>
        </w:tc>
      </w:tr>
      <w:tr w:rsidR="00E02AC1" w:rsidRPr="00E02AC1" w:rsidTr="00E02AC1">
        <w:trPr>
          <w:trHeight w:val="225"/>
        </w:trPr>
        <w:tc>
          <w:tcPr>
            <w:tcW w:w="2840" w:type="dxa"/>
            <w:tcBorders>
              <w:top w:val="nil"/>
              <w:left w:val="nil"/>
              <w:bottom w:val="single" w:sz="4" w:space="0" w:color="auto"/>
              <w:right w:val="nil"/>
            </w:tcBorders>
            <w:shd w:val="clear" w:color="auto" w:fill="auto"/>
            <w:vAlign w:val="center"/>
            <w:hideMark/>
          </w:tcPr>
          <w:p w:rsidR="00E02AC1" w:rsidRPr="00E02AC1" w:rsidRDefault="00E02AC1" w:rsidP="00E02AC1">
            <w:pPr>
              <w:spacing w:after="0" w:line="240" w:lineRule="auto"/>
              <w:ind w:firstLineChars="100" w:firstLine="161"/>
              <w:jc w:val="left"/>
              <w:rPr>
                <w:rFonts w:ascii="Arial" w:hAnsi="Arial" w:cs="Arial"/>
                <w:b/>
                <w:bCs/>
                <w:color w:val="000000"/>
              </w:rPr>
            </w:pPr>
            <w:r w:rsidRPr="00E02AC1">
              <w:rPr>
                <w:rFonts w:ascii="Arial" w:hAnsi="Arial" w:cs="Arial"/>
                <w:b/>
                <w:bCs/>
                <w:color w:val="000000"/>
              </w:rPr>
              <w:t>end of the reporting period</w:t>
            </w:r>
          </w:p>
        </w:tc>
        <w:tc>
          <w:tcPr>
            <w:tcW w:w="880" w:type="dxa"/>
            <w:tcBorders>
              <w:top w:val="nil"/>
              <w:left w:val="nil"/>
              <w:bottom w:val="single" w:sz="4" w:space="0" w:color="auto"/>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b/>
                <w:bCs/>
                <w:color w:val="000000"/>
              </w:rPr>
            </w:pPr>
            <w:r w:rsidRPr="00E02AC1">
              <w:rPr>
                <w:rFonts w:ascii="Arial" w:hAnsi="Arial" w:cs="Arial"/>
                <w:b/>
                <w:bCs/>
                <w:color w:val="000000"/>
              </w:rPr>
              <w:t xml:space="preserve">758 </w:t>
            </w:r>
          </w:p>
        </w:tc>
        <w:tc>
          <w:tcPr>
            <w:tcW w:w="880" w:type="dxa"/>
            <w:tcBorders>
              <w:top w:val="nil"/>
              <w:left w:val="nil"/>
              <w:bottom w:val="single" w:sz="4" w:space="0" w:color="auto"/>
              <w:right w:val="nil"/>
            </w:tcBorders>
            <w:shd w:val="clear" w:color="000000" w:fill="E6E6E6"/>
            <w:noWrap/>
            <w:vAlign w:val="center"/>
            <w:hideMark/>
          </w:tcPr>
          <w:p w:rsidR="00E02AC1" w:rsidRPr="00E02AC1" w:rsidRDefault="00E02AC1" w:rsidP="00E02AC1">
            <w:pPr>
              <w:spacing w:after="0" w:line="240" w:lineRule="auto"/>
              <w:jc w:val="right"/>
              <w:rPr>
                <w:rFonts w:ascii="Arial" w:hAnsi="Arial" w:cs="Arial"/>
                <w:b/>
                <w:bCs/>
                <w:color w:val="000000"/>
              </w:rPr>
            </w:pPr>
            <w:r w:rsidRPr="00E02AC1">
              <w:rPr>
                <w:rFonts w:ascii="Arial" w:hAnsi="Arial" w:cs="Arial"/>
                <w:b/>
                <w:bCs/>
                <w:color w:val="000000"/>
              </w:rPr>
              <w:t xml:space="preserve">758 </w:t>
            </w:r>
          </w:p>
        </w:tc>
        <w:tc>
          <w:tcPr>
            <w:tcW w:w="880" w:type="dxa"/>
            <w:tcBorders>
              <w:top w:val="nil"/>
              <w:left w:val="nil"/>
              <w:bottom w:val="single" w:sz="4" w:space="0" w:color="auto"/>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b/>
                <w:bCs/>
                <w:color w:val="000000"/>
              </w:rPr>
            </w:pPr>
            <w:r w:rsidRPr="00E02AC1">
              <w:rPr>
                <w:rFonts w:ascii="Arial" w:hAnsi="Arial" w:cs="Arial"/>
                <w:b/>
                <w:bCs/>
                <w:color w:val="000000"/>
              </w:rPr>
              <w:t xml:space="preserve">758 </w:t>
            </w:r>
          </w:p>
        </w:tc>
        <w:tc>
          <w:tcPr>
            <w:tcW w:w="880" w:type="dxa"/>
            <w:tcBorders>
              <w:top w:val="nil"/>
              <w:left w:val="nil"/>
              <w:bottom w:val="single" w:sz="4" w:space="0" w:color="auto"/>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b/>
                <w:bCs/>
                <w:color w:val="000000"/>
              </w:rPr>
            </w:pPr>
            <w:r w:rsidRPr="00E02AC1">
              <w:rPr>
                <w:rFonts w:ascii="Arial" w:hAnsi="Arial" w:cs="Arial"/>
                <w:b/>
                <w:bCs/>
                <w:color w:val="000000"/>
              </w:rPr>
              <w:t xml:space="preserve">758 </w:t>
            </w:r>
          </w:p>
        </w:tc>
        <w:tc>
          <w:tcPr>
            <w:tcW w:w="880" w:type="dxa"/>
            <w:tcBorders>
              <w:top w:val="nil"/>
              <w:left w:val="nil"/>
              <w:bottom w:val="single" w:sz="4" w:space="0" w:color="auto"/>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b/>
                <w:bCs/>
                <w:color w:val="000000"/>
              </w:rPr>
            </w:pPr>
            <w:r w:rsidRPr="00E02AC1">
              <w:rPr>
                <w:rFonts w:ascii="Arial" w:hAnsi="Arial" w:cs="Arial"/>
                <w:b/>
                <w:bCs/>
                <w:color w:val="000000"/>
              </w:rPr>
              <w:t xml:space="preserve">758 </w:t>
            </w:r>
          </w:p>
        </w:tc>
      </w:tr>
    </w:tbl>
    <w:p w:rsidR="00B2394E" w:rsidRDefault="00B2394E" w:rsidP="00BE1C0C">
      <w:pPr>
        <w:pStyle w:val="Source"/>
        <w:jc w:val="left"/>
      </w:pPr>
      <w:proofErr w:type="gramStart"/>
      <w:r>
        <w:t>Prepared on Australian Accounting Standards basis.</w:t>
      </w:r>
      <w:proofErr w:type="gramEnd"/>
    </w:p>
    <w:p w:rsidR="00B2394E" w:rsidRDefault="00B2394E" w:rsidP="00B2394E">
      <w:pPr>
        <w:pStyle w:val="NoSpacing"/>
      </w:pPr>
    </w:p>
    <w:p w:rsidR="00B2394E" w:rsidRPr="0041404E" w:rsidRDefault="00B2394E" w:rsidP="00BE1C0C">
      <w:pPr>
        <w:pStyle w:val="Heading5"/>
        <w:spacing w:after="0"/>
      </w:pPr>
      <w:r>
        <w:br w:type="page"/>
      </w:r>
      <w:r w:rsidRPr="00D30CBA">
        <w:lastRenderedPageBreak/>
        <w:t>Table</w:t>
      </w:r>
      <w:r>
        <w:t xml:space="preserve"> 3.5</w:t>
      </w:r>
      <w:r w:rsidRPr="00D30CBA">
        <w:t xml:space="preserve">: </w:t>
      </w:r>
      <w:r>
        <w:t>Departmental Capital Budget Statement (for the Period Ended 30 June)</w:t>
      </w:r>
    </w:p>
    <w:tbl>
      <w:tblPr>
        <w:tblW w:w="7400" w:type="dxa"/>
        <w:tblInd w:w="96" w:type="dxa"/>
        <w:tblLook w:val="04A0"/>
      </w:tblPr>
      <w:tblGrid>
        <w:gridCol w:w="3200"/>
        <w:gridCol w:w="928"/>
        <w:gridCol w:w="820"/>
        <w:gridCol w:w="821"/>
        <w:gridCol w:w="840"/>
        <w:gridCol w:w="880"/>
      </w:tblGrid>
      <w:tr w:rsidR="00E02AC1" w:rsidRPr="00E02AC1" w:rsidTr="00E02AC1">
        <w:trPr>
          <w:trHeight w:val="900"/>
        </w:trPr>
        <w:tc>
          <w:tcPr>
            <w:tcW w:w="3200" w:type="dxa"/>
            <w:tcBorders>
              <w:top w:val="single" w:sz="4" w:space="0" w:color="auto"/>
              <w:left w:val="nil"/>
              <w:bottom w:val="nil"/>
              <w:right w:val="nil"/>
            </w:tcBorders>
            <w:shd w:val="clear" w:color="auto" w:fill="auto"/>
            <w:noWrap/>
            <w:hideMark/>
          </w:tcPr>
          <w:p w:rsidR="00E02AC1" w:rsidRPr="00E02AC1" w:rsidRDefault="00E02AC1" w:rsidP="00E02AC1">
            <w:pPr>
              <w:spacing w:after="0" w:line="240" w:lineRule="auto"/>
              <w:jc w:val="left"/>
              <w:rPr>
                <w:rFonts w:ascii="Arial" w:hAnsi="Arial" w:cs="Arial"/>
                <w:b/>
                <w:bCs/>
              </w:rPr>
            </w:pPr>
            <w:r w:rsidRPr="00E02AC1">
              <w:rPr>
                <w:rFonts w:ascii="Arial" w:hAnsi="Arial" w:cs="Arial"/>
                <w:b/>
                <w:bCs/>
              </w:rPr>
              <w:t> </w:t>
            </w:r>
          </w:p>
        </w:tc>
        <w:tc>
          <w:tcPr>
            <w:tcW w:w="840" w:type="dxa"/>
            <w:tcBorders>
              <w:top w:val="single" w:sz="4" w:space="0" w:color="auto"/>
              <w:left w:val="nil"/>
              <w:bottom w:val="single" w:sz="4" w:space="0" w:color="auto"/>
              <w:right w:val="nil"/>
            </w:tcBorders>
            <w:shd w:val="clear" w:color="auto" w:fill="auto"/>
            <w:hideMark/>
          </w:tcPr>
          <w:p w:rsidR="00E02AC1" w:rsidRPr="00E02AC1" w:rsidRDefault="00E02AC1" w:rsidP="00E02AC1">
            <w:pPr>
              <w:spacing w:after="0" w:line="240" w:lineRule="auto"/>
              <w:jc w:val="right"/>
              <w:rPr>
                <w:rFonts w:ascii="Arial" w:hAnsi="Arial" w:cs="Arial"/>
              </w:rPr>
            </w:pPr>
            <w:r w:rsidRPr="00E02AC1">
              <w:rPr>
                <w:rFonts w:ascii="Arial" w:hAnsi="Arial" w:cs="Arial"/>
              </w:rPr>
              <w:t>2015-16 Estimated actual</w:t>
            </w:r>
            <w:r w:rsidRPr="00E02AC1">
              <w:rPr>
                <w:rFonts w:ascii="Arial" w:hAnsi="Arial" w:cs="Arial"/>
              </w:rPr>
              <w:br/>
              <w:t>$'000</w:t>
            </w:r>
          </w:p>
        </w:tc>
        <w:tc>
          <w:tcPr>
            <w:tcW w:w="820" w:type="dxa"/>
            <w:tcBorders>
              <w:top w:val="single" w:sz="4" w:space="0" w:color="auto"/>
              <w:left w:val="nil"/>
              <w:bottom w:val="single" w:sz="4" w:space="0" w:color="auto"/>
              <w:right w:val="nil"/>
            </w:tcBorders>
            <w:shd w:val="clear" w:color="000000" w:fill="E6E6E6"/>
            <w:hideMark/>
          </w:tcPr>
          <w:p w:rsidR="00E02AC1" w:rsidRPr="00E02AC1" w:rsidRDefault="00E02AC1" w:rsidP="00E02AC1">
            <w:pPr>
              <w:spacing w:after="0" w:line="240" w:lineRule="auto"/>
              <w:jc w:val="right"/>
              <w:rPr>
                <w:rFonts w:ascii="Arial" w:hAnsi="Arial" w:cs="Arial"/>
              </w:rPr>
            </w:pPr>
            <w:r w:rsidRPr="00E02AC1">
              <w:rPr>
                <w:rFonts w:ascii="Arial" w:hAnsi="Arial" w:cs="Arial"/>
              </w:rPr>
              <w:t>2016-17</w:t>
            </w:r>
            <w:r w:rsidRPr="00E02AC1">
              <w:rPr>
                <w:rFonts w:ascii="Arial" w:hAnsi="Arial" w:cs="Arial"/>
              </w:rPr>
              <w:br/>
              <w:t>Budget</w:t>
            </w:r>
            <w:r w:rsidRPr="00E02AC1">
              <w:rPr>
                <w:rFonts w:ascii="Arial" w:hAnsi="Arial" w:cs="Arial"/>
              </w:rPr>
              <w:br/>
            </w:r>
            <w:r w:rsidRPr="00E02AC1">
              <w:rPr>
                <w:rFonts w:ascii="Arial" w:hAnsi="Arial" w:cs="Arial"/>
              </w:rPr>
              <w:br/>
              <w:t>$'000</w:t>
            </w:r>
          </w:p>
        </w:tc>
        <w:tc>
          <w:tcPr>
            <w:tcW w:w="820" w:type="dxa"/>
            <w:tcBorders>
              <w:top w:val="single" w:sz="4" w:space="0" w:color="auto"/>
              <w:left w:val="nil"/>
              <w:bottom w:val="single" w:sz="4" w:space="0" w:color="auto"/>
              <w:right w:val="nil"/>
            </w:tcBorders>
            <w:shd w:val="clear" w:color="auto" w:fill="auto"/>
            <w:hideMark/>
          </w:tcPr>
          <w:p w:rsidR="00E02AC1" w:rsidRPr="00E02AC1" w:rsidRDefault="00E02AC1" w:rsidP="00E02AC1">
            <w:pPr>
              <w:spacing w:after="0" w:line="240" w:lineRule="auto"/>
              <w:jc w:val="right"/>
              <w:rPr>
                <w:rFonts w:ascii="Arial" w:hAnsi="Arial" w:cs="Arial"/>
              </w:rPr>
            </w:pPr>
            <w:r w:rsidRPr="00E02AC1">
              <w:rPr>
                <w:rFonts w:ascii="Arial" w:hAnsi="Arial" w:cs="Arial"/>
              </w:rPr>
              <w:t>2017-18 Forward estimate</w:t>
            </w:r>
            <w:r w:rsidRPr="00E02AC1">
              <w:rPr>
                <w:rFonts w:ascii="Arial" w:hAnsi="Arial" w:cs="Arial"/>
              </w:rPr>
              <w:br/>
              <w:t>$'000</w:t>
            </w:r>
          </w:p>
        </w:tc>
        <w:tc>
          <w:tcPr>
            <w:tcW w:w="840" w:type="dxa"/>
            <w:tcBorders>
              <w:top w:val="single" w:sz="4" w:space="0" w:color="auto"/>
              <w:left w:val="nil"/>
              <w:bottom w:val="single" w:sz="4" w:space="0" w:color="auto"/>
              <w:right w:val="nil"/>
            </w:tcBorders>
            <w:shd w:val="clear" w:color="auto" w:fill="auto"/>
            <w:hideMark/>
          </w:tcPr>
          <w:p w:rsidR="00E02AC1" w:rsidRPr="00E02AC1" w:rsidRDefault="00E02AC1" w:rsidP="00E02AC1">
            <w:pPr>
              <w:spacing w:after="0" w:line="240" w:lineRule="auto"/>
              <w:jc w:val="right"/>
              <w:rPr>
                <w:rFonts w:ascii="Arial" w:hAnsi="Arial" w:cs="Arial"/>
              </w:rPr>
            </w:pPr>
            <w:r w:rsidRPr="00E02AC1">
              <w:rPr>
                <w:rFonts w:ascii="Arial" w:hAnsi="Arial" w:cs="Arial"/>
              </w:rPr>
              <w:t>2018-19 Forward estimate</w:t>
            </w:r>
            <w:r w:rsidRPr="00E02AC1">
              <w:rPr>
                <w:rFonts w:ascii="Arial" w:hAnsi="Arial" w:cs="Arial"/>
              </w:rPr>
              <w:br/>
              <w:t>$'000</w:t>
            </w:r>
          </w:p>
        </w:tc>
        <w:tc>
          <w:tcPr>
            <w:tcW w:w="880" w:type="dxa"/>
            <w:tcBorders>
              <w:top w:val="single" w:sz="4" w:space="0" w:color="auto"/>
              <w:left w:val="nil"/>
              <w:bottom w:val="single" w:sz="4" w:space="0" w:color="auto"/>
              <w:right w:val="nil"/>
            </w:tcBorders>
            <w:shd w:val="clear" w:color="auto" w:fill="auto"/>
            <w:hideMark/>
          </w:tcPr>
          <w:p w:rsidR="00E02AC1" w:rsidRPr="00E02AC1" w:rsidRDefault="00E02AC1" w:rsidP="00E02AC1">
            <w:pPr>
              <w:spacing w:after="0" w:line="240" w:lineRule="auto"/>
              <w:jc w:val="right"/>
              <w:rPr>
                <w:rFonts w:ascii="Arial" w:hAnsi="Arial" w:cs="Arial"/>
              </w:rPr>
            </w:pPr>
            <w:r w:rsidRPr="00E02AC1">
              <w:rPr>
                <w:rFonts w:ascii="Arial" w:hAnsi="Arial" w:cs="Arial"/>
              </w:rPr>
              <w:t>2019-20</w:t>
            </w:r>
            <w:r w:rsidRPr="00E02AC1">
              <w:rPr>
                <w:rFonts w:ascii="Arial" w:hAnsi="Arial" w:cs="Arial"/>
              </w:rPr>
              <w:br/>
              <w:t>Forward estimate</w:t>
            </w:r>
            <w:r w:rsidRPr="00E02AC1">
              <w:rPr>
                <w:rFonts w:ascii="Arial" w:hAnsi="Arial" w:cs="Arial"/>
              </w:rPr>
              <w:br/>
              <w:t>$'000</w:t>
            </w:r>
          </w:p>
        </w:tc>
      </w:tr>
      <w:tr w:rsidR="00E02AC1" w:rsidRPr="00E02AC1" w:rsidTr="00E02AC1">
        <w:trPr>
          <w:trHeight w:val="300"/>
        </w:trPr>
        <w:tc>
          <w:tcPr>
            <w:tcW w:w="3200" w:type="dxa"/>
            <w:tcBorders>
              <w:top w:val="nil"/>
              <w:left w:val="nil"/>
              <w:bottom w:val="nil"/>
              <w:right w:val="nil"/>
            </w:tcBorders>
            <w:shd w:val="clear" w:color="auto" w:fill="auto"/>
            <w:noWrap/>
            <w:vAlign w:val="bottom"/>
            <w:hideMark/>
          </w:tcPr>
          <w:p w:rsidR="00E02AC1" w:rsidRPr="00E02AC1" w:rsidRDefault="00E02AC1" w:rsidP="00E02AC1">
            <w:pPr>
              <w:spacing w:after="0" w:line="240" w:lineRule="auto"/>
              <w:jc w:val="left"/>
              <w:rPr>
                <w:rFonts w:ascii="Arial" w:hAnsi="Arial" w:cs="Arial"/>
                <w:b/>
                <w:bCs/>
              </w:rPr>
            </w:pPr>
            <w:r w:rsidRPr="00E02AC1">
              <w:rPr>
                <w:rFonts w:ascii="Arial" w:hAnsi="Arial" w:cs="Arial"/>
                <w:b/>
                <w:bCs/>
              </w:rPr>
              <w:t>PURCHASE OF NON-FINANCIAL ASSETS</w:t>
            </w:r>
          </w:p>
        </w:tc>
        <w:tc>
          <w:tcPr>
            <w:tcW w:w="840" w:type="dxa"/>
            <w:tcBorders>
              <w:top w:val="nil"/>
              <w:left w:val="nil"/>
              <w:bottom w:val="nil"/>
              <w:right w:val="nil"/>
            </w:tcBorders>
            <w:shd w:val="clear" w:color="auto" w:fill="auto"/>
            <w:vAlign w:val="bottom"/>
            <w:hideMark/>
          </w:tcPr>
          <w:p w:rsidR="00E02AC1" w:rsidRPr="00E02AC1" w:rsidRDefault="00E02AC1" w:rsidP="00E02AC1">
            <w:pPr>
              <w:spacing w:after="0" w:line="240" w:lineRule="auto"/>
              <w:jc w:val="left"/>
              <w:rPr>
                <w:rFonts w:ascii="Arial" w:hAnsi="Arial" w:cs="Arial"/>
              </w:rPr>
            </w:pPr>
          </w:p>
        </w:tc>
        <w:tc>
          <w:tcPr>
            <w:tcW w:w="820" w:type="dxa"/>
            <w:tcBorders>
              <w:top w:val="nil"/>
              <w:left w:val="nil"/>
              <w:bottom w:val="nil"/>
              <w:right w:val="nil"/>
            </w:tcBorders>
            <w:shd w:val="clear" w:color="000000" w:fill="E6E6E6"/>
            <w:vAlign w:val="bottom"/>
            <w:hideMark/>
          </w:tcPr>
          <w:p w:rsidR="00E02AC1" w:rsidRPr="00E02AC1" w:rsidRDefault="00E02AC1" w:rsidP="00E02AC1">
            <w:pPr>
              <w:spacing w:after="0" w:line="240" w:lineRule="auto"/>
              <w:jc w:val="left"/>
              <w:rPr>
                <w:rFonts w:ascii="Arial" w:hAnsi="Arial" w:cs="Arial"/>
              </w:rPr>
            </w:pPr>
            <w:r w:rsidRPr="00E02AC1">
              <w:rPr>
                <w:rFonts w:ascii="Arial" w:hAnsi="Arial" w:cs="Arial"/>
              </w:rPr>
              <w:t> </w:t>
            </w:r>
          </w:p>
        </w:tc>
        <w:tc>
          <w:tcPr>
            <w:tcW w:w="820" w:type="dxa"/>
            <w:tcBorders>
              <w:top w:val="nil"/>
              <w:left w:val="nil"/>
              <w:bottom w:val="nil"/>
              <w:right w:val="nil"/>
            </w:tcBorders>
            <w:shd w:val="clear" w:color="auto" w:fill="auto"/>
            <w:vAlign w:val="bottom"/>
            <w:hideMark/>
          </w:tcPr>
          <w:p w:rsidR="00E02AC1" w:rsidRPr="00E02AC1" w:rsidRDefault="00E02AC1" w:rsidP="00E02AC1">
            <w:pPr>
              <w:spacing w:after="0" w:line="240" w:lineRule="auto"/>
              <w:jc w:val="left"/>
              <w:rPr>
                <w:rFonts w:ascii="Arial" w:hAnsi="Arial" w:cs="Arial"/>
              </w:rPr>
            </w:pPr>
          </w:p>
        </w:tc>
        <w:tc>
          <w:tcPr>
            <w:tcW w:w="840" w:type="dxa"/>
            <w:tcBorders>
              <w:top w:val="nil"/>
              <w:left w:val="nil"/>
              <w:bottom w:val="nil"/>
              <w:right w:val="nil"/>
            </w:tcBorders>
            <w:shd w:val="clear" w:color="auto" w:fill="auto"/>
            <w:vAlign w:val="bottom"/>
            <w:hideMark/>
          </w:tcPr>
          <w:p w:rsidR="00E02AC1" w:rsidRPr="00E02AC1" w:rsidRDefault="00E02AC1" w:rsidP="00E02AC1">
            <w:pPr>
              <w:spacing w:after="0" w:line="240" w:lineRule="auto"/>
              <w:jc w:val="left"/>
              <w:rPr>
                <w:rFonts w:ascii="Arial" w:hAnsi="Arial" w:cs="Arial"/>
              </w:rPr>
            </w:pPr>
          </w:p>
        </w:tc>
        <w:tc>
          <w:tcPr>
            <w:tcW w:w="880" w:type="dxa"/>
            <w:tcBorders>
              <w:top w:val="nil"/>
              <w:left w:val="nil"/>
              <w:bottom w:val="nil"/>
              <w:right w:val="nil"/>
            </w:tcBorders>
            <w:shd w:val="clear" w:color="auto" w:fill="auto"/>
            <w:vAlign w:val="bottom"/>
            <w:hideMark/>
          </w:tcPr>
          <w:p w:rsidR="00E02AC1" w:rsidRPr="00E02AC1" w:rsidRDefault="00E02AC1" w:rsidP="00E02AC1">
            <w:pPr>
              <w:spacing w:after="0" w:line="240" w:lineRule="auto"/>
              <w:jc w:val="left"/>
              <w:rPr>
                <w:rFonts w:ascii="Arial" w:hAnsi="Arial" w:cs="Arial"/>
              </w:rPr>
            </w:pPr>
          </w:p>
        </w:tc>
      </w:tr>
      <w:tr w:rsidR="00E02AC1" w:rsidRPr="00E02AC1" w:rsidTr="00E02AC1">
        <w:trPr>
          <w:trHeight w:val="225"/>
        </w:trPr>
        <w:tc>
          <w:tcPr>
            <w:tcW w:w="3200" w:type="dxa"/>
            <w:tcBorders>
              <w:top w:val="nil"/>
              <w:left w:val="nil"/>
              <w:bottom w:val="nil"/>
              <w:right w:val="nil"/>
            </w:tcBorders>
            <w:shd w:val="clear" w:color="auto" w:fill="auto"/>
            <w:noWrap/>
            <w:vAlign w:val="bottom"/>
            <w:hideMark/>
          </w:tcPr>
          <w:p w:rsidR="00E02AC1" w:rsidRPr="00E02AC1" w:rsidRDefault="00E02AC1" w:rsidP="00E02AC1">
            <w:pPr>
              <w:spacing w:after="0" w:line="240" w:lineRule="auto"/>
              <w:ind w:firstLineChars="100" w:firstLine="160"/>
              <w:jc w:val="left"/>
              <w:rPr>
                <w:rFonts w:ascii="Arial" w:hAnsi="Arial" w:cs="Arial"/>
              </w:rPr>
            </w:pPr>
            <w:r w:rsidRPr="00E02AC1">
              <w:rPr>
                <w:rFonts w:ascii="Arial" w:hAnsi="Arial" w:cs="Arial"/>
              </w:rPr>
              <w:t xml:space="preserve">Funded internally from </w:t>
            </w:r>
          </w:p>
        </w:tc>
        <w:tc>
          <w:tcPr>
            <w:tcW w:w="840" w:type="dxa"/>
            <w:tcBorders>
              <w:top w:val="nil"/>
              <w:left w:val="nil"/>
              <w:bottom w:val="nil"/>
              <w:right w:val="nil"/>
            </w:tcBorders>
            <w:shd w:val="clear" w:color="auto" w:fill="auto"/>
            <w:vAlign w:val="bottom"/>
            <w:hideMark/>
          </w:tcPr>
          <w:p w:rsidR="00E02AC1" w:rsidRPr="00E02AC1" w:rsidRDefault="00E02AC1" w:rsidP="00E02AC1">
            <w:pPr>
              <w:spacing w:after="0" w:line="240" w:lineRule="auto"/>
              <w:jc w:val="left"/>
              <w:rPr>
                <w:rFonts w:ascii="Arial" w:hAnsi="Arial" w:cs="Arial"/>
              </w:rPr>
            </w:pPr>
          </w:p>
        </w:tc>
        <w:tc>
          <w:tcPr>
            <w:tcW w:w="820" w:type="dxa"/>
            <w:tcBorders>
              <w:top w:val="nil"/>
              <w:left w:val="nil"/>
              <w:bottom w:val="nil"/>
              <w:right w:val="nil"/>
            </w:tcBorders>
            <w:shd w:val="clear" w:color="000000" w:fill="E6E6E6"/>
            <w:vAlign w:val="bottom"/>
            <w:hideMark/>
          </w:tcPr>
          <w:p w:rsidR="00E02AC1" w:rsidRPr="00E02AC1" w:rsidRDefault="00E02AC1" w:rsidP="00E02AC1">
            <w:pPr>
              <w:spacing w:after="0" w:line="240" w:lineRule="auto"/>
              <w:jc w:val="left"/>
              <w:rPr>
                <w:rFonts w:ascii="Arial" w:hAnsi="Arial" w:cs="Arial"/>
              </w:rPr>
            </w:pPr>
            <w:r w:rsidRPr="00E02AC1">
              <w:rPr>
                <w:rFonts w:ascii="Arial" w:hAnsi="Arial" w:cs="Arial"/>
              </w:rPr>
              <w:t> </w:t>
            </w:r>
          </w:p>
        </w:tc>
        <w:tc>
          <w:tcPr>
            <w:tcW w:w="820" w:type="dxa"/>
            <w:tcBorders>
              <w:top w:val="nil"/>
              <w:left w:val="nil"/>
              <w:bottom w:val="nil"/>
              <w:right w:val="nil"/>
            </w:tcBorders>
            <w:shd w:val="clear" w:color="auto" w:fill="auto"/>
            <w:vAlign w:val="bottom"/>
            <w:hideMark/>
          </w:tcPr>
          <w:p w:rsidR="00E02AC1" w:rsidRPr="00E02AC1" w:rsidRDefault="00E02AC1" w:rsidP="00E02AC1">
            <w:pPr>
              <w:spacing w:after="0" w:line="240" w:lineRule="auto"/>
              <w:jc w:val="left"/>
              <w:rPr>
                <w:rFonts w:ascii="Arial" w:hAnsi="Arial" w:cs="Arial"/>
              </w:rPr>
            </w:pPr>
          </w:p>
        </w:tc>
        <w:tc>
          <w:tcPr>
            <w:tcW w:w="840" w:type="dxa"/>
            <w:tcBorders>
              <w:top w:val="nil"/>
              <w:left w:val="nil"/>
              <w:bottom w:val="nil"/>
              <w:right w:val="nil"/>
            </w:tcBorders>
            <w:shd w:val="clear" w:color="auto" w:fill="auto"/>
            <w:vAlign w:val="bottom"/>
            <w:hideMark/>
          </w:tcPr>
          <w:p w:rsidR="00E02AC1" w:rsidRPr="00E02AC1" w:rsidRDefault="00E02AC1" w:rsidP="00E02AC1">
            <w:pPr>
              <w:spacing w:after="0" w:line="240" w:lineRule="auto"/>
              <w:jc w:val="left"/>
              <w:rPr>
                <w:rFonts w:ascii="Arial" w:hAnsi="Arial" w:cs="Arial"/>
              </w:rPr>
            </w:pPr>
          </w:p>
        </w:tc>
        <w:tc>
          <w:tcPr>
            <w:tcW w:w="880" w:type="dxa"/>
            <w:tcBorders>
              <w:top w:val="nil"/>
              <w:left w:val="nil"/>
              <w:bottom w:val="nil"/>
              <w:right w:val="nil"/>
            </w:tcBorders>
            <w:shd w:val="clear" w:color="auto" w:fill="auto"/>
            <w:vAlign w:val="bottom"/>
            <w:hideMark/>
          </w:tcPr>
          <w:p w:rsidR="00E02AC1" w:rsidRPr="00E02AC1" w:rsidRDefault="00E02AC1" w:rsidP="00E02AC1">
            <w:pPr>
              <w:spacing w:after="0" w:line="240" w:lineRule="auto"/>
              <w:jc w:val="left"/>
              <w:rPr>
                <w:rFonts w:ascii="Arial" w:hAnsi="Arial" w:cs="Arial"/>
              </w:rPr>
            </w:pPr>
          </w:p>
        </w:tc>
      </w:tr>
      <w:tr w:rsidR="00E02AC1" w:rsidRPr="00E02AC1" w:rsidTr="00E02AC1">
        <w:trPr>
          <w:trHeight w:val="225"/>
        </w:trPr>
        <w:tc>
          <w:tcPr>
            <w:tcW w:w="3200" w:type="dxa"/>
            <w:tcBorders>
              <w:top w:val="nil"/>
              <w:left w:val="nil"/>
              <w:bottom w:val="nil"/>
              <w:right w:val="nil"/>
            </w:tcBorders>
            <w:shd w:val="clear" w:color="auto" w:fill="auto"/>
            <w:noWrap/>
            <w:vAlign w:val="bottom"/>
            <w:hideMark/>
          </w:tcPr>
          <w:p w:rsidR="00E02AC1" w:rsidRPr="00E02AC1" w:rsidRDefault="00E02AC1" w:rsidP="00E02AC1">
            <w:pPr>
              <w:spacing w:after="0" w:line="240" w:lineRule="auto"/>
              <w:ind w:firstLineChars="200" w:firstLine="320"/>
              <w:jc w:val="left"/>
              <w:rPr>
                <w:rFonts w:ascii="Arial" w:hAnsi="Arial" w:cs="Arial"/>
              </w:rPr>
            </w:pPr>
            <w:r w:rsidRPr="00E02AC1">
              <w:rPr>
                <w:rFonts w:ascii="Arial" w:hAnsi="Arial" w:cs="Arial"/>
              </w:rPr>
              <w:t>departmental resources</w:t>
            </w:r>
          </w:p>
        </w:tc>
        <w:tc>
          <w:tcPr>
            <w:tcW w:w="84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rPr>
            </w:pPr>
            <w:r w:rsidRPr="00E02AC1">
              <w:rPr>
                <w:rFonts w:ascii="Arial" w:hAnsi="Arial" w:cs="Arial"/>
              </w:rPr>
              <w:t xml:space="preserve">2,430 </w:t>
            </w:r>
          </w:p>
        </w:tc>
        <w:tc>
          <w:tcPr>
            <w:tcW w:w="820" w:type="dxa"/>
            <w:tcBorders>
              <w:top w:val="nil"/>
              <w:left w:val="nil"/>
              <w:bottom w:val="nil"/>
              <w:right w:val="nil"/>
            </w:tcBorders>
            <w:shd w:val="clear" w:color="000000" w:fill="E6E6E6"/>
            <w:noWrap/>
            <w:vAlign w:val="center"/>
            <w:hideMark/>
          </w:tcPr>
          <w:p w:rsidR="00E02AC1" w:rsidRPr="00E02AC1" w:rsidRDefault="00E02AC1" w:rsidP="00E02AC1">
            <w:pPr>
              <w:spacing w:after="0" w:line="240" w:lineRule="auto"/>
              <w:jc w:val="right"/>
              <w:rPr>
                <w:rFonts w:ascii="Arial" w:hAnsi="Arial" w:cs="Arial"/>
              </w:rPr>
            </w:pPr>
            <w:r w:rsidRPr="00E02AC1">
              <w:rPr>
                <w:rFonts w:ascii="Arial" w:hAnsi="Arial" w:cs="Arial"/>
              </w:rPr>
              <w:t xml:space="preserve">3,352 </w:t>
            </w:r>
          </w:p>
        </w:tc>
        <w:tc>
          <w:tcPr>
            <w:tcW w:w="82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rPr>
            </w:pPr>
            <w:r w:rsidRPr="00E02AC1">
              <w:rPr>
                <w:rFonts w:ascii="Arial" w:hAnsi="Arial" w:cs="Arial"/>
              </w:rPr>
              <w:t xml:space="preserve">750 </w:t>
            </w:r>
          </w:p>
        </w:tc>
        <w:tc>
          <w:tcPr>
            <w:tcW w:w="84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rPr>
            </w:pPr>
            <w:r w:rsidRPr="00E02AC1">
              <w:rPr>
                <w:rFonts w:ascii="Arial" w:hAnsi="Arial" w:cs="Arial"/>
              </w:rPr>
              <w:t xml:space="preserve">750 </w:t>
            </w:r>
          </w:p>
        </w:tc>
        <w:tc>
          <w:tcPr>
            <w:tcW w:w="88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rPr>
            </w:pPr>
            <w:r w:rsidRPr="00E02AC1">
              <w:rPr>
                <w:rFonts w:ascii="Arial" w:hAnsi="Arial" w:cs="Arial"/>
              </w:rPr>
              <w:t xml:space="preserve">750 </w:t>
            </w:r>
          </w:p>
        </w:tc>
      </w:tr>
      <w:tr w:rsidR="00E02AC1" w:rsidRPr="00E02AC1" w:rsidTr="00E02AC1">
        <w:trPr>
          <w:trHeight w:val="225"/>
        </w:trPr>
        <w:tc>
          <w:tcPr>
            <w:tcW w:w="3200" w:type="dxa"/>
            <w:tcBorders>
              <w:top w:val="nil"/>
              <w:left w:val="nil"/>
              <w:bottom w:val="nil"/>
              <w:right w:val="nil"/>
            </w:tcBorders>
            <w:shd w:val="clear" w:color="auto" w:fill="auto"/>
            <w:noWrap/>
            <w:vAlign w:val="bottom"/>
            <w:hideMark/>
          </w:tcPr>
          <w:p w:rsidR="00E02AC1" w:rsidRPr="00E02AC1" w:rsidRDefault="00E02AC1" w:rsidP="00E02AC1">
            <w:pPr>
              <w:spacing w:after="0" w:line="240" w:lineRule="auto"/>
              <w:jc w:val="left"/>
              <w:rPr>
                <w:rFonts w:ascii="Arial" w:hAnsi="Arial" w:cs="Arial"/>
                <w:b/>
                <w:bCs/>
              </w:rPr>
            </w:pPr>
            <w:r w:rsidRPr="00E02AC1">
              <w:rPr>
                <w:rFonts w:ascii="Arial" w:hAnsi="Arial" w:cs="Arial"/>
                <w:b/>
                <w:bCs/>
              </w:rPr>
              <w:t>TOTAL</w:t>
            </w:r>
          </w:p>
        </w:tc>
        <w:tc>
          <w:tcPr>
            <w:tcW w:w="840" w:type="dxa"/>
            <w:tcBorders>
              <w:top w:val="single" w:sz="4" w:space="0" w:color="auto"/>
              <w:left w:val="nil"/>
              <w:bottom w:val="single" w:sz="4" w:space="0" w:color="auto"/>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b/>
                <w:bCs/>
              </w:rPr>
            </w:pPr>
            <w:r w:rsidRPr="00E02AC1">
              <w:rPr>
                <w:rFonts w:ascii="Arial" w:hAnsi="Arial" w:cs="Arial"/>
                <w:b/>
                <w:bCs/>
              </w:rPr>
              <w:t xml:space="preserve">2,430 </w:t>
            </w:r>
          </w:p>
        </w:tc>
        <w:tc>
          <w:tcPr>
            <w:tcW w:w="820" w:type="dxa"/>
            <w:tcBorders>
              <w:top w:val="single" w:sz="4" w:space="0" w:color="auto"/>
              <w:left w:val="nil"/>
              <w:bottom w:val="single" w:sz="4" w:space="0" w:color="auto"/>
              <w:right w:val="nil"/>
            </w:tcBorders>
            <w:shd w:val="clear" w:color="000000" w:fill="E6E6E6"/>
            <w:noWrap/>
            <w:vAlign w:val="center"/>
            <w:hideMark/>
          </w:tcPr>
          <w:p w:rsidR="00E02AC1" w:rsidRPr="00E02AC1" w:rsidRDefault="00E02AC1" w:rsidP="00E02AC1">
            <w:pPr>
              <w:spacing w:after="0" w:line="240" w:lineRule="auto"/>
              <w:jc w:val="right"/>
              <w:rPr>
                <w:rFonts w:ascii="Arial" w:hAnsi="Arial" w:cs="Arial"/>
                <w:b/>
                <w:bCs/>
              </w:rPr>
            </w:pPr>
            <w:r w:rsidRPr="00E02AC1">
              <w:rPr>
                <w:rFonts w:ascii="Arial" w:hAnsi="Arial" w:cs="Arial"/>
                <w:b/>
                <w:bCs/>
              </w:rPr>
              <w:t xml:space="preserve">3,352 </w:t>
            </w:r>
          </w:p>
        </w:tc>
        <w:tc>
          <w:tcPr>
            <w:tcW w:w="820" w:type="dxa"/>
            <w:tcBorders>
              <w:top w:val="single" w:sz="4" w:space="0" w:color="auto"/>
              <w:left w:val="nil"/>
              <w:bottom w:val="single" w:sz="4" w:space="0" w:color="auto"/>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b/>
                <w:bCs/>
              </w:rPr>
            </w:pPr>
            <w:r w:rsidRPr="00E02AC1">
              <w:rPr>
                <w:rFonts w:ascii="Arial" w:hAnsi="Arial" w:cs="Arial"/>
                <w:b/>
                <w:bCs/>
              </w:rPr>
              <w:t xml:space="preserve">750 </w:t>
            </w:r>
          </w:p>
        </w:tc>
        <w:tc>
          <w:tcPr>
            <w:tcW w:w="840" w:type="dxa"/>
            <w:tcBorders>
              <w:top w:val="single" w:sz="4" w:space="0" w:color="auto"/>
              <w:left w:val="nil"/>
              <w:bottom w:val="single" w:sz="4" w:space="0" w:color="auto"/>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b/>
                <w:bCs/>
              </w:rPr>
            </w:pPr>
            <w:r w:rsidRPr="00E02AC1">
              <w:rPr>
                <w:rFonts w:ascii="Arial" w:hAnsi="Arial" w:cs="Arial"/>
                <w:b/>
                <w:bCs/>
              </w:rPr>
              <w:t xml:space="preserve">750 </w:t>
            </w:r>
          </w:p>
        </w:tc>
        <w:tc>
          <w:tcPr>
            <w:tcW w:w="880" w:type="dxa"/>
            <w:tcBorders>
              <w:top w:val="single" w:sz="4" w:space="0" w:color="auto"/>
              <w:left w:val="nil"/>
              <w:bottom w:val="single" w:sz="4" w:space="0" w:color="auto"/>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b/>
                <w:bCs/>
              </w:rPr>
            </w:pPr>
            <w:r w:rsidRPr="00E02AC1">
              <w:rPr>
                <w:rFonts w:ascii="Arial" w:hAnsi="Arial" w:cs="Arial"/>
                <w:b/>
                <w:bCs/>
              </w:rPr>
              <w:t xml:space="preserve">750 </w:t>
            </w:r>
          </w:p>
        </w:tc>
      </w:tr>
      <w:tr w:rsidR="00E02AC1" w:rsidRPr="00E02AC1" w:rsidTr="00E02AC1">
        <w:trPr>
          <w:trHeight w:val="225"/>
        </w:trPr>
        <w:tc>
          <w:tcPr>
            <w:tcW w:w="3200" w:type="dxa"/>
            <w:tcBorders>
              <w:top w:val="nil"/>
              <w:left w:val="nil"/>
              <w:bottom w:val="nil"/>
              <w:right w:val="nil"/>
            </w:tcBorders>
            <w:shd w:val="clear" w:color="auto" w:fill="auto"/>
            <w:vAlign w:val="bottom"/>
            <w:hideMark/>
          </w:tcPr>
          <w:p w:rsidR="00E02AC1" w:rsidRPr="00E02AC1" w:rsidRDefault="00E02AC1" w:rsidP="00E02AC1">
            <w:pPr>
              <w:spacing w:after="0" w:line="240" w:lineRule="auto"/>
              <w:jc w:val="left"/>
              <w:rPr>
                <w:rFonts w:ascii="Arial" w:hAnsi="Arial" w:cs="Arial"/>
                <w:b/>
                <w:bCs/>
              </w:rPr>
            </w:pPr>
            <w:r w:rsidRPr="00E02AC1">
              <w:rPr>
                <w:rFonts w:ascii="Arial" w:hAnsi="Arial" w:cs="Arial"/>
                <w:b/>
                <w:bCs/>
              </w:rPr>
              <w:t xml:space="preserve">RECONCILIATION OF CASH USED </w:t>
            </w:r>
          </w:p>
        </w:tc>
        <w:tc>
          <w:tcPr>
            <w:tcW w:w="84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b/>
                <w:bCs/>
              </w:rPr>
            </w:pPr>
          </w:p>
        </w:tc>
        <w:tc>
          <w:tcPr>
            <w:tcW w:w="820" w:type="dxa"/>
            <w:tcBorders>
              <w:top w:val="nil"/>
              <w:left w:val="nil"/>
              <w:bottom w:val="nil"/>
              <w:right w:val="nil"/>
            </w:tcBorders>
            <w:shd w:val="clear" w:color="000000" w:fill="E6E6E6"/>
            <w:vAlign w:val="center"/>
            <w:hideMark/>
          </w:tcPr>
          <w:p w:rsidR="00E02AC1" w:rsidRPr="00E02AC1" w:rsidRDefault="00E02AC1" w:rsidP="00E02AC1">
            <w:pPr>
              <w:spacing w:after="0" w:line="240" w:lineRule="auto"/>
              <w:jc w:val="left"/>
              <w:rPr>
                <w:rFonts w:ascii="Arial" w:hAnsi="Arial" w:cs="Arial"/>
                <w:b/>
                <w:bCs/>
              </w:rPr>
            </w:pPr>
            <w:r w:rsidRPr="00E02AC1">
              <w:rPr>
                <w:rFonts w:ascii="Arial" w:hAnsi="Arial" w:cs="Arial"/>
                <w:b/>
                <w:bCs/>
              </w:rPr>
              <w:t> </w:t>
            </w:r>
          </w:p>
        </w:tc>
        <w:tc>
          <w:tcPr>
            <w:tcW w:w="82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b/>
                <w:bCs/>
              </w:rPr>
            </w:pPr>
          </w:p>
        </w:tc>
        <w:tc>
          <w:tcPr>
            <w:tcW w:w="84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b/>
                <w:bCs/>
              </w:rPr>
            </w:pPr>
          </w:p>
        </w:tc>
        <w:tc>
          <w:tcPr>
            <w:tcW w:w="88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b/>
                <w:bCs/>
              </w:rPr>
            </w:pPr>
          </w:p>
        </w:tc>
      </w:tr>
      <w:tr w:rsidR="00E02AC1" w:rsidRPr="00E02AC1" w:rsidTr="00E02AC1">
        <w:trPr>
          <w:trHeight w:val="225"/>
        </w:trPr>
        <w:tc>
          <w:tcPr>
            <w:tcW w:w="3200" w:type="dxa"/>
            <w:tcBorders>
              <w:top w:val="nil"/>
              <w:left w:val="nil"/>
              <w:bottom w:val="nil"/>
              <w:right w:val="nil"/>
            </w:tcBorders>
            <w:shd w:val="clear" w:color="auto" w:fill="auto"/>
            <w:noWrap/>
            <w:vAlign w:val="bottom"/>
            <w:hideMark/>
          </w:tcPr>
          <w:p w:rsidR="00E02AC1" w:rsidRPr="00E02AC1" w:rsidRDefault="00E02AC1" w:rsidP="00E02AC1">
            <w:pPr>
              <w:spacing w:after="0" w:line="240" w:lineRule="auto"/>
              <w:jc w:val="left"/>
              <w:rPr>
                <w:rFonts w:ascii="Arial" w:hAnsi="Arial" w:cs="Arial"/>
                <w:b/>
                <w:bCs/>
              </w:rPr>
            </w:pPr>
            <w:r w:rsidRPr="00E02AC1">
              <w:rPr>
                <w:rFonts w:ascii="Arial" w:hAnsi="Arial" w:cs="Arial"/>
                <w:b/>
                <w:bCs/>
              </w:rPr>
              <w:t xml:space="preserve">  TO ACQUIRE ASSETS TO ASSET</w:t>
            </w:r>
          </w:p>
        </w:tc>
        <w:tc>
          <w:tcPr>
            <w:tcW w:w="84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b/>
                <w:bCs/>
              </w:rPr>
            </w:pPr>
          </w:p>
        </w:tc>
        <w:tc>
          <w:tcPr>
            <w:tcW w:w="820" w:type="dxa"/>
            <w:tcBorders>
              <w:top w:val="nil"/>
              <w:left w:val="nil"/>
              <w:bottom w:val="nil"/>
              <w:right w:val="nil"/>
            </w:tcBorders>
            <w:shd w:val="clear" w:color="000000" w:fill="E6E6E6"/>
            <w:vAlign w:val="center"/>
            <w:hideMark/>
          </w:tcPr>
          <w:p w:rsidR="00E02AC1" w:rsidRPr="00E02AC1" w:rsidRDefault="00E02AC1" w:rsidP="00E02AC1">
            <w:pPr>
              <w:spacing w:after="0" w:line="240" w:lineRule="auto"/>
              <w:jc w:val="left"/>
              <w:rPr>
                <w:rFonts w:ascii="Arial" w:hAnsi="Arial" w:cs="Arial"/>
                <w:b/>
                <w:bCs/>
              </w:rPr>
            </w:pPr>
            <w:r w:rsidRPr="00E02AC1">
              <w:rPr>
                <w:rFonts w:ascii="Arial" w:hAnsi="Arial" w:cs="Arial"/>
                <w:b/>
                <w:bCs/>
              </w:rPr>
              <w:t> </w:t>
            </w:r>
          </w:p>
        </w:tc>
        <w:tc>
          <w:tcPr>
            <w:tcW w:w="82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b/>
                <w:bCs/>
              </w:rPr>
            </w:pPr>
          </w:p>
        </w:tc>
        <w:tc>
          <w:tcPr>
            <w:tcW w:w="84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b/>
                <w:bCs/>
              </w:rPr>
            </w:pPr>
          </w:p>
        </w:tc>
        <w:tc>
          <w:tcPr>
            <w:tcW w:w="88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b/>
                <w:bCs/>
              </w:rPr>
            </w:pPr>
          </w:p>
        </w:tc>
      </w:tr>
      <w:tr w:rsidR="00E02AC1" w:rsidRPr="00E02AC1" w:rsidTr="00E02AC1">
        <w:trPr>
          <w:trHeight w:val="225"/>
        </w:trPr>
        <w:tc>
          <w:tcPr>
            <w:tcW w:w="3200" w:type="dxa"/>
            <w:tcBorders>
              <w:top w:val="nil"/>
              <w:left w:val="nil"/>
              <w:bottom w:val="nil"/>
              <w:right w:val="nil"/>
            </w:tcBorders>
            <w:shd w:val="clear" w:color="auto" w:fill="auto"/>
            <w:noWrap/>
            <w:vAlign w:val="bottom"/>
            <w:hideMark/>
          </w:tcPr>
          <w:p w:rsidR="00E02AC1" w:rsidRPr="00E02AC1" w:rsidRDefault="00E02AC1" w:rsidP="00E02AC1">
            <w:pPr>
              <w:spacing w:after="0" w:line="240" w:lineRule="auto"/>
              <w:jc w:val="left"/>
              <w:rPr>
                <w:rFonts w:ascii="Arial" w:hAnsi="Arial" w:cs="Arial"/>
                <w:b/>
                <w:bCs/>
              </w:rPr>
            </w:pPr>
            <w:r w:rsidRPr="00E02AC1">
              <w:rPr>
                <w:rFonts w:ascii="Arial" w:hAnsi="Arial" w:cs="Arial"/>
                <w:b/>
                <w:bCs/>
              </w:rPr>
              <w:t xml:space="preserve">   MOVEMENT TABLE</w:t>
            </w:r>
          </w:p>
        </w:tc>
        <w:tc>
          <w:tcPr>
            <w:tcW w:w="84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b/>
                <w:bCs/>
              </w:rPr>
            </w:pPr>
          </w:p>
        </w:tc>
        <w:tc>
          <w:tcPr>
            <w:tcW w:w="820" w:type="dxa"/>
            <w:tcBorders>
              <w:top w:val="nil"/>
              <w:left w:val="nil"/>
              <w:bottom w:val="nil"/>
              <w:right w:val="nil"/>
            </w:tcBorders>
            <w:shd w:val="clear" w:color="000000" w:fill="E6E6E6"/>
            <w:vAlign w:val="center"/>
            <w:hideMark/>
          </w:tcPr>
          <w:p w:rsidR="00E02AC1" w:rsidRPr="00E02AC1" w:rsidRDefault="00E02AC1" w:rsidP="00E02AC1">
            <w:pPr>
              <w:spacing w:after="0" w:line="240" w:lineRule="auto"/>
              <w:jc w:val="left"/>
              <w:rPr>
                <w:rFonts w:ascii="Arial" w:hAnsi="Arial" w:cs="Arial"/>
                <w:b/>
                <w:bCs/>
              </w:rPr>
            </w:pPr>
            <w:r w:rsidRPr="00E02AC1">
              <w:rPr>
                <w:rFonts w:ascii="Arial" w:hAnsi="Arial" w:cs="Arial"/>
                <w:b/>
                <w:bCs/>
              </w:rPr>
              <w:t> </w:t>
            </w:r>
          </w:p>
        </w:tc>
        <w:tc>
          <w:tcPr>
            <w:tcW w:w="82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b/>
                <w:bCs/>
              </w:rPr>
            </w:pPr>
          </w:p>
        </w:tc>
        <w:tc>
          <w:tcPr>
            <w:tcW w:w="84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b/>
                <w:bCs/>
              </w:rPr>
            </w:pPr>
          </w:p>
        </w:tc>
        <w:tc>
          <w:tcPr>
            <w:tcW w:w="88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left"/>
              <w:rPr>
                <w:rFonts w:ascii="Arial" w:hAnsi="Arial" w:cs="Arial"/>
                <w:b/>
                <w:bCs/>
              </w:rPr>
            </w:pPr>
          </w:p>
        </w:tc>
      </w:tr>
      <w:tr w:rsidR="00E02AC1" w:rsidRPr="00E02AC1" w:rsidTr="00E02AC1">
        <w:trPr>
          <w:trHeight w:val="225"/>
        </w:trPr>
        <w:tc>
          <w:tcPr>
            <w:tcW w:w="3200" w:type="dxa"/>
            <w:tcBorders>
              <w:top w:val="nil"/>
              <w:left w:val="nil"/>
              <w:bottom w:val="nil"/>
              <w:right w:val="nil"/>
            </w:tcBorders>
            <w:shd w:val="clear" w:color="auto" w:fill="auto"/>
            <w:noWrap/>
            <w:vAlign w:val="bottom"/>
            <w:hideMark/>
          </w:tcPr>
          <w:p w:rsidR="00E02AC1" w:rsidRPr="00E02AC1" w:rsidRDefault="00E02AC1" w:rsidP="00E02AC1">
            <w:pPr>
              <w:spacing w:after="0" w:line="240" w:lineRule="auto"/>
              <w:ind w:firstLineChars="200" w:firstLine="320"/>
              <w:jc w:val="left"/>
              <w:rPr>
                <w:rFonts w:ascii="Arial" w:hAnsi="Arial" w:cs="Arial"/>
              </w:rPr>
            </w:pPr>
            <w:r w:rsidRPr="00E02AC1">
              <w:rPr>
                <w:rFonts w:ascii="Arial" w:hAnsi="Arial" w:cs="Arial"/>
              </w:rPr>
              <w:t>Total purchases</w:t>
            </w:r>
          </w:p>
        </w:tc>
        <w:tc>
          <w:tcPr>
            <w:tcW w:w="84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rPr>
            </w:pPr>
            <w:r w:rsidRPr="00E02AC1">
              <w:rPr>
                <w:rFonts w:ascii="Arial" w:hAnsi="Arial" w:cs="Arial"/>
              </w:rPr>
              <w:t xml:space="preserve">2,430 </w:t>
            </w:r>
          </w:p>
        </w:tc>
        <w:tc>
          <w:tcPr>
            <w:tcW w:w="820" w:type="dxa"/>
            <w:tcBorders>
              <w:top w:val="nil"/>
              <w:left w:val="nil"/>
              <w:bottom w:val="nil"/>
              <w:right w:val="nil"/>
            </w:tcBorders>
            <w:shd w:val="clear" w:color="000000" w:fill="E6E6E6"/>
            <w:noWrap/>
            <w:vAlign w:val="center"/>
            <w:hideMark/>
          </w:tcPr>
          <w:p w:rsidR="00E02AC1" w:rsidRPr="00E02AC1" w:rsidRDefault="00E02AC1" w:rsidP="00E02AC1">
            <w:pPr>
              <w:spacing w:after="0" w:line="240" w:lineRule="auto"/>
              <w:jc w:val="right"/>
              <w:rPr>
                <w:rFonts w:ascii="Arial" w:hAnsi="Arial" w:cs="Arial"/>
              </w:rPr>
            </w:pPr>
            <w:r w:rsidRPr="00E02AC1">
              <w:rPr>
                <w:rFonts w:ascii="Arial" w:hAnsi="Arial" w:cs="Arial"/>
              </w:rPr>
              <w:t xml:space="preserve">3,352 </w:t>
            </w:r>
          </w:p>
        </w:tc>
        <w:tc>
          <w:tcPr>
            <w:tcW w:w="82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rPr>
            </w:pPr>
            <w:r w:rsidRPr="00E02AC1">
              <w:rPr>
                <w:rFonts w:ascii="Arial" w:hAnsi="Arial" w:cs="Arial"/>
              </w:rPr>
              <w:t xml:space="preserve">750 </w:t>
            </w:r>
          </w:p>
        </w:tc>
        <w:tc>
          <w:tcPr>
            <w:tcW w:w="84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rPr>
            </w:pPr>
            <w:r w:rsidRPr="00E02AC1">
              <w:rPr>
                <w:rFonts w:ascii="Arial" w:hAnsi="Arial" w:cs="Arial"/>
              </w:rPr>
              <w:t xml:space="preserve">750 </w:t>
            </w:r>
          </w:p>
        </w:tc>
        <w:tc>
          <w:tcPr>
            <w:tcW w:w="880" w:type="dxa"/>
            <w:tcBorders>
              <w:top w:val="nil"/>
              <w:left w:val="nil"/>
              <w:bottom w:val="nil"/>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rPr>
            </w:pPr>
            <w:r w:rsidRPr="00E02AC1">
              <w:rPr>
                <w:rFonts w:ascii="Arial" w:hAnsi="Arial" w:cs="Arial"/>
              </w:rPr>
              <w:t xml:space="preserve">750 </w:t>
            </w:r>
          </w:p>
        </w:tc>
      </w:tr>
      <w:tr w:rsidR="00E02AC1" w:rsidRPr="00E02AC1" w:rsidTr="00E02AC1">
        <w:trPr>
          <w:trHeight w:val="225"/>
        </w:trPr>
        <w:tc>
          <w:tcPr>
            <w:tcW w:w="3200" w:type="dxa"/>
            <w:tcBorders>
              <w:top w:val="nil"/>
              <w:left w:val="nil"/>
              <w:bottom w:val="single" w:sz="4" w:space="0" w:color="auto"/>
              <w:right w:val="nil"/>
            </w:tcBorders>
            <w:shd w:val="clear" w:color="auto" w:fill="auto"/>
            <w:noWrap/>
            <w:vAlign w:val="bottom"/>
            <w:hideMark/>
          </w:tcPr>
          <w:p w:rsidR="00E02AC1" w:rsidRPr="00E02AC1" w:rsidRDefault="00E02AC1" w:rsidP="00E02AC1">
            <w:pPr>
              <w:spacing w:after="0" w:line="240" w:lineRule="auto"/>
              <w:jc w:val="left"/>
              <w:rPr>
                <w:rFonts w:ascii="Arial" w:hAnsi="Arial" w:cs="Arial"/>
                <w:b/>
                <w:bCs/>
              </w:rPr>
            </w:pPr>
            <w:r w:rsidRPr="00E02AC1">
              <w:rPr>
                <w:rFonts w:ascii="Arial" w:hAnsi="Arial" w:cs="Arial"/>
                <w:b/>
                <w:bCs/>
              </w:rPr>
              <w:t>Total cash used to acquire assets</w:t>
            </w:r>
          </w:p>
        </w:tc>
        <w:tc>
          <w:tcPr>
            <w:tcW w:w="840" w:type="dxa"/>
            <w:tcBorders>
              <w:top w:val="single" w:sz="4" w:space="0" w:color="auto"/>
              <w:left w:val="nil"/>
              <w:bottom w:val="single" w:sz="4" w:space="0" w:color="auto"/>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b/>
                <w:bCs/>
              </w:rPr>
            </w:pPr>
            <w:r w:rsidRPr="00E02AC1">
              <w:rPr>
                <w:rFonts w:ascii="Arial" w:hAnsi="Arial" w:cs="Arial"/>
                <w:b/>
                <w:bCs/>
              </w:rPr>
              <w:t xml:space="preserve">2,430 </w:t>
            </w:r>
          </w:p>
        </w:tc>
        <w:tc>
          <w:tcPr>
            <w:tcW w:w="820" w:type="dxa"/>
            <w:tcBorders>
              <w:top w:val="single" w:sz="4" w:space="0" w:color="auto"/>
              <w:left w:val="nil"/>
              <w:bottom w:val="single" w:sz="4" w:space="0" w:color="auto"/>
              <w:right w:val="nil"/>
            </w:tcBorders>
            <w:shd w:val="clear" w:color="000000" w:fill="E6E6E6"/>
            <w:noWrap/>
            <w:vAlign w:val="center"/>
            <w:hideMark/>
          </w:tcPr>
          <w:p w:rsidR="00E02AC1" w:rsidRPr="00E02AC1" w:rsidRDefault="00E02AC1" w:rsidP="00E02AC1">
            <w:pPr>
              <w:spacing w:after="0" w:line="240" w:lineRule="auto"/>
              <w:jc w:val="right"/>
              <w:rPr>
                <w:rFonts w:ascii="Arial" w:hAnsi="Arial" w:cs="Arial"/>
                <w:b/>
                <w:bCs/>
              </w:rPr>
            </w:pPr>
            <w:r w:rsidRPr="00E02AC1">
              <w:rPr>
                <w:rFonts w:ascii="Arial" w:hAnsi="Arial" w:cs="Arial"/>
                <w:b/>
                <w:bCs/>
              </w:rPr>
              <w:t xml:space="preserve">3,352 </w:t>
            </w:r>
          </w:p>
        </w:tc>
        <w:tc>
          <w:tcPr>
            <w:tcW w:w="820" w:type="dxa"/>
            <w:tcBorders>
              <w:top w:val="single" w:sz="4" w:space="0" w:color="auto"/>
              <w:left w:val="nil"/>
              <w:bottom w:val="single" w:sz="4" w:space="0" w:color="auto"/>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b/>
                <w:bCs/>
              </w:rPr>
            </w:pPr>
            <w:r w:rsidRPr="00E02AC1">
              <w:rPr>
                <w:rFonts w:ascii="Arial" w:hAnsi="Arial" w:cs="Arial"/>
                <w:b/>
                <w:bCs/>
              </w:rPr>
              <w:t xml:space="preserve">750 </w:t>
            </w:r>
          </w:p>
        </w:tc>
        <w:tc>
          <w:tcPr>
            <w:tcW w:w="840" w:type="dxa"/>
            <w:tcBorders>
              <w:top w:val="single" w:sz="4" w:space="0" w:color="auto"/>
              <w:left w:val="nil"/>
              <w:bottom w:val="single" w:sz="4" w:space="0" w:color="auto"/>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b/>
                <w:bCs/>
              </w:rPr>
            </w:pPr>
            <w:r w:rsidRPr="00E02AC1">
              <w:rPr>
                <w:rFonts w:ascii="Arial" w:hAnsi="Arial" w:cs="Arial"/>
                <w:b/>
                <w:bCs/>
              </w:rPr>
              <w:t xml:space="preserve">750 </w:t>
            </w:r>
          </w:p>
        </w:tc>
        <w:tc>
          <w:tcPr>
            <w:tcW w:w="880" w:type="dxa"/>
            <w:tcBorders>
              <w:top w:val="single" w:sz="4" w:space="0" w:color="auto"/>
              <w:left w:val="nil"/>
              <w:bottom w:val="single" w:sz="4" w:space="0" w:color="auto"/>
              <w:right w:val="nil"/>
            </w:tcBorders>
            <w:shd w:val="clear" w:color="auto" w:fill="auto"/>
            <w:noWrap/>
            <w:vAlign w:val="center"/>
            <w:hideMark/>
          </w:tcPr>
          <w:p w:rsidR="00E02AC1" w:rsidRPr="00E02AC1" w:rsidRDefault="00E02AC1" w:rsidP="00E02AC1">
            <w:pPr>
              <w:spacing w:after="0" w:line="240" w:lineRule="auto"/>
              <w:jc w:val="right"/>
              <w:rPr>
                <w:rFonts w:ascii="Arial" w:hAnsi="Arial" w:cs="Arial"/>
                <w:b/>
                <w:bCs/>
              </w:rPr>
            </w:pPr>
            <w:r w:rsidRPr="00E02AC1">
              <w:rPr>
                <w:rFonts w:ascii="Arial" w:hAnsi="Arial" w:cs="Arial"/>
                <w:b/>
                <w:bCs/>
              </w:rPr>
              <w:t xml:space="preserve">750 </w:t>
            </w:r>
          </w:p>
        </w:tc>
      </w:tr>
    </w:tbl>
    <w:p w:rsidR="00B2394E" w:rsidRPr="00B150F0" w:rsidRDefault="00B2394E" w:rsidP="00BE1C0C">
      <w:pPr>
        <w:pStyle w:val="TableGraphic"/>
        <w:jc w:val="left"/>
        <w:rPr>
          <w:rFonts w:ascii="Arial" w:hAnsi="Arial" w:cs="Arial"/>
          <w:i/>
        </w:rPr>
      </w:pPr>
      <w:proofErr w:type="gramStart"/>
      <w:r w:rsidRPr="00F64A54">
        <w:rPr>
          <w:rFonts w:ascii="Arial" w:hAnsi="Arial" w:cs="Arial"/>
        </w:rPr>
        <w:t>Prepared on Australian Accounting Standards basis.</w:t>
      </w:r>
      <w:proofErr w:type="gramEnd"/>
    </w:p>
    <w:p w:rsidR="00B2394E" w:rsidRDefault="00B2394E" w:rsidP="00B2394E">
      <w:pPr>
        <w:pStyle w:val="TableHeading"/>
        <w:spacing w:before="0" w:after="0"/>
      </w:pPr>
    </w:p>
    <w:p w:rsidR="00B2394E" w:rsidRDefault="00B2394E" w:rsidP="00B2394E">
      <w:pPr>
        <w:pStyle w:val="TableHeading"/>
        <w:rPr>
          <w:rFonts w:ascii="Times New Roman" w:hAnsi="Times New Roman"/>
          <w:b w:val="0"/>
        </w:rPr>
      </w:pPr>
    </w:p>
    <w:p w:rsidR="00B2394E" w:rsidRDefault="00B2394E" w:rsidP="00B2394E">
      <w:pPr>
        <w:pStyle w:val="TableHeading"/>
      </w:pPr>
    </w:p>
    <w:p w:rsidR="00B2394E" w:rsidRDefault="00B2394E" w:rsidP="00BE1C0C">
      <w:pPr>
        <w:pStyle w:val="Heading5"/>
        <w:spacing w:after="0"/>
      </w:pPr>
      <w:r w:rsidRPr="00D30CBA">
        <w:t>Table</w:t>
      </w:r>
      <w:r>
        <w:t xml:space="preserve"> 3.6</w:t>
      </w:r>
      <w:r w:rsidRPr="00D30CBA">
        <w:t xml:space="preserve">: </w:t>
      </w:r>
      <w:r>
        <w:t>Statement of Asset Movements (Budget Year 2016</w:t>
      </w:r>
      <w:r>
        <w:noBreakHyphen/>
        <w:t>17)</w:t>
      </w:r>
    </w:p>
    <w:tbl>
      <w:tblPr>
        <w:tblW w:w="5900" w:type="dxa"/>
        <w:tblInd w:w="96" w:type="dxa"/>
        <w:tblLook w:val="04A0"/>
      </w:tblPr>
      <w:tblGrid>
        <w:gridCol w:w="2880"/>
        <w:gridCol w:w="1260"/>
        <w:gridCol w:w="1060"/>
        <w:gridCol w:w="812"/>
      </w:tblGrid>
      <w:tr w:rsidR="00E02AC1" w:rsidRPr="00E02AC1" w:rsidTr="00E02AC1">
        <w:trPr>
          <w:trHeight w:val="900"/>
        </w:trPr>
        <w:tc>
          <w:tcPr>
            <w:tcW w:w="2880" w:type="dxa"/>
            <w:tcBorders>
              <w:top w:val="single" w:sz="4" w:space="0" w:color="auto"/>
              <w:left w:val="nil"/>
              <w:bottom w:val="nil"/>
              <w:right w:val="nil"/>
            </w:tcBorders>
            <w:shd w:val="clear" w:color="auto" w:fill="auto"/>
            <w:noWrap/>
            <w:vAlign w:val="bottom"/>
            <w:hideMark/>
          </w:tcPr>
          <w:p w:rsidR="00E02AC1" w:rsidRPr="00E02AC1" w:rsidRDefault="00E02AC1" w:rsidP="00E02AC1">
            <w:pPr>
              <w:spacing w:after="0" w:line="240" w:lineRule="auto"/>
              <w:jc w:val="left"/>
              <w:rPr>
                <w:rFonts w:ascii="Arial" w:hAnsi="Arial" w:cs="Arial"/>
              </w:rPr>
            </w:pPr>
            <w:r w:rsidRPr="00E02AC1">
              <w:rPr>
                <w:rFonts w:ascii="Arial" w:hAnsi="Arial" w:cs="Arial"/>
              </w:rPr>
              <w:t> </w:t>
            </w:r>
          </w:p>
        </w:tc>
        <w:tc>
          <w:tcPr>
            <w:tcW w:w="1260" w:type="dxa"/>
            <w:tcBorders>
              <w:top w:val="single" w:sz="4" w:space="0" w:color="auto"/>
              <w:left w:val="nil"/>
              <w:bottom w:val="single" w:sz="4" w:space="0" w:color="auto"/>
              <w:right w:val="nil"/>
            </w:tcBorders>
            <w:shd w:val="clear" w:color="auto" w:fill="auto"/>
            <w:vAlign w:val="bottom"/>
            <w:hideMark/>
          </w:tcPr>
          <w:p w:rsidR="00E02AC1" w:rsidRPr="00E02AC1" w:rsidRDefault="00E02AC1" w:rsidP="00E02AC1">
            <w:pPr>
              <w:spacing w:after="0" w:line="240" w:lineRule="auto"/>
              <w:jc w:val="right"/>
              <w:rPr>
                <w:rFonts w:ascii="Arial" w:hAnsi="Arial" w:cs="Arial"/>
              </w:rPr>
            </w:pPr>
            <w:r w:rsidRPr="00E02AC1">
              <w:rPr>
                <w:rFonts w:ascii="Arial" w:hAnsi="Arial" w:cs="Arial"/>
              </w:rPr>
              <w:t>Other property, plant and equipment</w:t>
            </w:r>
            <w:r w:rsidRPr="00E02AC1">
              <w:rPr>
                <w:rFonts w:ascii="Arial" w:hAnsi="Arial" w:cs="Arial"/>
              </w:rPr>
              <w:br/>
              <w:t>$'000</w:t>
            </w:r>
          </w:p>
        </w:tc>
        <w:tc>
          <w:tcPr>
            <w:tcW w:w="1060" w:type="dxa"/>
            <w:tcBorders>
              <w:top w:val="single" w:sz="4" w:space="0" w:color="auto"/>
              <w:left w:val="nil"/>
              <w:bottom w:val="single" w:sz="4" w:space="0" w:color="auto"/>
              <w:right w:val="nil"/>
            </w:tcBorders>
            <w:shd w:val="clear" w:color="auto" w:fill="auto"/>
            <w:vAlign w:val="bottom"/>
            <w:hideMark/>
          </w:tcPr>
          <w:p w:rsidR="00E02AC1" w:rsidRPr="00E02AC1" w:rsidRDefault="00E02AC1" w:rsidP="00E02AC1">
            <w:pPr>
              <w:spacing w:after="0" w:line="240" w:lineRule="auto"/>
              <w:jc w:val="right"/>
              <w:rPr>
                <w:rFonts w:ascii="Arial" w:hAnsi="Arial" w:cs="Arial"/>
              </w:rPr>
            </w:pPr>
            <w:r w:rsidRPr="00E02AC1">
              <w:rPr>
                <w:rFonts w:ascii="Arial" w:hAnsi="Arial" w:cs="Arial"/>
              </w:rPr>
              <w:t>Computer software and intangibles</w:t>
            </w:r>
            <w:r w:rsidRPr="00E02AC1">
              <w:rPr>
                <w:rFonts w:ascii="Arial" w:hAnsi="Arial" w:cs="Arial"/>
              </w:rPr>
              <w:br/>
              <w:t>$'000</w:t>
            </w:r>
          </w:p>
        </w:tc>
        <w:tc>
          <w:tcPr>
            <w:tcW w:w="700" w:type="dxa"/>
            <w:tcBorders>
              <w:top w:val="single" w:sz="4" w:space="0" w:color="auto"/>
              <w:left w:val="nil"/>
              <w:bottom w:val="single" w:sz="4" w:space="0" w:color="auto"/>
              <w:right w:val="nil"/>
            </w:tcBorders>
            <w:shd w:val="clear" w:color="auto" w:fill="auto"/>
            <w:vAlign w:val="bottom"/>
            <w:hideMark/>
          </w:tcPr>
          <w:p w:rsidR="00E02AC1" w:rsidRPr="00E02AC1" w:rsidRDefault="00E02AC1" w:rsidP="00E02AC1">
            <w:pPr>
              <w:spacing w:after="0" w:line="240" w:lineRule="auto"/>
              <w:jc w:val="right"/>
              <w:rPr>
                <w:rFonts w:ascii="Arial" w:hAnsi="Arial" w:cs="Arial"/>
              </w:rPr>
            </w:pPr>
            <w:r w:rsidRPr="00E02AC1">
              <w:rPr>
                <w:rFonts w:ascii="Arial" w:hAnsi="Arial" w:cs="Arial"/>
              </w:rPr>
              <w:t>Total</w:t>
            </w:r>
            <w:r w:rsidRPr="00E02AC1">
              <w:rPr>
                <w:rFonts w:ascii="Arial" w:hAnsi="Arial" w:cs="Arial"/>
              </w:rPr>
              <w:br/>
            </w:r>
            <w:r w:rsidRPr="00E02AC1">
              <w:rPr>
                <w:rFonts w:ascii="Arial" w:hAnsi="Arial" w:cs="Arial"/>
              </w:rPr>
              <w:br/>
            </w:r>
            <w:r w:rsidRPr="00E02AC1">
              <w:rPr>
                <w:rFonts w:ascii="Arial" w:hAnsi="Arial" w:cs="Arial"/>
              </w:rPr>
              <w:br/>
              <w:t>$'000</w:t>
            </w:r>
          </w:p>
        </w:tc>
      </w:tr>
      <w:tr w:rsidR="00E02AC1" w:rsidRPr="00E02AC1" w:rsidTr="00E02AC1">
        <w:trPr>
          <w:trHeight w:val="225"/>
        </w:trPr>
        <w:tc>
          <w:tcPr>
            <w:tcW w:w="2880" w:type="dxa"/>
            <w:tcBorders>
              <w:top w:val="nil"/>
              <w:left w:val="nil"/>
              <w:bottom w:val="nil"/>
              <w:right w:val="nil"/>
            </w:tcBorders>
            <w:shd w:val="clear" w:color="auto" w:fill="auto"/>
            <w:vAlign w:val="bottom"/>
            <w:hideMark/>
          </w:tcPr>
          <w:p w:rsidR="00E02AC1" w:rsidRPr="00E02AC1" w:rsidRDefault="00E02AC1" w:rsidP="00E02AC1">
            <w:pPr>
              <w:spacing w:after="0" w:line="240" w:lineRule="auto"/>
              <w:jc w:val="left"/>
              <w:rPr>
                <w:rFonts w:ascii="Arial" w:hAnsi="Arial" w:cs="Arial"/>
                <w:b/>
                <w:bCs/>
              </w:rPr>
            </w:pPr>
            <w:r w:rsidRPr="00E02AC1">
              <w:rPr>
                <w:rFonts w:ascii="Arial" w:hAnsi="Arial" w:cs="Arial"/>
                <w:b/>
                <w:bCs/>
              </w:rPr>
              <w:t>As at 1 July 2016</w:t>
            </w:r>
          </w:p>
        </w:tc>
        <w:tc>
          <w:tcPr>
            <w:tcW w:w="1260" w:type="dxa"/>
            <w:tcBorders>
              <w:top w:val="nil"/>
              <w:left w:val="nil"/>
              <w:bottom w:val="nil"/>
              <w:right w:val="nil"/>
            </w:tcBorders>
            <w:shd w:val="clear" w:color="auto" w:fill="auto"/>
            <w:noWrap/>
            <w:vAlign w:val="bottom"/>
            <w:hideMark/>
          </w:tcPr>
          <w:p w:rsidR="00E02AC1" w:rsidRPr="00E02AC1" w:rsidRDefault="00E02AC1" w:rsidP="00E02AC1">
            <w:pPr>
              <w:spacing w:after="0" w:line="240" w:lineRule="auto"/>
              <w:jc w:val="left"/>
              <w:rPr>
                <w:rFonts w:ascii="Arial" w:hAnsi="Arial" w:cs="Arial"/>
              </w:rPr>
            </w:pPr>
          </w:p>
        </w:tc>
        <w:tc>
          <w:tcPr>
            <w:tcW w:w="1060" w:type="dxa"/>
            <w:tcBorders>
              <w:top w:val="nil"/>
              <w:left w:val="nil"/>
              <w:bottom w:val="nil"/>
              <w:right w:val="nil"/>
            </w:tcBorders>
            <w:shd w:val="clear" w:color="auto" w:fill="auto"/>
            <w:noWrap/>
            <w:vAlign w:val="bottom"/>
            <w:hideMark/>
          </w:tcPr>
          <w:p w:rsidR="00E02AC1" w:rsidRPr="00E02AC1" w:rsidRDefault="00E02AC1" w:rsidP="00E02AC1">
            <w:pPr>
              <w:spacing w:after="0" w:line="240" w:lineRule="auto"/>
              <w:jc w:val="left"/>
              <w:rPr>
                <w:rFonts w:ascii="Arial" w:hAnsi="Arial" w:cs="Arial"/>
              </w:rPr>
            </w:pPr>
          </w:p>
        </w:tc>
        <w:tc>
          <w:tcPr>
            <w:tcW w:w="700" w:type="dxa"/>
            <w:tcBorders>
              <w:top w:val="nil"/>
              <w:left w:val="nil"/>
              <w:bottom w:val="nil"/>
              <w:right w:val="nil"/>
            </w:tcBorders>
            <w:shd w:val="clear" w:color="auto" w:fill="auto"/>
            <w:noWrap/>
            <w:vAlign w:val="bottom"/>
            <w:hideMark/>
          </w:tcPr>
          <w:p w:rsidR="00E02AC1" w:rsidRPr="00E02AC1" w:rsidRDefault="00E02AC1" w:rsidP="00E02AC1">
            <w:pPr>
              <w:spacing w:after="0" w:line="240" w:lineRule="auto"/>
              <w:jc w:val="right"/>
              <w:rPr>
                <w:rFonts w:ascii="Arial" w:hAnsi="Arial" w:cs="Arial"/>
              </w:rPr>
            </w:pPr>
          </w:p>
        </w:tc>
      </w:tr>
      <w:tr w:rsidR="00E02AC1" w:rsidRPr="00E02AC1" w:rsidTr="00E02AC1">
        <w:trPr>
          <w:trHeight w:val="225"/>
        </w:trPr>
        <w:tc>
          <w:tcPr>
            <w:tcW w:w="2880" w:type="dxa"/>
            <w:tcBorders>
              <w:top w:val="nil"/>
              <w:left w:val="nil"/>
              <w:bottom w:val="nil"/>
              <w:right w:val="nil"/>
            </w:tcBorders>
            <w:shd w:val="clear" w:color="auto" w:fill="auto"/>
            <w:vAlign w:val="bottom"/>
            <w:hideMark/>
          </w:tcPr>
          <w:p w:rsidR="00E02AC1" w:rsidRPr="00E02AC1" w:rsidRDefault="00E02AC1" w:rsidP="00E02AC1">
            <w:pPr>
              <w:spacing w:after="0" w:line="240" w:lineRule="auto"/>
              <w:ind w:firstLineChars="100" w:firstLine="160"/>
              <w:jc w:val="left"/>
              <w:rPr>
                <w:rFonts w:ascii="Arial" w:hAnsi="Arial" w:cs="Arial"/>
              </w:rPr>
            </w:pPr>
            <w:r w:rsidRPr="00E02AC1">
              <w:rPr>
                <w:rFonts w:ascii="Arial" w:hAnsi="Arial" w:cs="Arial"/>
              </w:rPr>
              <w:t xml:space="preserve">Gross book value </w:t>
            </w:r>
          </w:p>
        </w:tc>
        <w:tc>
          <w:tcPr>
            <w:tcW w:w="1260" w:type="dxa"/>
            <w:tcBorders>
              <w:top w:val="nil"/>
              <w:left w:val="nil"/>
              <w:bottom w:val="nil"/>
              <w:right w:val="nil"/>
            </w:tcBorders>
            <w:shd w:val="clear" w:color="auto" w:fill="auto"/>
            <w:noWrap/>
            <w:vAlign w:val="bottom"/>
            <w:hideMark/>
          </w:tcPr>
          <w:p w:rsidR="00E02AC1" w:rsidRPr="00E02AC1" w:rsidRDefault="00E02AC1" w:rsidP="00E02AC1">
            <w:pPr>
              <w:spacing w:after="0" w:line="240" w:lineRule="auto"/>
              <w:jc w:val="right"/>
              <w:rPr>
                <w:rFonts w:ascii="Arial" w:hAnsi="Arial" w:cs="Arial"/>
              </w:rPr>
            </w:pPr>
            <w:r w:rsidRPr="00E02AC1">
              <w:rPr>
                <w:rFonts w:ascii="Arial" w:hAnsi="Arial" w:cs="Arial"/>
              </w:rPr>
              <w:t xml:space="preserve">9,122 </w:t>
            </w:r>
          </w:p>
        </w:tc>
        <w:tc>
          <w:tcPr>
            <w:tcW w:w="1060" w:type="dxa"/>
            <w:tcBorders>
              <w:top w:val="nil"/>
              <w:left w:val="nil"/>
              <w:bottom w:val="nil"/>
              <w:right w:val="nil"/>
            </w:tcBorders>
            <w:shd w:val="clear" w:color="auto" w:fill="auto"/>
            <w:noWrap/>
            <w:vAlign w:val="bottom"/>
            <w:hideMark/>
          </w:tcPr>
          <w:p w:rsidR="00E02AC1" w:rsidRPr="00E02AC1" w:rsidRDefault="00E02AC1" w:rsidP="00E02AC1">
            <w:pPr>
              <w:spacing w:after="0" w:line="240" w:lineRule="auto"/>
              <w:jc w:val="right"/>
              <w:rPr>
                <w:rFonts w:ascii="Arial" w:hAnsi="Arial" w:cs="Arial"/>
              </w:rPr>
            </w:pPr>
            <w:r w:rsidRPr="00E02AC1">
              <w:rPr>
                <w:rFonts w:ascii="Arial" w:hAnsi="Arial" w:cs="Arial"/>
              </w:rPr>
              <w:t xml:space="preserve">5,706 </w:t>
            </w:r>
          </w:p>
        </w:tc>
        <w:tc>
          <w:tcPr>
            <w:tcW w:w="700" w:type="dxa"/>
            <w:tcBorders>
              <w:top w:val="nil"/>
              <w:left w:val="nil"/>
              <w:bottom w:val="nil"/>
              <w:right w:val="nil"/>
            </w:tcBorders>
            <w:shd w:val="clear" w:color="auto" w:fill="auto"/>
            <w:noWrap/>
            <w:vAlign w:val="bottom"/>
            <w:hideMark/>
          </w:tcPr>
          <w:p w:rsidR="00E02AC1" w:rsidRPr="00E02AC1" w:rsidRDefault="00E02AC1" w:rsidP="00E02AC1">
            <w:pPr>
              <w:spacing w:after="0" w:line="240" w:lineRule="auto"/>
              <w:jc w:val="right"/>
              <w:rPr>
                <w:rFonts w:ascii="Arial" w:hAnsi="Arial" w:cs="Arial"/>
              </w:rPr>
            </w:pPr>
            <w:r w:rsidRPr="00E02AC1">
              <w:rPr>
                <w:rFonts w:ascii="Arial" w:hAnsi="Arial" w:cs="Arial"/>
              </w:rPr>
              <w:t xml:space="preserve">14,828 </w:t>
            </w:r>
          </w:p>
        </w:tc>
      </w:tr>
      <w:tr w:rsidR="00E02AC1" w:rsidRPr="00E02AC1" w:rsidTr="00E02AC1">
        <w:trPr>
          <w:trHeight w:val="225"/>
        </w:trPr>
        <w:tc>
          <w:tcPr>
            <w:tcW w:w="2880" w:type="dxa"/>
            <w:tcBorders>
              <w:top w:val="nil"/>
              <w:left w:val="nil"/>
              <w:bottom w:val="nil"/>
              <w:right w:val="nil"/>
            </w:tcBorders>
            <w:shd w:val="clear" w:color="auto" w:fill="auto"/>
            <w:noWrap/>
            <w:vAlign w:val="bottom"/>
            <w:hideMark/>
          </w:tcPr>
          <w:p w:rsidR="00E02AC1" w:rsidRPr="00E02AC1" w:rsidRDefault="00E02AC1" w:rsidP="00E02AC1">
            <w:pPr>
              <w:spacing w:after="0" w:line="240" w:lineRule="auto"/>
              <w:ind w:firstLineChars="100" w:firstLine="160"/>
              <w:jc w:val="left"/>
              <w:rPr>
                <w:rFonts w:ascii="Arial" w:hAnsi="Arial" w:cs="Arial"/>
              </w:rPr>
            </w:pPr>
            <w:r w:rsidRPr="00E02AC1">
              <w:rPr>
                <w:rFonts w:ascii="Arial" w:hAnsi="Arial" w:cs="Arial"/>
              </w:rPr>
              <w:t>Accumulated depreciation/</w:t>
            </w:r>
          </w:p>
        </w:tc>
        <w:tc>
          <w:tcPr>
            <w:tcW w:w="1260" w:type="dxa"/>
            <w:tcBorders>
              <w:top w:val="nil"/>
              <w:left w:val="nil"/>
              <w:bottom w:val="nil"/>
              <w:right w:val="nil"/>
            </w:tcBorders>
            <w:shd w:val="clear" w:color="auto" w:fill="auto"/>
            <w:noWrap/>
            <w:vAlign w:val="bottom"/>
            <w:hideMark/>
          </w:tcPr>
          <w:p w:rsidR="00E02AC1" w:rsidRPr="00E02AC1" w:rsidRDefault="00E02AC1" w:rsidP="00E02AC1">
            <w:pPr>
              <w:spacing w:after="0" w:line="240" w:lineRule="auto"/>
              <w:jc w:val="left"/>
              <w:rPr>
                <w:rFonts w:ascii="Arial" w:hAnsi="Arial" w:cs="Arial"/>
              </w:rPr>
            </w:pPr>
          </w:p>
        </w:tc>
        <w:tc>
          <w:tcPr>
            <w:tcW w:w="1060" w:type="dxa"/>
            <w:tcBorders>
              <w:top w:val="nil"/>
              <w:left w:val="nil"/>
              <w:bottom w:val="nil"/>
              <w:right w:val="nil"/>
            </w:tcBorders>
            <w:shd w:val="clear" w:color="auto" w:fill="auto"/>
            <w:noWrap/>
            <w:vAlign w:val="bottom"/>
            <w:hideMark/>
          </w:tcPr>
          <w:p w:rsidR="00E02AC1" w:rsidRPr="00E02AC1" w:rsidRDefault="00E02AC1" w:rsidP="00E02AC1">
            <w:pPr>
              <w:spacing w:after="0" w:line="240" w:lineRule="auto"/>
              <w:jc w:val="left"/>
              <w:rPr>
                <w:rFonts w:ascii="Arial" w:hAnsi="Arial" w:cs="Arial"/>
              </w:rPr>
            </w:pPr>
          </w:p>
        </w:tc>
        <w:tc>
          <w:tcPr>
            <w:tcW w:w="700" w:type="dxa"/>
            <w:tcBorders>
              <w:top w:val="nil"/>
              <w:left w:val="nil"/>
              <w:bottom w:val="nil"/>
              <w:right w:val="nil"/>
            </w:tcBorders>
            <w:shd w:val="clear" w:color="auto" w:fill="auto"/>
            <w:noWrap/>
            <w:vAlign w:val="bottom"/>
            <w:hideMark/>
          </w:tcPr>
          <w:p w:rsidR="00E02AC1" w:rsidRPr="00E02AC1" w:rsidRDefault="00E02AC1" w:rsidP="00E02AC1">
            <w:pPr>
              <w:spacing w:after="0" w:line="240" w:lineRule="auto"/>
              <w:jc w:val="right"/>
              <w:rPr>
                <w:rFonts w:ascii="Arial" w:hAnsi="Arial" w:cs="Arial"/>
              </w:rPr>
            </w:pPr>
          </w:p>
        </w:tc>
      </w:tr>
      <w:tr w:rsidR="00E02AC1" w:rsidRPr="00E02AC1" w:rsidTr="00E02AC1">
        <w:trPr>
          <w:trHeight w:val="225"/>
        </w:trPr>
        <w:tc>
          <w:tcPr>
            <w:tcW w:w="2880" w:type="dxa"/>
            <w:tcBorders>
              <w:top w:val="nil"/>
              <w:left w:val="nil"/>
              <w:bottom w:val="nil"/>
              <w:right w:val="nil"/>
            </w:tcBorders>
            <w:shd w:val="clear" w:color="auto" w:fill="auto"/>
            <w:vAlign w:val="bottom"/>
            <w:hideMark/>
          </w:tcPr>
          <w:p w:rsidR="00E02AC1" w:rsidRPr="00E02AC1" w:rsidRDefault="00E02AC1" w:rsidP="00E02AC1">
            <w:pPr>
              <w:spacing w:after="0" w:line="240" w:lineRule="auto"/>
              <w:ind w:firstLineChars="200" w:firstLine="320"/>
              <w:jc w:val="left"/>
              <w:rPr>
                <w:rFonts w:ascii="Arial" w:hAnsi="Arial" w:cs="Arial"/>
              </w:rPr>
            </w:pPr>
            <w:r w:rsidRPr="00E02AC1">
              <w:rPr>
                <w:rFonts w:ascii="Arial" w:hAnsi="Arial" w:cs="Arial"/>
              </w:rPr>
              <w:t>amortisation and impairment</w:t>
            </w:r>
          </w:p>
        </w:tc>
        <w:tc>
          <w:tcPr>
            <w:tcW w:w="1260" w:type="dxa"/>
            <w:tcBorders>
              <w:top w:val="nil"/>
              <w:left w:val="nil"/>
              <w:bottom w:val="nil"/>
              <w:right w:val="nil"/>
            </w:tcBorders>
            <w:shd w:val="clear" w:color="auto" w:fill="auto"/>
            <w:noWrap/>
            <w:vAlign w:val="bottom"/>
            <w:hideMark/>
          </w:tcPr>
          <w:p w:rsidR="00E02AC1" w:rsidRPr="00E02AC1" w:rsidRDefault="00E02AC1" w:rsidP="00E02AC1">
            <w:pPr>
              <w:spacing w:after="0" w:line="240" w:lineRule="auto"/>
              <w:jc w:val="right"/>
              <w:rPr>
                <w:rFonts w:ascii="Arial" w:hAnsi="Arial" w:cs="Arial"/>
              </w:rPr>
            </w:pPr>
            <w:r w:rsidRPr="00E02AC1">
              <w:rPr>
                <w:rFonts w:ascii="Arial" w:hAnsi="Arial" w:cs="Arial"/>
              </w:rPr>
              <w:t>(6,627)</w:t>
            </w:r>
          </w:p>
        </w:tc>
        <w:tc>
          <w:tcPr>
            <w:tcW w:w="1060" w:type="dxa"/>
            <w:tcBorders>
              <w:top w:val="nil"/>
              <w:left w:val="nil"/>
              <w:bottom w:val="nil"/>
              <w:right w:val="nil"/>
            </w:tcBorders>
            <w:shd w:val="clear" w:color="auto" w:fill="auto"/>
            <w:noWrap/>
            <w:vAlign w:val="bottom"/>
            <w:hideMark/>
          </w:tcPr>
          <w:p w:rsidR="00E02AC1" w:rsidRPr="00E02AC1" w:rsidRDefault="00E02AC1" w:rsidP="00E02AC1">
            <w:pPr>
              <w:spacing w:after="0" w:line="240" w:lineRule="auto"/>
              <w:jc w:val="right"/>
              <w:rPr>
                <w:rFonts w:ascii="Arial" w:hAnsi="Arial" w:cs="Arial"/>
              </w:rPr>
            </w:pPr>
            <w:r w:rsidRPr="00E02AC1">
              <w:rPr>
                <w:rFonts w:ascii="Arial" w:hAnsi="Arial" w:cs="Arial"/>
              </w:rPr>
              <w:t>(2,896)</w:t>
            </w:r>
          </w:p>
        </w:tc>
        <w:tc>
          <w:tcPr>
            <w:tcW w:w="700" w:type="dxa"/>
            <w:tcBorders>
              <w:top w:val="nil"/>
              <w:left w:val="nil"/>
              <w:bottom w:val="nil"/>
              <w:right w:val="nil"/>
            </w:tcBorders>
            <w:shd w:val="clear" w:color="auto" w:fill="auto"/>
            <w:noWrap/>
            <w:vAlign w:val="bottom"/>
            <w:hideMark/>
          </w:tcPr>
          <w:p w:rsidR="00E02AC1" w:rsidRPr="00E02AC1" w:rsidRDefault="00E02AC1" w:rsidP="00E02AC1">
            <w:pPr>
              <w:spacing w:after="0" w:line="240" w:lineRule="auto"/>
              <w:jc w:val="right"/>
              <w:rPr>
                <w:rFonts w:ascii="Arial" w:hAnsi="Arial" w:cs="Arial"/>
              </w:rPr>
            </w:pPr>
            <w:r w:rsidRPr="00E02AC1">
              <w:rPr>
                <w:rFonts w:ascii="Arial" w:hAnsi="Arial" w:cs="Arial"/>
              </w:rPr>
              <w:t>(9,523)</w:t>
            </w:r>
          </w:p>
        </w:tc>
      </w:tr>
      <w:tr w:rsidR="00E02AC1" w:rsidRPr="00E02AC1" w:rsidTr="00E02AC1">
        <w:trPr>
          <w:trHeight w:val="225"/>
        </w:trPr>
        <w:tc>
          <w:tcPr>
            <w:tcW w:w="2880" w:type="dxa"/>
            <w:tcBorders>
              <w:top w:val="nil"/>
              <w:left w:val="nil"/>
              <w:bottom w:val="nil"/>
              <w:right w:val="nil"/>
            </w:tcBorders>
            <w:shd w:val="clear" w:color="auto" w:fill="auto"/>
            <w:vAlign w:val="bottom"/>
            <w:hideMark/>
          </w:tcPr>
          <w:p w:rsidR="00E02AC1" w:rsidRPr="00E02AC1" w:rsidRDefault="00E02AC1" w:rsidP="00E02AC1">
            <w:pPr>
              <w:spacing w:after="0" w:line="240" w:lineRule="auto"/>
              <w:jc w:val="left"/>
              <w:rPr>
                <w:rFonts w:ascii="Arial" w:hAnsi="Arial" w:cs="Arial"/>
                <w:b/>
                <w:bCs/>
              </w:rPr>
            </w:pPr>
            <w:r w:rsidRPr="00E02AC1">
              <w:rPr>
                <w:rFonts w:ascii="Arial" w:hAnsi="Arial" w:cs="Arial"/>
                <w:b/>
                <w:bCs/>
              </w:rPr>
              <w:t>Opening net book balance</w:t>
            </w:r>
          </w:p>
        </w:tc>
        <w:tc>
          <w:tcPr>
            <w:tcW w:w="1260" w:type="dxa"/>
            <w:tcBorders>
              <w:top w:val="single" w:sz="4" w:space="0" w:color="auto"/>
              <w:left w:val="nil"/>
              <w:bottom w:val="single" w:sz="4" w:space="0" w:color="auto"/>
              <w:right w:val="nil"/>
            </w:tcBorders>
            <w:shd w:val="clear" w:color="auto" w:fill="auto"/>
            <w:noWrap/>
            <w:vAlign w:val="bottom"/>
            <w:hideMark/>
          </w:tcPr>
          <w:p w:rsidR="00E02AC1" w:rsidRPr="00E02AC1" w:rsidRDefault="00E02AC1" w:rsidP="00E02AC1">
            <w:pPr>
              <w:spacing w:after="0" w:line="240" w:lineRule="auto"/>
              <w:jc w:val="right"/>
              <w:rPr>
                <w:rFonts w:ascii="Arial" w:hAnsi="Arial" w:cs="Arial"/>
                <w:b/>
                <w:bCs/>
              </w:rPr>
            </w:pPr>
            <w:r w:rsidRPr="00E02AC1">
              <w:rPr>
                <w:rFonts w:ascii="Arial" w:hAnsi="Arial" w:cs="Arial"/>
                <w:b/>
                <w:bCs/>
              </w:rPr>
              <w:t xml:space="preserve">2,495 </w:t>
            </w:r>
          </w:p>
        </w:tc>
        <w:tc>
          <w:tcPr>
            <w:tcW w:w="1060" w:type="dxa"/>
            <w:tcBorders>
              <w:top w:val="single" w:sz="4" w:space="0" w:color="auto"/>
              <w:left w:val="nil"/>
              <w:bottom w:val="single" w:sz="4" w:space="0" w:color="auto"/>
              <w:right w:val="nil"/>
            </w:tcBorders>
            <w:shd w:val="clear" w:color="auto" w:fill="auto"/>
            <w:noWrap/>
            <w:vAlign w:val="bottom"/>
            <w:hideMark/>
          </w:tcPr>
          <w:p w:rsidR="00E02AC1" w:rsidRPr="00E02AC1" w:rsidRDefault="00E02AC1" w:rsidP="00E02AC1">
            <w:pPr>
              <w:spacing w:after="0" w:line="240" w:lineRule="auto"/>
              <w:jc w:val="right"/>
              <w:rPr>
                <w:rFonts w:ascii="Arial" w:hAnsi="Arial" w:cs="Arial"/>
                <w:b/>
                <w:bCs/>
              </w:rPr>
            </w:pPr>
            <w:r w:rsidRPr="00E02AC1">
              <w:rPr>
                <w:rFonts w:ascii="Arial" w:hAnsi="Arial" w:cs="Arial"/>
                <w:b/>
                <w:bCs/>
              </w:rPr>
              <w:t xml:space="preserve">2,810 </w:t>
            </w:r>
          </w:p>
        </w:tc>
        <w:tc>
          <w:tcPr>
            <w:tcW w:w="700" w:type="dxa"/>
            <w:tcBorders>
              <w:top w:val="single" w:sz="4" w:space="0" w:color="auto"/>
              <w:left w:val="nil"/>
              <w:bottom w:val="single" w:sz="4" w:space="0" w:color="auto"/>
              <w:right w:val="nil"/>
            </w:tcBorders>
            <w:shd w:val="clear" w:color="auto" w:fill="auto"/>
            <w:noWrap/>
            <w:vAlign w:val="bottom"/>
            <w:hideMark/>
          </w:tcPr>
          <w:p w:rsidR="00E02AC1" w:rsidRPr="00E02AC1" w:rsidRDefault="00E02AC1" w:rsidP="00E02AC1">
            <w:pPr>
              <w:spacing w:after="0" w:line="240" w:lineRule="auto"/>
              <w:jc w:val="right"/>
              <w:rPr>
                <w:rFonts w:ascii="Arial" w:hAnsi="Arial" w:cs="Arial"/>
                <w:b/>
                <w:bCs/>
              </w:rPr>
            </w:pPr>
            <w:r w:rsidRPr="00E02AC1">
              <w:rPr>
                <w:rFonts w:ascii="Arial" w:hAnsi="Arial" w:cs="Arial"/>
                <w:b/>
                <w:bCs/>
              </w:rPr>
              <w:t xml:space="preserve">5,305 </w:t>
            </w:r>
          </w:p>
        </w:tc>
      </w:tr>
      <w:tr w:rsidR="00E02AC1" w:rsidRPr="00E02AC1" w:rsidTr="00E02AC1">
        <w:trPr>
          <w:trHeight w:val="225"/>
        </w:trPr>
        <w:tc>
          <w:tcPr>
            <w:tcW w:w="2880" w:type="dxa"/>
            <w:tcBorders>
              <w:top w:val="nil"/>
              <w:left w:val="nil"/>
              <w:bottom w:val="nil"/>
              <w:right w:val="nil"/>
            </w:tcBorders>
            <w:shd w:val="clear" w:color="auto" w:fill="auto"/>
            <w:noWrap/>
            <w:vAlign w:val="bottom"/>
            <w:hideMark/>
          </w:tcPr>
          <w:p w:rsidR="00E02AC1" w:rsidRPr="00E02AC1" w:rsidRDefault="00E02AC1" w:rsidP="00E02AC1">
            <w:pPr>
              <w:spacing w:after="0" w:line="240" w:lineRule="auto"/>
              <w:jc w:val="left"/>
              <w:rPr>
                <w:rFonts w:ascii="Arial" w:hAnsi="Arial" w:cs="Arial"/>
                <w:b/>
                <w:bCs/>
              </w:rPr>
            </w:pPr>
            <w:r w:rsidRPr="00E02AC1">
              <w:rPr>
                <w:rFonts w:ascii="Arial" w:hAnsi="Arial" w:cs="Arial"/>
                <w:b/>
                <w:bCs/>
              </w:rPr>
              <w:t>Capital asset additions</w:t>
            </w:r>
          </w:p>
        </w:tc>
        <w:tc>
          <w:tcPr>
            <w:tcW w:w="1260" w:type="dxa"/>
            <w:tcBorders>
              <w:top w:val="nil"/>
              <w:left w:val="nil"/>
              <w:bottom w:val="nil"/>
              <w:right w:val="nil"/>
            </w:tcBorders>
            <w:shd w:val="clear" w:color="auto" w:fill="auto"/>
            <w:noWrap/>
            <w:vAlign w:val="bottom"/>
            <w:hideMark/>
          </w:tcPr>
          <w:p w:rsidR="00E02AC1" w:rsidRPr="00E02AC1" w:rsidRDefault="00E02AC1" w:rsidP="00E02AC1">
            <w:pPr>
              <w:spacing w:after="0" w:line="240" w:lineRule="auto"/>
              <w:jc w:val="left"/>
              <w:rPr>
                <w:rFonts w:ascii="Arial" w:hAnsi="Arial" w:cs="Arial"/>
              </w:rPr>
            </w:pPr>
          </w:p>
        </w:tc>
        <w:tc>
          <w:tcPr>
            <w:tcW w:w="1060" w:type="dxa"/>
            <w:tcBorders>
              <w:top w:val="nil"/>
              <w:left w:val="nil"/>
              <w:bottom w:val="nil"/>
              <w:right w:val="nil"/>
            </w:tcBorders>
            <w:shd w:val="clear" w:color="auto" w:fill="auto"/>
            <w:noWrap/>
            <w:vAlign w:val="bottom"/>
            <w:hideMark/>
          </w:tcPr>
          <w:p w:rsidR="00E02AC1" w:rsidRPr="00E02AC1" w:rsidRDefault="00E02AC1" w:rsidP="00E02AC1">
            <w:pPr>
              <w:spacing w:after="0" w:line="240" w:lineRule="auto"/>
              <w:jc w:val="left"/>
              <w:rPr>
                <w:rFonts w:ascii="Arial" w:hAnsi="Arial" w:cs="Arial"/>
              </w:rPr>
            </w:pPr>
          </w:p>
        </w:tc>
        <w:tc>
          <w:tcPr>
            <w:tcW w:w="700" w:type="dxa"/>
            <w:tcBorders>
              <w:top w:val="nil"/>
              <w:left w:val="nil"/>
              <w:bottom w:val="nil"/>
              <w:right w:val="nil"/>
            </w:tcBorders>
            <w:shd w:val="clear" w:color="auto" w:fill="auto"/>
            <w:noWrap/>
            <w:vAlign w:val="bottom"/>
            <w:hideMark/>
          </w:tcPr>
          <w:p w:rsidR="00E02AC1" w:rsidRPr="00E02AC1" w:rsidRDefault="00E02AC1" w:rsidP="00E02AC1">
            <w:pPr>
              <w:spacing w:after="0" w:line="240" w:lineRule="auto"/>
              <w:jc w:val="right"/>
              <w:rPr>
                <w:rFonts w:ascii="Arial" w:hAnsi="Arial" w:cs="Arial"/>
              </w:rPr>
            </w:pPr>
          </w:p>
        </w:tc>
      </w:tr>
      <w:tr w:rsidR="00E02AC1" w:rsidRPr="00E02AC1" w:rsidTr="00E02AC1">
        <w:trPr>
          <w:trHeight w:val="255"/>
        </w:trPr>
        <w:tc>
          <w:tcPr>
            <w:tcW w:w="2880" w:type="dxa"/>
            <w:tcBorders>
              <w:top w:val="nil"/>
              <w:left w:val="nil"/>
              <w:bottom w:val="nil"/>
              <w:right w:val="nil"/>
            </w:tcBorders>
            <w:shd w:val="clear" w:color="auto" w:fill="auto"/>
            <w:noWrap/>
            <w:vAlign w:val="bottom"/>
            <w:hideMark/>
          </w:tcPr>
          <w:p w:rsidR="00E02AC1" w:rsidRPr="00E02AC1" w:rsidRDefault="00E02AC1" w:rsidP="00E02AC1">
            <w:pPr>
              <w:spacing w:after="0" w:line="240" w:lineRule="auto"/>
              <w:ind w:firstLineChars="100" w:firstLine="161"/>
              <w:jc w:val="left"/>
              <w:rPr>
                <w:rFonts w:ascii="Arial" w:hAnsi="Arial" w:cs="Arial"/>
                <w:b/>
                <w:bCs/>
              </w:rPr>
            </w:pPr>
            <w:r w:rsidRPr="00E02AC1">
              <w:rPr>
                <w:rFonts w:ascii="Arial" w:hAnsi="Arial" w:cs="Arial"/>
                <w:b/>
                <w:bCs/>
              </w:rPr>
              <w:t xml:space="preserve">Estimated expenditure on </w:t>
            </w:r>
          </w:p>
        </w:tc>
        <w:tc>
          <w:tcPr>
            <w:tcW w:w="1260" w:type="dxa"/>
            <w:tcBorders>
              <w:top w:val="nil"/>
              <w:left w:val="nil"/>
              <w:bottom w:val="nil"/>
              <w:right w:val="nil"/>
            </w:tcBorders>
            <w:shd w:val="clear" w:color="auto" w:fill="auto"/>
            <w:noWrap/>
            <w:vAlign w:val="bottom"/>
            <w:hideMark/>
          </w:tcPr>
          <w:p w:rsidR="00E02AC1" w:rsidRPr="00E02AC1" w:rsidRDefault="00E02AC1" w:rsidP="00E02AC1">
            <w:pPr>
              <w:spacing w:after="0" w:line="240" w:lineRule="auto"/>
              <w:jc w:val="left"/>
              <w:rPr>
                <w:rFonts w:ascii="Arial" w:hAnsi="Arial" w:cs="Arial"/>
                <w:sz w:val="20"/>
                <w:szCs w:val="20"/>
              </w:rPr>
            </w:pPr>
          </w:p>
        </w:tc>
        <w:tc>
          <w:tcPr>
            <w:tcW w:w="1060" w:type="dxa"/>
            <w:tcBorders>
              <w:top w:val="nil"/>
              <w:left w:val="nil"/>
              <w:bottom w:val="nil"/>
              <w:right w:val="nil"/>
            </w:tcBorders>
            <w:shd w:val="clear" w:color="auto" w:fill="auto"/>
            <w:noWrap/>
            <w:vAlign w:val="bottom"/>
            <w:hideMark/>
          </w:tcPr>
          <w:p w:rsidR="00E02AC1" w:rsidRPr="00E02AC1" w:rsidRDefault="00E02AC1" w:rsidP="00E02AC1">
            <w:pPr>
              <w:spacing w:after="0" w:line="240" w:lineRule="auto"/>
              <w:jc w:val="left"/>
              <w:rPr>
                <w:rFonts w:ascii="Arial" w:hAnsi="Arial" w:cs="Arial"/>
                <w:sz w:val="20"/>
                <w:szCs w:val="20"/>
              </w:rPr>
            </w:pPr>
          </w:p>
        </w:tc>
        <w:tc>
          <w:tcPr>
            <w:tcW w:w="700" w:type="dxa"/>
            <w:tcBorders>
              <w:top w:val="nil"/>
              <w:left w:val="nil"/>
              <w:bottom w:val="nil"/>
              <w:right w:val="nil"/>
            </w:tcBorders>
            <w:shd w:val="clear" w:color="auto" w:fill="auto"/>
            <w:noWrap/>
            <w:vAlign w:val="bottom"/>
            <w:hideMark/>
          </w:tcPr>
          <w:p w:rsidR="00E02AC1" w:rsidRPr="00E02AC1" w:rsidRDefault="00E02AC1" w:rsidP="00E02AC1">
            <w:pPr>
              <w:spacing w:after="0" w:line="240" w:lineRule="auto"/>
              <w:jc w:val="right"/>
              <w:rPr>
                <w:rFonts w:ascii="Arial" w:hAnsi="Arial" w:cs="Arial"/>
                <w:sz w:val="20"/>
                <w:szCs w:val="20"/>
              </w:rPr>
            </w:pPr>
          </w:p>
        </w:tc>
      </w:tr>
      <w:tr w:rsidR="00E02AC1" w:rsidRPr="00E02AC1" w:rsidTr="00E02AC1">
        <w:trPr>
          <w:trHeight w:val="225"/>
        </w:trPr>
        <w:tc>
          <w:tcPr>
            <w:tcW w:w="2880" w:type="dxa"/>
            <w:tcBorders>
              <w:top w:val="nil"/>
              <w:left w:val="nil"/>
              <w:bottom w:val="nil"/>
              <w:right w:val="nil"/>
            </w:tcBorders>
            <w:shd w:val="clear" w:color="auto" w:fill="auto"/>
            <w:noWrap/>
            <w:vAlign w:val="bottom"/>
            <w:hideMark/>
          </w:tcPr>
          <w:p w:rsidR="00E02AC1" w:rsidRPr="00E02AC1" w:rsidRDefault="00E02AC1" w:rsidP="00E02AC1">
            <w:pPr>
              <w:spacing w:after="0" w:line="240" w:lineRule="auto"/>
              <w:ind w:firstLineChars="200" w:firstLine="321"/>
              <w:jc w:val="left"/>
              <w:rPr>
                <w:rFonts w:ascii="Arial" w:hAnsi="Arial" w:cs="Arial"/>
                <w:b/>
                <w:bCs/>
              </w:rPr>
            </w:pPr>
            <w:r w:rsidRPr="00E02AC1">
              <w:rPr>
                <w:rFonts w:ascii="Arial" w:hAnsi="Arial" w:cs="Arial"/>
                <w:b/>
                <w:bCs/>
              </w:rPr>
              <w:t>new or replacement assets</w:t>
            </w:r>
          </w:p>
        </w:tc>
        <w:tc>
          <w:tcPr>
            <w:tcW w:w="1260" w:type="dxa"/>
            <w:tcBorders>
              <w:top w:val="nil"/>
              <w:left w:val="nil"/>
              <w:bottom w:val="nil"/>
              <w:right w:val="nil"/>
            </w:tcBorders>
            <w:shd w:val="clear" w:color="auto" w:fill="auto"/>
            <w:noWrap/>
            <w:vAlign w:val="bottom"/>
            <w:hideMark/>
          </w:tcPr>
          <w:p w:rsidR="00E02AC1" w:rsidRPr="00E02AC1" w:rsidRDefault="00E02AC1" w:rsidP="00E02AC1">
            <w:pPr>
              <w:spacing w:after="0" w:line="240" w:lineRule="auto"/>
              <w:jc w:val="left"/>
              <w:rPr>
                <w:rFonts w:ascii="Arial" w:hAnsi="Arial" w:cs="Arial"/>
              </w:rPr>
            </w:pPr>
          </w:p>
        </w:tc>
        <w:tc>
          <w:tcPr>
            <w:tcW w:w="1060" w:type="dxa"/>
            <w:tcBorders>
              <w:top w:val="nil"/>
              <w:left w:val="nil"/>
              <w:bottom w:val="nil"/>
              <w:right w:val="nil"/>
            </w:tcBorders>
            <w:shd w:val="clear" w:color="auto" w:fill="auto"/>
            <w:noWrap/>
            <w:vAlign w:val="bottom"/>
            <w:hideMark/>
          </w:tcPr>
          <w:p w:rsidR="00E02AC1" w:rsidRPr="00E02AC1" w:rsidRDefault="00E02AC1" w:rsidP="00E02AC1">
            <w:pPr>
              <w:spacing w:after="0" w:line="240" w:lineRule="auto"/>
              <w:jc w:val="left"/>
              <w:rPr>
                <w:rFonts w:ascii="Arial" w:hAnsi="Arial" w:cs="Arial"/>
              </w:rPr>
            </w:pPr>
          </w:p>
        </w:tc>
        <w:tc>
          <w:tcPr>
            <w:tcW w:w="700" w:type="dxa"/>
            <w:tcBorders>
              <w:top w:val="nil"/>
              <w:left w:val="nil"/>
              <w:bottom w:val="nil"/>
              <w:right w:val="nil"/>
            </w:tcBorders>
            <w:shd w:val="clear" w:color="auto" w:fill="auto"/>
            <w:noWrap/>
            <w:vAlign w:val="bottom"/>
            <w:hideMark/>
          </w:tcPr>
          <w:p w:rsidR="00E02AC1" w:rsidRPr="00E02AC1" w:rsidRDefault="00E02AC1" w:rsidP="00E02AC1">
            <w:pPr>
              <w:spacing w:after="0" w:line="240" w:lineRule="auto"/>
              <w:jc w:val="right"/>
              <w:rPr>
                <w:rFonts w:ascii="Arial" w:hAnsi="Arial" w:cs="Arial"/>
              </w:rPr>
            </w:pPr>
          </w:p>
        </w:tc>
      </w:tr>
      <w:tr w:rsidR="00E02AC1" w:rsidRPr="00E02AC1" w:rsidTr="00E02AC1">
        <w:trPr>
          <w:trHeight w:val="210"/>
        </w:trPr>
        <w:tc>
          <w:tcPr>
            <w:tcW w:w="2880" w:type="dxa"/>
            <w:tcBorders>
              <w:top w:val="nil"/>
              <w:left w:val="nil"/>
              <w:bottom w:val="nil"/>
              <w:right w:val="nil"/>
            </w:tcBorders>
            <w:shd w:val="clear" w:color="auto" w:fill="auto"/>
            <w:vAlign w:val="bottom"/>
            <w:hideMark/>
          </w:tcPr>
          <w:p w:rsidR="00E02AC1" w:rsidRPr="00E02AC1" w:rsidRDefault="00E02AC1" w:rsidP="00E02AC1">
            <w:pPr>
              <w:spacing w:after="0" w:line="240" w:lineRule="auto"/>
              <w:ind w:firstLineChars="300" w:firstLine="480"/>
              <w:jc w:val="left"/>
              <w:rPr>
                <w:rFonts w:ascii="Arial" w:hAnsi="Arial" w:cs="Arial"/>
              </w:rPr>
            </w:pPr>
            <w:r w:rsidRPr="00E02AC1">
              <w:rPr>
                <w:rFonts w:ascii="Arial" w:hAnsi="Arial" w:cs="Arial"/>
              </w:rPr>
              <w:t>By purchase - other</w:t>
            </w:r>
          </w:p>
        </w:tc>
        <w:tc>
          <w:tcPr>
            <w:tcW w:w="1260" w:type="dxa"/>
            <w:tcBorders>
              <w:top w:val="nil"/>
              <w:left w:val="nil"/>
              <w:bottom w:val="nil"/>
              <w:right w:val="nil"/>
            </w:tcBorders>
            <w:shd w:val="clear" w:color="auto" w:fill="auto"/>
            <w:noWrap/>
            <w:vAlign w:val="bottom"/>
            <w:hideMark/>
          </w:tcPr>
          <w:p w:rsidR="00E02AC1" w:rsidRPr="00E02AC1" w:rsidRDefault="00E02AC1" w:rsidP="00E02AC1">
            <w:pPr>
              <w:spacing w:after="0" w:line="240" w:lineRule="auto"/>
              <w:jc w:val="right"/>
              <w:rPr>
                <w:rFonts w:ascii="Arial" w:hAnsi="Arial" w:cs="Arial"/>
              </w:rPr>
            </w:pPr>
            <w:r w:rsidRPr="00E02AC1">
              <w:rPr>
                <w:rFonts w:ascii="Arial" w:hAnsi="Arial" w:cs="Arial"/>
              </w:rPr>
              <w:t xml:space="preserve">1,001 </w:t>
            </w:r>
          </w:p>
        </w:tc>
        <w:tc>
          <w:tcPr>
            <w:tcW w:w="1060" w:type="dxa"/>
            <w:tcBorders>
              <w:top w:val="nil"/>
              <w:left w:val="nil"/>
              <w:bottom w:val="nil"/>
              <w:right w:val="nil"/>
            </w:tcBorders>
            <w:shd w:val="clear" w:color="auto" w:fill="auto"/>
            <w:noWrap/>
            <w:vAlign w:val="bottom"/>
            <w:hideMark/>
          </w:tcPr>
          <w:p w:rsidR="00E02AC1" w:rsidRPr="00E02AC1" w:rsidRDefault="00E02AC1" w:rsidP="00E02AC1">
            <w:pPr>
              <w:spacing w:after="0" w:line="240" w:lineRule="auto"/>
              <w:jc w:val="right"/>
              <w:rPr>
                <w:rFonts w:ascii="Arial" w:hAnsi="Arial" w:cs="Arial"/>
              </w:rPr>
            </w:pPr>
            <w:r w:rsidRPr="00E02AC1">
              <w:rPr>
                <w:rFonts w:ascii="Arial" w:hAnsi="Arial" w:cs="Arial"/>
              </w:rPr>
              <w:t xml:space="preserve">2,351 </w:t>
            </w:r>
          </w:p>
        </w:tc>
        <w:tc>
          <w:tcPr>
            <w:tcW w:w="700" w:type="dxa"/>
            <w:tcBorders>
              <w:top w:val="nil"/>
              <w:left w:val="nil"/>
              <w:bottom w:val="nil"/>
              <w:right w:val="nil"/>
            </w:tcBorders>
            <w:shd w:val="clear" w:color="auto" w:fill="auto"/>
            <w:noWrap/>
            <w:vAlign w:val="bottom"/>
            <w:hideMark/>
          </w:tcPr>
          <w:p w:rsidR="00E02AC1" w:rsidRPr="00E02AC1" w:rsidRDefault="00E02AC1" w:rsidP="00E02AC1">
            <w:pPr>
              <w:spacing w:after="0" w:line="240" w:lineRule="auto"/>
              <w:jc w:val="right"/>
              <w:rPr>
                <w:rFonts w:ascii="Arial" w:hAnsi="Arial" w:cs="Arial"/>
              </w:rPr>
            </w:pPr>
            <w:r w:rsidRPr="00E02AC1">
              <w:rPr>
                <w:rFonts w:ascii="Arial" w:hAnsi="Arial" w:cs="Arial"/>
              </w:rPr>
              <w:t xml:space="preserve">3,352 </w:t>
            </w:r>
          </w:p>
        </w:tc>
      </w:tr>
      <w:tr w:rsidR="00E02AC1" w:rsidRPr="00E02AC1" w:rsidTr="00E02AC1">
        <w:trPr>
          <w:trHeight w:val="225"/>
        </w:trPr>
        <w:tc>
          <w:tcPr>
            <w:tcW w:w="2880" w:type="dxa"/>
            <w:tcBorders>
              <w:top w:val="nil"/>
              <w:left w:val="nil"/>
              <w:bottom w:val="nil"/>
              <w:right w:val="nil"/>
            </w:tcBorders>
            <w:shd w:val="clear" w:color="auto" w:fill="auto"/>
            <w:noWrap/>
            <w:vAlign w:val="bottom"/>
            <w:hideMark/>
          </w:tcPr>
          <w:p w:rsidR="00E02AC1" w:rsidRPr="00E02AC1" w:rsidRDefault="00E02AC1" w:rsidP="00E02AC1">
            <w:pPr>
              <w:spacing w:after="0" w:line="240" w:lineRule="auto"/>
              <w:jc w:val="left"/>
              <w:rPr>
                <w:rFonts w:ascii="Arial" w:hAnsi="Arial" w:cs="Arial"/>
                <w:b/>
                <w:bCs/>
              </w:rPr>
            </w:pPr>
            <w:r w:rsidRPr="00E02AC1">
              <w:rPr>
                <w:rFonts w:ascii="Arial" w:hAnsi="Arial" w:cs="Arial"/>
                <w:b/>
                <w:bCs/>
              </w:rPr>
              <w:t>Total additions</w:t>
            </w:r>
          </w:p>
        </w:tc>
        <w:tc>
          <w:tcPr>
            <w:tcW w:w="1260" w:type="dxa"/>
            <w:tcBorders>
              <w:top w:val="single" w:sz="4" w:space="0" w:color="auto"/>
              <w:left w:val="nil"/>
              <w:bottom w:val="nil"/>
              <w:right w:val="nil"/>
            </w:tcBorders>
            <w:shd w:val="clear" w:color="auto" w:fill="auto"/>
            <w:noWrap/>
            <w:vAlign w:val="bottom"/>
            <w:hideMark/>
          </w:tcPr>
          <w:p w:rsidR="00E02AC1" w:rsidRPr="00E02AC1" w:rsidRDefault="00E02AC1" w:rsidP="00E02AC1">
            <w:pPr>
              <w:spacing w:after="0" w:line="240" w:lineRule="auto"/>
              <w:jc w:val="right"/>
              <w:rPr>
                <w:rFonts w:ascii="Arial" w:hAnsi="Arial" w:cs="Arial"/>
                <w:b/>
                <w:bCs/>
              </w:rPr>
            </w:pPr>
            <w:r w:rsidRPr="00E02AC1">
              <w:rPr>
                <w:rFonts w:ascii="Arial" w:hAnsi="Arial" w:cs="Arial"/>
                <w:b/>
                <w:bCs/>
              </w:rPr>
              <w:t xml:space="preserve">1,001 </w:t>
            </w:r>
          </w:p>
        </w:tc>
        <w:tc>
          <w:tcPr>
            <w:tcW w:w="1060" w:type="dxa"/>
            <w:tcBorders>
              <w:top w:val="single" w:sz="4" w:space="0" w:color="auto"/>
              <w:left w:val="nil"/>
              <w:bottom w:val="nil"/>
              <w:right w:val="nil"/>
            </w:tcBorders>
            <w:shd w:val="clear" w:color="auto" w:fill="auto"/>
            <w:noWrap/>
            <w:vAlign w:val="bottom"/>
            <w:hideMark/>
          </w:tcPr>
          <w:p w:rsidR="00E02AC1" w:rsidRPr="00E02AC1" w:rsidRDefault="00E02AC1" w:rsidP="00E02AC1">
            <w:pPr>
              <w:spacing w:after="0" w:line="240" w:lineRule="auto"/>
              <w:jc w:val="right"/>
              <w:rPr>
                <w:rFonts w:ascii="Arial" w:hAnsi="Arial" w:cs="Arial"/>
                <w:b/>
                <w:bCs/>
              </w:rPr>
            </w:pPr>
            <w:r w:rsidRPr="00E02AC1">
              <w:rPr>
                <w:rFonts w:ascii="Arial" w:hAnsi="Arial" w:cs="Arial"/>
                <w:b/>
                <w:bCs/>
              </w:rPr>
              <w:t xml:space="preserve">2,351 </w:t>
            </w:r>
          </w:p>
        </w:tc>
        <w:tc>
          <w:tcPr>
            <w:tcW w:w="700" w:type="dxa"/>
            <w:tcBorders>
              <w:top w:val="single" w:sz="4" w:space="0" w:color="auto"/>
              <w:left w:val="nil"/>
              <w:bottom w:val="nil"/>
              <w:right w:val="nil"/>
            </w:tcBorders>
            <w:shd w:val="clear" w:color="auto" w:fill="auto"/>
            <w:noWrap/>
            <w:vAlign w:val="bottom"/>
            <w:hideMark/>
          </w:tcPr>
          <w:p w:rsidR="00E02AC1" w:rsidRPr="00E02AC1" w:rsidRDefault="00E02AC1" w:rsidP="00E02AC1">
            <w:pPr>
              <w:spacing w:after="0" w:line="240" w:lineRule="auto"/>
              <w:jc w:val="right"/>
              <w:rPr>
                <w:rFonts w:ascii="Arial" w:hAnsi="Arial" w:cs="Arial"/>
                <w:b/>
                <w:bCs/>
              </w:rPr>
            </w:pPr>
            <w:r w:rsidRPr="00E02AC1">
              <w:rPr>
                <w:rFonts w:ascii="Arial" w:hAnsi="Arial" w:cs="Arial"/>
                <w:b/>
                <w:bCs/>
              </w:rPr>
              <w:t xml:space="preserve">3,352 </w:t>
            </w:r>
          </w:p>
        </w:tc>
      </w:tr>
      <w:tr w:rsidR="00E02AC1" w:rsidRPr="00E02AC1" w:rsidTr="00E02AC1">
        <w:trPr>
          <w:trHeight w:val="225"/>
        </w:trPr>
        <w:tc>
          <w:tcPr>
            <w:tcW w:w="2880" w:type="dxa"/>
            <w:tcBorders>
              <w:top w:val="nil"/>
              <w:left w:val="nil"/>
              <w:bottom w:val="nil"/>
              <w:right w:val="nil"/>
            </w:tcBorders>
            <w:shd w:val="clear" w:color="auto" w:fill="auto"/>
            <w:vAlign w:val="bottom"/>
            <w:hideMark/>
          </w:tcPr>
          <w:p w:rsidR="00E02AC1" w:rsidRPr="00E02AC1" w:rsidRDefault="00E02AC1" w:rsidP="00E02AC1">
            <w:pPr>
              <w:spacing w:after="0" w:line="240" w:lineRule="auto"/>
              <w:jc w:val="left"/>
              <w:rPr>
                <w:rFonts w:ascii="Arial" w:hAnsi="Arial" w:cs="Arial"/>
                <w:b/>
                <w:bCs/>
              </w:rPr>
            </w:pPr>
            <w:r w:rsidRPr="00E02AC1">
              <w:rPr>
                <w:rFonts w:ascii="Arial" w:hAnsi="Arial" w:cs="Arial"/>
                <w:b/>
                <w:bCs/>
              </w:rPr>
              <w:t>Other movements</w:t>
            </w:r>
          </w:p>
        </w:tc>
        <w:tc>
          <w:tcPr>
            <w:tcW w:w="1260" w:type="dxa"/>
            <w:tcBorders>
              <w:top w:val="single" w:sz="4" w:space="0" w:color="auto"/>
              <w:left w:val="nil"/>
              <w:bottom w:val="nil"/>
              <w:right w:val="nil"/>
            </w:tcBorders>
            <w:shd w:val="clear" w:color="auto" w:fill="auto"/>
            <w:noWrap/>
            <w:vAlign w:val="bottom"/>
            <w:hideMark/>
          </w:tcPr>
          <w:p w:rsidR="00E02AC1" w:rsidRPr="00E02AC1" w:rsidRDefault="00E02AC1" w:rsidP="00E02AC1">
            <w:pPr>
              <w:spacing w:after="0" w:line="240" w:lineRule="auto"/>
              <w:jc w:val="left"/>
              <w:rPr>
                <w:rFonts w:ascii="Arial" w:hAnsi="Arial" w:cs="Arial"/>
                <w:b/>
                <w:bCs/>
              </w:rPr>
            </w:pPr>
            <w:r w:rsidRPr="00E02AC1">
              <w:rPr>
                <w:rFonts w:ascii="Arial" w:hAnsi="Arial" w:cs="Arial"/>
                <w:b/>
                <w:bCs/>
              </w:rPr>
              <w:t> </w:t>
            </w:r>
          </w:p>
        </w:tc>
        <w:tc>
          <w:tcPr>
            <w:tcW w:w="1060" w:type="dxa"/>
            <w:tcBorders>
              <w:top w:val="single" w:sz="4" w:space="0" w:color="auto"/>
              <w:left w:val="nil"/>
              <w:bottom w:val="nil"/>
              <w:right w:val="nil"/>
            </w:tcBorders>
            <w:shd w:val="clear" w:color="auto" w:fill="auto"/>
            <w:noWrap/>
            <w:vAlign w:val="bottom"/>
            <w:hideMark/>
          </w:tcPr>
          <w:p w:rsidR="00E02AC1" w:rsidRPr="00E02AC1" w:rsidRDefault="00E02AC1" w:rsidP="00E02AC1">
            <w:pPr>
              <w:spacing w:after="0" w:line="240" w:lineRule="auto"/>
              <w:jc w:val="left"/>
              <w:rPr>
                <w:rFonts w:ascii="Arial" w:hAnsi="Arial" w:cs="Arial"/>
                <w:b/>
                <w:bCs/>
              </w:rPr>
            </w:pPr>
            <w:r w:rsidRPr="00E02AC1">
              <w:rPr>
                <w:rFonts w:ascii="Arial" w:hAnsi="Arial" w:cs="Arial"/>
                <w:b/>
                <w:bCs/>
              </w:rPr>
              <w:t> </w:t>
            </w:r>
          </w:p>
        </w:tc>
        <w:tc>
          <w:tcPr>
            <w:tcW w:w="700" w:type="dxa"/>
            <w:tcBorders>
              <w:top w:val="single" w:sz="4" w:space="0" w:color="auto"/>
              <w:left w:val="nil"/>
              <w:bottom w:val="nil"/>
              <w:right w:val="nil"/>
            </w:tcBorders>
            <w:shd w:val="clear" w:color="auto" w:fill="auto"/>
            <w:noWrap/>
            <w:vAlign w:val="bottom"/>
            <w:hideMark/>
          </w:tcPr>
          <w:p w:rsidR="00E02AC1" w:rsidRPr="00E02AC1" w:rsidRDefault="00E02AC1" w:rsidP="00E02AC1">
            <w:pPr>
              <w:spacing w:after="0" w:line="240" w:lineRule="auto"/>
              <w:jc w:val="left"/>
              <w:rPr>
                <w:rFonts w:ascii="Arial" w:hAnsi="Arial" w:cs="Arial"/>
                <w:b/>
                <w:bCs/>
              </w:rPr>
            </w:pPr>
            <w:r w:rsidRPr="00E02AC1">
              <w:rPr>
                <w:rFonts w:ascii="Arial" w:hAnsi="Arial" w:cs="Arial"/>
                <w:b/>
                <w:bCs/>
              </w:rPr>
              <w:t> </w:t>
            </w:r>
          </w:p>
        </w:tc>
      </w:tr>
      <w:tr w:rsidR="00E02AC1" w:rsidRPr="00E02AC1" w:rsidTr="00E02AC1">
        <w:trPr>
          <w:trHeight w:val="225"/>
        </w:trPr>
        <w:tc>
          <w:tcPr>
            <w:tcW w:w="2880" w:type="dxa"/>
            <w:tcBorders>
              <w:top w:val="nil"/>
              <w:left w:val="nil"/>
              <w:bottom w:val="nil"/>
              <w:right w:val="nil"/>
            </w:tcBorders>
            <w:shd w:val="clear" w:color="auto" w:fill="auto"/>
            <w:vAlign w:val="bottom"/>
            <w:hideMark/>
          </w:tcPr>
          <w:p w:rsidR="00E02AC1" w:rsidRPr="00E02AC1" w:rsidRDefault="00E02AC1" w:rsidP="00E02AC1">
            <w:pPr>
              <w:spacing w:after="0" w:line="240" w:lineRule="auto"/>
              <w:ind w:firstLineChars="100" w:firstLine="160"/>
              <w:jc w:val="left"/>
              <w:rPr>
                <w:rFonts w:ascii="Arial" w:hAnsi="Arial" w:cs="Arial"/>
              </w:rPr>
            </w:pPr>
            <w:r w:rsidRPr="00E02AC1">
              <w:rPr>
                <w:rFonts w:ascii="Arial" w:hAnsi="Arial" w:cs="Arial"/>
              </w:rPr>
              <w:t>Depreciation/amortisation expense</w:t>
            </w:r>
          </w:p>
        </w:tc>
        <w:tc>
          <w:tcPr>
            <w:tcW w:w="1260" w:type="dxa"/>
            <w:tcBorders>
              <w:top w:val="nil"/>
              <w:left w:val="nil"/>
              <w:bottom w:val="nil"/>
              <w:right w:val="nil"/>
            </w:tcBorders>
            <w:shd w:val="clear" w:color="auto" w:fill="auto"/>
            <w:noWrap/>
            <w:vAlign w:val="bottom"/>
            <w:hideMark/>
          </w:tcPr>
          <w:p w:rsidR="00E02AC1" w:rsidRPr="00E02AC1" w:rsidRDefault="00E02AC1" w:rsidP="00E02AC1">
            <w:pPr>
              <w:spacing w:after="0" w:line="240" w:lineRule="auto"/>
              <w:jc w:val="right"/>
              <w:rPr>
                <w:rFonts w:ascii="Arial" w:hAnsi="Arial" w:cs="Arial"/>
              </w:rPr>
            </w:pPr>
            <w:r w:rsidRPr="00E02AC1">
              <w:rPr>
                <w:rFonts w:ascii="Arial" w:hAnsi="Arial" w:cs="Arial"/>
              </w:rPr>
              <w:t>(941)</w:t>
            </w:r>
          </w:p>
        </w:tc>
        <w:tc>
          <w:tcPr>
            <w:tcW w:w="1060" w:type="dxa"/>
            <w:tcBorders>
              <w:top w:val="nil"/>
              <w:left w:val="nil"/>
              <w:bottom w:val="nil"/>
              <w:right w:val="nil"/>
            </w:tcBorders>
            <w:shd w:val="clear" w:color="auto" w:fill="auto"/>
            <w:noWrap/>
            <w:vAlign w:val="bottom"/>
            <w:hideMark/>
          </w:tcPr>
          <w:p w:rsidR="00E02AC1" w:rsidRPr="00E02AC1" w:rsidRDefault="00E02AC1" w:rsidP="00E02AC1">
            <w:pPr>
              <w:spacing w:after="0" w:line="240" w:lineRule="auto"/>
              <w:jc w:val="right"/>
              <w:rPr>
                <w:rFonts w:ascii="Arial" w:hAnsi="Arial" w:cs="Arial"/>
              </w:rPr>
            </w:pPr>
            <w:r w:rsidRPr="00E02AC1">
              <w:rPr>
                <w:rFonts w:ascii="Arial" w:hAnsi="Arial" w:cs="Arial"/>
              </w:rPr>
              <w:t>(1,261)</w:t>
            </w:r>
          </w:p>
        </w:tc>
        <w:tc>
          <w:tcPr>
            <w:tcW w:w="700" w:type="dxa"/>
            <w:tcBorders>
              <w:top w:val="nil"/>
              <w:left w:val="nil"/>
              <w:bottom w:val="nil"/>
              <w:right w:val="nil"/>
            </w:tcBorders>
            <w:shd w:val="clear" w:color="auto" w:fill="auto"/>
            <w:noWrap/>
            <w:vAlign w:val="bottom"/>
            <w:hideMark/>
          </w:tcPr>
          <w:p w:rsidR="00E02AC1" w:rsidRPr="00E02AC1" w:rsidRDefault="00E02AC1" w:rsidP="00E02AC1">
            <w:pPr>
              <w:spacing w:after="0" w:line="240" w:lineRule="auto"/>
              <w:jc w:val="right"/>
              <w:rPr>
                <w:rFonts w:ascii="Arial" w:hAnsi="Arial" w:cs="Arial"/>
              </w:rPr>
            </w:pPr>
            <w:r w:rsidRPr="00E02AC1">
              <w:rPr>
                <w:rFonts w:ascii="Arial" w:hAnsi="Arial" w:cs="Arial"/>
              </w:rPr>
              <w:t>(2,202)</w:t>
            </w:r>
          </w:p>
        </w:tc>
      </w:tr>
      <w:tr w:rsidR="00E02AC1" w:rsidRPr="00E02AC1" w:rsidTr="00E02AC1">
        <w:trPr>
          <w:trHeight w:val="225"/>
        </w:trPr>
        <w:tc>
          <w:tcPr>
            <w:tcW w:w="2880" w:type="dxa"/>
            <w:tcBorders>
              <w:top w:val="nil"/>
              <w:left w:val="nil"/>
              <w:bottom w:val="nil"/>
              <w:right w:val="nil"/>
            </w:tcBorders>
            <w:shd w:val="clear" w:color="auto" w:fill="auto"/>
            <w:vAlign w:val="bottom"/>
            <w:hideMark/>
          </w:tcPr>
          <w:p w:rsidR="00E02AC1" w:rsidRPr="00E02AC1" w:rsidRDefault="00E02AC1" w:rsidP="00E02AC1">
            <w:pPr>
              <w:spacing w:after="0" w:line="240" w:lineRule="auto"/>
              <w:jc w:val="left"/>
              <w:rPr>
                <w:rFonts w:ascii="Arial" w:hAnsi="Arial" w:cs="Arial"/>
                <w:b/>
                <w:bCs/>
              </w:rPr>
            </w:pPr>
            <w:r w:rsidRPr="00E02AC1">
              <w:rPr>
                <w:rFonts w:ascii="Arial" w:hAnsi="Arial" w:cs="Arial"/>
                <w:b/>
                <w:bCs/>
              </w:rPr>
              <w:t>Total other movements</w:t>
            </w:r>
          </w:p>
        </w:tc>
        <w:tc>
          <w:tcPr>
            <w:tcW w:w="1260" w:type="dxa"/>
            <w:tcBorders>
              <w:top w:val="single" w:sz="4" w:space="0" w:color="auto"/>
              <w:left w:val="nil"/>
              <w:bottom w:val="single" w:sz="4" w:space="0" w:color="auto"/>
              <w:right w:val="nil"/>
            </w:tcBorders>
            <w:shd w:val="clear" w:color="auto" w:fill="auto"/>
            <w:noWrap/>
            <w:vAlign w:val="bottom"/>
            <w:hideMark/>
          </w:tcPr>
          <w:p w:rsidR="00E02AC1" w:rsidRPr="00E02AC1" w:rsidRDefault="00E02AC1" w:rsidP="00E02AC1">
            <w:pPr>
              <w:spacing w:after="0" w:line="240" w:lineRule="auto"/>
              <w:jc w:val="right"/>
              <w:rPr>
                <w:rFonts w:ascii="Arial" w:hAnsi="Arial" w:cs="Arial"/>
                <w:b/>
                <w:bCs/>
              </w:rPr>
            </w:pPr>
            <w:r w:rsidRPr="00E02AC1">
              <w:rPr>
                <w:rFonts w:ascii="Arial" w:hAnsi="Arial" w:cs="Arial"/>
                <w:b/>
                <w:bCs/>
              </w:rPr>
              <w:t>(941)</w:t>
            </w:r>
          </w:p>
        </w:tc>
        <w:tc>
          <w:tcPr>
            <w:tcW w:w="1060" w:type="dxa"/>
            <w:tcBorders>
              <w:top w:val="single" w:sz="4" w:space="0" w:color="auto"/>
              <w:left w:val="nil"/>
              <w:bottom w:val="single" w:sz="4" w:space="0" w:color="auto"/>
              <w:right w:val="nil"/>
            </w:tcBorders>
            <w:shd w:val="clear" w:color="auto" w:fill="auto"/>
            <w:noWrap/>
            <w:vAlign w:val="bottom"/>
            <w:hideMark/>
          </w:tcPr>
          <w:p w:rsidR="00E02AC1" w:rsidRPr="00E02AC1" w:rsidRDefault="00E02AC1" w:rsidP="00E02AC1">
            <w:pPr>
              <w:spacing w:after="0" w:line="240" w:lineRule="auto"/>
              <w:jc w:val="right"/>
              <w:rPr>
                <w:rFonts w:ascii="Arial" w:hAnsi="Arial" w:cs="Arial"/>
                <w:b/>
                <w:bCs/>
              </w:rPr>
            </w:pPr>
            <w:r w:rsidRPr="00E02AC1">
              <w:rPr>
                <w:rFonts w:ascii="Arial" w:hAnsi="Arial" w:cs="Arial"/>
                <w:b/>
                <w:bCs/>
              </w:rPr>
              <w:t>(1,261)</w:t>
            </w:r>
          </w:p>
        </w:tc>
        <w:tc>
          <w:tcPr>
            <w:tcW w:w="700" w:type="dxa"/>
            <w:tcBorders>
              <w:top w:val="single" w:sz="4" w:space="0" w:color="auto"/>
              <w:left w:val="nil"/>
              <w:bottom w:val="single" w:sz="4" w:space="0" w:color="auto"/>
              <w:right w:val="nil"/>
            </w:tcBorders>
            <w:shd w:val="clear" w:color="auto" w:fill="auto"/>
            <w:noWrap/>
            <w:vAlign w:val="bottom"/>
            <w:hideMark/>
          </w:tcPr>
          <w:p w:rsidR="00E02AC1" w:rsidRPr="00E02AC1" w:rsidRDefault="00E02AC1" w:rsidP="00E02AC1">
            <w:pPr>
              <w:spacing w:after="0" w:line="240" w:lineRule="auto"/>
              <w:jc w:val="right"/>
              <w:rPr>
                <w:rFonts w:ascii="Arial" w:hAnsi="Arial" w:cs="Arial"/>
                <w:b/>
                <w:bCs/>
              </w:rPr>
            </w:pPr>
            <w:r w:rsidRPr="00E02AC1">
              <w:rPr>
                <w:rFonts w:ascii="Arial" w:hAnsi="Arial" w:cs="Arial"/>
                <w:b/>
                <w:bCs/>
              </w:rPr>
              <w:t>(2,202)</w:t>
            </w:r>
          </w:p>
        </w:tc>
      </w:tr>
      <w:tr w:rsidR="00E02AC1" w:rsidRPr="00E02AC1" w:rsidTr="00E02AC1">
        <w:trPr>
          <w:trHeight w:val="225"/>
        </w:trPr>
        <w:tc>
          <w:tcPr>
            <w:tcW w:w="2880" w:type="dxa"/>
            <w:tcBorders>
              <w:top w:val="nil"/>
              <w:left w:val="nil"/>
              <w:bottom w:val="nil"/>
              <w:right w:val="nil"/>
            </w:tcBorders>
            <w:shd w:val="clear" w:color="auto" w:fill="auto"/>
            <w:noWrap/>
            <w:vAlign w:val="bottom"/>
            <w:hideMark/>
          </w:tcPr>
          <w:p w:rsidR="00E02AC1" w:rsidRPr="00E02AC1" w:rsidRDefault="00E02AC1" w:rsidP="00E02AC1">
            <w:pPr>
              <w:spacing w:after="0" w:line="240" w:lineRule="auto"/>
              <w:ind w:firstLineChars="100" w:firstLine="161"/>
              <w:jc w:val="left"/>
              <w:rPr>
                <w:rFonts w:ascii="Arial" w:hAnsi="Arial" w:cs="Arial"/>
                <w:b/>
                <w:bCs/>
              </w:rPr>
            </w:pPr>
            <w:r w:rsidRPr="00E02AC1">
              <w:rPr>
                <w:rFonts w:ascii="Arial" w:hAnsi="Arial" w:cs="Arial"/>
                <w:b/>
                <w:bCs/>
              </w:rPr>
              <w:t>As at 30 June 2017</w:t>
            </w:r>
          </w:p>
        </w:tc>
        <w:tc>
          <w:tcPr>
            <w:tcW w:w="1260" w:type="dxa"/>
            <w:tcBorders>
              <w:top w:val="nil"/>
              <w:left w:val="nil"/>
              <w:bottom w:val="nil"/>
              <w:right w:val="nil"/>
            </w:tcBorders>
            <w:shd w:val="clear" w:color="auto" w:fill="auto"/>
            <w:noWrap/>
            <w:vAlign w:val="bottom"/>
            <w:hideMark/>
          </w:tcPr>
          <w:p w:rsidR="00E02AC1" w:rsidRPr="00E02AC1" w:rsidRDefault="00E02AC1" w:rsidP="00E02AC1">
            <w:pPr>
              <w:spacing w:after="0" w:line="240" w:lineRule="auto"/>
              <w:jc w:val="left"/>
              <w:rPr>
                <w:rFonts w:ascii="Arial" w:hAnsi="Arial" w:cs="Arial"/>
              </w:rPr>
            </w:pPr>
          </w:p>
        </w:tc>
        <w:tc>
          <w:tcPr>
            <w:tcW w:w="1060" w:type="dxa"/>
            <w:tcBorders>
              <w:top w:val="nil"/>
              <w:left w:val="nil"/>
              <w:bottom w:val="nil"/>
              <w:right w:val="nil"/>
            </w:tcBorders>
            <w:shd w:val="clear" w:color="auto" w:fill="auto"/>
            <w:noWrap/>
            <w:vAlign w:val="bottom"/>
            <w:hideMark/>
          </w:tcPr>
          <w:p w:rsidR="00E02AC1" w:rsidRPr="00E02AC1" w:rsidRDefault="00E02AC1" w:rsidP="00E02AC1">
            <w:pPr>
              <w:spacing w:after="0" w:line="240" w:lineRule="auto"/>
              <w:jc w:val="left"/>
              <w:rPr>
                <w:rFonts w:ascii="Arial" w:hAnsi="Arial" w:cs="Arial"/>
              </w:rPr>
            </w:pPr>
          </w:p>
        </w:tc>
        <w:tc>
          <w:tcPr>
            <w:tcW w:w="700" w:type="dxa"/>
            <w:tcBorders>
              <w:top w:val="nil"/>
              <w:left w:val="nil"/>
              <w:bottom w:val="nil"/>
              <w:right w:val="nil"/>
            </w:tcBorders>
            <w:shd w:val="clear" w:color="auto" w:fill="auto"/>
            <w:noWrap/>
            <w:vAlign w:val="bottom"/>
            <w:hideMark/>
          </w:tcPr>
          <w:p w:rsidR="00E02AC1" w:rsidRPr="00E02AC1" w:rsidRDefault="00E02AC1" w:rsidP="00E02AC1">
            <w:pPr>
              <w:spacing w:after="0" w:line="240" w:lineRule="auto"/>
              <w:jc w:val="right"/>
              <w:rPr>
                <w:rFonts w:ascii="Arial" w:hAnsi="Arial" w:cs="Arial"/>
              </w:rPr>
            </w:pPr>
          </w:p>
        </w:tc>
      </w:tr>
      <w:tr w:rsidR="00E02AC1" w:rsidRPr="00E02AC1" w:rsidTr="00E02AC1">
        <w:trPr>
          <w:trHeight w:val="225"/>
        </w:trPr>
        <w:tc>
          <w:tcPr>
            <w:tcW w:w="2880" w:type="dxa"/>
            <w:tcBorders>
              <w:top w:val="nil"/>
              <w:left w:val="nil"/>
              <w:bottom w:val="nil"/>
              <w:right w:val="nil"/>
            </w:tcBorders>
            <w:shd w:val="clear" w:color="auto" w:fill="auto"/>
            <w:vAlign w:val="bottom"/>
            <w:hideMark/>
          </w:tcPr>
          <w:p w:rsidR="00E02AC1" w:rsidRPr="00E02AC1" w:rsidRDefault="00E02AC1" w:rsidP="00E02AC1">
            <w:pPr>
              <w:spacing w:after="0" w:line="240" w:lineRule="auto"/>
              <w:ind w:firstLineChars="100" w:firstLine="160"/>
              <w:jc w:val="left"/>
              <w:rPr>
                <w:rFonts w:ascii="Arial" w:hAnsi="Arial" w:cs="Arial"/>
              </w:rPr>
            </w:pPr>
            <w:r w:rsidRPr="00E02AC1">
              <w:rPr>
                <w:rFonts w:ascii="Arial" w:hAnsi="Arial" w:cs="Arial"/>
              </w:rPr>
              <w:t>Gross book value</w:t>
            </w:r>
          </w:p>
        </w:tc>
        <w:tc>
          <w:tcPr>
            <w:tcW w:w="1260" w:type="dxa"/>
            <w:tcBorders>
              <w:top w:val="nil"/>
              <w:left w:val="nil"/>
              <w:bottom w:val="nil"/>
              <w:right w:val="nil"/>
            </w:tcBorders>
            <w:shd w:val="clear" w:color="auto" w:fill="auto"/>
            <w:noWrap/>
            <w:vAlign w:val="bottom"/>
            <w:hideMark/>
          </w:tcPr>
          <w:p w:rsidR="00E02AC1" w:rsidRPr="00E02AC1" w:rsidRDefault="00E02AC1" w:rsidP="00E02AC1">
            <w:pPr>
              <w:spacing w:after="0" w:line="240" w:lineRule="auto"/>
              <w:jc w:val="right"/>
              <w:rPr>
                <w:rFonts w:ascii="Arial" w:hAnsi="Arial" w:cs="Arial"/>
              </w:rPr>
            </w:pPr>
            <w:r w:rsidRPr="00E02AC1">
              <w:rPr>
                <w:rFonts w:ascii="Arial" w:hAnsi="Arial" w:cs="Arial"/>
              </w:rPr>
              <w:t xml:space="preserve">10,123 </w:t>
            </w:r>
          </w:p>
        </w:tc>
        <w:tc>
          <w:tcPr>
            <w:tcW w:w="1060" w:type="dxa"/>
            <w:tcBorders>
              <w:top w:val="nil"/>
              <w:left w:val="nil"/>
              <w:bottom w:val="nil"/>
              <w:right w:val="nil"/>
            </w:tcBorders>
            <w:shd w:val="clear" w:color="auto" w:fill="auto"/>
            <w:noWrap/>
            <w:vAlign w:val="bottom"/>
            <w:hideMark/>
          </w:tcPr>
          <w:p w:rsidR="00E02AC1" w:rsidRPr="00E02AC1" w:rsidRDefault="00E02AC1" w:rsidP="00E02AC1">
            <w:pPr>
              <w:spacing w:after="0" w:line="240" w:lineRule="auto"/>
              <w:jc w:val="right"/>
              <w:rPr>
                <w:rFonts w:ascii="Arial" w:hAnsi="Arial" w:cs="Arial"/>
              </w:rPr>
            </w:pPr>
            <w:r w:rsidRPr="00E02AC1">
              <w:rPr>
                <w:rFonts w:ascii="Arial" w:hAnsi="Arial" w:cs="Arial"/>
              </w:rPr>
              <w:t xml:space="preserve">8,057 </w:t>
            </w:r>
          </w:p>
        </w:tc>
        <w:tc>
          <w:tcPr>
            <w:tcW w:w="700" w:type="dxa"/>
            <w:tcBorders>
              <w:top w:val="nil"/>
              <w:left w:val="nil"/>
              <w:bottom w:val="nil"/>
              <w:right w:val="nil"/>
            </w:tcBorders>
            <w:shd w:val="clear" w:color="auto" w:fill="auto"/>
            <w:noWrap/>
            <w:vAlign w:val="bottom"/>
            <w:hideMark/>
          </w:tcPr>
          <w:p w:rsidR="00E02AC1" w:rsidRPr="00E02AC1" w:rsidRDefault="00E02AC1" w:rsidP="00E02AC1">
            <w:pPr>
              <w:spacing w:after="0" w:line="240" w:lineRule="auto"/>
              <w:jc w:val="right"/>
              <w:rPr>
                <w:rFonts w:ascii="Arial" w:hAnsi="Arial" w:cs="Arial"/>
              </w:rPr>
            </w:pPr>
            <w:r w:rsidRPr="00E02AC1">
              <w:rPr>
                <w:rFonts w:ascii="Arial" w:hAnsi="Arial" w:cs="Arial"/>
              </w:rPr>
              <w:t xml:space="preserve">18,180 </w:t>
            </w:r>
          </w:p>
        </w:tc>
      </w:tr>
      <w:tr w:rsidR="00E02AC1" w:rsidRPr="00E02AC1" w:rsidTr="00E02AC1">
        <w:trPr>
          <w:trHeight w:val="225"/>
        </w:trPr>
        <w:tc>
          <w:tcPr>
            <w:tcW w:w="2880" w:type="dxa"/>
            <w:tcBorders>
              <w:top w:val="nil"/>
              <w:left w:val="nil"/>
              <w:bottom w:val="nil"/>
              <w:right w:val="nil"/>
            </w:tcBorders>
            <w:shd w:val="clear" w:color="auto" w:fill="auto"/>
            <w:vAlign w:val="bottom"/>
            <w:hideMark/>
          </w:tcPr>
          <w:p w:rsidR="00E02AC1" w:rsidRPr="00E02AC1" w:rsidRDefault="00E02AC1" w:rsidP="00E02AC1">
            <w:pPr>
              <w:spacing w:after="0" w:line="240" w:lineRule="auto"/>
              <w:ind w:firstLineChars="100" w:firstLine="160"/>
              <w:jc w:val="left"/>
              <w:rPr>
                <w:rFonts w:ascii="Arial" w:hAnsi="Arial" w:cs="Arial"/>
              </w:rPr>
            </w:pPr>
            <w:r w:rsidRPr="00E02AC1">
              <w:rPr>
                <w:rFonts w:ascii="Arial" w:hAnsi="Arial" w:cs="Arial"/>
              </w:rPr>
              <w:t xml:space="preserve">Accumulated depreciation/ </w:t>
            </w:r>
          </w:p>
        </w:tc>
        <w:tc>
          <w:tcPr>
            <w:tcW w:w="1260" w:type="dxa"/>
            <w:tcBorders>
              <w:top w:val="nil"/>
              <w:left w:val="nil"/>
              <w:bottom w:val="nil"/>
              <w:right w:val="nil"/>
            </w:tcBorders>
            <w:shd w:val="clear" w:color="auto" w:fill="auto"/>
            <w:noWrap/>
            <w:vAlign w:val="bottom"/>
            <w:hideMark/>
          </w:tcPr>
          <w:p w:rsidR="00E02AC1" w:rsidRPr="00E02AC1" w:rsidRDefault="00E02AC1" w:rsidP="00E02AC1">
            <w:pPr>
              <w:spacing w:after="0" w:line="240" w:lineRule="auto"/>
              <w:jc w:val="left"/>
              <w:rPr>
                <w:rFonts w:ascii="Arial" w:hAnsi="Arial" w:cs="Arial"/>
                <w:sz w:val="20"/>
                <w:szCs w:val="20"/>
              </w:rPr>
            </w:pPr>
          </w:p>
        </w:tc>
        <w:tc>
          <w:tcPr>
            <w:tcW w:w="1060" w:type="dxa"/>
            <w:tcBorders>
              <w:top w:val="nil"/>
              <w:left w:val="nil"/>
              <w:bottom w:val="nil"/>
              <w:right w:val="nil"/>
            </w:tcBorders>
            <w:shd w:val="clear" w:color="auto" w:fill="auto"/>
            <w:noWrap/>
            <w:vAlign w:val="bottom"/>
            <w:hideMark/>
          </w:tcPr>
          <w:p w:rsidR="00E02AC1" w:rsidRPr="00E02AC1" w:rsidRDefault="00E02AC1" w:rsidP="00E02AC1">
            <w:pPr>
              <w:spacing w:after="0" w:line="240" w:lineRule="auto"/>
              <w:jc w:val="left"/>
              <w:rPr>
                <w:rFonts w:ascii="Arial" w:hAnsi="Arial" w:cs="Arial"/>
                <w:sz w:val="20"/>
                <w:szCs w:val="20"/>
              </w:rPr>
            </w:pPr>
          </w:p>
        </w:tc>
        <w:tc>
          <w:tcPr>
            <w:tcW w:w="700" w:type="dxa"/>
            <w:tcBorders>
              <w:top w:val="nil"/>
              <w:left w:val="nil"/>
              <w:bottom w:val="nil"/>
              <w:right w:val="nil"/>
            </w:tcBorders>
            <w:shd w:val="clear" w:color="auto" w:fill="auto"/>
            <w:noWrap/>
            <w:vAlign w:val="bottom"/>
            <w:hideMark/>
          </w:tcPr>
          <w:p w:rsidR="00E02AC1" w:rsidRPr="00E02AC1" w:rsidRDefault="00E02AC1" w:rsidP="00E02AC1">
            <w:pPr>
              <w:spacing w:after="0" w:line="240" w:lineRule="auto"/>
              <w:jc w:val="right"/>
              <w:rPr>
                <w:rFonts w:ascii="Arial" w:hAnsi="Arial" w:cs="Arial"/>
                <w:sz w:val="20"/>
                <w:szCs w:val="20"/>
              </w:rPr>
            </w:pPr>
          </w:p>
        </w:tc>
      </w:tr>
      <w:tr w:rsidR="00E02AC1" w:rsidRPr="00E02AC1" w:rsidTr="00E02AC1">
        <w:trPr>
          <w:trHeight w:val="210"/>
        </w:trPr>
        <w:tc>
          <w:tcPr>
            <w:tcW w:w="2880" w:type="dxa"/>
            <w:tcBorders>
              <w:top w:val="nil"/>
              <w:left w:val="nil"/>
              <w:bottom w:val="nil"/>
              <w:right w:val="nil"/>
            </w:tcBorders>
            <w:shd w:val="clear" w:color="auto" w:fill="auto"/>
            <w:noWrap/>
            <w:vAlign w:val="bottom"/>
            <w:hideMark/>
          </w:tcPr>
          <w:p w:rsidR="00E02AC1" w:rsidRPr="00E02AC1" w:rsidRDefault="00E02AC1" w:rsidP="00E02AC1">
            <w:pPr>
              <w:spacing w:after="0" w:line="240" w:lineRule="auto"/>
              <w:ind w:firstLineChars="200" w:firstLine="320"/>
              <w:jc w:val="left"/>
              <w:rPr>
                <w:rFonts w:ascii="Arial" w:hAnsi="Arial" w:cs="Arial"/>
              </w:rPr>
            </w:pPr>
            <w:r w:rsidRPr="00E02AC1">
              <w:rPr>
                <w:rFonts w:ascii="Arial" w:hAnsi="Arial" w:cs="Arial"/>
              </w:rPr>
              <w:t>amortisation and impairment</w:t>
            </w:r>
          </w:p>
        </w:tc>
        <w:tc>
          <w:tcPr>
            <w:tcW w:w="1260" w:type="dxa"/>
            <w:tcBorders>
              <w:top w:val="nil"/>
              <w:left w:val="nil"/>
              <w:bottom w:val="nil"/>
              <w:right w:val="nil"/>
            </w:tcBorders>
            <w:shd w:val="clear" w:color="auto" w:fill="auto"/>
            <w:noWrap/>
            <w:vAlign w:val="bottom"/>
            <w:hideMark/>
          </w:tcPr>
          <w:p w:rsidR="00E02AC1" w:rsidRPr="00E02AC1" w:rsidRDefault="00E02AC1" w:rsidP="00E02AC1">
            <w:pPr>
              <w:spacing w:after="0" w:line="240" w:lineRule="auto"/>
              <w:jc w:val="right"/>
              <w:rPr>
                <w:rFonts w:ascii="Arial" w:hAnsi="Arial" w:cs="Arial"/>
              </w:rPr>
            </w:pPr>
            <w:r w:rsidRPr="00E02AC1">
              <w:rPr>
                <w:rFonts w:ascii="Arial" w:hAnsi="Arial" w:cs="Arial"/>
              </w:rPr>
              <w:t>(7,568)</w:t>
            </w:r>
          </w:p>
        </w:tc>
        <w:tc>
          <w:tcPr>
            <w:tcW w:w="1060" w:type="dxa"/>
            <w:tcBorders>
              <w:top w:val="nil"/>
              <w:left w:val="nil"/>
              <w:bottom w:val="nil"/>
              <w:right w:val="nil"/>
            </w:tcBorders>
            <w:shd w:val="clear" w:color="auto" w:fill="auto"/>
            <w:noWrap/>
            <w:vAlign w:val="bottom"/>
            <w:hideMark/>
          </w:tcPr>
          <w:p w:rsidR="00E02AC1" w:rsidRPr="00E02AC1" w:rsidRDefault="00E02AC1" w:rsidP="00E02AC1">
            <w:pPr>
              <w:spacing w:after="0" w:line="240" w:lineRule="auto"/>
              <w:jc w:val="right"/>
              <w:rPr>
                <w:rFonts w:ascii="Arial" w:hAnsi="Arial" w:cs="Arial"/>
              </w:rPr>
            </w:pPr>
            <w:r w:rsidRPr="00E02AC1">
              <w:rPr>
                <w:rFonts w:ascii="Arial" w:hAnsi="Arial" w:cs="Arial"/>
              </w:rPr>
              <w:t>(4,157)</w:t>
            </w:r>
          </w:p>
        </w:tc>
        <w:tc>
          <w:tcPr>
            <w:tcW w:w="700" w:type="dxa"/>
            <w:tcBorders>
              <w:top w:val="nil"/>
              <w:left w:val="nil"/>
              <w:bottom w:val="nil"/>
              <w:right w:val="nil"/>
            </w:tcBorders>
            <w:shd w:val="clear" w:color="auto" w:fill="auto"/>
            <w:noWrap/>
            <w:vAlign w:val="bottom"/>
            <w:hideMark/>
          </w:tcPr>
          <w:p w:rsidR="00E02AC1" w:rsidRPr="00E02AC1" w:rsidRDefault="00E02AC1" w:rsidP="00E02AC1">
            <w:pPr>
              <w:spacing w:after="0" w:line="240" w:lineRule="auto"/>
              <w:jc w:val="right"/>
              <w:rPr>
                <w:rFonts w:ascii="Arial" w:hAnsi="Arial" w:cs="Arial"/>
              </w:rPr>
            </w:pPr>
            <w:r w:rsidRPr="00E02AC1">
              <w:rPr>
                <w:rFonts w:ascii="Arial" w:hAnsi="Arial" w:cs="Arial"/>
              </w:rPr>
              <w:t>(11,725)</w:t>
            </w:r>
          </w:p>
        </w:tc>
      </w:tr>
      <w:tr w:rsidR="00E02AC1" w:rsidRPr="00E02AC1" w:rsidTr="00E02AC1">
        <w:trPr>
          <w:trHeight w:val="225"/>
        </w:trPr>
        <w:tc>
          <w:tcPr>
            <w:tcW w:w="2880" w:type="dxa"/>
            <w:tcBorders>
              <w:top w:val="nil"/>
              <w:left w:val="nil"/>
              <w:bottom w:val="single" w:sz="4" w:space="0" w:color="auto"/>
              <w:right w:val="nil"/>
            </w:tcBorders>
            <w:shd w:val="clear" w:color="auto" w:fill="auto"/>
            <w:noWrap/>
            <w:vAlign w:val="bottom"/>
            <w:hideMark/>
          </w:tcPr>
          <w:p w:rsidR="00E02AC1" w:rsidRPr="00E02AC1" w:rsidRDefault="00E02AC1" w:rsidP="00E02AC1">
            <w:pPr>
              <w:spacing w:after="0" w:line="240" w:lineRule="auto"/>
              <w:jc w:val="left"/>
              <w:rPr>
                <w:rFonts w:ascii="Arial" w:hAnsi="Arial" w:cs="Arial"/>
                <w:b/>
                <w:bCs/>
              </w:rPr>
            </w:pPr>
            <w:r w:rsidRPr="00E02AC1">
              <w:rPr>
                <w:rFonts w:ascii="Arial" w:hAnsi="Arial" w:cs="Arial"/>
                <w:b/>
                <w:bCs/>
              </w:rPr>
              <w:t>Closing net book balance</w:t>
            </w:r>
          </w:p>
        </w:tc>
        <w:tc>
          <w:tcPr>
            <w:tcW w:w="1260" w:type="dxa"/>
            <w:tcBorders>
              <w:top w:val="single" w:sz="4" w:space="0" w:color="auto"/>
              <w:left w:val="nil"/>
              <w:bottom w:val="single" w:sz="4" w:space="0" w:color="auto"/>
              <w:right w:val="nil"/>
            </w:tcBorders>
            <w:shd w:val="clear" w:color="auto" w:fill="auto"/>
            <w:noWrap/>
            <w:vAlign w:val="bottom"/>
            <w:hideMark/>
          </w:tcPr>
          <w:p w:rsidR="00E02AC1" w:rsidRPr="00E02AC1" w:rsidRDefault="00E02AC1" w:rsidP="00E02AC1">
            <w:pPr>
              <w:spacing w:after="0" w:line="240" w:lineRule="auto"/>
              <w:jc w:val="right"/>
              <w:rPr>
                <w:rFonts w:ascii="Arial" w:hAnsi="Arial" w:cs="Arial"/>
                <w:b/>
                <w:bCs/>
              </w:rPr>
            </w:pPr>
            <w:r w:rsidRPr="00E02AC1">
              <w:rPr>
                <w:rFonts w:ascii="Arial" w:hAnsi="Arial" w:cs="Arial"/>
                <w:b/>
                <w:bCs/>
              </w:rPr>
              <w:t xml:space="preserve">2,555 </w:t>
            </w:r>
          </w:p>
        </w:tc>
        <w:tc>
          <w:tcPr>
            <w:tcW w:w="1060" w:type="dxa"/>
            <w:tcBorders>
              <w:top w:val="single" w:sz="4" w:space="0" w:color="auto"/>
              <w:left w:val="nil"/>
              <w:bottom w:val="single" w:sz="4" w:space="0" w:color="auto"/>
              <w:right w:val="nil"/>
            </w:tcBorders>
            <w:shd w:val="clear" w:color="auto" w:fill="auto"/>
            <w:noWrap/>
            <w:vAlign w:val="bottom"/>
            <w:hideMark/>
          </w:tcPr>
          <w:p w:rsidR="00E02AC1" w:rsidRPr="00E02AC1" w:rsidRDefault="00E02AC1" w:rsidP="00E02AC1">
            <w:pPr>
              <w:spacing w:after="0" w:line="240" w:lineRule="auto"/>
              <w:jc w:val="right"/>
              <w:rPr>
                <w:rFonts w:ascii="Arial" w:hAnsi="Arial" w:cs="Arial"/>
                <w:b/>
                <w:bCs/>
              </w:rPr>
            </w:pPr>
            <w:r w:rsidRPr="00E02AC1">
              <w:rPr>
                <w:rFonts w:ascii="Arial" w:hAnsi="Arial" w:cs="Arial"/>
                <w:b/>
                <w:bCs/>
              </w:rPr>
              <w:t xml:space="preserve">3,900 </w:t>
            </w:r>
          </w:p>
        </w:tc>
        <w:tc>
          <w:tcPr>
            <w:tcW w:w="700" w:type="dxa"/>
            <w:tcBorders>
              <w:top w:val="single" w:sz="4" w:space="0" w:color="auto"/>
              <w:left w:val="nil"/>
              <w:bottom w:val="single" w:sz="4" w:space="0" w:color="auto"/>
              <w:right w:val="nil"/>
            </w:tcBorders>
            <w:shd w:val="clear" w:color="auto" w:fill="auto"/>
            <w:noWrap/>
            <w:vAlign w:val="bottom"/>
            <w:hideMark/>
          </w:tcPr>
          <w:p w:rsidR="00E02AC1" w:rsidRPr="00E02AC1" w:rsidRDefault="00E02AC1" w:rsidP="00E02AC1">
            <w:pPr>
              <w:spacing w:after="0" w:line="240" w:lineRule="auto"/>
              <w:jc w:val="right"/>
              <w:rPr>
                <w:rFonts w:ascii="Arial" w:hAnsi="Arial" w:cs="Arial"/>
                <w:b/>
                <w:bCs/>
              </w:rPr>
            </w:pPr>
            <w:r w:rsidRPr="00E02AC1">
              <w:rPr>
                <w:rFonts w:ascii="Arial" w:hAnsi="Arial" w:cs="Arial"/>
                <w:b/>
                <w:bCs/>
              </w:rPr>
              <w:t xml:space="preserve">6,455 </w:t>
            </w:r>
          </w:p>
        </w:tc>
      </w:tr>
    </w:tbl>
    <w:p w:rsidR="00B2394E" w:rsidRPr="00B150F0" w:rsidRDefault="00B2394E" w:rsidP="00BE1C0C">
      <w:pPr>
        <w:pStyle w:val="TableGraphic"/>
        <w:jc w:val="left"/>
        <w:rPr>
          <w:rFonts w:ascii="Arial" w:hAnsi="Arial" w:cs="Arial"/>
          <w:i/>
        </w:rPr>
      </w:pPr>
      <w:proofErr w:type="gramStart"/>
      <w:r w:rsidRPr="00F64A54">
        <w:rPr>
          <w:rFonts w:ascii="Arial" w:hAnsi="Arial" w:cs="Arial"/>
        </w:rPr>
        <w:t>Prepared on Australian Accounting Standards basis.</w:t>
      </w:r>
      <w:proofErr w:type="gramEnd"/>
    </w:p>
    <w:p w:rsidR="003016C4" w:rsidRDefault="003016C4" w:rsidP="00BE1C0C">
      <w:pPr>
        <w:pStyle w:val="Heading5"/>
        <w:spacing w:after="0"/>
      </w:pPr>
    </w:p>
    <w:p w:rsidR="003016C4" w:rsidRDefault="003016C4" w:rsidP="00BE1C0C">
      <w:pPr>
        <w:pStyle w:val="Heading5"/>
        <w:spacing w:after="0"/>
      </w:pPr>
    </w:p>
    <w:p w:rsidR="003016C4" w:rsidRDefault="003016C4" w:rsidP="00BE1C0C">
      <w:pPr>
        <w:pStyle w:val="Heading5"/>
        <w:spacing w:after="0"/>
      </w:pPr>
    </w:p>
    <w:p w:rsidR="003016C4" w:rsidRDefault="003016C4" w:rsidP="00BE1C0C">
      <w:pPr>
        <w:pStyle w:val="Heading5"/>
        <w:spacing w:after="0"/>
      </w:pPr>
    </w:p>
    <w:p w:rsidR="003016C4" w:rsidRDefault="003016C4">
      <w:pPr>
        <w:spacing w:after="0" w:line="240" w:lineRule="auto"/>
        <w:jc w:val="left"/>
        <w:rPr>
          <w:rFonts w:ascii="Arial" w:hAnsi="Arial"/>
          <w:b/>
          <w:bCs/>
          <w:iCs/>
          <w:sz w:val="20"/>
          <w:szCs w:val="26"/>
        </w:rPr>
      </w:pPr>
      <w:r>
        <w:br w:type="page"/>
      </w:r>
    </w:p>
    <w:p w:rsidR="00B2394E" w:rsidRDefault="00B2394E" w:rsidP="00BE1C0C">
      <w:pPr>
        <w:pStyle w:val="Heading5"/>
        <w:spacing w:after="0"/>
      </w:pPr>
      <w:r w:rsidRPr="00D30CBA">
        <w:lastRenderedPageBreak/>
        <w:t>Table</w:t>
      </w:r>
      <w:r>
        <w:t xml:space="preserve"> 3.7</w:t>
      </w:r>
      <w:r w:rsidRPr="00D30CBA">
        <w:t xml:space="preserve">: Schedule of </w:t>
      </w:r>
      <w:r>
        <w:t>B</w:t>
      </w:r>
      <w:r w:rsidRPr="00D30CBA">
        <w:t xml:space="preserve">udgeted </w:t>
      </w:r>
      <w:r>
        <w:t>I</w:t>
      </w:r>
      <w:r w:rsidRPr="00D30CBA">
        <w:t xml:space="preserve">ncome and </w:t>
      </w:r>
      <w:r>
        <w:t>E</w:t>
      </w:r>
      <w:r w:rsidRPr="00D30CBA">
        <w:t>xpe</w:t>
      </w:r>
      <w:r w:rsidR="001D4988">
        <w:t xml:space="preserve">nses </w:t>
      </w:r>
      <w:r>
        <w:t>Administered on Behalf of G</w:t>
      </w:r>
      <w:r w:rsidRPr="00D30CBA">
        <w:t>ove</w:t>
      </w:r>
      <w:r w:rsidR="001D4988">
        <w:t xml:space="preserve">rnment (for the Period Ended </w:t>
      </w:r>
      <w:r>
        <w:t>30 </w:t>
      </w:r>
      <w:r w:rsidRPr="00D30CBA">
        <w:t>June)</w:t>
      </w:r>
    </w:p>
    <w:tbl>
      <w:tblPr>
        <w:tblW w:w="7950" w:type="dxa"/>
        <w:tblInd w:w="96" w:type="dxa"/>
        <w:tblLook w:val="04A0"/>
      </w:tblPr>
      <w:tblGrid>
        <w:gridCol w:w="2433"/>
        <w:gridCol w:w="1052"/>
        <w:gridCol w:w="1166"/>
        <w:gridCol w:w="1035"/>
        <w:gridCol w:w="1035"/>
        <w:gridCol w:w="1239"/>
      </w:tblGrid>
      <w:tr w:rsidR="003016C4" w:rsidRPr="003016C4" w:rsidTr="003016C4">
        <w:trPr>
          <w:trHeight w:val="900"/>
        </w:trPr>
        <w:tc>
          <w:tcPr>
            <w:tcW w:w="2433" w:type="dxa"/>
            <w:tcBorders>
              <w:top w:val="single" w:sz="4" w:space="0" w:color="000000"/>
              <w:left w:val="nil"/>
              <w:bottom w:val="nil"/>
              <w:right w:val="nil"/>
            </w:tcBorders>
            <w:shd w:val="clear" w:color="auto" w:fill="auto"/>
            <w:noWrap/>
            <w:hideMark/>
          </w:tcPr>
          <w:p w:rsidR="003016C4" w:rsidRPr="003016C4" w:rsidRDefault="003016C4" w:rsidP="003016C4">
            <w:pPr>
              <w:spacing w:after="0" w:line="240" w:lineRule="auto"/>
              <w:jc w:val="left"/>
              <w:rPr>
                <w:rFonts w:ascii="Arial" w:hAnsi="Arial" w:cs="Arial"/>
                <w:b/>
                <w:bCs/>
              </w:rPr>
            </w:pPr>
            <w:r w:rsidRPr="003016C4">
              <w:rPr>
                <w:rFonts w:ascii="Arial" w:hAnsi="Arial" w:cs="Arial"/>
                <w:b/>
                <w:bCs/>
              </w:rPr>
              <w:t> </w:t>
            </w:r>
          </w:p>
        </w:tc>
        <w:tc>
          <w:tcPr>
            <w:tcW w:w="1052" w:type="dxa"/>
            <w:tcBorders>
              <w:top w:val="single" w:sz="4" w:space="0" w:color="auto"/>
              <w:left w:val="nil"/>
              <w:bottom w:val="single" w:sz="4" w:space="0" w:color="auto"/>
              <w:right w:val="nil"/>
            </w:tcBorders>
            <w:shd w:val="clear" w:color="auto" w:fill="auto"/>
            <w:hideMark/>
          </w:tcPr>
          <w:p w:rsidR="003016C4" w:rsidRPr="003016C4" w:rsidRDefault="003016C4" w:rsidP="003016C4">
            <w:pPr>
              <w:spacing w:after="0" w:line="240" w:lineRule="auto"/>
              <w:jc w:val="right"/>
              <w:rPr>
                <w:rFonts w:ascii="Arial" w:hAnsi="Arial" w:cs="Arial"/>
              </w:rPr>
            </w:pPr>
            <w:r w:rsidRPr="003016C4">
              <w:rPr>
                <w:rFonts w:ascii="Arial" w:hAnsi="Arial" w:cs="Arial"/>
              </w:rPr>
              <w:t>2015-16 Estimated actual</w:t>
            </w:r>
            <w:r w:rsidRPr="003016C4">
              <w:rPr>
                <w:rFonts w:ascii="Arial" w:hAnsi="Arial" w:cs="Arial"/>
              </w:rPr>
              <w:br/>
              <w:t>$'000</w:t>
            </w:r>
          </w:p>
        </w:tc>
        <w:tc>
          <w:tcPr>
            <w:tcW w:w="1166" w:type="dxa"/>
            <w:tcBorders>
              <w:top w:val="single" w:sz="4" w:space="0" w:color="auto"/>
              <w:left w:val="nil"/>
              <w:bottom w:val="single" w:sz="4" w:space="0" w:color="auto"/>
              <w:right w:val="nil"/>
            </w:tcBorders>
            <w:shd w:val="clear" w:color="000000" w:fill="E6E6E6"/>
            <w:hideMark/>
          </w:tcPr>
          <w:p w:rsidR="003016C4" w:rsidRPr="003016C4" w:rsidRDefault="003016C4" w:rsidP="003016C4">
            <w:pPr>
              <w:spacing w:after="0" w:line="240" w:lineRule="auto"/>
              <w:jc w:val="right"/>
              <w:rPr>
                <w:rFonts w:ascii="Arial" w:hAnsi="Arial" w:cs="Arial"/>
              </w:rPr>
            </w:pPr>
            <w:r w:rsidRPr="003016C4">
              <w:rPr>
                <w:rFonts w:ascii="Arial" w:hAnsi="Arial" w:cs="Arial"/>
              </w:rPr>
              <w:t>2016-17</w:t>
            </w:r>
            <w:r w:rsidRPr="003016C4">
              <w:rPr>
                <w:rFonts w:ascii="Arial" w:hAnsi="Arial" w:cs="Arial"/>
              </w:rPr>
              <w:br/>
              <w:t>Budget</w:t>
            </w:r>
            <w:r w:rsidRPr="003016C4">
              <w:rPr>
                <w:rFonts w:ascii="Arial" w:hAnsi="Arial" w:cs="Arial"/>
              </w:rPr>
              <w:br/>
            </w:r>
            <w:r w:rsidRPr="003016C4">
              <w:rPr>
                <w:rFonts w:ascii="Arial" w:hAnsi="Arial" w:cs="Arial"/>
              </w:rPr>
              <w:br/>
              <w:t>$'000</w:t>
            </w:r>
          </w:p>
        </w:tc>
        <w:tc>
          <w:tcPr>
            <w:tcW w:w="1030" w:type="dxa"/>
            <w:tcBorders>
              <w:top w:val="single" w:sz="4" w:space="0" w:color="auto"/>
              <w:left w:val="nil"/>
              <w:bottom w:val="single" w:sz="4" w:space="0" w:color="auto"/>
              <w:right w:val="nil"/>
            </w:tcBorders>
            <w:shd w:val="clear" w:color="auto" w:fill="auto"/>
            <w:hideMark/>
          </w:tcPr>
          <w:p w:rsidR="003016C4" w:rsidRPr="003016C4" w:rsidRDefault="003016C4" w:rsidP="003016C4">
            <w:pPr>
              <w:spacing w:after="0" w:line="240" w:lineRule="auto"/>
              <w:jc w:val="right"/>
              <w:rPr>
                <w:rFonts w:ascii="Arial" w:hAnsi="Arial" w:cs="Arial"/>
              </w:rPr>
            </w:pPr>
            <w:r w:rsidRPr="003016C4">
              <w:rPr>
                <w:rFonts w:ascii="Arial" w:hAnsi="Arial" w:cs="Arial"/>
              </w:rPr>
              <w:t>2017-18 Forward estimate</w:t>
            </w:r>
            <w:r w:rsidRPr="003016C4">
              <w:rPr>
                <w:rFonts w:ascii="Arial" w:hAnsi="Arial" w:cs="Arial"/>
              </w:rPr>
              <w:br/>
              <w:t>$'000</w:t>
            </w:r>
          </w:p>
        </w:tc>
        <w:tc>
          <w:tcPr>
            <w:tcW w:w="1030" w:type="dxa"/>
            <w:tcBorders>
              <w:top w:val="single" w:sz="4" w:space="0" w:color="auto"/>
              <w:left w:val="nil"/>
              <w:bottom w:val="single" w:sz="4" w:space="0" w:color="auto"/>
              <w:right w:val="nil"/>
            </w:tcBorders>
            <w:shd w:val="clear" w:color="auto" w:fill="auto"/>
            <w:hideMark/>
          </w:tcPr>
          <w:p w:rsidR="003016C4" w:rsidRPr="003016C4" w:rsidRDefault="003016C4" w:rsidP="003016C4">
            <w:pPr>
              <w:spacing w:after="0" w:line="240" w:lineRule="auto"/>
              <w:jc w:val="right"/>
              <w:rPr>
                <w:rFonts w:ascii="Arial" w:hAnsi="Arial" w:cs="Arial"/>
              </w:rPr>
            </w:pPr>
            <w:r w:rsidRPr="003016C4">
              <w:rPr>
                <w:rFonts w:ascii="Arial" w:hAnsi="Arial" w:cs="Arial"/>
              </w:rPr>
              <w:t>2018-19 Forward estimate</w:t>
            </w:r>
            <w:r w:rsidRPr="003016C4">
              <w:rPr>
                <w:rFonts w:ascii="Arial" w:hAnsi="Arial" w:cs="Arial"/>
              </w:rPr>
              <w:br/>
              <w:t>$'000</w:t>
            </w:r>
          </w:p>
        </w:tc>
        <w:tc>
          <w:tcPr>
            <w:tcW w:w="1239" w:type="dxa"/>
            <w:tcBorders>
              <w:top w:val="single" w:sz="4" w:space="0" w:color="auto"/>
              <w:left w:val="nil"/>
              <w:bottom w:val="single" w:sz="4" w:space="0" w:color="auto"/>
              <w:right w:val="nil"/>
            </w:tcBorders>
            <w:shd w:val="clear" w:color="auto" w:fill="auto"/>
            <w:hideMark/>
          </w:tcPr>
          <w:p w:rsidR="003016C4" w:rsidRPr="003016C4" w:rsidRDefault="003016C4" w:rsidP="003016C4">
            <w:pPr>
              <w:spacing w:after="0" w:line="240" w:lineRule="auto"/>
              <w:jc w:val="right"/>
              <w:rPr>
                <w:rFonts w:ascii="Arial" w:hAnsi="Arial" w:cs="Arial"/>
              </w:rPr>
            </w:pPr>
            <w:r w:rsidRPr="003016C4">
              <w:rPr>
                <w:rFonts w:ascii="Arial" w:hAnsi="Arial" w:cs="Arial"/>
              </w:rPr>
              <w:t>2019-20</w:t>
            </w:r>
            <w:r w:rsidRPr="003016C4">
              <w:rPr>
                <w:rFonts w:ascii="Arial" w:hAnsi="Arial" w:cs="Arial"/>
              </w:rPr>
              <w:br/>
              <w:t>Forward estimate</w:t>
            </w:r>
            <w:r w:rsidRPr="003016C4">
              <w:rPr>
                <w:rFonts w:ascii="Arial" w:hAnsi="Arial" w:cs="Arial"/>
              </w:rPr>
              <w:br/>
              <w:t>$'000</w:t>
            </w:r>
          </w:p>
        </w:tc>
      </w:tr>
      <w:tr w:rsidR="003016C4" w:rsidRPr="003016C4" w:rsidTr="003016C4">
        <w:trPr>
          <w:trHeight w:val="225"/>
        </w:trPr>
        <w:tc>
          <w:tcPr>
            <w:tcW w:w="2433"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jc w:val="left"/>
              <w:rPr>
                <w:rFonts w:ascii="Arial" w:hAnsi="Arial" w:cs="Arial"/>
                <w:b/>
                <w:bCs/>
                <w:color w:val="000000"/>
              </w:rPr>
            </w:pPr>
            <w:r w:rsidRPr="003016C4">
              <w:rPr>
                <w:rFonts w:ascii="Arial" w:hAnsi="Arial" w:cs="Arial"/>
                <w:b/>
                <w:bCs/>
                <w:color w:val="000000"/>
              </w:rPr>
              <w:t>EXPENSES</w:t>
            </w:r>
          </w:p>
        </w:tc>
        <w:tc>
          <w:tcPr>
            <w:tcW w:w="1052"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jc w:val="left"/>
              <w:rPr>
                <w:rFonts w:ascii="Arial" w:hAnsi="Arial" w:cs="Arial"/>
                <w:color w:val="000000"/>
              </w:rPr>
            </w:pPr>
          </w:p>
        </w:tc>
        <w:tc>
          <w:tcPr>
            <w:tcW w:w="1166" w:type="dxa"/>
            <w:tcBorders>
              <w:top w:val="nil"/>
              <w:left w:val="nil"/>
              <w:bottom w:val="nil"/>
              <w:right w:val="nil"/>
            </w:tcBorders>
            <w:shd w:val="clear" w:color="000000" w:fill="E6E6E6"/>
            <w:noWrap/>
            <w:vAlign w:val="center"/>
            <w:hideMark/>
          </w:tcPr>
          <w:p w:rsidR="003016C4" w:rsidRPr="003016C4" w:rsidRDefault="003016C4" w:rsidP="003016C4">
            <w:pPr>
              <w:spacing w:after="0" w:line="240" w:lineRule="auto"/>
              <w:jc w:val="left"/>
              <w:rPr>
                <w:rFonts w:ascii="Arial" w:hAnsi="Arial" w:cs="Arial"/>
                <w:color w:val="000000"/>
              </w:rPr>
            </w:pPr>
            <w:r w:rsidRPr="003016C4">
              <w:rPr>
                <w:rFonts w:ascii="Arial" w:hAnsi="Arial" w:cs="Arial"/>
                <w:color w:val="000000"/>
              </w:rPr>
              <w:t> </w:t>
            </w:r>
          </w:p>
        </w:tc>
        <w:tc>
          <w:tcPr>
            <w:tcW w:w="1030"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jc w:val="left"/>
              <w:rPr>
                <w:rFonts w:ascii="Arial" w:hAnsi="Arial" w:cs="Arial"/>
                <w:color w:val="000000"/>
              </w:rPr>
            </w:pPr>
          </w:p>
        </w:tc>
        <w:tc>
          <w:tcPr>
            <w:tcW w:w="1030"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jc w:val="left"/>
              <w:rPr>
                <w:rFonts w:ascii="Arial" w:hAnsi="Arial" w:cs="Arial"/>
                <w:color w:val="000000"/>
              </w:rPr>
            </w:pPr>
          </w:p>
        </w:tc>
        <w:tc>
          <w:tcPr>
            <w:tcW w:w="1239"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jc w:val="left"/>
              <w:rPr>
                <w:rFonts w:ascii="Arial" w:hAnsi="Arial" w:cs="Arial"/>
                <w:color w:val="000000"/>
              </w:rPr>
            </w:pPr>
          </w:p>
        </w:tc>
      </w:tr>
      <w:tr w:rsidR="003016C4" w:rsidRPr="003016C4" w:rsidTr="003016C4">
        <w:trPr>
          <w:trHeight w:val="225"/>
        </w:trPr>
        <w:tc>
          <w:tcPr>
            <w:tcW w:w="2433"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ind w:firstLineChars="100" w:firstLine="160"/>
              <w:jc w:val="left"/>
              <w:rPr>
                <w:rFonts w:ascii="Arial" w:hAnsi="Arial" w:cs="Arial"/>
                <w:color w:val="000000"/>
              </w:rPr>
            </w:pPr>
            <w:r w:rsidRPr="003016C4">
              <w:rPr>
                <w:rFonts w:ascii="Arial" w:hAnsi="Arial" w:cs="Arial"/>
                <w:color w:val="000000"/>
              </w:rPr>
              <w:t>Employee benefits</w:t>
            </w:r>
          </w:p>
        </w:tc>
        <w:tc>
          <w:tcPr>
            <w:tcW w:w="1052"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jc w:val="right"/>
              <w:rPr>
                <w:rFonts w:ascii="Arial" w:hAnsi="Arial" w:cs="Arial"/>
                <w:color w:val="000000"/>
              </w:rPr>
            </w:pPr>
            <w:r w:rsidRPr="003016C4">
              <w:rPr>
                <w:rFonts w:ascii="Arial" w:hAnsi="Arial" w:cs="Arial"/>
                <w:color w:val="000000"/>
              </w:rPr>
              <w:t xml:space="preserve">875 </w:t>
            </w:r>
          </w:p>
        </w:tc>
        <w:tc>
          <w:tcPr>
            <w:tcW w:w="1166" w:type="dxa"/>
            <w:tcBorders>
              <w:top w:val="nil"/>
              <w:left w:val="nil"/>
              <w:bottom w:val="nil"/>
              <w:right w:val="nil"/>
            </w:tcBorders>
            <w:shd w:val="clear" w:color="000000" w:fill="E6E6E6"/>
            <w:noWrap/>
            <w:vAlign w:val="center"/>
            <w:hideMark/>
          </w:tcPr>
          <w:p w:rsidR="003016C4" w:rsidRPr="003016C4" w:rsidRDefault="003016C4" w:rsidP="003016C4">
            <w:pPr>
              <w:spacing w:after="0" w:line="240" w:lineRule="auto"/>
              <w:jc w:val="right"/>
              <w:rPr>
                <w:rFonts w:ascii="Arial" w:hAnsi="Arial" w:cs="Arial"/>
                <w:color w:val="000000"/>
              </w:rPr>
            </w:pPr>
            <w:r w:rsidRPr="003016C4">
              <w:rPr>
                <w:rFonts w:ascii="Arial" w:hAnsi="Arial" w:cs="Arial"/>
                <w:color w:val="000000"/>
              </w:rPr>
              <w:t xml:space="preserve">901 </w:t>
            </w:r>
          </w:p>
        </w:tc>
        <w:tc>
          <w:tcPr>
            <w:tcW w:w="1030"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jc w:val="right"/>
              <w:rPr>
                <w:rFonts w:ascii="Arial" w:hAnsi="Arial" w:cs="Arial"/>
                <w:color w:val="000000"/>
              </w:rPr>
            </w:pPr>
            <w:r w:rsidRPr="003016C4">
              <w:rPr>
                <w:rFonts w:ascii="Arial" w:hAnsi="Arial" w:cs="Arial"/>
                <w:color w:val="000000"/>
              </w:rPr>
              <w:t xml:space="preserve">928 </w:t>
            </w:r>
          </w:p>
        </w:tc>
        <w:tc>
          <w:tcPr>
            <w:tcW w:w="1030"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jc w:val="right"/>
              <w:rPr>
                <w:rFonts w:ascii="Arial" w:hAnsi="Arial" w:cs="Arial"/>
                <w:color w:val="000000"/>
              </w:rPr>
            </w:pPr>
            <w:r w:rsidRPr="003016C4">
              <w:rPr>
                <w:rFonts w:ascii="Arial" w:hAnsi="Arial" w:cs="Arial"/>
                <w:color w:val="000000"/>
              </w:rPr>
              <w:t xml:space="preserve">956 </w:t>
            </w:r>
          </w:p>
        </w:tc>
        <w:tc>
          <w:tcPr>
            <w:tcW w:w="1239"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jc w:val="right"/>
              <w:rPr>
                <w:rFonts w:ascii="Arial" w:hAnsi="Arial" w:cs="Arial"/>
                <w:color w:val="000000"/>
              </w:rPr>
            </w:pPr>
            <w:r w:rsidRPr="003016C4">
              <w:rPr>
                <w:rFonts w:ascii="Arial" w:hAnsi="Arial" w:cs="Arial"/>
                <w:color w:val="000000"/>
              </w:rPr>
              <w:t xml:space="preserve">984 </w:t>
            </w:r>
          </w:p>
        </w:tc>
      </w:tr>
      <w:tr w:rsidR="003016C4" w:rsidRPr="003016C4" w:rsidTr="003016C4">
        <w:trPr>
          <w:trHeight w:val="225"/>
        </w:trPr>
        <w:tc>
          <w:tcPr>
            <w:tcW w:w="2433"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ind w:firstLineChars="100" w:firstLine="160"/>
              <w:jc w:val="left"/>
              <w:rPr>
                <w:rFonts w:ascii="Arial" w:hAnsi="Arial" w:cs="Arial"/>
                <w:color w:val="000000"/>
              </w:rPr>
            </w:pPr>
            <w:r w:rsidRPr="003016C4">
              <w:rPr>
                <w:rFonts w:ascii="Arial" w:hAnsi="Arial" w:cs="Arial"/>
                <w:color w:val="000000"/>
              </w:rPr>
              <w:t>Suppliers</w:t>
            </w:r>
          </w:p>
        </w:tc>
        <w:tc>
          <w:tcPr>
            <w:tcW w:w="1052"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jc w:val="right"/>
              <w:rPr>
                <w:rFonts w:ascii="Arial" w:hAnsi="Arial" w:cs="Arial"/>
                <w:color w:val="000000"/>
              </w:rPr>
            </w:pPr>
            <w:r w:rsidRPr="003016C4">
              <w:rPr>
                <w:rFonts w:ascii="Arial" w:hAnsi="Arial" w:cs="Arial"/>
                <w:color w:val="000000"/>
              </w:rPr>
              <w:t xml:space="preserve">417,696 </w:t>
            </w:r>
          </w:p>
        </w:tc>
        <w:tc>
          <w:tcPr>
            <w:tcW w:w="1166" w:type="dxa"/>
            <w:tcBorders>
              <w:top w:val="nil"/>
              <w:left w:val="nil"/>
              <w:bottom w:val="nil"/>
              <w:right w:val="nil"/>
            </w:tcBorders>
            <w:shd w:val="clear" w:color="000000" w:fill="E6E6E6"/>
            <w:noWrap/>
            <w:vAlign w:val="center"/>
            <w:hideMark/>
          </w:tcPr>
          <w:p w:rsidR="003016C4" w:rsidRPr="003016C4" w:rsidRDefault="003016C4" w:rsidP="003016C4">
            <w:pPr>
              <w:spacing w:after="0" w:line="240" w:lineRule="auto"/>
              <w:jc w:val="right"/>
              <w:rPr>
                <w:rFonts w:ascii="Arial" w:hAnsi="Arial" w:cs="Arial"/>
                <w:color w:val="000000"/>
              </w:rPr>
            </w:pPr>
            <w:r w:rsidRPr="003016C4">
              <w:rPr>
                <w:rFonts w:ascii="Arial" w:hAnsi="Arial" w:cs="Arial"/>
                <w:color w:val="000000"/>
              </w:rPr>
              <w:t xml:space="preserve">456,344 </w:t>
            </w:r>
          </w:p>
        </w:tc>
        <w:tc>
          <w:tcPr>
            <w:tcW w:w="1030"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jc w:val="right"/>
              <w:rPr>
                <w:rFonts w:ascii="Arial" w:hAnsi="Arial" w:cs="Arial"/>
                <w:color w:val="000000"/>
              </w:rPr>
            </w:pPr>
            <w:r w:rsidRPr="003016C4">
              <w:rPr>
                <w:rFonts w:ascii="Arial" w:hAnsi="Arial" w:cs="Arial"/>
                <w:color w:val="000000"/>
              </w:rPr>
              <w:t xml:space="preserve">488,803 </w:t>
            </w:r>
          </w:p>
        </w:tc>
        <w:tc>
          <w:tcPr>
            <w:tcW w:w="1030"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jc w:val="right"/>
              <w:rPr>
                <w:rFonts w:ascii="Arial" w:hAnsi="Arial" w:cs="Arial"/>
                <w:color w:val="000000"/>
              </w:rPr>
            </w:pPr>
            <w:r w:rsidRPr="003016C4">
              <w:rPr>
                <w:rFonts w:ascii="Arial" w:hAnsi="Arial" w:cs="Arial"/>
                <w:color w:val="000000"/>
              </w:rPr>
              <w:t xml:space="preserve">521,329 </w:t>
            </w:r>
          </w:p>
        </w:tc>
        <w:tc>
          <w:tcPr>
            <w:tcW w:w="1239"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jc w:val="right"/>
              <w:rPr>
                <w:rFonts w:ascii="Arial" w:hAnsi="Arial" w:cs="Arial"/>
                <w:color w:val="000000"/>
              </w:rPr>
            </w:pPr>
            <w:r w:rsidRPr="003016C4">
              <w:rPr>
                <w:rFonts w:ascii="Arial" w:hAnsi="Arial" w:cs="Arial"/>
                <w:color w:val="000000"/>
              </w:rPr>
              <w:t xml:space="preserve">555,946 </w:t>
            </w:r>
          </w:p>
        </w:tc>
      </w:tr>
      <w:tr w:rsidR="003016C4" w:rsidRPr="003016C4" w:rsidTr="003016C4">
        <w:trPr>
          <w:trHeight w:val="225"/>
        </w:trPr>
        <w:tc>
          <w:tcPr>
            <w:tcW w:w="2433"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jc w:val="left"/>
              <w:rPr>
                <w:rFonts w:ascii="Arial" w:hAnsi="Arial" w:cs="Arial"/>
                <w:b/>
                <w:bCs/>
                <w:color w:val="000000"/>
              </w:rPr>
            </w:pPr>
            <w:r w:rsidRPr="003016C4">
              <w:rPr>
                <w:rFonts w:ascii="Arial" w:hAnsi="Arial" w:cs="Arial"/>
                <w:b/>
                <w:bCs/>
                <w:color w:val="000000"/>
              </w:rPr>
              <w:t xml:space="preserve">Total expenses administered </w:t>
            </w:r>
          </w:p>
        </w:tc>
        <w:tc>
          <w:tcPr>
            <w:tcW w:w="1052" w:type="dxa"/>
            <w:tcBorders>
              <w:top w:val="single" w:sz="4" w:space="0" w:color="auto"/>
              <w:left w:val="nil"/>
              <w:bottom w:val="nil"/>
              <w:right w:val="nil"/>
            </w:tcBorders>
            <w:shd w:val="clear" w:color="auto" w:fill="auto"/>
            <w:noWrap/>
            <w:vAlign w:val="center"/>
            <w:hideMark/>
          </w:tcPr>
          <w:p w:rsidR="003016C4" w:rsidRPr="003016C4" w:rsidRDefault="003016C4" w:rsidP="003016C4">
            <w:pPr>
              <w:spacing w:after="0" w:line="240" w:lineRule="auto"/>
              <w:jc w:val="left"/>
              <w:rPr>
                <w:rFonts w:ascii="Arial" w:hAnsi="Arial" w:cs="Arial"/>
                <w:color w:val="000000"/>
              </w:rPr>
            </w:pPr>
            <w:r w:rsidRPr="003016C4">
              <w:rPr>
                <w:rFonts w:ascii="Arial" w:hAnsi="Arial" w:cs="Arial"/>
                <w:color w:val="000000"/>
              </w:rPr>
              <w:t> </w:t>
            </w:r>
          </w:p>
        </w:tc>
        <w:tc>
          <w:tcPr>
            <w:tcW w:w="1166" w:type="dxa"/>
            <w:tcBorders>
              <w:top w:val="single" w:sz="4" w:space="0" w:color="auto"/>
              <w:left w:val="nil"/>
              <w:bottom w:val="nil"/>
              <w:right w:val="nil"/>
            </w:tcBorders>
            <w:shd w:val="clear" w:color="000000" w:fill="E6E6E6"/>
            <w:noWrap/>
            <w:vAlign w:val="center"/>
            <w:hideMark/>
          </w:tcPr>
          <w:p w:rsidR="003016C4" w:rsidRPr="003016C4" w:rsidRDefault="003016C4" w:rsidP="003016C4">
            <w:pPr>
              <w:spacing w:after="0" w:line="240" w:lineRule="auto"/>
              <w:jc w:val="left"/>
              <w:rPr>
                <w:rFonts w:ascii="Arial" w:hAnsi="Arial" w:cs="Arial"/>
                <w:color w:val="000000"/>
              </w:rPr>
            </w:pPr>
            <w:r w:rsidRPr="003016C4">
              <w:rPr>
                <w:rFonts w:ascii="Arial" w:hAnsi="Arial" w:cs="Arial"/>
                <w:color w:val="000000"/>
              </w:rPr>
              <w:t> </w:t>
            </w:r>
          </w:p>
        </w:tc>
        <w:tc>
          <w:tcPr>
            <w:tcW w:w="1030" w:type="dxa"/>
            <w:tcBorders>
              <w:top w:val="single" w:sz="4" w:space="0" w:color="auto"/>
              <w:left w:val="nil"/>
              <w:bottom w:val="nil"/>
              <w:right w:val="nil"/>
            </w:tcBorders>
            <w:shd w:val="clear" w:color="auto" w:fill="auto"/>
            <w:noWrap/>
            <w:vAlign w:val="center"/>
            <w:hideMark/>
          </w:tcPr>
          <w:p w:rsidR="003016C4" w:rsidRPr="003016C4" w:rsidRDefault="003016C4" w:rsidP="003016C4">
            <w:pPr>
              <w:spacing w:after="0" w:line="240" w:lineRule="auto"/>
              <w:jc w:val="left"/>
              <w:rPr>
                <w:rFonts w:ascii="Arial" w:hAnsi="Arial" w:cs="Arial"/>
                <w:color w:val="000000"/>
              </w:rPr>
            </w:pPr>
            <w:r w:rsidRPr="003016C4">
              <w:rPr>
                <w:rFonts w:ascii="Arial" w:hAnsi="Arial" w:cs="Arial"/>
                <w:color w:val="000000"/>
              </w:rPr>
              <w:t> </w:t>
            </w:r>
          </w:p>
        </w:tc>
        <w:tc>
          <w:tcPr>
            <w:tcW w:w="1030" w:type="dxa"/>
            <w:tcBorders>
              <w:top w:val="single" w:sz="4" w:space="0" w:color="auto"/>
              <w:left w:val="nil"/>
              <w:bottom w:val="nil"/>
              <w:right w:val="nil"/>
            </w:tcBorders>
            <w:shd w:val="clear" w:color="auto" w:fill="auto"/>
            <w:noWrap/>
            <w:vAlign w:val="center"/>
            <w:hideMark/>
          </w:tcPr>
          <w:p w:rsidR="003016C4" w:rsidRPr="003016C4" w:rsidRDefault="003016C4" w:rsidP="003016C4">
            <w:pPr>
              <w:spacing w:after="0" w:line="240" w:lineRule="auto"/>
              <w:jc w:val="left"/>
              <w:rPr>
                <w:rFonts w:ascii="Arial" w:hAnsi="Arial" w:cs="Arial"/>
                <w:color w:val="000000"/>
              </w:rPr>
            </w:pPr>
            <w:r w:rsidRPr="003016C4">
              <w:rPr>
                <w:rFonts w:ascii="Arial" w:hAnsi="Arial" w:cs="Arial"/>
                <w:color w:val="000000"/>
              </w:rPr>
              <w:t> </w:t>
            </w:r>
          </w:p>
        </w:tc>
        <w:tc>
          <w:tcPr>
            <w:tcW w:w="1239" w:type="dxa"/>
            <w:tcBorders>
              <w:top w:val="single" w:sz="4" w:space="0" w:color="auto"/>
              <w:left w:val="nil"/>
              <w:bottom w:val="nil"/>
              <w:right w:val="nil"/>
            </w:tcBorders>
            <w:shd w:val="clear" w:color="auto" w:fill="auto"/>
            <w:noWrap/>
            <w:vAlign w:val="center"/>
            <w:hideMark/>
          </w:tcPr>
          <w:p w:rsidR="003016C4" w:rsidRPr="003016C4" w:rsidRDefault="003016C4" w:rsidP="003016C4">
            <w:pPr>
              <w:spacing w:after="0" w:line="240" w:lineRule="auto"/>
              <w:jc w:val="left"/>
              <w:rPr>
                <w:rFonts w:ascii="Arial" w:hAnsi="Arial" w:cs="Arial"/>
                <w:color w:val="000000"/>
              </w:rPr>
            </w:pPr>
            <w:r w:rsidRPr="003016C4">
              <w:rPr>
                <w:rFonts w:ascii="Arial" w:hAnsi="Arial" w:cs="Arial"/>
                <w:color w:val="000000"/>
              </w:rPr>
              <w:t> </w:t>
            </w:r>
          </w:p>
        </w:tc>
      </w:tr>
      <w:tr w:rsidR="003016C4" w:rsidRPr="003016C4" w:rsidTr="003016C4">
        <w:trPr>
          <w:trHeight w:val="225"/>
        </w:trPr>
        <w:tc>
          <w:tcPr>
            <w:tcW w:w="2433"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ind w:firstLineChars="100" w:firstLine="161"/>
              <w:jc w:val="left"/>
              <w:rPr>
                <w:rFonts w:ascii="Arial" w:hAnsi="Arial" w:cs="Arial"/>
                <w:b/>
                <w:bCs/>
                <w:color w:val="000000"/>
              </w:rPr>
            </w:pPr>
            <w:r w:rsidRPr="003016C4">
              <w:rPr>
                <w:rFonts w:ascii="Arial" w:hAnsi="Arial" w:cs="Arial"/>
                <w:b/>
                <w:bCs/>
                <w:color w:val="000000"/>
              </w:rPr>
              <w:t>on behalf of Government</w:t>
            </w:r>
          </w:p>
        </w:tc>
        <w:tc>
          <w:tcPr>
            <w:tcW w:w="1052" w:type="dxa"/>
            <w:tcBorders>
              <w:top w:val="nil"/>
              <w:left w:val="nil"/>
              <w:bottom w:val="single" w:sz="4" w:space="0" w:color="auto"/>
              <w:right w:val="nil"/>
            </w:tcBorders>
            <w:shd w:val="clear" w:color="auto" w:fill="auto"/>
            <w:noWrap/>
            <w:vAlign w:val="center"/>
            <w:hideMark/>
          </w:tcPr>
          <w:p w:rsidR="003016C4" w:rsidRPr="003016C4" w:rsidRDefault="003016C4" w:rsidP="003016C4">
            <w:pPr>
              <w:spacing w:after="0" w:line="240" w:lineRule="auto"/>
              <w:jc w:val="right"/>
              <w:rPr>
                <w:rFonts w:ascii="Arial" w:hAnsi="Arial" w:cs="Arial"/>
                <w:b/>
                <w:bCs/>
                <w:color w:val="000000"/>
              </w:rPr>
            </w:pPr>
            <w:r w:rsidRPr="003016C4">
              <w:rPr>
                <w:rFonts w:ascii="Arial" w:hAnsi="Arial" w:cs="Arial"/>
                <w:b/>
                <w:bCs/>
                <w:color w:val="000000"/>
              </w:rPr>
              <w:t xml:space="preserve">418,571 </w:t>
            </w:r>
          </w:p>
        </w:tc>
        <w:tc>
          <w:tcPr>
            <w:tcW w:w="1166" w:type="dxa"/>
            <w:tcBorders>
              <w:top w:val="nil"/>
              <w:left w:val="nil"/>
              <w:bottom w:val="single" w:sz="4" w:space="0" w:color="auto"/>
              <w:right w:val="nil"/>
            </w:tcBorders>
            <w:shd w:val="clear" w:color="000000" w:fill="E6E6E6"/>
            <w:noWrap/>
            <w:vAlign w:val="center"/>
            <w:hideMark/>
          </w:tcPr>
          <w:p w:rsidR="003016C4" w:rsidRPr="003016C4" w:rsidRDefault="003016C4" w:rsidP="003016C4">
            <w:pPr>
              <w:spacing w:after="0" w:line="240" w:lineRule="auto"/>
              <w:jc w:val="right"/>
              <w:rPr>
                <w:rFonts w:ascii="Arial" w:hAnsi="Arial" w:cs="Arial"/>
                <w:b/>
                <w:bCs/>
                <w:color w:val="000000"/>
              </w:rPr>
            </w:pPr>
            <w:r w:rsidRPr="003016C4">
              <w:rPr>
                <w:rFonts w:ascii="Arial" w:hAnsi="Arial" w:cs="Arial"/>
                <w:b/>
                <w:bCs/>
                <w:color w:val="000000"/>
              </w:rPr>
              <w:t xml:space="preserve">457,245 </w:t>
            </w:r>
          </w:p>
        </w:tc>
        <w:tc>
          <w:tcPr>
            <w:tcW w:w="1030" w:type="dxa"/>
            <w:tcBorders>
              <w:top w:val="nil"/>
              <w:left w:val="nil"/>
              <w:bottom w:val="single" w:sz="4" w:space="0" w:color="auto"/>
              <w:right w:val="nil"/>
            </w:tcBorders>
            <w:shd w:val="clear" w:color="auto" w:fill="auto"/>
            <w:noWrap/>
            <w:vAlign w:val="center"/>
            <w:hideMark/>
          </w:tcPr>
          <w:p w:rsidR="003016C4" w:rsidRPr="003016C4" w:rsidRDefault="003016C4" w:rsidP="003016C4">
            <w:pPr>
              <w:spacing w:after="0" w:line="240" w:lineRule="auto"/>
              <w:jc w:val="right"/>
              <w:rPr>
                <w:rFonts w:ascii="Arial" w:hAnsi="Arial" w:cs="Arial"/>
                <w:b/>
                <w:bCs/>
                <w:color w:val="000000"/>
              </w:rPr>
            </w:pPr>
            <w:r w:rsidRPr="003016C4">
              <w:rPr>
                <w:rFonts w:ascii="Arial" w:hAnsi="Arial" w:cs="Arial"/>
                <w:b/>
                <w:bCs/>
                <w:color w:val="000000"/>
              </w:rPr>
              <w:t xml:space="preserve">489,731 </w:t>
            </w:r>
          </w:p>
        </w:tc>
        <w:tc>
          <w:tcPr>
            <w:tcW w:w="1030" w:type="dxa"/>
            <w:tcBorders>
              <w:top w:val="nil"/>
              <w:left w:val="nil"/>
              <w:bottom w:val="single" w:sz="4" w:space="0" w:color="auto"/>
              <w:right w:val="nil"/>
            </w:tcBorders>
            <w:shd w:val="clear" w:color="auto" w:fill="auto"/>
            <w:noWrap/>
            <w:vAlign w:val="center"/>
            <w:hideMark/>
          </w:tcPr>
          <w:p w:rsidR="003016C4" w:rsidRPr="003016C4" w:rsidRDefault="003016C4" w:rsidP="003016C4">
            <w:pPr>
              <w:spacing w:after="0" w:line="240" w:lineRule="auto"/>
              <w:jc w:val="right"/>
              <w:rPr>
                <w:rFonts w:ascii="Arial" w:hAnsi="Arial" w:cs="Arial"/>
                <w:b/>
                <w:bCs/>
                <w:color w:val="000000"/>
              </w:rPr>
            </w:pPr>
            <w:r w:rsidRPr="003016C4">
              <w:rPr>
                <w:rFonts w:ascii="Arial" w:hAnsi="Arial" w:cs="Arial"/>
                <w:b/>
                <w:bCs/>
                <w:color w:val="000000"/>
              </w:rPr>
              <w:t xml:space="preserve">522,285 </w:t>
            </w:r>
          </w:p>
        </w:tc>
        <w:tc>
          <w:tcPr>
            <w:tcW w:w="1239" w:type="dxa"/>
            <w:tcBorders>
              <w:top w:val="nil"/>
              <w:left w:val="nil"/>
              <w:bottom w:val="single" w:sz="4" w:space="0" w:color="auto"/>
              <w:right w:val="nil"/>
            </w:tcBorders>
            <w:shd w:val="clear" w:color="auto" w:fill="auto"/>
            <w:noWrap/>
            <w:vAlign w:val="center"/>
            <w:hideMark/>
          </w:tcPr>
          <w:p w:rsidR="003016C4" w:rsidRPr="003016C4" w:rsidRDefault="003016C4" w:rsidP="003016C4">
            <w:pPr>
              <w:spacing w:after="0" w:line="240" w:lineRule="auto"/>
              <w:jc w:val="right"/>
              <w:rPr>
                <w:rFonts w:ascii="Arial" w:hAnsi="Arial" w:cs="Arial"/>
                <w:b/>
                <w:bCs/>
                <w:color w:val="000000"/>
              </w:rPr>
            </w:pPr>
            <w:r w:rsidRPr="003016C4">
              <w:rPr>
                <w:rFonts w:ascii="Arial" w:hAnsi="Arial" w:cs="Arial"/>
                <w:b/>
                <w:bCs/>
                <w:color w:val="000000"/>
              </w:rPr>
              <w:t xml:space="preserve">556,930 </w:t>
            </w:r>
          </w:p>
        </w:tc>
      </w:tr>
      <w:tr w:rsidR="003016C4" w:rsidRPr="003016C4" w:rsidTr="003016C4">
        <w:trPr>
          <w:trHeight w:val="225"/>
        </w:trPr>
        <w:tc>
          <w:tcPr>
            <w:tcW w:w="2433"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jc w:val="left"/>
              <w:rPr>
                <w:rFonts w:ascii="Arial" w:hAnsi="Arial" w:cs="Arial"/>
                <w:b/>
                <w:bCs/>
                <w:color w:val="000000"/>
              </w:rPr>
            </w:pPr>
            <w:r w:rsidRPr="003016C4">
              <w:rPr>
                <w:rFonts w:ascii="Arial" w:hAnsi="Arial" w:cs="Arial"/>
                <w:b/>
                <w:bCs/>
                <w:color w:val="000000"/>
              </w:rPr>
              <w:t>LESS:</w:t>
            </w:r>
          </w:p>
        </w:tc>
        <w:tc>
          <w:tcPr>
            <w:tcW w:w="1052"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jc w:val="left"/>
              <w:rPr>
                <w:rFonts w:ascii="Arial" w:hAnsi="Arial" w:cs="Arial"/>
                <w:color w:val="000000"/>
              </w:rPr>
            </w:pPr>
          </w:p>
        </w:tc>
        <w:tc>
          <w:tcPr>
            <w:tcW w:w="1166" w:type="dxa"/>
            <w:tcBorders>
              <w:top w:val="nil"/>
              <w:left w:val="nil"/>
              <w:bottom w:val="nil"/>
              <w:right w:val="nil"/>
            </w:tcBorders>
            <w:shd w:val="clear" w:color="000000" w:fill="E6E6E6"/>
            <w:noWrap/>
            <w:vAlign w:val="center"/>
            <w:hideMark/>
          </w:tcPr>
          <w:p w:rsidR="003016C4" w:rsidRPr="003016C4" w:rsidRDefault="003016C4" w:rsidP="003016C4">
            <w:pPr>
              <w:spacing w:after="0" w:line="240" w:lineRule="auto"/>
              <w:jc w:val="left"/>
              <w:rPr>
                <w:rFonts w:ascii="Arial" w:hAnsi="Arial" w:cs="Arial"/>
                <w:color w:val="000000"/>
              </w:rPr>
            </w:pPr>
            <w:r w:rsidRPr="003016C4">
              <w:rPr>
                <w:rFonts w:ascii="Arial" w:hAnsi="Arial" w:cs="Arial"/>
                <w:color w:val="000000"/>
              </w:rPr>
              <w:t> </w:t>
            </w:r>
          </w:p>
        </w:tc>
        <w:tc>
          <w:tcPr>
            <w:tcW w:w="1030"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jc w:val="left"/>
              <w:rPr>
                <w:rFonts w:ascii="Arial" w:hAnsi="Arial" w:cs="Arial"/>
                <w:color w:val="000000"/>
              </w:rPr>
            </w:pPr>
          </w:p>
        </w:tc>
        <w:tc>
          <w:tcPr>
            <w:tcW w:w="1030"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jc w:val="left"/>
              <w:rPr>
                <w:rFonts w:ascii="Arial" w:hAnsi="Arial" w:cs="Arial"/>
                <w:color w:val="000000"/>
              </w:rPr>
            </w:pPr>
          </w:p>
        </w:tc>
        <w:tc>
          <w:tcPr>
            <w:tcW w:w="1239"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jc w:val="left"/>
              <w:rPr>
                <w:rFonts w:ascii="Arial" w:hAnsi="Arial" w:cs="Arial"/>
                <w:color w:val="000000"/>
              </w:rPr>
            </w:pPr>
          </w:p>
        </w:tc>
      </w:tr>
      <w:tr w:rsidR="003016C4" w:rsidRPr="003016C4" w:rsidTr="003016C4">
        <w:trPr>
          <w:trHeight w:val="225"/>
        </w:trPr>
        <w:tc>
          <w:tcPr>
            <w:tcW w:w="2433"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jc w:val="left"/>
              <w:rPr>
                <w:rFonts w:ascii="Arial" w:hAnsi="Arial" w:cs="Arial"/>
                <w:b/>
                <w:bCs/>
                <w:color w:val="000000"/>
              </w:rPr>
            </w:pPr>
            <w:r w:rsidRPr="003016C4">
              <w:rPr>
                <w:rFonts w:ascii="Arial" w:hAnsi="Arial" w:cs="Arial"/>
                <w:b/>
                <w:bCs/>
                <w:color w:val="000000"/>
              </w:rPr>
              <w:t>OWN-SOURCE INCOME</w:t>
            </w:r>
          </w:p>
        </w:tc>
        <w:tc>
          <w:tcPr>
            <w:tcW w:w="1052"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jc w:val="left"/>
              <w:rPr>
                <w:rFonts w:ascii="Arial" w:hAnsi="Arial" w:cs="Arial"/>
                <w:color w:val="000000"/>
              </w:rPr>
            </w:pPr>
          </w:p>
        </w:tc>
        <w:tc>
          <w:tcPr>
            <w:tcW w:w="1166" w:type="dxa"/>
            <w:tcBorders>
              <w:top w:val="nil"/>
              <w:left w:val="nil"/>
              <w:bottom w:val="nil"/>
              <w:right w:val="nil"/>
            </w:tcBorders>
            <w:shd w:val="clear" w:color="000000" w:fill="E6E6E6"/>
            <w:noWrap/>
            <w:vAlign w:val="center"/>
            <w:hideMark/>
          </w:tcPr>
          <w:p w:rsidR="003016C4" w:rsidRPr="003016C4" w:rsidRDefault="003016C4" w:rsidP="003016C4">
            <w:pPr>
              <w:spacing w:after="0" w:line="240" w:lineRule="auto"/>
              <w:jc w:val="left"/>
              <w:rPr>
                <w:rFonts w:ascii="Arial" w:hAnsi="Arial" w:cs="Arial"/>
                <w:color w:val="000000"/>
              </w:rPr>
            </w:pPr>
            <w:r w:rsidRPr="003016C4">
              <w:rPr>
                <w:rFonts w:ascii="Arial" w:hAnsi="Arial" w:cs="Arial"/>
                <w:color w:val="000000"/>
              </w:rPr>
              <w:t> </w:t>
            </w:r>
          </w:p>
        </w:tc>
        <w:tc>
          <w:tcPr>
            <w:tcW w:w="1030"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jc w:val="left"/>
              <w:rPr>
                <w:rFonts w:ascii="Arial" w:hAnsi="Arial" w:cs="Arial"/>
                <w:color w:val="000000"/>
              </w:rPr>
            </w:pPr>
          </w:p>
        </w:tc>
        <w:tc>
          <w:tcPr>
            <w:tcW w:w="1030"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jc w:val="left"/>
              <w:rPr>
                <w:rFonts w:ascii="Arial" w:hAnsi="Arial" w:cs="Arial"/>
                <w:color w:val="000000"/>
              </w:rPr>
            </w:pPr>
          </w:p>
        </w:tc>
        <w:tc>
          <w:tcPr>
            <w:tcW w:w="1239"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jc w:val="left"/>
              <w:rPr>
                <w:rFonts w:ascii="Arial" w:hAnsi="Arial" w:cs="Arial"/>
                <w:color w:val="000000"/>
              </w:rPr>
            </w:pPr>
          </w:p>
        </w:tc>
      </w:tr>
      <w:tr w:rsidR="003016C4" w:rsidRPr="003016C4" w:rsidTr="003016C4">
        <w:trPr>
          <w:trHeight w:val="225"/>
        </w:trPr>
        <w:tc>
          <w:tcPr>
            <w:tcW w:w="2433"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jc w:val="left"/>
              <w:rPr>
                <w:rFonts w:ascii="Arial" w:hAnsi="Arial" w:cs="Arial"/>
                <w:b/>
                <w:bCs/>
                <w:color w:val="000000"/>
              </w:rPr>
            </w:pPr>
            <w:r w:rsidRPr="003016C4">
              <w:rPr>
                <w:rFonts w:ascii="Arial" w:hAnsi="Arial" w:cs="Arial"/>
                <w:b/>
                <w:bCs/>
                <w:color w:val="000000"/>
              </w:rPr>
              <w:t>Non-taxation revenue</w:t>
            </w:r>
          </w:p>
        </w:tc>
        <w:tc>
          <w:tcPr>
            <w:tcW w:w="1052"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jc w:val="left"/>
              <w:rPr>
                <w:rFonts w:ascii="Arial" w:hAnsi="Arial" w:cs="Arial"/>
                <w:color w:val="000000"/>
              </w:rPr>
            </w:pPr>
          </w:p>
        </w:tc>
        <w:tc>
          <w:tcPr>
            <w:tcW w:w="1166" w:type="dxa"/>
            <w:tcBorders>
              <w:top w:val="nil"/>
              <w:left w:val="nil"/>
              <w:bottom w:val="nil"/>
              <w:right w:val="nil"/>
            </w:tcBorders>
            <w:shd w:val="clear" w:color="000000" w:fill="E6E6E6"/>
            <w:noWrap/>
            <w:vAlign w:val="center"/>
            <w:hideMark/>
          </w:tcPr>
          <w:p w:rsidR="003016C4" w:rsidRPr="003016C4" w:rsidRDefault="003016C4" w:rsidP="003016C4">
            <w:pPr>
              <w:spacing w:after="0" w:line="240" w:lineRule="auto"/>
              <w:jc w:val="left"/>
              <w:rPr>
                <w:rFonts w:ascii="Arial" w:hAnsi="Arial" w:cs="Arial"/>
                <w:color w:val="000000"/>
              </w:rPr>
            </w:pPr>
            <w:r w:rsidRPr="003016C4">
              <w:rPr>
                <w:rFonts w:ascii="Arial" w:hAnsi="Arial" w:cs="Arial"/>
                <w:color w:val="000000"/>
              </w:rPr>
              <w:t> </w:t>
            </w:r>
          </w:p>
        </w:tc>
        <w:tc>
          <w:tcPr>
            <w:tcW w:w="1030"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jc w:val="left"/>
              <w:rPr>
                <w:rFonts w:ascii="Arial" w:hAnsi="Arial" w:cs="Arial"/>
                <w:color w:val="000000"/>
              </w:rPr>
            </w:pPr>
          </w:p>
        </w:tc>
        <w:tc>
          <w:tcPr>
            <w:tcW w:w="1030"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jc w:val="left"/>
              <w:rPr>
                <w:rFonts w:ascii="Arial" w:hAnsi="Arial" w:cs="Arial"/>
                <w:color w:val="000000"/>
              </w:rPr>
            </w:pPr>
          </w:p>
        </w:tc>
        <w:tc>
          <w:tcPr>
            <w:tcW w:w="1239"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jc w:val="left"/>
              <w:rPr>
                <w:rFonts w:ascii="Arial" w:hAnsi="Arial" w:cs="Arial"/>
                <w:color w:val="000000"/>
              </w:rPr>
            </w:pPr>
          </w:p>
        </w:tc>
      </w:tr>
      <w:tr w:rsidR="003016C4" w:rsidRPr="003016C4" w:rsidTr="003016C4">
        <w:trPr>
          <w:trHeight w:val="225"/>
        </w:trPr>
        <w:tc>
          <w:tcPr>
            <w:tcW w:w="2433"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ind w:firstLineChars="100" w:firstLine="160"/>
              <w:jc w:val="left"/>
              <w:rPr>
                <w:rFonts w:ascii="Arial" w:hAnsi="Arial" w:cs="Arial"/>
                <w:color w:val="000000"/>
              </w:rPr>
            </w:pPr>
            <w:r w:rsidRPr="003016C4">
              <w:rPr>
                <w:rFonts w:ascii="Arial" w:hAnsi="Arial" w:cs="Arial"/>
                <w:color w:val="000000"/>
              </w:rPr>
              <w:t>Interest</w:t>
            </w:r>
          </w:p>
        </w:tc>
        <w:tc>
          <w:tcPr>
            <w:tcW w:w="1052"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jc w:val="right"/>
              <w:rPr>
                <w:rFonts w:ascii="Arial" w:hAnsi="Arial" w:cs="Arial"/>
                <w:color w:val="000000"/>
              </w:rPr>
            </w:pPr>
            <w:r w:rsidRPr="003016C4">
              <w:rPr>
                <w:rFonts w:ascii="Arial" w:hAnsi="Arial" w:cs="Arial"/>
                <w:color w:val="000000"/>
              </w:rPr>
              <w:t xml:space="preserve">398,966 </w:t>
            </w:r>
          </w:p>
        </w:tc>
        <w:tc>
          <w:tcPr>
            <w:tcW w:w="1166" w:type="dxa"/>
            <w:tcBorders>
              <w:top w:val="nil"/>
              <w:left w:val="nil"/>
              <w:bottom w:val="nil"/>
              <w:right w:val="nil"/>
            </w:tcBorders>
            <w:shd w:val="clear" w:color="000000" w:fill="E6E6E6"/>
            <w:noWrap/>
            <w:vAlign w:val="center"/>
            <w:hideMark/>
          </w:tcPr>
          <w:p w:rsidR="003016C4" w:rsidRPr="003016C4" w:rsidRDefault="003016C4" w:rsidP="003016C4">
            <w:pPr>
              <w:spacing w:after="0" w:line="240" w:lineRule="auto"/>
              <w:jc w:val="right"/>
              <w:rPr>
                <w:rFonts w:ascii="Arial" w:hAnsi="Arial" w:cs="Arial"/>
                <w:color w:val="000000"/>
              </w:rPr>
            </w:pPr>
            <w:r w:rsidRPr="003016C4">
              <w:rPr>
                <w:rFonts w:ascii="Arial" w:hAnsi="Arial" w:cs="Arial"/>
                <w:color w:val="000000"/>
              </w:rPr>
              <w:t xml:space="preserve">933,258 </w:t>
            </w:r>
          </w:p>
        </w:tc>
        <w:tc>
          <w:tcPr>
            <w:tcW w:w="1030"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jc w:val="right"/>
              <w:rPr>
                <w:rFonts w:ascii="Arial" w:hAnsi="Arial" w:cs="Arial"/>
                <w:color w:val="000000"/>
              </w:rPr>
            </w:pPr>
            <w:r w:rsidRPr="003016C4">
              <w:rPr>
                <w:rFonts w:ascii="Arial" w:hAnsi="Arial" w:cs="Arial"/>
                <w:color w:val="000000"/>
              </w:rPr>
              <w:t xml:space="preserve">999,520 </w:t>
            </w:r>
          </w:p>
        </w:tc>
        <w:tc>
          <w:tcPr>
            <w:tcW w:w="1030"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jc w:val="right"/>
              <w:rPr>
                <w:rFonts w:ascii="Arial" w:hAnsi="Arial" w:cs="Arial"/>
                <w:color w:val="000000"/>
              </w:rPr>
            </w:pPr>
            <w:r w:rsidRPr="003016C4">
              <w:rPr>
                <w:rFonts w:ascii="Arial" w:hAnsi="Arial" w:cs="Arial"/>
                <w:color w:val="000000"/>
              </w:rPr>
              <w:t xml:space="preserve">1,071,485 </w:t>
            </w:r>
          </w:p>
        </w:tc>
        <w:tc>
          <w:tcPr>
            <w:tcW w:w="1239"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jc w:val="right"/>
              <w:rPr>
                <w:rFonts w:ascii="Arial" w:hAnsi="Arial" w:cs="Arial"/>
                <w:color w:val="000000"/>
              </w:rPr>
            </w:pPr>
            <w:r w:rsidRPr="003016C4">
              <w:rPr>
                <w:rFonts w:ascii="Arial" w:hAnsi="Arial" w:cs="Arial"/>
                <w:color w:val="000000"/>
              </w:rPr>
              <w:t xml:space="preserve">1,150,775 </w:t>
            </w:r>
          </w:p>
        </w:tc>
      </w:tr>
      <w:tr w:rsidR="003016C4" w:rsidRPr="003016C4" w:rsidTr="003016C4">
        <w:trPr>
          <w:trHeight w:val="225"/>
        </w:trPr>
        <w:tc>
          <w:tcPr>
            <w:tcW w:w="2433"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ind w:firstLineChars="100" w:firstLine="160"/>
              <w:jc w:val="left"/>
              <w:rPr>
                <w:rFonts w:ascii="Arial" w:hAnsi="Arial" w:cs="Arial"/>
                <w:color w:val="000000"/>
              </w:rPr>
            </w:pPr>
            <w:r w:rsidRPr="003016C4">
              <w:rPr>
                <w:rFonts w:ascii="Arial" w:hAnsi="Arial" w:cs="Arial"/>
                <w:color w:val="000000"/>
              </w:rPr>
              <w:t>Dividends</w:t>
            </w:r>
          </w:p>
        </w:tc>
        <w:tc>
          <w:tcPr>
            <w:tcW w:w="1052"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jc w:val="right"/>
              <w:rPr>
                <w:rFonts w:ascii="Arial" w:hAnsi="Arial" w:cs="Arial"/>
                <w:color w:val="000000"/>
              </w:rPr>
            </w:pPr>
            <w:r w:rsidRPr="003016C4">
              <w:rPr>
                <w:rFonts w:ascii="Arial" w:hAnsi="Arial" w:cs="Arial"/>
                <w:color w:val="000000"/>
              </w:rPr>
              <w:t xml:space="preserve">2,698,542 </w:t>
            </w:r>
          </w:p>
        </w:tc>
        <w:tc>
          <w:tcPr>
            <w:tcW w:w="1166" w:type="dxa"/>
            <w:tcBorders>
              <w:top w:val="nil"/>
              <w:left w:val="nil"/>
              <w:bottom w:val="nil"/>
              <w:right w:val="nil"/>
            </w:tcBorders>
            <w:shd w:val="clear" w:color="000000" w:fill="E6E6E6"/>
            <w:noWrap/>
            <w:vAlign w:val="center"/>
            <w:hideMark/>
          </w:tcPr>
          <w:p w:rsidR="003016C4" w:rsidRPr="003016C4" w:rsidRDefault="003016C4" w:rsidP="003016C4">
            <w:pPr>
              <w:spacing w:after="0" w:line="240" w:lineRule="auto"/>
              <w:jc w:val="right"/>
              <w:rPr>
                <w:rFonts w:ascii="Arial" w:hAnsi="Arial" w:cs="Arial"/>
                <w:color w:val="000000"/>
              </w:rPr>
            </w:pPr>
            <w:r w:rsidRPr="003016C4">
              <w:rPr>
                <w:rFonts w:ascii="Arial" w:hAnsi="Arial" w:cs="Arial"/>
                <w:color w:val="000000"/>
              </w:rPr>
              <w:t xml:space="preserve">2,974,376 </w:t>
            </w:r>
          </w:p>
        </w:tc>
        <w:tc>
          <w:tcPr>
            <w:tcW w:w="1030"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jc w:val="right"/>
              <w:rPr>
                <w:rFonts w:ascii="Arial" w:hAnsi="Arial" w:cs="Arial"/>
                <w:color w:val="000000"/>
              </w:rPr>
            </w:pPr>
            <w:r w:rsidRPr="003016C4">
              <w:rPr>
                <w:rFonts w:ascii="Arial" w:hAnsi="Arial" w:cs="Arial"/>
                <w:color w:val="000000"/>
              </w:rPr>
              <w:t xml:space="preserve">3,185,557 </w:t>
            </w:r>
          </w:p>
        </w:tc>
        <w:tc>
          <w:tcPr>
            <w:tcW w:w="1030"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jc w:val="right"/>
              <w:rPr>
                <w:rFonts w:ascii="Arial" w:hAnsi="Arial" w:cs="Arial"/>
                <w:color w:val="000000"/>
              </w:rPr>
            </w:pPr>
            <w:r w:rsidRPr="003016C4">
              <w:rPr>
                <w:rFonts w:ascii="Arial" w:hAnsi="Arial" w:cs="Arial"/>
                <w:color w:val="000000"/>
              </w:rPr>
              <w:t xml:space="preserve">3,414,917 </w:t>
            </w:r>
          </w:p>
        </w:tc>
        <w:tc>
          <w:tcPr>
            <w:tcW w:w="1239"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jc w:val="right"/>
              <w:rPr>
                <w:rFonts w:ascii="Arial" w:hAnsi="Arial" w:cs="Arial"/>
                <w:color w:val="000000"/>
              </w:rPr>
            </w:pPr>
            <w:r w:rsidRPr="003016C4">
              <w:rPr>
                <w:rFonts w:ascii="Arial" w:hAnsi="Arial" w:cs="Arial"/>
                <w:color w:val="000000"/>
              </w:rPr>
              <w:t xml:space="preserve">3,667,621 </w:t>
            </w:r>
          </w:p>
        </w:tc>
      </w:tr>
      <w:tr w:rsidR="003016C4" w:rsidRPr="003016C4" w:rsidTr="003016C4">
        <w:trPr>
          <w:trHeight w:val="282"/>
        </w:trPr>
        <w:tc>
          <w:tcPr>
            <w:tcW w:w="2433"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jc w:val="left"/>
              <w:rPr>
                <w:rFonts w:ascii="Arial" w:hAnsi="Arial" w:cs="Arial"/>
                <w:b/>
                <w:bCs/>
                <w:color w:val="000000"/>
              </w:rPr>
            </w:pPr>
            <w:r w:rsidRPr="003016C4">
              <w:rPr>
                <w:rFonts w:ascii="Arial" w:hAnsi="Arial" w:cs="Arial"/>
                <w:b/>
                <w:bCs/>
                <w:color w:val="000000"/>
              </w:rPr>
              <w:t>Total non-taxation revenue</w:t>
            </w:r>
          </w:p>
        </w:tc>
        <w:tc>
          <w:tcPr>
            <w:tcW w:w="1052" w:type="dxa"/>
            <w:tcBorders>
              <w:top w:val="single" w:sz="4" w:space="0" w:color="auto"/>
              <w:left w:val="nil"/>
              <w:bottom w:val="single" w:sz="4" w:space="0" w:color="auto"/>
              <w:right w:val="nil"/>
            </w:tcBorders>
            <w:shd w:val="clear" w:color="auto" w:fill="auto"/>
            <w:noWrap/>
            <w:vAlign w:val="center"/>
            <w:hideMark/>
          </w:tcPr>
          <w:p w:rsidR="003016C4" w:rsidRPr="003016C4" w:rsidRDefault="003016C4" w:rsidP="003016C4">
            <w:pPr>
              <w:spacing w:after="0" w:line="240" w:lineRule="auto"/>
              <w:jc w:val="right"/>
              <w:rPr>
                <w:rFonts w:ascii="Arial" w:hAnsi="Arial" w:cs="Arial"/>
                <w:b/>
                <w:bCs/>
                <w:color w:val="000000"/>
              </w:rPr>
            </w:pPr>
            <w:r w:rsidRPr="003016C4">
              <w:rPr>
                <w:rFonts w:ascii="Arial" w:hAnsi="Arial" w:cs="Arial"/>
                <w:b/>
                <w:bCs/>
                <w:color w:val="000000"/>
              </w:rPr>
              <w:t xml:space="preserve">3,097,508 </w:t>
            </w:r>
          </w:p>
        </w:tc>
        <w:tc>
          <w:tcPr>
            <w:tcW w:w="1166" w:type="dxa"/>
            <w:tcBorders>
              <w:top w:val="single" w:sz="4" w:space="0" w:color="auto"/>
              <w:left w:val="nil"/>
              <w:bottom w:val="single" w:sz="4" w:space="0" w:color="auto"/>
              <w:right w:val="nil"/>
            </w:tcBorders>
            <w:shd w:val="clear" w:color="000000" w:fill="E6E6E6"/>
            <w:noWrap/>
            <w:vAlign w:val="center"/>
            <w:hideMark/>
          </w:tcPr>
          <w:p w:rsidR="003016C4" w:rsidRPr="003016C4" w:rsidRDefault="003016C4" w:rsidP="003016C4">
            <w:pPr>
              <w:spacing w:after="0" w:line="240" w:lineRule="auto"/>
              <w:jc w:val="right"/>
              <w:rPr>
                <w:rFonts w:ascii="Arial" w:hAnsi="Arial" w:cs="Arial"/>
                <w:b/>
                <w:bCs/>
                <w:color w:val="000000"/>
              </w:rPr>
            </w:pPr>
            <w:r w:rsidRPr="003016C4">
              <w:rPr>
                <w:rFonts w:ascii="Arial" w:hAnsi="Arial" w:cs="Arial"/>
                <w:b/>
                <w:bCs/>
                <w:color w:val="000000"/>
              </w:rPr>
              <w:t xml:space="preserve">3,907,634 </w:t>
            </w:r>
          </w:p>
        </w:tc>
        <w:tc>
          <w:tcPr>
            <w:tcW w:w="1030" w:type="dxa"/>
            <w:tcBorders>
              <w:top w:val="single" w:sz="4" w:space="0" w:color="auto"/>
              <w:left w:val="nil"/>
              <w:bottom w:val="single" w:sz="4" w:space="0" w:color="auto"/>
              <w:right w:val="nil"/>
            </w:tcBorders>
            <w:shd w:val="clear" w:color="auto" w:fill="auto"/>
            <w:noWrap/>
            <w:vAlign w:val="center"/>
            <w:hideMark/>
          </w:tcPr>
          <w:p w:rsidR="003016C4" w:rsidRPr="003016C4" w:rsidRDefault="003016C4" w:rsidP="003016C4">
            <w:pPr>
              <w:spacing w:after="0" w:line="240" w:lineRule="auto"/>
              <w:jc w:val="right"/>
              <w:rPr>
                <w:rFonts w:ascii="Arial" w:hAnsi="Arial" w:cs="Arial"/>
                <w:b/>
                <w:bCs/>
                <w:color w:val="000000"/>
              </w:rPr>
            </w:pPr>
            <w:r w:rsidRPr="003016C4">
              <w:rPr>
                <w:rFonts w:ascii="Arial" w:hAnsi="Arial" w:cs="Arial"/>
                <w:b/>
                <w:bCs/>
                <w:color w:val="000000"/>
              </w:rPr>
              <w:t xml:space="preserve">4,185,077 </w:t>
            </w:r>
          </w:p>
        </w:tc>
        <w:tc>
          <w:tcPr>
            <w:tcW w:w="1030" w:type="dxa"/>
            <w:tcBorders>
              <w:top w:val="single" w:sz="4" w:space="0" w:color="auto"/>
              <w:left w:val="nil"/>
              <w:bottom w:val="single" w:sz="4" w:space="0" w:color="auto"/>
              <w:right w:val="nil"/>
            </w:tcBorders>
            <w:shd w:val="clear" w:color="auto" w:fill="auto"/>
            <w:noWrap/>
            <w:vAlign w:val="center"/>
            <w:hideMark/>
          </w:tcPr>
          <w:p w:rsidR="003016C4" w:rsidRPr="003016C4" w:rsidRDefault="003016C4" w:rsidP="003016C4">
            <w:pPr>
              <w:spacing w:after="0" w:line="240" w:lineRule="auto"/>
              <w:jc w:val="right"/>
              <w:rPr>
                <w:rFonts w:ascii="Arial" w:hAnsi="Arial" w:cs="Arial"/>
                <w:b/>
                <w:bCs/>
                <w:color w:val="000000"/>
              </w:rPr>
            </w:pPr>
            <w:r w:rsidRPr="003016C4">
              <w:rPr>
                <w:rFonts w:ascii="Arial" w:hAnsi="Arial" w:cs="Arial"/>
                <w:b/>
                <w:bCs/>
                <w:color w:val="000000"/>
              </w:rPr>
              <w:t xml:space="preserve">4,486,402 </w:t>
            </w:r>
          </w:p>
        </w:tc>
        <w:tc>
          <w:tcPr>
            <w:tcW w:w="1239" w:type="dxa"/>
            <w:tcBorders>
              <w:top w:val="single" w:sz="4" w:space="0" w:color="auto"/>
              <w:left w:val="nil"/>
              <w:bottom w:val="single" w:sz="4" w:space="0" w:color="auto"/>
              <w:right w:val="nil"/>
            </w:tcBorders>
            <w:shd w:val="clear" w:color="auto" w:fill="auto"/>
            <w:noWrap/>
            <w:vAlign w:val="center"/>
            <w:hideMark/>
          </w:tcPr>
          <w:p w:rsidR="003016C4" w:rsidRPr="003016C4" w:rsidRDefault="003016C4" w:rsidP="003016C4">
            <w:pPr>
              <w:spacing w:after="0" w:line="240" w:lineRule="auto"/>
              <w:jc w:val="right"/>
              <w:rPr>
                <w:rFonts w:ascii="Arial" w:hAnsi="Arial" w:cs="Arial"/>
                <w:b/>
                <w:bCs/>
                <w:color w:val="000000"/>
              </w:rPr>
            </w:pPr>
            <w:r w:rsidRPr="003016C4">
              <w:rPr>
                <w:rFonts w:ascii="Arial" w:hAnsi="Arial" w:cs="Arial"/>
                <w:b/>
                <w:bCs/>
                <w:color w:val="000000"/>
              </w:rPr>
              <w:t xml:space="preserve">4,818,396 </w:t>
            </w:r>
          </w:p>
        </w:tc>
      </w:tr>
      <w:tr w:rsidR="003016C4" w:rsidRPr="003016C4" w:rsidTr="003016C4">
        <w:trPr>
          <w:trHeight w:val="282"/>
        </w:trPr>
        <w:tc>
          <w:tcPr>
            <w:tcW w:w="2433"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jc w:val="left"/>
              <w:rPr>
                <w:rFonts w:ascii="Arial" w:hAnsi="Arial" w:cs="Arial"/>
                <w:b/>
                <w:bCs/>
                <w:color w:val="000000"/>
              </w:rPr>
            </w:pPr>
            <w:r w:rsidRPr="003016C4">
              <w:rPr>
                <w:rFonts w:ascii="Arial" w:hAnsi="Arial" w:cs="Arial"/>
                <w:b/>
                <w:bCs/>
                <w:color w:val="000000"/>
              </w:rPr>
              <w:t xml:space="preserve">Total own-source revenue </w:t>
            </w:r>
          </w:p>
        </w:tc>
        <w:tc>
          <w:tcPr>
            <w:tcW w:w="1052"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jc w:val="left"/>
              <w:rPr>
                <w:rFonts w:ascii="Arial" w:hAnsi="Arial" w:cs="Arial"/>
                <w:color w:val="000000"/>
              </w:rPr>
            </w:pPr>
          </w:p>
        </w:tc>
        <w:tc>
          <w:tcPr>
            <w:tcW w:w="1166" w:type="dxa"/>
            <w:tcBorders>
              <w:top w:val="nil"/>
              <w:left w:val="nil"/>
              <w:bottom w:val="nil"/>
              <w:right w:val="nil"/>
            </w:tcBorders>
            <w:shd w:val="clear" w:color="000000" w:fill="E6E6E6"/>
            <w:noWrap/>
            <w:vAlign w:val="center"/>
            <w:hideMark/>
          </w:tcPr>
          <w:p w:rsidR="003016C4" w:rsidRPr="003016C4" w:rsidRDefault="003016C4" w:rsidP="003016C4">
            <w:pPr>
              <w:spacing w:after="0" w:line="240" w:lineRule="auto"/>
              <w:jc w:val="left"/>
              <w:rPr>
                <w:rFonts w:ascii="Arial" w:hAnsi="Arial" w:cs="Arial"/>
                <w:color w:val="000000"/>
              </w:rPr>
            </w:pPr>
            <w:r w:rsidRPr="003016C4">
              <w:rPr>
                <w:rFonts w:ascii="Arial" w:hAnsi="Arial" w:cs="Arial"/>
                <w:color w:val="000000"/>
              </w:rPr>
              <w:t> </w:t>
            </w:r>
          </w:p>
        </w:tc>
        <w:tc>
          <w:tcPr>
            <w:tcW w:w="1030"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jc w:val="left"/>
              <w:rPr>
                <w:rFonts w:ascii="Arial" w:hAnsi="Arial" w:cs="Arial"/>
                <w:color w:val="000000"/>
              </w:rPr>
            </w:pPr>
          </w:p>
        </w:tc>
        <w:tc>
          <w:tcPr>
            <w:tcW w:w="1030"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jc w:val="left"/>
              <w:rPr>
                <w:rFonts w:ascii="Arial" w:hAnsi="Arial" w:cs="Arial"/>
                <w:color w:val="000000"/>
              </w:rPr>
            </w:pPr>
          </w:p>
        </w:tc>
        <w:tc>
          <w:tcPr>
            <w:tcW w:w="1239"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jc w:val="left"/>
              <w:rPr>
                <w:rFonts w:ascii="Arial" w:hAnsi="Arial" w:cs="Arial"/>
                <w:color w:val="000000"/>
              </w:rPr>
            </w:pPr>
          </w:p>
        </w:tc>
      </w:tr>
      <w:tr w:rsidR="003016C4" w:rsidRPr="003016C4" w:rsidTr="003016C4">
        <w:trPr>
          <w:trHeight w:val="282"/>
        </w:trPr>
        <w:tc>
          <w:tcPr>
            <w:tcW w:w="2433"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ind w:firstLineChars="100" w:firstLine="161"/>
              <w:jc w:val="left"/>
              <w:rPr>
                <w:rFonts w:ascii="Arial" w:hAnsi="Arial" w:cs="Arial"/>
                <w:b/>
                <w:bCs/>
                <w:color w:val="000000"/>
              </w:rPr>
            </w:pPr>
            <w:r w:rsidRPr="003016C4">
              <w:rPr>
                <w:rFonts w:ascii="Arial" w:hAnsi="Arial" w:cs="Arial"/>
                <w:b/>
                <w:bCs/>
                <w:color w:val="000000"/>
              </w:rPr>
              <w:t xml:space="preserve">administered on behalf </w:t>
            </w:r>
          </w:p>
        </w:tc>
        <w:tc>
          <w:tcPr>
            <w:tcW w:w="1052"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jc w:val="left"/>
              <w:rPr>
                <w:rFonts w:ascii="Arial" w:hAnsi="Arial" w:cs="Arial"/>
                <w:color w:val="000000"/>
              </w:rPr>
            </w:pPr>
          </w:p>
        </w:tc>
        <w:tc>
          <w:tcPr>
            <w:tcW w:w="1166" w:type="dxa"/>
            <w:tcBorders>
              <w:top w:val="nil"/>
              <w:left w:val="nil"/>
              <w:bottom w:val="nil"/>
              <w:right w:val="nil"/>
            </w:tcBorders>
            <w:shd w:val="clear" w:color="000000" w:fill="E6E6E6"/>
            <w:noWrap/>
            <w:vAlign w:val="center"/>
            <w:hideMark/>
          </w:tcPr>
          <w:p w:rsidR="003016C4" w:rsidRPr="003016C4" w:rsidRDefault="003016C4" w:rsidP="003016C4">
            <w:pPr>
              <w:spacing w:after="0" w:line="240" w:lineRule="auto"/>
              <w:jc w:val="left"/>
              <w:rPr>
                <w:rFonts w:ascii="Arial" w:hAnsi="Arial" w:cs="Arial"/>
                <w:color w:val="000000"/>
              </w:rPr>
            </w:pPr>
            <w:r w:rsidRPr="003016C4">
              <w:rPr>
                <w:rFonts w:ascii="Arial" w:hAnsi="Arial" w:cs="Arial"/>
                <w:color w:val="000000"/>
              </w:rPr>
              <w:t> </w:t>
            </w:r>
          </w:p>
        </w:tc>
        <w:tc>
          <w:tcPr>
            <w:tcW w:w="1030"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jc w:val="left"/>
              <w:rPr>
                <w:rFonts w:ascii="Arial" w:hAnsi="Arial" w:cs="Arial"/>
                <w:color w:val="000000"/>
              </w:rPr>
            </w:pPr>
          </w:p>
        </w:tc>
        <w:tc>
          <w:tcPr>
            <w:tcW w:w="1030"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jc w:val="left"/>
              <w:rPr>
                <w:rFonts w:ascii="Arial" w:hAnsi="Arial" w:cs="Arial"/>
                <w:color w:val="000000"/>
              </w:rPr>
            </w:pPr>
          </w:p>
        </w:tc>
        <w:tc>
          <w:tcPr>
            <w:tcW w:w="1239"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jc w:val="left"/>
              <w:rPr>
                <w:rFonts w:ascii="Arial" w:hAnsi="Arial" w:cs="Arial"/>
                <w:color w:val="000000"/>
              </w:rPr>
            </w:pPr>
          </w:p>
        </w:tc>
      </w:tr>
      <w:tr w:rsidR="003016C4" w:rsidRPr="003016C4" w:rsidTr="003016C4">
        <w:trPr>
          <w:trHeight w:val="225"/>
        </w:trPr>
        <w:tc>
          <w:tcPr>
            <w:tcW w:w="2433"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ind w:firstLineChars="100" w:firstLine="161"/>
              <w:jc w:val="left"/>
              <w:rPr>
                <w:rFonts w:ascii="Arial" w:hAnsi="Arial" w:cs="Arial"/>
                <w:b/>
                <w:bCs/>
                <w:color w:val="000000"/>
              </w:rPr>
            </w:pPr>
            <w:r w:rsidRPr="003016C4">
              <w:rPr>
                <w:rFonts w:ascii="Arial" w:hAnsi="Arial" w:cs="Arial"/>
                <w:b/>
                <w:bCs/>
                <w:color w:val="000000"/>
              </w:rPr>
              <w:t>of Government</w:t>
            </w:r>
          </w:p>
        </w:tc>
        <w:tc>
          <w:tcPr>
            <w:tcW w:w="1052" w:type="dxa"/>
            <w:tcBorders>
              <w:top w:val="nil"/>
              <w:left w:val="nil"/>
              <w:bottom w:val="single" w:sz="4" w:space="0" w:color="auto"/>
              <w:right w:val="nil"/>
            </w:tcBorders>
            <w:shd w:val="clear" w:color="auto" w:fill="auto"/>
            <w:noWrap/>
            <w:vAlign w:val="center"/>
            <w:hideMark/>
          </w:tcPr>
          <w:p w:rsidR="003016C4" w:rsidRPr="003016C4" w:rsidRDefault="003016C4" w:rsidP="003016C4">
            <w:pPr>
              <w:spacing w:after="0" w:line="240" w:lineRule="auto"/>
              <w:jc w:val="right"/>
              <w:rPr>
                <w:rFonts w:ascii="Arial" w:hAnsi="Arial" w:cs="Arial"/>
                <w:b/>
                <w:bCs/>
                <w:color w:val="000000"/>
              </w:rPr>
            </w:pPr>
            <w:r w:rsidRPr="003016C4">
              <w:rPr>
                <w:rFonts w:ascii="Arial" w:hAnsi="Arial" w:cs="Arial"/>
                <w:b/>
                <w:bCs/>
                <w:color w:val="000000"/>
              </w:rPr>
              <w:t xml:space="preserve">3,097,508 </w:t>
            </w:r>
          </w:p>
        </w:tc>
        <w:tc>
          <w:tcPr>
            <w:tcW w:w="1166" w:type="dxa"/>
            <w:tcBorders>
              <w:top w:val="nil"/>
              <w:left w:val="nil"/>
              <w:bottom w:val="single" w:sz="4" w:space="0" w:color="auto"/>
              <w:right w:val="nil"/>
            </w:tcBorders>
            <w:shd w:val="clear" w:color="000000" w:fill="E6E6E6"/>
            <w:noWrap/>
            <w:vAlign w:val="center"/>
            <w:hideMark/>
          </w:tcPr>
          <w:p w:rsidR="003016C4" w:rsidRPr="003016C4" w:rsidRDefault="003016C4" w:rsidP="003016C4">
            <w:pPr>
              <w:spacing w:after="0" w:line="240" w:lineRule="auto"/>
              <w:jc w:val="right"/>
              <w:rPr>
                <w:rFonts w:ascii="Arial" w:hAnsi="Arial" w:cs="Arial"/>
                <w:b/>
                <w:bCs/>
                <w:color w:val="000000"/>
              </w:rPr>
            </w:pPr>
            <w:r w:rsidRPr="003016C4">
              <w:rPr>
                <w:rFonts w:ascii="Arial" w:hAnsi="Arial" w:cs="Arial"/>
                <w:b/>
                <w:bCs/>
                <w:color w:val="000000"/>
              </w:rPr>
              <w:t xml:space="preserve">3,907,634 </w:t>
            </w:r>
          </w:p>
        </w:tc>
        <w:tc>
          <w:tcPr>
            <w:tcW w:w="1030" w:type="dxa"/>
            <w:tcBorders>
              <w:top w:val="nil"/>
              <w:left w:val="nil"/>
              <w:bottom w:val="single" w:sz="4" w:space="0" w:color="auto"/>
              <w:right w:val="nil"/>
            </w:tcBorders>
            <w:shd w:val="clear" w:color="auto" w:fill="auto"/>
            <w:noWrap/>
            <w:vAlign w:val="center"/>
            <w:hideMark/>
          </w:tcPr>
          <w:p w:rsidR="003016C4" w:rsidRPr="003016C4" w:rsidRDefault="003016C4" w:rsidP="003016C4">
            <w:pPr>
              <w:spacing w:after="0" w:line="240" w:lineRule="auto"/>
              <w:jc w:val="right"/>
              <w:rPr>
                <w:rFonts w:ascii="Arial" w:hAnsi="Arial" w:cs="Arial"/>
                <w:b/>
                <w:bCs/>
                <w:color w:val="000000"/>
              </w:rPr>
            </w:pPr>
            <w:r w:rsidRPr="003016C4">
              <w:rPr>
                <w:rFonts w:ascii="Arial" w:hAnsi="Arial" w:cs="Arial"/>
                <w:b/>
                <w:bCs/>
                <w:color w:val="000000"/>
              </w:rPr>
              <w:t xml:space="preserve">4,185,077 </w:t>
            </w:r>
          </w:p>
        </w:tc>
        <w:tc>
          <w:tcPr>
            <w:tcW w:w="1030" w:type="dxa"/>
            <w:tcBorders>
              <w:top w:val="nil"/>
              <w:left w:val="nil"/>
              <w:bottom w:val="single" w:sz="4" w:space="0" w:color="auto"/>
              <w:right w:val="nil"/>
            </w:tcBorders>
            <w:shd w:val="clear" w:color="auto" w:fill="auto"/>
            <w:noWrap/>
            <w:vAlign w:val="center"/>
            <w:hideMark/>
          </w:tcPr>
          <w:p w:rsidR="003016C4" w:rsidRPr="003016C4" w:rsidRDefault="003016C4" w:rsidP="003016C4">
            <w:pPr>
              <w:spacing w:after="0" w:line="240" w:lineRule="auto"/>
              <w:jc w:val="right"/>
              <w:rPr>
                <w:rFonts w:ascii="Arial" w:hAnsi="Arial" w:cs="Arial"/>
                <w:b/>
                <w:bCs/>
                <w:color w:val="000000"/>
              </w:rPr>
            </w:pPr>
            <w:r w:rsidRPr="003016C4">
              <w:rPr>
                <w:rFonts w:ascii="Arial" w:hAnsi="Arial" w:cs="Arial"/>
                <w:b/>
                <w:bCs/>
                <w:color w:val="000000"/>
              </w:rPr>
              <w:t xml:space="preserve">4,486,402 </w:t>
            </w:r>
          </w:p>
        </w:tc>
        <w:tc>
          <w:tcPr>
            <w:tcW w:w="1239" w:type="dxa"/>
            <w:tcBorders>
              <w:top w:val="nil"/>
              <w:left w:val="nil"/>
              <w:bottom w:val="single" w:sz="4" w:space="0" w:color="auto"/>
              <w:right w:val="nil"/>
            </w:tcBorders>
            <w:shd w:val="clear" w:color="auto" w:fill="auto"/>
            <w:noWrap/>
            <w:vAlign w:val="center"/>
            <w:hideMark/>
          </w:tcPr>
          <w:p w:rsidR="003016C4" w:rsidRPr="003016C4" w:rsidRDefault="003016C4" w:rsidP="003016C4">
            <w:pPr>
              <w:spacing w:after="0" w:line="240" w:lineRule="auto"/>
              <w:jc w:val="right"/>
              <w:rPr>
                <w:rFonts w:ascii="Arial" w:hAnsi="Arial" w:cs="Arial"/>
                <w:b/>
                <w:bCs/>
                <w:color w:val="000000"/>
              </w:rPr>
            </w:pPr>
            <w:r w:rsidRPr="003016C4">
              <w:rPr>
                <w:rFonts w:ascii="Arial" w:hAnsi="Arial" w:cs="Arial"/>
                <w:b/>
                <w:bCs/>
                <w:color w:val="000000"/>
              </w:rPr>
              <w:t xml:space="preserve">4,818,396 </w:t>
            </w:r>
          </w:p>
        </w:tc>
      </w:tr>
      <w:tr w:rsidR="003016C4" w:rsidRPr="003016C4" w:rsidTr="003016C4">
        <w:trPr>
          <w:trHeight w:val="225"/>
        </w:trPr>
        <w:tc>
          <w:tcPr>
            <w:tcW w:w="2433"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jc w:val="left"/>
              <w:rPr>
                <w:rFonts w:ascii="Arial" w:hAnsi="Arial" w:cs="Arial"/>
                <w:b/>
                <w:bCs/>
                <w:color w:val="000000"/>
              </w:rPr>
            </w:pPr>
            <w:r w:rsidRPr="003016C4">
              <w:rPr>
                <w:rFonts w:ascii="Arial" w:hAnsi="Arial" w:cs="Arial"/>
                <w:b/>
                <w:bCs/>
                <w:color w:val="000000"/>
              </w:rPr>
              <w:t>Gains</w:t>
            </w:r>
          </w:p>
        </w:tc>
        <w:tc>
          <w:tcPr>
            <w:tcW w:w="1052"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jc w:val="left"/>
              <w:rPr>
                <w:rFonts w:ascii="Arial" w:hAnsi="Arial" w:cs="Arial"/>
                <w:color w:val="000000"/>
              </w:rPr>
            </w:pPr>
          </w:p>
        </w:tc>
        <w:tc>
          <w:tcPr>
            <w:tcW w:w="1166" w:type="dxa"/>
            <w:tcBorders>
              <w:top w:val="nil"/>
              <w:left w:val="nil"/>
              <w:bottom w:val="nil"/>
              <w:right w:val="nil"/>
            </w:tcBorders>
            <w:shd w:val="clear" w:color="000000" w:fill="E6E6E6"/>
            <w:noWrap/>
            <w:vAlign w:val="center"/>
            <w:hideMark/>
          </w:tcPr>
          <w:p w:rsidR="003016C4" w:rsidRPr="003016C4" w:rsidRDefault="003016C4" w:rsidP="003016C4">
            <w:pPr>
              <w:spacing w:after="0" w:line="240" w:lineRule="auto"/>
              <w:jc w:val="left"/>
              <w:rPr>
                <w:rFonts w:ascii="Arial" w:hAnsi="Arial" w:cs="Arial"/>
                <w:color w:val="000000"/>
              </w:rPr>
            </w:pPr>
            <w:r w:rsidRPr="003016C4">
              <w:rPr>
                <w:rFonts w:ascii="Arial" w:hAnsi="Arial" w:cs="Arial"/>
                <w:color w:val="000000"/>
              </w:rPr>
              <w:t> </w:t>
            </w:r>
          </w:p>
        </w:tc>
        <w:tc>
          <w:tcPr>
            <w:tcW w:w="1030"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jc w:val="left"/>
              <w:rPr>
                <w:rFonts w:ascii="Arial" w:hAnsi="Arial" w:cs="Arial"/>
                <w:color w:val="000000"/>
              </w:rPr>
            </w:pPr>
          </w:p>
        </w:tc>
        <w:tc>
          <w:tcPr>
            <w:tcW w:w="1030"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jc w:val="left"/>
              <w:rPr>
                <w:rFonts w:ascii="Arial" w:hAnsi="Arial" w:cs="Arial"/>
                <w:color w:val="000000"/>
              </w:rPr>
            </w:pPr>
          </w:p>
        </w:tc>
        <w:tc>
          <w:tcPr>
            <w:tcW w:w="1239"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jc w:val="left"/>
              <w:rPr>
                <w:rFonts w:ascii="Arial" w:hAnsi="Arial" w:cs="Arial"/>
                <w:color w:val="000000"/>
              </w:rPr>
            </w:pPr>
          </w:p>
        </w:tc>
      </w:tr>
      <w:tr w:rsidR="003016C4" w:rsidRPr="003016C4" w:rsidTr="003016C4">
        <w:trPr>
          <w:trHeight w:val="225"/>
        </w:trPr>
        <w:tc>
          <w:tcPr>
            <w:tcW w:w="2433"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ind w:firstLineChars="100" w:firstLine="160"/>
              <w:jc w:val="left"/>
              <w:rPr>
                <w:rFonts w:ascii="Arial" w:hAnsi="Arial" w:cs="Arial"/>
                <w:color w:val="000000"/>
              </w:rPr>
            </w:pPr>
            <w:r w:rsidRPr="003016C4">
              <w:rPr>
                <w:rFonts w:ascii="Arial" w:hAnsi="Arial" w:cs="Arial"/>
                <w:color w:val="000000"/>
              </w:rPr>
              <w:t>Other gains</w:t>
            </w:r>
          </w:p>
        </w:tc>
        <w:tc>
          <w:tcPr>
            <w:tcW w:w="1052" w:type="dxa"/>
            <w:tcBorders>
              <w:top w:val="nil"/>
              <w:left w:val="nil"/>
              <w:bottom w:val="single" w:sz="4" w:space="0" w:color="auto"/>
              <w:right w:val="nil"/>
            </w:tcBorders>
            <w:shd w:val="clear" w:color="000000" w:fill="FFFFFF"/>
            <w:noWrap/>
            <w:vAlign w:val="center"/>
            <w:hideMark/>
          </w:tcPr>
          <w:p w:rsidR="003016C4" w:rsidRPr="003016C4" w:rsidRDefault="003016C4" w:rsidP="003016C4">
            <w:pPr>
              <w:spacing w:after="0" w:line="240" w:lineRule="auto"/>
              <w:jc w:val="right"/>
              <w:rPr>
                <w:rFonts w:ascii="Arial" w:hAnsi="Arial" w:cs="Arial"/>
                <w:color w:val="000000"/>
              </w:rPr>
            </w:pPr>
            <w:r w:rsidRPr="003016C4">
              <w:rPr>
                <w:rFonts w:ascii="Arial" w:hAnsi="Arial" w:cs="Arial"/>
                <w:color w:val="000000"/>
              </w:rPr>
              <w:t xml:space="preserve">408,807 </w:t>
            </w:r>
          </w:p>
        </w:tc>
        <w:tc>
          <w:tcPr>
            <w:tcW w:w="1166" w:type="dxa"/>
            <w:tcBorders>
              <w:top w:val="nil"/>
              <w:left w:val="nil"/>
              <w:bottom w:val="single" w:sz="4" w:space="0" w:color="auto"/>
              <w:right w:val="nil"/>
            </w:tcBorders>
            <w:shd w:val="clear" w:color="000000" w:fill="E6E6E6"/>
            <w:noWrap/>
            <w:vAlign w:val="center"/>
            <w:hideMark/>
          </w:tcPr>
          <w:p w:rsidR="003016C4" w:rsidRPr="003016C4" w:rsidRDefault="003016C4" w:rsidP="003016C4">
            <w:pPr>
              <w:spacing w:after="0" w:line="240" w:lineRule="auto"/>
              <w:jc w:val="right"/>
              <w:rPr>
                <w:rFonts w:ascii="Arial" w:hAnsi="Arial" w:cs="Arial"/>
                <w:color w:val="000000"/>
              </w:rPr>
            </w:pPr>
            <w:r w:rsidRPr="003016C4">
              <w:rPr>
                <w:rFonts w:ascii="Arial" w:hAnsi="Arial" w:cs="Arial"/>
                <w:color w:val="000000"/>
              </w:rPr>
              <w:t xml:space="preserve">4,684,118 </w:t>
            </w:r>
          </w:p>
        </w:tc>
        <w:tc>
          <w:tcPr>
            <w:tcW w:w="1030" w:type="dxa"/>
            <w:tcBorders>
              <w:top w:val="nil"/>
              <w:left w:val="nil"/>
              <w:bottom w:val="single" w:sz="4" w:space="0" w:color="auto"/>
              <w:right w:val="nil"/>
            </w:tcBorders>
            <w:shd w:val="clear" w:color="auto" w:fill="auto"/>
            <w:noWrap/>
            <w:vAlign w:val="center"/>
            <w:hideMark/>
          </w:tcPr>
          <w:p w:rsidR="003016C4" w:rsidRPr="003016C4" w:rsidRDefault="003016C4" w:rsidP="003016C4">
            <w:pPr>
              <w:spacing w:after="0" w:line="240" w:lineRule="auto"/>
              <w:jc w:val="right"/>
              <w:rPr>
                <w:rFonts w:ascii="Arial" w:hAnsi="Arial" w:cs="Arial"/>
                <w:color w:val="000000"/>
              </w:rPr>
            </w:pPr>
            <w:r w:rsidRPr="003016C4">
              <w:rPr>
                <w:rFonts w:ascii="Arial" w:hAnsi="Arial" w:cs="Arial"/>
                <w:color w:val="000000"/>
              </w:rPr>
              <w:t xml:space="preserve">5,375,589 </w:t>
            </w:r>
          </w:p>
        </w:tc>
        <w:tc>
          <w:tcPr>
            <w:tcW w:w="1030" w:type="dxa"/>
            <w:tcBorders>
              <w:top w:val="nil"/>
              <w:left w:val="nil"/>
              <w:bottom w:val="single" w:sz="4" w:space="0" w:color="auto"/>
              <w:right w:val="nil"/>
            </w:tcBorders>
            <w:shd w:val="clear" w:color="000000" w:fill="FFFFFF"/>
            <w:noWrap/>
            <w:vAlign w:val="center"/>
            <w:hideMark/>
          </w:tcPr>
          <w:p w:rsidR="003016C4" w:rsidRPr="003016C4" w:rsidRDefault="003016C4" w:rsidP="003016C4">
            <w:pPr>
              <w:spacing w:after="0" w:line="240" w:lineRule="auto"/>
              <w:jc w:val="right"/>
              <w:rPr>
                <w:rFonts w:ascii="Arial" w:hAnsi="Arial" w:cs="Arial"/>
                <w:color w:val="000000"/>
              </w:rPr>
            </w:pPr>
            <w:r w:rsidRPr="003016C4">
              <w:rPr>
                <w:rFonts w:ascii="Arial" w:hAnsi="Arial" w:cs="Arial"/>
                <w:color w:val="000000"/>
              </w:rPr>
              <w:t xml:space="preserve">5,887,683 </w:t>
            </w:r>
          </w:p>
        </w:tc>
        <w:tc>
          <w:tcPr>
            <w:tcW w:w="1239" w:type="dxa"/>
            <w:tcBorders>
              <w:top w:val="nil"/>
              <w:left w:val="nil"/>
              <w:bottom w:val="single" w:sz="4" w:space="0" w:color="auto"/>
              <w:right w:val="nil"/>
            </w:tcBorders>
            <w:shd w:val="clear" w:color="000000" w:fill="FFFFFF"/>
            <w:noWrap/>
            <w:vAlign w:val="center"/>
            <w:hideMark/>
          </w:tcPr>
          <w:p w:rsidR="003016C4" w:rsidRPr="003016C4" w:rsidRDefault="003016C4" w:rsidP="003016C4">
            <w:pPr>
              <w:spacing w:after="0" w:line="240" w:lineRule="auto"/>
              <w:jc w:val="right"/>
              <w:rPr>
                <w:rFonts w:ascii="Arial" w:hAnsi="Arial" w:cs="Arial"/>
                <w:color w:val="000000"/>
              </w:rPr>
            </w:pPr>
            <w:r w:rsidRPr="003016C4">
              <w:rPr>
                <w:rFonts w:ascii="Arial" w:hAnsi="Arial" w:cs="Arial"/>
                <w:color w:val="000000"/>
              </w:rPr>
              <w:t xml:space="preserve">6,593,029 </w:t>
            </w:r>
          </w:p>
        </w:tc>
      </w:tr>
      <w:tr w:rsidR="003016C4" w:rsidRPr="003016C4" w:rsidTr="003016C4">
        <w:trPr>
          <w:trHeight w:val="225"/>
        </w:trPr>
        <w:tc>
          <w:tcPr>
            <w:tcW w:w="2433" w:type="dxa"/>
            <w:tcBorders>
              <w:top w:val="nil"/>
              <w:left w:val="nil"/>
              <w:bottom w:val="nil"/>
              <w:right w:val="nil"/>
            </w:tcBorders>
            <w:shd w:val="clear" w:color="auto" w:fill="auto"/>
            <w:noWrap/>
            <w:vAlign w:val="bottom"/>
            <w:hideMark/>
          </w:tcPr>
          <w:p w:rsidR="003016C4" w:rsidRPr="003016C4" w:rsidRDefault="003016C4" w:rsidP="003016C4">
            <w:pPr>
              <w:spacing w:after="0" w:line="240" w:lineRule="auto"/>
              <w:jc w:val="left"/>
              <w:rPr>
                <w:rFonts w:ascii="Arial" w:hAnsi="Arial" w:cs="Arial"/>
                <w:b/>
                <w:bCs/>
                <w:color w:val="000000"/>
              </w:rPr>
            </w:pPr>
            <w:r w:rsidRPr="003016C4">
              <w:rPr>
                <w:rFonts w:ascii="Arial" w:hAnsi="Arial" w:cs="Arial"/>
                <w:b/>
                <w:bCs/>
                <w:color w:val="000000"/>
              </w:rPr>
              <w:t xml:space="preserve">Total gains administered </w:t>
            </w:r>
          </w:p>
        </w:tc>
        <w:tc>
          <w:tcPr>
            <w:tcW w:w="1052"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jc w:val="left"/>
              <w:rPr>
                <w:rFonts w:ascii="Arial" w:hAnsi="Arial" w:cs="Arial"/>
                <w:color w:val="000000"/>
              </w:rPr>
            </w:pPr>
            <w:r w:rsidRPr="003016C4">
              <w:rPr>
                <w:rFonts w:ascii="Arial" w:hAnsi="Arial" w:cs="Arial"/>
                <w:color w:val="000000"/>
              </w:rPr>
              <w:t> </w:t>
            </w:r>
          </w:p>
        </w:tc>
        <w:tc>
          <w:tcPr>
            <w:tcW w:w="1166" w:type="dxa"/>
            <w:tcBorders>
              <w:top w:val="nil"/>
              <w:left w:val="nil"/>
              <w:bottom w:val="nil"/>
              <w:right w:val="nil"/>
            </w:tcBorders>
            <w:shd w:val="clear" w:color="000000" w:fill="E6E6E6"/>
            <w:noWrap/>
            <w:vAlign w:val="center"/>
            <w:hideMark/>
          </w:tcPr>
          <w:p w:rsidR="003016C4" w:rsidRPr="003016C4" w:rsidRDefault="003016C4" w:rsidP="003016C4">
            <w:pPr>
              <w:spacing w:after="0" w:line="240" w:lineRule="auto"/>
              <w:jc w:val="left"/>
              <w:rPr>
                <w:rFonts w:ascii="Arial" w:hAnsi="Arial" w:cs="Arial"/>
                <w:color w:val="000000"/>
              </w:rPr>
            </w:pPr>
            <w:r w:rsidRPr="003016C4">
              <w:rPr>
                <w:rFonts w:ascii="Arial" w:hAnsi="Arial" w:cs="Arial"/>
                <w:color w:val="000000"/>
              </w:rPr>
              <w:t> </w:t>
            </w:r>
          </w:p>
        </w:tc>
        <w:tc>
          <w:tcPr>
            <w:tcW w:w="1030"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jc w:val="left"/>
              <w:rPr>
                <w:rFonts w:ascii="Arial" w:hAnsi="Arial" w:cs="Arial"/>
                <w:color w:val="000000"/>
              </w:rPr>
            </w:pPr>
            <w:r w:rsidRPr="003016C4">
              <w:rPr>
                <w:rFonts w:ascii="Arial" w:hAnsi="Arial" w:cs="Arial"/>
                <w:color w:val="000000"/>
              </w:rPr>
              <w:t> </w:t>
            </w:r>
          </w:p>
        </w:tc>
        <w:tc>
          <w:tcPr>
            <w:tcW w:w="1030"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jc w:val="left"/>
              <w:rPr>
                <w:rFonts w:ascii="Arial" w:hAnsi="Arial" w:cs="Arial"/>
                <w:color w:val="000000"/>
              </w:rPr>
            </w:pPr>
            <w:r w:rsidRPr="003016C4">
              <w:rPr>
                <w:rFonts w:ascii="Arial" w:hAnsi="Arial" w:cs="Arial"/>
                <w:color w:val="000000"/>
              </w:rPr>
              <w:t> </w:t>
            </w:r>
          </w:p>
        </w:tc>
        <w:tc>
          <w:tcPr>
            <w:tcW w:w="1239"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jc w:val="left"/>
              <w:rPr>
                <w:rFonts w:ascii="Arial" w:hAnsi="Arial" w:cs="Arial"/>
                <w:color w:val="000000"/>
              </w:rPr>
            </w:pPr>
            <w:r w:rsidRPr="003016C4">
              <w:rPr>
                <w:rFonts w:ascii="Arial" w:hAnsi="Arial" w:cs="Arial"/>
                <w:color w:val="000000"/>
              </w:rPr>
              <w:t> </w:t>
            </w:r>
          </w:p>
        </w:tc>
      </w:tr>
      <w:tr w:rsidR="003016C4" w:rsidRPr="003016C4" w:rsidTr="003016C4">
        <w:trPr>
          <w:trHeight w:val="225"/>
        </w:trPr>
        <w:tc>
          <w:tcPr>
            <w:tcW w:w="2433" w:type="dxa"/>
            <w:tcBorders>
              <w:top w:val="nil"/>
              <w:left w:val="nil"/>
              <w:bottom w:val="nil"/>
              <w:right w:val="nil"/>
            </w:tcBorders>
            <w:shd w:val="clear" w:color="auto" w:fill="auto"/>
            <w:noWrap/>
            <w:vAlign w:val="bottom"/>
            <w:hideMark/>
          </w:tcPr>
          <w:p w:rsidR="003016C4" w:rsidRPr="003016C4" w:rsidRDefault="003016C4" w:rsidP="003016C4">
            <w:pPr>
              <w:spacing w:after="0" w:line="240" w:lineRule="auto"/>
              <w:ind w:firstLineChars="100" w:firstLine="161"/>
              <w:jc w:val="left"/>
              <w:rPr>
                <w:rFonts w:ascii="Arial" w:hAnsi="Arial" w:cs="Arial"/>
                <w:b/>
                <w:bCs/>
                <w:color w:val="000000"/>
              </w:rPr>
            </w:pPr>
            <w:r w:rsidRPr="003016C4">
              <w:rPr>
                <w:rFonts w:ascii="Arial" w:hAnsi="Arial" w:cs="Arial"/>
                <w:b/>
                <w:bCs/>
                <w:color w:val="000000"/>
              </w:rPr>
              <w:t>on behalf of Government</w:t>
            </w:r>
          </w:p>
        </w:tc>
        <w:tc>
          <w:tcPr>
            <w:tcW w:w="1052" w:type="dxa"/>
            <w:tcBorders>
              <w:top w:val="nil"/>
              <w:left w:val="nil"/>
              <w:bottom w:val="single" w:sz="4" w:space="0" w:color="auto"/>
              <w:right w:val="nil"/>
            </w:tcBorders>
            <w:shd w:val="clear" w:color="auto" w:fill="auto"/>
            <w:noWrap/>
            <w:vAlign w:val="center"/>
            <w:hideMark/>
          </w:tcPr>
          <w:p w:rsidR="003016C4" w:rsidRPr="003016C4" w:rsidRDefault="003016C4" w:rsidP="003016C4">
            <w:pPr>
              <w:spacing w:after="0" w:line="240" w:lineRule="auto"/>
              <w:jc w:val="right"/>
              <w:rPr>
                <w:rFonts w:ascii="Arial" w:hAnsi="Arial" w:cs="Arial"/>
                <w:b/>
                <w:bCs/>
                <w:color w:val="000000"/>
              </w:rPr>
            </w:pPr>
            <w:r w:rsidRPr="003016C4">
              <w:rPr>
                <w:rFonts w:ascii="Arial" w:hAnsi="Arial" w:cs="Arial"/>
                <w:b/>
                <w:bCs/>
                <w:color w:val="000000"/>
              </w:rPr>
              <w:t xml:space="preserve">408,807 </w:t>
            </w:r>
          </w:p>
        </w:tc>
        <w:tc>
          <w:tcPr>
            <w:tcW w:w="1166" w:type="dxa"/>
            <w:tcBorders>
              <w:top w:val="nil"/>
              <w:left w:val="nil"/>
              <w:bottom w:val="single" w:sz="4" w:space="0" w:color="auto"/>
              <w:right w:val="nil"/>
            </w:tcBorders>
            <w:shd w:val="clear" w:color="000000" w:fill="E6E6E6"/>
            <w:noWrap/>
            <w:vAlign w:val="center"/>
            <w:hideMark/>
          </w:tcPr>
          <w:p w:rsidR="003016C4" w:rsidRPr="003016C4" w:rsidRDefault="003016C4" w:rsidP="003016C4">
            <w:pPr>
              <w:spacing w:after="0" w:line="240" w:lineRule="auto"/>
              <w:jc w:val="right"/>
              <w:rPr>
                <w:rFonts w:ascii="Arial" w:hAnsi="Arial" w:cs="Arial"/>
                <w:b/>
                <w:bCs/>
                <w:color w:val="000000"/>
              </w:rPr>
            </w:pPr>
            <w:r w:rsidRPr="003016C4">
              <w:rPr>
                <w:rFonts w:ascii="Arial" w:hAnsi="Arial" w:cs="Arial"/>
                <w:b/>
                <w:bCs/>
                <w:color w:val="000000"/>
              </w:rPr>
              <w:t xml:space="preserve">4,684,118 </w:t>
            </w:r>
          </w:p>
        </w:tc>
        <w:tc>
          <w:tcPr>
            <w:tcW w:w="1030" w:type="dxa"/>
            <w:tcBorders>
              <w:top w:val="nil"/>
              <w:left w:val="nil"/>
              <w:bottom w:val="single" w:sz="4" w:space="0" w:color="auto"/>
              <w:right w:val="nil"/>
            </w:tcBorders>
            <w:shd w:val="clear" w:color="auto" w:fill="auto"/>
            <w:noWrap/>
            <w:vAlign w:val="center"/>
            <w:hideMark/>
          </w:tcPr>
          <w:p w:rsidR="003016C4" w:rsidRPr="003016C4" w:rsidRDefault="003016C4" w:rsidP="003016C4">
            <w:pPr>
              <w:spacing w:after="0" w:line="240" w:lineRule="auto"/>
              <w:jc w:val="right"/>
              <w:rPr>
                <w:rFonts w:ascii="Arial" w:hAnsi="Arial" w:cs="Arial"/>
                <w:b/>
                <w:bCs/>
                <w:color w:val="000000"/>
              </w:rPr>
            </w:pPr>
            <w:r w:rsidRPr="003016C4">
              <w:rPr>
                <w:rFonts w:ascii="Arial" w:hAnsi="Arial" w:cs="Arial"/>
                <w:b/>
                <w:bCs/>
                <w:color w:val="000000"/>
              </w:rPr>
              <w:t xml:space="preserve">5,375,589 </w:t>
            </w:r>
          </w:p>
        </w:tc>
        <w:tc>
          <w:tcPr>
            <w:tcW w:w="1030" w:type="dxa"/>
            <w:tcBorders>
              <w:top w:val="nil"/>
              <w:left w:val="nil"/>
              <w:bottom w:val="single" w:sz="4" w:space="0" w:color="auto"/>
              <w:right w:val="nil"/>
            </w:tcBorders>
            <w:shd w:val="clear" w:color="auto" w:fill="auto"/>
            <w:noWrap/>
            <w:vAlign w:val="center"/>
            <w:hideMark/>
          </w:tcPr>
          <w:p w:rsidR="003016C4" w:rsidRPr="003016C4" w:rsidRDefault="003016C4" w:rsidP="003016C4">
            <w:pPr>
              <w:spacing w:after="0" w:line="240" w:lineRule="auto"/>
              <w:jc w:val="right"/>
              <w:rPr>
                <w:rFonts w:ascii="Arial" w:hAnsi="Arial" w:cs="Arial"/>
                <w:b/>
                <w:bCs/>
                <w:color w:val="000000"/>
              </w:rPr>
            </w:pPr>
            <w:r w:rsidRPr="003016C4">
              <w:rPr>
                <w:rFonts w:ascii="Arial" w:hAnsi="Arial" w:cs="Arial"/>
                <w:b/>
                <w:bCs/>
                <w:color w:val="000000"/>
              </w:rPr>
              <w:t xml:space="preserve">5,887,683 </w:t>
            </w:r>
          </w:p>
        </w:tc>
        <w:tc>
          <w:tcPr>
            <w:tcW w:w="1239" w:type="dxa"/>
            <w:tcBorders>
              <w:top w:val="nil"/>
              <w:left w:val="nil"/>
              <w:bottom w:val="single" w:sz="4" w:space="0" w:color="auto"/>
              <w:right w:val="nil"/>
            </w:tcBorders>
            <w:shd w:val="clear" w:color="auto" w:fill="auto"/>
            <w:noWrap/>
            <w:vAlign w:val="center"/>
            <w:hideMark/>
          </w:tcPr>
          <w:p w:rsidR="003016C4" w:rsidRPr="003016C4" w:rsidRDefault="003016C4" w:rsidP="003016C4">
            <w:pPr>
              <w:spacing w:after="0" w:line="240" w:lineRule="auto"/>
              <w:jc w:val="right"/>
              <w:rPr>
                <w:rFonts w:ascii="Arial" w:hAnsi="Arial" w:cs="Arial"/>
                <w:b/>
                <w:bCs/>
                <w:color w:val="000000"/>
              </w:rPr>
            </w:pPr>
            <w:r w:rsidRPr="003016C4">
              <w:rPr>
                <w:rFonts w:ascii="Arial" w:hAnsi="Arial" w:cs="Arial"/>
                <w:b/>
                <w:bCs/>
                <w:color w:val="000000"/>
              </w:rPr>
              <w:t xml:space="preserve">6,593,029 </w:t>
            </w:r>
          </w:p>
        </w:tc>
      </w:tr>
      <w:tr w:rsidR="003016C4" w:rsidRPr="003016C4" w:rsidTr="003016C4">
        <w:trPr>
          <w:trHeight w:val="225"/>
        </w:trPr>
        <w:tc>
          <w:tcPr>
            <w:tcW w:w="2433" w:type="dxa"/>
            <w:tcBorders>
              <w:top w:val="nil"/>
              <w:left w:val="nil"/>
              <w:bottom w:val="nil"/>
              <w:right w:val="nil"/>
            </w:tcBorders>
            <w:shd w:val="clear" w:color="auto" w:fill="auto"/>
            <w:vAlign w:val="center"/>
            <w:hideMark/>
          </w:tcPr>
          <w:p w:rsidR="003016C4" w:rsidRPr="003016C4" w:rsidRDefault="003016C4" w:rsidP="003016C4">
            <w:pPr>
              <w:spacing w:after="0" w:line="240" w:lineRule="auto"/>
              <w:jc w:val="left"/>
              <w:rPr>
                <w:rFonts w:ascii="Arial" w:hAnsi="Arial" w:cs="Arial"/>
                <w:b/>
                <w:bCs/>
                <w:color w:val="000000"/>
              </w:rPr>
            </w:pPr>
            <w:r w:rsidRPr="003016C4">
              <w:rPr>
                <w:rFonts w:ascii="Arial" w:hAnsi="Arial" w:cs="Arial"/>
                <w:b/>
                <w:bCs/>
                <w:color w:val="000000"/>
              </w:rPr>
              <w:t xml:space="preserve">Total own-sourced income </w:t>
            </w:r>
          </w:p>
        </w:tc>
        <w:tc>
          <w:tcPr>
            <w:tcW w:w="1052"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jc w:val="left"/>
              <w:rPr>
                <w:rFonts w:ascii="Arial" w:hAnsi="Arial" w:cs="Arial"/>
                <w:b/>
                <w:bCs/>
                <w:color w:val="000000"/>
              </w:rPr>
            </w:pPr>
            <w:r w:rsidRPr="003016C4">
              <w:rPr>
                <w:rFonts w:ascii="Arial" w:hAnsi="Arial" w:cs="Arial"/>
                <w:b/>
                <w:bCs/>
                <w:color w:val="000000"/>
              </w:rPr>
              <w:t> </w:t>
            </w:r>
          </w:p>
        </w:tc>
        <w:tc>
          <w:tcPr>
            <w:tcW w:w="1166" w:type="dxa"/>
            <w:tcBorders>
              <w:top w:val="nil"/>
              <w:left w:val="nil"/>
              <w:bottom w:val="nil"/>
              <w:right w:val="nil"/>
            </w:tcBorders>
            <w:shd w:val="clear" w:color="000000" w:fill="E6E6E6"/>
            <w:noWrap/>
            <w:vAlign w:val="center"/>
            <w:hideMark/>
          </w:tcPr>
          <w:p w:rsidR="003016C4" w:rsidRPr="003016C4" w:rsidRDefault="003016C4" w:rsidP="003016C4">
            <w:pPr>
              <w:spacing w:after="0" w:line="240" w:lineRule="auto"/>
              <w:jc w:val="left"/>
              <w:rPr>
                <w:rFonts w:ascii="Arial" w:hAnsi="Arial" w:cs="Arial"/>
                <w:color w:val="000000"/>
              </w:rPr>
            </w:pPr>
            <w:r w:rsidRPr="003016C4">
              <w:rPr>
                <w:rFonts w:ascii="Arial" w:hAnsi="Arial" w:cs="Arial"/>
                <w:color w:val="000000"/>
              </w:rPr>
              <w:t> </w:t>
            </w:r>
          </w:p>
        </w:tc>
        <w:tc>
          <w:tcPr>
            <w:tcW w:w="1030"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jc w:val="left"/>
              <w:rPr>
                <w:rFonts w:ascii="Arial" w:hAnsi="Arial" w:cs="Arial"/>
                <w:b/>
                <w:bCs/>
                <w:color w:val="000000"/>
              </w:rPr>
            </w:pPr>
            <w:r w:rsidRPr="003016C4">
              <w:rPr>
                <w:rFonts w:ascii="Arial" w:hAnsi="Arial" w:cs="Arial"/>
                <w:b/>
                <w:bCs/>
                <w:color w:val="000000"/>
              </w:rPr>
              <w:t> </w:t>
            </w:r>
          </w:p>
        </w:tc>
        <w:tc>
          <w:tcPr>
            <w:tcW w:w="1030"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jc w:val="left"/>
              <w:rPr>
                <w:rFonts w:ascii="Arial" w:hAnsi="Arial" w:cs="Arial"/>
                <w:b/>
                <w:bCs/>
                <w:color w:val="000000"/>
              </w:rPr>
            </w:pPr>
            <w:r w:rsidRPr="003016C4">
              <w:rPr>
                <w:rFonts w:ascii="Arial" w:hAnsi="Arial" w:cs="Arial"/>
                <w:b/>
                <w:bCs/>
                <w:color w:val="000000"/>
              </w:rPr>
              <w:t> </w:t>
            </w:r>
          </w:p>
        </w:tc>
        <w:tc>
          <w:tcPr>
            <w:tcW w:w="1239"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jc w:val="left"/>
              <w:rPr>
                <w:rFonts w:ascii="Arial" w:hAnsi="Arial" w:cs="Arial"/>
                <w:b/>
                <w:bCs/>
                <w:color w:val="000000"/>
              </w:rPr>
            </w:pPr>
            <w:r w:rsidRPr="003016C4">
              <w:rPr>
                <w:rFonts w:ascii="Arial" w:hAnsi="Arial" w:cs="Arial"/>
                <w:b/>
                <w:bCs/>
                <w:color w:val="000000"/>
              </w:rPr>
              <w:t> </w:t>
            </w:r>
          </w:p>
        </w:tc>
      </w:tr>
      <w:tr w:rsidR="003016C4" w:rsidRPr="003016C4" w:rsidTr="003016C4">
        <w:trPr>
          <w:trHeight w:val="225"/>
        </w:trPr>
        <w:tc>
          <w:tcPr>
            <w:tcW w:w="2433"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ind w:firstLineChars="100" w:firstLine="161"/>
              <w:jc w:val="left"/>
              <w:rPr>
                <w:rFonts w:ascii="Arial" w:hAnsi="Arial" w:cs="Arial"/>
                <w:b/>
                <w:bCs/>
                <w:color w:val="000000"/>
              </w:rPr>
            </w:pPr>
            <w:r w:rsidRPr="003016C4">
              <w:rPr>
                <w:rFonts w:ascii="Arial" w:hAnsi="Arial" w:cs="Arial"/>
                <w:b/>
                <w:bCs/>
                <w:color w:val="000000"/>
              </w:rPr>
              <w:t xml:space="preserve">administered on behalf </w:t>
            </w:r>
          </w:p>
        </w:tc>
        <w:tc>
          <w:tcPr>
            <w:tcW w:w="1052"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jc w:val="left"/>
              <w:rPr>
                <w:rFonts w:ascii="Arial" w:hAnsi="Arial" w:cs="Arial"/>
                <w:b/>
                <w:bCs/>
                <w:color w:val="000000"/>
              </w:rPr>
            </w:pPr>
          </w:p>
        </w:tc>
        <w:tc>
          <w:tcPr>
            <w:tcW w:w="1166" w:type="dxa"/>
            <w:tcBorders>
              <w:top w:val="nil"/>
              <w:left w:val="nil"/>
              <w:bottom w:val="nil"/>
              <w:right w:val="nil"/>
            </w:tcBorders>
            <w:shd w:val="clear" w:color="000000" w:fill="E6E6E6"/>
            <w:noWrap/>
            <w:vAlign w:val="center"/>
            <w:hideMark/>
          </w:tcPr>
          <w:p w:rsidR="003016C4" w:rsidRPr="003016C4" w:rsidRDefault="003016C4" w:rsidP="003016C4">
            <w:pPr>
              <w:spacing w:after="0" w:line="240" w:lineRule="auto"/>
              <w:jc w:val="left"/>
              <w:rPr>
                <w:rFonts w:ascii="Arial" w:hAnsi="Arial" w:cs="Arial"/>
                <w:b/>
                <w:bCs/>
                <w:color w:val="000000"/>
              </w:rPr>
            </w:pPr>
            <w:r w:rsidRPr="003016C4">
              <w:rPr>
                <w:rFonts w:ascii="Arial" w:hAnsi="Arial" w:cs="Arial"/>
                <w:b/>
                <w:bCs/>
                <w:color w:val="000000"/>
              </w:rPr>
              <w:t> </w:t>
            </w:r>
          </w:p>
        </w:tc>
        <w:tc>
          <w:tcPr>
            <w:tcW w:w="1030"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jc w:val="left"/>
              <w:rPr>
                <w:rFonts w:ascii="Arial" w:hAnsi="Arial" w:cs="Arial"/>
                <w:b/>
                <w:bCs/>
                <w:color w:val="000000"/>
              </w:rPr>
            </w:pPr>
          </w:p>
        </w:tc>
        <w:tc>
          <w:tcPr>
            <w:tcW w:w="1030"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jc w:val="left"/>
              <w:rPr>
                <w:rFonts w:ascii="Arial" w:hAnsi="Arial" w:cs="Arial"/>
                <w:b/>
                <w:bCs/>
                <w:color w:val="000000"/>
              </w:rPr>
            </w:pPr>
          </w:p>
        </w:tc>
        <w:tc>
          <w:tcPr>
            <w:tcW w:w="1239"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jc w:val="left"/>
              <w:rPr>
                <w:rFonts w:ascii="Arial" w:hAnsi="Arial" w:cs="Arial"/>
                <w:b/>
                <w:bCs/>
                <w:color w:val="000000"/>
              </w:rPr>
            </w:pPr>
          </w:p>
        </w:tc>
      </w:tr>
      <w:tr w:rsidR="003016C4" w:rsidRPr="003016C4" w:rsidTr="003016C4">
        <w:trPr>
          <w:trHeight w:val="225"/>
        </w:trPr>
        <w:tc>
          <w:tcPr>
            <w:tcW w:w="2433" w:type="dxa"/>
            <w:tcBorders>
              <w:top w:val="nil"/>
              <w:left w:val="nil"/>
              <w:bottom w:val="nil"/>
              <w:right w:val="nil"/>
            </w:tcBorders>
            <w:shd w:val="clear" w:color="auto" w:fill="auto"/>
            <w:vAlign w:val="center"/>
            <w:hideMark/>
          </w:tcPr>
          <w:p w:rsidR="003016C4" w:rsidRPr="003016C4" w:rsidRDefault="003016C4" w:rsidP="003016C4">
            <w:pPr>
              <w:spacing w:after="0" w:line="240" w:lineRule="auto"/>
              <w:ind w:firstLineChars="100" w:firstLine="161"/>
              <w:jc w:val="left"/>
              <w:rPr>
                <w:rFonts w:ascii="Arial" w:hAnsi="Arial" w:cs="Arial"/>
                <w:b/>
                <w:bCs/>
                <w:color w:val="000000"/>
              </w:rPr>
            </w:pPr>
            <w:r w:rsidRPr="003016C4">
              <w:rPr>
                <w:rFonts w:ascii="Arial" w:hAnsi="Arial" w:cs="Arial"/>
                <w:b/>
                <w:bCs/>
                <w:color w:val="000000"/>
              </w:rPr>
              <w:t>of Government</w:t>
            </w:r>
          </w:p>
        </w:tc>
        <w:tc>
          <w:tcPr>
            <w:tcW w:w="1052" w:type="dxa"/>
            <w:tcBorders>
              <w:top w:val="nil"/>
              <w:left w:val="nil"/>
              <w:bottom w:val="single" w:sz="4" w:space="0" w:color="auto"/>
              <w:right w:val="nil"/>
            </w:tcBorders>
            <w:shd w:val="clear" w:color="auto" w:fill="auto"/>
            <w:noWrap/>
            <w:vAlign w:val="center"/>
            <w:hideMark/>
          </w:tcPr>
          <w:p w:rsidR="003016C4" w:rsidRPr="003016C4" w:rsidRDefault="003016C4" w:rsidP="003016C4">
            <w:pPr>
              <w:spacing w:after="0" w:line="240" w:lineRule="auto"/>
              <w:jc w:val="right"/>
              <w:rPr>
                <w:rFonts w:ascii="Arial" w:hAnsi="Arial" w:cs="Arial"/>
                <w:b/>
                <w:bCs/>
                <w:color w:val="000000"/>
              </w:rPr>
            </w:pPr>
            <w:r w:rsidRPr="003016C4">
              <w:rPr>
                <w:rFonts w:ascii="Arial" w:hAnsi="Arial" w:cs="Arial"/>
                <w:b/>
                <w:bCs/>
                <w:color w:val="000000"/>
              </w:rPr>
              <w:t xml:space="preserve">3,506,315 </w:t>
            </w:r>
          </w:p>
        </w:tc>
        <w:tc>
          <w:tcPr>
            <w:tcW w:w="1166" w:type="dxa"/>
            <w:tcBorders>
              <w:top w:val="nil"/>
              <w:left w:val="nil"/>
              <w:bottom w:val="single" w:sz="4" w:space="0" w:color="auto"/>
              <w:right w:val="nil"/>
            </w:tcBorders>
            <w:shd w:val="clear" w:color="000000" w:fill="E6E6E6"/>
            <w:noWrap/>
            <w:vAlign w:val="center"/>
            <w:hideMark/>
          </w:tcPr>
          <w:p w:rsidR="003016C4" w:rsidRPr="003016C4" w:rsidRDefault="003016C4" w:rsidP="003016C4">
            <w:pPr>
              <w:spacing w:after="0" w:line="240" w:lineRule="auto"/>
              <w:jc w:val="right"/>
              <w:rPr>
                <w:rFonts w:ascii="Arial" w:hAnsi="Arial" w:cs="Arial"/>
                <w:b/>
                <w:bCs/>
                <w:color w:val="000000"/>
              </w:rPr>
            </w:pPr>
            <w:r w:rsidRPr="003016C4">
              <w:rPr>
                <w:rFonts w:ascii="Arial" w:hAnsi="Arial" w:cs="Arial"/>
                <w:b/>
                <w:bCs/>
                <w:color w:val="000000"/>
              </w:rPr>
              <w:t xml:space="preserve">8,591,752 </w:t>
            </w:r>
          </w:p>
        </w:tc>
        <w:tc>
          <w:tcPr>
            <w:tcW w:w="1030" w:type="dxa"/>
            <w:tcBorders>
              <w:top w:val="nil"/>
              <w:left w:val="nil"/>
              <w:bottom w:val="single" w:sz="4" w:space="0" w:color="auto"/>
              <w:right w:val="nil"/>
            </w:tcBorders>
            <w:shd w:val="clear" w:color="auto" w:fill="auto"/>
            <w:noWrap/>
            <w:vAlign w:val="center"/>
            <w:hideMark/>
          </w:tcPr>
          <w:p w:rsidR="003016C4" w:rsidRPr="003016C4" w:rsidRDefault="003016C4" w:rsidP="003016C4">
            <w:pPr>
              <w:spacing w:after="0" w:line="240" w:lineRule="auto"/>
              <w:jc w:val="right"/>
              <w:rPr>
                <w:rFonts w:ascii="Arial" w:hAnsi="Arial" w:cs="Arial"/>
                <w:b/>
                <w:bCs/>
                <w:color w:val="000000"/>
              </w:rPr>
            </w:pPr>
            <w:r w:rsidRPr="003016C4">
              <w:rPr>
                <w:rFonts w:ascii="Arial" w:hAnsi="Arial" w:cs="Arial"/>
                <w:b/>
                <w:bCs/>
                <w:color w:val="000000"/>
              </w:rPr>
              <w:t xml:space="preserve">9,560,666 </w:t>
            </w:r>
          </w:p>
        </w:tc>
        <w:tc>
          <w:tcPr>
            <w:tcW w:w="1030" w:type="dxa"/>
            <w:tcBorders>
              <w:top w:val="nil"/>
              <w:left w:val="nil"/>
              <w:bottom w:val="single" w:sz="4" w:space="0" w:color="auto"/>
              <w:right w:val="nil"/>
            </w:tcBorders>
            <w:shd w:val="clear" w:color="auto" w:fill="auto"/>
            <w:noWrap/>
            <w:vAlign w:val="center"/>
            <w:hideMark/>
          </w:tcPr>
          <w:p w:rsidR="003016C4" w:rsidRPr="003016C4" w:rsidRDefault="003016C4" w:rsidP="003016C4">
            <w:pPr>
              <w:spacing w:after="0" w:line="240" w:lineRule="auto"/>
              <w:jc w:val="right"/>
              <w:rPr>
                <w:rFonts w:ascii="Arial" w:hAnsi="Arial" w:cs="Arial"/>
                <w:b/>
                <w:bCs/>
                <w:color w:val="000000"/>
              </w:rPr>
            </w:pPr>
            <w:r w:rsidRPr="003016C4">
              <w:rPr>
                <w:rFonts w:ascii="Arial" w:hAnsi="Arial" w:cs="Arial"/>
                <w:b/>
                <w:bCs/>
                <w:color w:val="000000"/>
              </w:rPr>
              <w:t xml:space="preserve">10,374,085 </w:t>
            </w:r>
          </w:p>
        </w:tc>
        <w:tc>
          <w:tcPr>
            <w:tcW w:w="1239" w:type="dxa"/>
            <w:tcBorders>
              <w:top w:val="nil"/>
              <w:left w:val="nil"/>
              <w:bottom w:val="single" w:sz="4" w:space="0" w:color="auto"/>
              <w:right w:val="nil"/>
            </w:tcBorders>
            <w:shd w:val="clear" w:color="auto" w:fill="auto"/>
            <w:noWrap/>
            <w:vAlign w:val="center"/>
            <w:hideMark/>
          </w:tcPr>
          <w:p w:rsidR="003016C4" w:rsidRPr="003016C4" w:rsidRDefault="003016C4" w:rsidP="003016C4">
            <w:pPr>
              <w:spacing w:after="0" w:line="240" w:lineRule="auto"/>
              <w:jc w:val="right"/>
              <w:rPr>
                <w:rFonts w:ascii="Arial" w:hAnsi="Arial" w:cs="Arial"/>
                <w:b/>
                <w:bCs/>
                <w:color w:val="000000"/>
              </w:rPr>
            </w:pPr>
            <w:r w:rsidRPr="003016C4">
              <w:rPr>
                <w:rFonts w:ascii="Arial" w:hAnsi="Arial" w:cs="Arial"/>
                <w:b/>
                <w:bCs/>
                <w:color w:val="000000"/>
              </w:rPr>
              <w:t xml:space="preserve">11,411,425 </w:t>
            </w:r>
          </w:p>
        </w:tc>
      </w:tr>
      <w:tr w:rsidR="003016C4" w:rsidRPr="003016C4" w:rsidTr="003016C4">
        <w:trPr>
          <w:trHeight w:val="225"/>
        </w:trPr>
        <w:tc>
          <w:tcPr>
            <w:tcW w:w="2433" w:type="dxa"/>
            <w:tcBorders>
              <w:top w:val="nil"/>
              <w:left w:val="nil"/>
              <w:bottom w:val="nil"/>
              <w:right w:val="nil"/>
            </w:tcBorders>
            <w:shd w:val="clear" w:color="auto" w:fill="auto"/>
            <w:noWrap/>
            <w:vAlign w:val="bottom"/>
            <w:hideMark/>
          </w:tcPr>
          <w:p w:rsidR="003016C4" w:rsidRPr="003016C4" w:rsidRDefault="003016C4" w:rsidP="003016C4">
            <w:pPr>
              <w:spacing w:after="0" w:line="240" w:lineRule="auto"/>
              <w:jc w:val="left"/>
              <w:rPr>
                <w:rFonts w:ascii="Arial" w:hAnsi="Arial" w:cs="Arial"/>
                <w:b/>
                <w:bCs/>
                <w:color w:val="000000"/>
              </w:rPr>
            </w:pPr>
            <w:r w:rsidRPr="003016C4">
              <w:rPr>
                <w:rFonts w:ascii="Arial" w:hAnsi="Arial" w:cs="Arial"/>
                <w:b/>
                <w:bCs/>
                <w:color w:val="000000"/>
              </w:rPr>
              <w:t>Net cost of/</w:t>
            </w:r>
          </w:p>
        </w:tc>
        <w:tc>
          <w:tcPr>
            <w:tcW w:w="1052"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jc w:val="left"/>
              <w:rPr>
                <w:rFonts w:ascii="Arial" w:hAnsi="Arial" w:cs="Arial"/>
                <w:b/>
                <w:bCs/>
                <w:color w:val="000000"/>
              </w:rPr>
            </w:pPr>
            <w:r w:rsidRPr="003016C4">
              <w:rPr>
                <w:rFonts w:ascii="Arial" w:hAnsi="Arial" w:cs="Arial"/>
                <w:b/>
                <w:bCs/>
                <w:color w:val="000000"/>
              </w:rPr>
              <w:t> </w:t>
            </w:r>
          </w:p>
        </w:tc>
        <w:tc>
          <w:tcPr>
            <w:tcW w:w="1166" w:type="dxa"/>
            <w:tcBorders>
              <w:top w:val="nil"/>
              <w:left w:val="nil"/>
              <w:bottom w:val="nil"/>
              <w:right w:val="nil"/>
            </w:tcBorders>
            <w:shd w:val="clear" w:color="000000" w:fill="E6E6E6"/>
            <w:noWrap/>
            <w:vAlign w:val="center"/>
            <w:hideMark/>
          </w:tcPr>
          <w:p w:rsidR="003016C4" w:rsidRPr="003016C4" w:rsidRDefault="003016C4" w:rsidP="003016C4">
            <w:pPr>
              <w:spacing w:after="0" w:line="240" w:lineRule="auto"/>
              <w:jc w:val="left"/>
              <w:rPr>
                <w:rFonts w:ascii="Arial" w:hAnsi="Arial" w:cs="Arial"/>
                <w:b/>
                <w:bCs/>
                <w:color w:val="000000"/>
              </w:rPr>
            </w:pPr>
            <w:r w:rsidRPr="003016C4">
              <w:rPr>
                <w:rFonts w:ascii="Arial" w:hAnsi="Arial" w:cs="Arial"/>
                <w:b/>
                <w:bCs/>
                <w:color w:val="000000"/>
              </w:rPr>
              <w:t> </w:t>
            </w:r>
          </w:p>
        </w:tc>
        <w:tc>
          <w:tcPr>
            <w:tcW w:w="1030"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jc w:val="left"/>
              <w:rPr>
                <w:rFonts w:ascii="Arial" w:hAnsi="Arial" w:cs="Arial"/>
                <w:b/>
                <w:bCs/>
                <w:color w:val="000000"/>
              </w:rPr>
            </w:pPr>
            <w:r w:rsidRPr="003016C4">
              <w:rPr>
                <w:rFonts w:ascii="Arial" w:hAnsi="Arial" w:cs="Arial"/>
                <w:b/>
                <w:bCs/>
                <w:color w:val="000000"/>
              </w:rPr>
              <w:t> </w:t>
            </w:r>
          </w:p>
        </w:tc>
        <w:tc>
          <w:tcPr>
            <w:tcW w:w="1030"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jc w:val="left"/>
              <w:rPr>
                <w:rFonts w:ascii="Arial" w:hAnsi="Arial" w:cs="Arial"/>
                <w:b/>
                <w:bCs/>
                <w:color w:val="000000"/>
              </w:rPr>
            </w:pPr>
            <w:r w:rsidRPr="003016C4">
              <w:rPr>
                <w:rFonts w:ascii="Arial" w:hAnsi="Arial" w:cs="Arial"/>
                <w:b/>
                <w:bCs/>
                <w:color w:val="000000"/>
              </w:rPr>
              <w:t> </w:t>
            </w:r>
          </w:p>
        </w:tc>
        <w:tc>
          <w:tcPr>
            <w:tcW w:w="1239"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jc w:val="left"/>
              <w:rPr>
                <w:rFonts w:ascii="Arial" w:hAnsi="Arial" w:cs="Arial"/>
                <w:b/>
                <w:bCs/>
                <w:color w:val="000000"/>
              </w:rPr>
            </w:pPr>
            <w:r w:rsidRPr="003016C4">
              <w:rPr>
                <w:rFonts w:ascii="Arial" w:hAnsi="Arial" w:cs="Arial"/>
                <w:b/>
                <w:bCs/>
                <w:color w:val="000000"/>
              </w:rPr>
              <w:t> </w:t>
            </w:r>
          </w:p>
        </w:tc>
      </w:tr>
      <w:tr w:rsidR="003016C4" w:rsidRPr="003016C4" w:rsidTr="003016C4">
        <w:trPr>
          <w:trHeight w:val="225"/>
        </w:trPr>
        <w:tc>
          <w:tcPr>
            <w:tcW w:w="2433" w:type="dxa"/>
            <w:tcBorders>
              <w:top w:val="nil"/>
              <w:left w:val="nil"/>
              <w:bottom w:val="nil"/>
              <w:right w:val="nil"/>
            </w:tcBorders>
            <w:shd w:val="clear" w:color="auto" w:fill="auto"/>
            <w:noWrap/>
            <w:vAlign w:val="bottom"/>
            <w:hideMark/>
          </w:tcPr>
          <w:p w:rsidR="003016C4" w:rsidRPr="003016C4" w:rsidRDefault="003016C4" w:rsidP="003016C4">
            <w:pPr>
              <w:spacing w:after="0" w:line="240" w:lineRule="auto"/>
              <w:ind w:firstLineChars="100" w:firstLine="161"/>
              <w:jc w:val="left"/>
              <w:rPr>
                <w:rFonts w:ascii="Arial" w:hAnsi="Arial" w:cs="Arial"/>
                <w:b/>
                <w:bCs/>
                <w:color w:val="000000"/>
              </w:rPr>
            </w:pPr>
            <w:r w:rsidRPr="003016C4">
              <w:rPr>
                <w:rFonts w:ascii="Arial" w:hAnsi="Arial" w:cs="Arial"/>
                <w:b/>
                <w:bCs/>
                <w:color w:val="000000"/>
              </w:rPr>
              <w:t>(contribution by) services</w:t>
            </w:r>
          </w:p>
        </w:tc>
        <w:tc>
          <w:tcPr>
            <w:tcW w:w="1052" w:type="dxa"/>
            <w:tcBorders>
              <w:top w:val="nil"/>
              <w:left w:val="nil"/>
              <w:bottom w:val="single" w:sz="4" w:space="0" w:color="auto"/>
              <w:right w:val="nil"/>
            </w:tcBorders>
            <w:shd w:val="clear" w:color="auto" w:fill="auto"/>
            <w:noWrap/>
            <w:vAlign w:val="bottom"/>
            <w:hideMark/>
          </w:tcPr>
          <w:p w:rsidR="003016C4" w:rsidRPr="003016C4" w:rsidRDefault="003016C4" w:rsidP="003016C4">
            <w:pPr>
              <w:spacing w:after="0" w:line="240" w:lineRule="auto"/>
              <w:jc w:val="right"/>
              <w:rPr>
                <w:rFonts w:ascii="Arial" w:hAnsi="Arial" w:cs="Arial"/>
                <w:b/>
                <w:bCs/>
                <w:color w:val="000000"/>
              </w:rPr>
            </w:pPr>
            <w:r w:rsidRPr="003016C4">
              <w:rPr>
                <w:rFonts w:ascii="Arial" w:hAnsi="Arial" w:cs="Arial"/>
                <w:b/>
                <w:bCs/>
                <w:color w:val="000000"/>
              </w:rPr>
              <w:t>(3,087,744)</w:t>
            </w:r>
          </w:p>
        </w:tc>
        <w:tc>
          <w:tcPr>
            <w:tcW w:w="1166" w:type="dxa"/>
            <w:tcBorders>
              <w:top w:val="nil"/>
              <w:left w:val="nil"/>
              <w:bottom w:val="single" w:sz="4" w:space="0" w:color="auto"/>
              <w:right w:val="nil"/>
            </w:tcBorders>
            <w:shd w:val="clear" w:color="000000" w:fill="E6E6E6"/>
            <w:noWrap/>
            <w:vAlign w:val="bottom"/>
            <w:hideMark/>
          </w:tcPr>
          <w:p w:rsidR="003016C4" w:rsidRPr="003016C4" w:rsidRDefault="003016C4" w:rsidP="003016C4">
            <w:pPr>
              <w:spacing w:after="0" w:line="240" w:lineRule="auto"/>
              <w:jc w:val="right"/>
              <w:rPr>
                <w:rFonts w:ascii="Arial" w:hAnsi="Arial" w:cs="Arial"/>
                <w:b/>
                <w:bCs/>
                <w:color w:val="000000"/>
              </w:rPr>
            </w:pPr>
            <w:r w:rsidRPr="003016C4">
              <w:rPr>
                <w:rFonts w:ascii="Arial" w:hAnsi="Arial" w:cs="Arial"/>
                <w:b/>
                <w:bCs/>
                <w:color w:val="000000"/>
              </w:rPr>
              <w:t>(8,134,507)</w:t>
            </w:r>
          </w:p>
        </w:tc>
        <w:tc>
          <w:tcPr>
            <w:tcW w:w="1030" w:type="dxa"/>
            <w:tcBorders>
              <w:top w:val="nil"/>
              <w:left w:val="nil"/>
              <w:bottom w:val="single" w:sz="4" w:space="0" w:color="auto"/>
              <w:right w:val="nil"/>
            </w:tcBorders>
            <w:shd w:val="clear" w:color="auto" w:fill="auto"/>
            <w:noWrap/>
            <w:vAlign w:val="bottom"/>
            <w:hideMark/>
          </w:tcPr>
          <w:p w:rsidR="003016C4" w:rsidRPr="003016C4" w:rsidRDefault="003016C4" w:rsidP="003016C4">
            <w:pPr>
              <w:spacing w:after="0" w:line="240" w:lineRule="auto"/>
              <w:jc w:val="right"/>
              <w:rPr>
                <w:rFonts w:ascii="Arial" w:hAnsi="Arial" w:cs="Arial"/>
                <w:b/>
                <w:bCs/>
                <w:color w:val="000000"/>
              </w:rPr>
            </w:pPr>
            <w:r w:rsidRPr="003016C4">
              <w:rPr>
                <w:rFonts w:ascii="Arial" w:hAnsi="Arial" w:cs="Arial"/>
                <w:b/>
                <w:bCs/>
                <w:color w:val="000000"/>
              </w:rPr>
              <w:t>(9,070,935)</w:t>
            </w:r>
          </w:p>
        </w:tc>
        <w:tc>
          <w:tcPr>
            <w:tcW w:w="1030" w:type="dxa"/>
            <w:tcBorders>
              <w:top w:val="nil"/>
              <w:left w:val="nil"/>
              <w:bottom w:val="single" w:sz="4" w:space="0" w:color="auto"/>
              <w:right w:val="nil"/>
            </w:tcBorders>
            <w:shd w:val="clear" w:color="auto" w:fill="auto"/>
            <w:noWrap/>
            <w:vAlign w:val="bottom"/>
            <w:hideMark/>
          </w:tcPr>
          <w:p w:rsidR="003016C4" w:rsidRPr="003016C4" w:rsidRDefault="003016C4" w:rsidP="003016C4">
            <w:pPr>
              <w:spacing w:after="0" w:line="240" w:lineRule="auto"/>
              <w:jc w:val="right"/>
              <w:rPr>
                <w:rFonts w:ascii="Arial" w:hAnsi="Arial" w:cs="Arial"/>
                <w:b/>
                <w:bCs/>
                <w:color w:val="000000"/>
              </w:rPr>
            </w:pPr>
            <w:r w:rsidRPr="003016C4">
              <w:rPr>
                <w:rFonts w:ascii="Arial" w:hAnsi="Arial" w:cs="Arial"/>
                <w:b/>
                <w:bCs/>
                <w:color w:val="000000"/>
              </w:rPr>
              <w:t>(9,851,800)</w:t>
            </w:r>
          </w:p>
        </w:tc>
        <w:tc>
          <w:tcPr>
            <w:tcW w:w="1239" w:type="dxa"/>
            <w:tcBorders>
              <w:top w:val="nil"/>
              <w:left w:val="nil"/>
              <w:bottom w:val="single" w:sz="4" w:space="0" w:color="auto"/>
              <w:right w:val="nil"/>
            </w:tcBorders>
            <w:shd w:val="clear" w:color="auto" w:fill="auto"/>
            <w:noWrap/>
            <w:vAlign w:val="bottom"/>
            <w:hideMark/>
          </w:tcPr>
          <w:p w:rsidR="003016C4" w:rsidRPr="003016C4" w:rsidRDefault="003016C4" w:rsidP="003016C4">
            <w:pPr>
              <w:spacing w:after="0" w:line="240" w:lineRule="auto"/>
              <w:jc w:val="right"/>
              <w:rPr>
                <w:rFonts w:ascii="Arial" w:hAnsi="Arial" w:cs="Arial"/>
                <w:b/>
                <w:bCs/>
                <w:color w:val="000000"/>
              </w:rPr>
            </w:pPr>
            <w:r w:rsidRPr="003016C4">
              <w:rPr>
                <w:rFonts w:ascii="Arial" w:hAnsi="Arial" w:cs="Arial"/>
                <w:b/>
                <w:bCs/>
                <w:color w:val="000000"/>
              </w:rPr>
              <w:t>(10,854,495)</w:t>
            </w:r>
          </w:p>
        </w:tc>
      </w:tr>
      <w:tr w:rsidR="003016C4" w:rsidRPr="003016C4" w:rsidTr="003016C4">
        <w:trPr>
          <w:trHeight w:val="225"/>
        </w:trPr>
        <w:tc>
          <w:tcPr>
            <w:tcW w:w="2433"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jc w:val="left"/>
              <w:rPr>
                <w:rFonts w:ascii="Arial" w:hAnsi="Arial" w:cs="Arial"/>
                <w:b/>
                <w:bCs/>
                <w:color w:val="000000"/>
              </w:rPr>
            </w:pPr>
            <w:r w:rsidRPr="003016C4">
              <w:rPr>
                <w:rFonts w:ascii="Arial" w:hAnsi="Arial" w:cs="Arial"/>
                <w:b/>
                <w:bCs/>
                <w:color w:val="000000"/>
              </w:rPr>
              <w:t>Total comprehensive income/</w:t>
            </w:r>
          </w:p>
        </w:tc>
        <w:tc>
          <w:tcPr>
            <w:tcW w:w="1052" w:type="dxa"/>
            <w:tcBorders>
              <w:top w:val="single" w:sz="4" w:space="0" w:color="000000"/>
              <w:left w:val="nil"/>
              <w:bottom w:val="nil"/>
              <w:right w:val="nil"/>
            </w:tcBorders>
            <w:shd w:val="clear" w:color="auto" w:fill="auto"/>
            <w:noWrap/>
            <w:vAlign w:val="center"/>
            <w:hideMark/>
          </w:tcPr>
          <w:p w:rsidR="003016C4" w:rsidRPr="003016C4" w:rsidRDefault="003016C4" w:rsidP="003016C4">
            <w:pPr>
              <w:spacing w:after="0" w:line="240" w:lineRule="auto"/>
              <w:jc w:val="left"/>
              <w:rPr>
                <w:rFonts w:ascii="Arial" w:hAnsi="Arial" w:cs="Arial"/>
                <w:b/>
                <w:bCs/>
                <w:color w:val="000000"/>
              </w:rPr>
            </w:pPr>
            <w:r w:rsidRPr="003016C4">
              <w:rPr>
                <w:rFonts w:ascii="Arial" w:hAnsi="Arial" w:cs="Arial"/>
                <w:b/>
                <w:bCs/>
                <w:color w:val="000000"/>
              </w:rPr>
              <w:t> </w:t>
            </w:r>
          </w:p>
        </w:tc>
        <w:tc>
          <w:tcPr>
            <w:tcW w:w="1166" w:type="dxa"/>
            <w:tcBorders>
              <w:top w:val="single" w:sz="4" w:space="0" w:color="000000"/>
              <w:left w:val="nil"/>
              <w:bottom w:val="nil"/>
              <w:right w:val="nil"/>
            </w:tcBorders>
            <w:shd w:val="clear" w:color="000000" w:fill="E6E6E6"/>
            <w:noWrap/>
            <w:vAlign w:val="center"/>
            <w:hideMark/>
          </w:tcPr>
          <w:p w:rsidR="003016C4" w:rsidRPr="003016C4" w:rsidRDefault="003016C4" w:rsidP="003016C4">
            <w:pPr>
              <w:spacing w:after="0" w:line="240" w:lineRule="auto"/>
              <w:jc w:val="left"/>
              <w:rPr>
                <w:rFonts w:ascii="Arial" w:hAnsi="Arial" w:cs="Arial"/>
                <w:b/>
                <w:bCs/>
                <w:color w:val="000000"/>
              </w:rPr>
            </w:pPr>
            <w:r w:rsidRPr="003016C4">
              <w:rPr>
                <w:rFonts w:ascii="Arial" w:hAnsi="Arial" w:cs="Arial"/>
                <w:b/>
                <w:bCs/>
                <w:color w:val="000000"/>
              </w:rPr>
              <w:t> </w:t>
            </w:r>
          </w:p>
        </w:tc>
        <w:tc>
          <w:tcPr>
            <w:tcW w:w="1030" w:type="dxa"/>
            <w:tcBorders>
              <w:top w:val="single" w:sz="4" w:space="0" w:color="000000"/>
              <w:left w:val="nil"/>
              <w:bottom w:val="nil"/>
              <w:right w:val="nil"/>
            </w:tcBorders>
            <w:shd w:val="clear" w:color="auto" w:fill="auto"/>
            <w:noWrap/>
            <w:vAlign w:val="center"/>
            <w:hideMark/>
          </w:tcPr>
          <w:p w:rsidR="003016C4" w:rsidRPr="003016C4" w:rsidRDefault="003016C4" w:rsidP="003016C4">
            <w:pPr>
              <w:spacing w:after="0" w:line="240" w:lineRule="auto"/>
              <w:jc w:val="left"/>
              <w:rPr>
                <w:rFonts w:ascii="Arial" w:hAnsi="Arial" w:cs="Arial"/>
                <w:b/>
                <w:bCs/>
                <w:color w:val="000000"/>
              </w:rPr>
            </w:pPr>
            <w:r w:rsidRPr="003016C4">
              <w:rPr>
                <w:rFonts w:ascii="Arial" w:hAnsi="Arial" w:cs="Arial"/>
                <w:b/>
                <w:bCs/>
                <w:color w:val="000000"/>
              </w:rPr>
              <w:t> </w:t>
            </w:r>
          </w:p>
        </w:tc>
        <w:tc>
          <w:tcPr>
            <w:tcW w:w="1030" w:type="dxa"/>
            <w:tcBorders>
              <w:top w:val="single" w:sz="4" w:space="0" w:color="000000"/>
              <w:left w:val="nil"/>
              <w:bottom w:val="nil"/>
              <w:right w:val="nil"/>
            </w:tcBorders>
            <w:shd w:val="clear" w:color="auto" w:fill="auto"/>
            <w:noWrap/>
            <w:vAlign w:val="center"/>
            <w:hideMark/>
          </w:tcPr>
          <w:p w:rsidR="003016C4" w:rsidRPr="003016C4" w:rsidRDefault="003016C4" w:rsidP="003016C4">
            <w:pPr>
              <w:spacing w:after="0" w:line="240" w:lineRule="auto"/>
              <w:jc w:val="left"/>
              <w:rPr>
                <w:rFonts w:ascii="Arial" w:hAnsi="Arial" w:cs="Arial"/>
                <w:b/>
                <w:bCs/>
                <w:color w:val="000000"/>
              </w:rPr>
            </w:pPr>
            <w:r w:rsidRPr="003016C4">
              <w:rPr>
                <w:rFonts w:ascii="Arial" w:hAnsi="Arial" w:cs="Arial"/>
                <w:b/>
                <w:bCs/>
                <w:color w:val="000000"/>
              </w:rPr>
              <w:t> </w:t>
            </w:r>
          </w:p>
        </w:tc>
        <w:tc>
          <w:tcPr>
            <w:tcW w:w="1239" w:type="dxa"/>
            <w:tcBorders>
              <w:top w:val="single" w:sz="4" w:space="0" w:color="000000"/>
              <w:left w:val="nil"/>
              <w:bottom w:val="nil"/>
              <w:right w:val="nil"/>
            </w:tcBorders>
            <w:shd w:val="clear" w:color="auto" w:fill="auto"/>
            <w:noWrap/>
            <w:vAlign w:val="center"/>
            <w:hideMark/>
          </w:tcPr>
          <w:p w:rsidR="003016C4" w:rsidRPr="003016C4" w:rsidRDefault="003016C4" w:rsidP="003016C4">
            <w:pPr>
              <w:spacing w:after="0" w:line="240" w:lineRule="auto"/>
              <w:jc w:val="left"/>
              <w:rPr>
                <w:rFonts w:ascii="Arial" w:hAnsi="Arial" w:cs="Arial"/>
                <w:b/>
                <w:bCs/>
                <w:color w:val="000000"/>
              </w:rPr>
            </w:pPr>
            <w:r w:rsidRPr="003016C4">
              <w:rPr>
                <w:rFonts w:ascii="Arial" w:hAnsi="Arial" w:cs="Arial"/>
                <w:b/>
                <w:bCs/>
                <w:color w:val="000000"/>
              </w:rPr>
              <w:t> </w:t>
            </w:r>
          </w:p>
        </w:tc>
      </w:tr>
      <w:tr w:rsidR="003016C4" w:rsidRPr="003016C4" w:rsidTr="003016C4">
        <w:trPr>
          <w:trHeight w:val="225"/>
        </w:trPr>
        <w:tc>
          <w:tcPr>
            <w:tcW w:w="2433" w:type="dxa"/>
            <w:tcBorders>
              <w:top w:val="nil"/>
              <w:left w:val="nil"/>
              <w:bottom w:val="single" w:sz="4" w:space="0" w:color="000000"/>
              <w:right w:val="nil"/>
            </w:tcBorders>
            <w:shd w:val="clear" w:color="auto" w:fill="auto"/>
            <w:noWrap/>
            <w:vAlign w:val="center"/>
            <w:hideMark/>
          </w:tcPr>
          <w:p w:rsidR="003016C4" w:rsidRPr="003016C4" w:rsidRDefault="003016C4" w:rsidP="003016C4">
            <w:pPr>
              <w:spacing w:after="0" w:line="240" w:lineRule="auto"/>
              <w:ind w:firstLineChars="100" w:firstLine="161"/>
              <w:jc w:val="left"/>
              <w:rPr>
                <w:rFonts w:ascii="Arial" w:hAnsi="Arial" w:cs="Arial"/>
                <w:b/>
                <w:bCs/>
                <w:color w:val="000000"/>
              </w:rPr>
            </w:pPr>
            <w:r w:rsidRPr="003016C4">
              <w:rPr>
                <w:rFonts w:ascii="Arial" w:hAnsi="Arial" w:cs="Arial"/>
                <w:b/>
                <w:bCs/>
                <w:color w:val="000000"/>
              </w:rPr>
              <w:t>(loss)</w:t>
            </w:r>
          </w:p>
        </w:tc>
        <w:tc>
          <w:tcPr>
            <w:tcW w:w="1052" w:type="dxa"/>
            <w:tcBorders>
              <w:top w:val="nil"/>
              <w:left w:val="nil"/>
              <w:bottom w:val="single" w:sz="4" w:space="0" w:color="000000"/>
              <w:right w:val="nil"/>
            </w:tcBorders>
            <w:shd w:val="clear" w:color="auto" w:fill="auto"/>
            <w:noWrap/>
            <w:vAlign w:val="center"/>
            <w:hideMark/>
          </w:tcPr>
          <w:p w:rsidR="003016C4" w:rsidRPr="003016C4" w:rsidRDefault="003016C4" w:rsidP="003016C4">
            <w:pPr>
              <w:spacing w:after="0" w:line="240" w:lineRule="auto"/>
              <w:jc w:val="right"/>
              <w:rPr>
                <w:rFonts w:ascii="Arial" w:hAnsi="Arial" w:cs="Arial"/>
                <w:b/>
                <w:bCs/>
                <w:color w:val="000000"/>
              </w:rPr>
            </w:pPr>
            <w:r w:rsidRPr="003016C4">
              <w:rPr>
                <w:rFonts w:ascii="Arial" w:hAnsi="Arial" w:cs="Arial"/>
                <w:b/>
                <w:bCs/>
                <w:color w:val="000000"/>
              </w:rPr>
              <w:t xml:space="preserve">3,087,744 </w:t>
            </w:r>
          </w:p>
        </w:tc>
        <w:tc>
          <w:tcPr>
            <w:tcW w:w="1166" w:type="dxa"/>
            <w:tcBorders>
              <w:top w:val="nil"/>
              <w:left w:val="nil"/>
              <w:bottom w:val="single" w:sz="4" w:space="0" w:color="000000"/>
              <w:right w:val="nil"/>
            </w:tcBorders>
            <w:shd w:val="clear" w:color="000000" w:fill="E6E6E6"/>
            <w:noWrap/>
            <w:vAlign w:val="center"/>
            <w:hideMark/>
          </w:tcPr>
          <w:p w:rsidR="003016C4" w:rsidRPr="003016C4" w:rsidRDefault="003016C4" w:rsidP="003016C4">
            <w:pPr>
              <w:spacing w:after="0" w:line="240" w:lineRule="auto"/>
              <w:jc w:val="right"/>
              <w:rPr>
                <w:rFonts w:ascii="Arial" w:hAnsi="Arial" w:cs="Arial"/>
                <w:b/>
                <w:bCs/>
                <w:color w:val="000000"/>
              </w:rPr>
            </w:pPr>
            <w:r w:rsidRPr="003016C4">
              <w:rPr>
                <w:rFonts w:ascii="Arial" w:hAnsi="Arial" w:cs="Arial"/>
                <w:b/>
                <w:bCs/>
                <w:color w:val="000000"/>
              </w:rPr>
              <w:t xml:space="preserve">8,134,507 </w:t>
            </w:r>
          </w:p>
        </w:tc>
        <w:tc>
          <w:tcPr>
            <w:tcW w:w="1030" w:type="dxa"/>
            <w:tcBorders>
              <w:top w:val="nil"/>
              <w:left w:val="nil"/>
              <w:bottom w:val="single" w:sz="4" w:space="0" w:color="000000"/>
              <w:right w:val="nil"/>
            </w:tcBorders>
            <w:shd w:val="clear" w:color="auto" w:fill="auto"/>
            <w:noWrap/>
            <w:vAlign w:val="center"/>
            <w:hideMark/>
          </w:tcPr>
          <w:p w:rsidR="003016C4" w:rsidRPr="003016C4" w:rsidRDefault="003016C4" w:rsidP="003016C4">
            <w:pPr>
              <w:spacing w:after="0" w:line="240" w:lineRule="auto"/>
              <w:jc w:val="right"/>
              <w:rPr>
                <w:rFonts w:ascii="Arial" w:hAnsi="Arial" w:cs="Arial"/>
                <w:b/>
                <w:bCs/>
                <w:color w:val="000000"/>
              </w:rPr>
            </w:pPr>
            <w:r w:rsidRPr="003016C4">
              <w:rPr>
                <w:rFonts w:ascii="Arial" w:hAnsi="Arial" w:cs="Arial"/>
                <w:b/>
                <w:bCs/>
                <w:color w:val="000000"/>
              </w:rPr>
              <w:t xml:space="preserve">9,070,935 </w:t>
            </w:r>
          </w:p>
        </w:tc>
        <w:tc>
          <w:tcPr>
            <w:tcW w:w="1030" w:type="dxa"/>
            <w:tcBorders>
              <w:top w:val="nil"/>
              <w:left w:val="nil"/>
              <w:bottom w:val="single" w:sz="4" w:space="0" w:color="000000"/>
              <w:right w:val="nil"/>
            </w:tcBorders>
            <w:shd w:val="clear" w:color="auto" w:fill="auto"/>
            <w:noWrap/>
            <w:vAlign w:val="center"/>
            <w:hideMark/>
          </w:tcPr>
          <w:p w:rsidR="003016C4" w:rsidRPr="003016C4" w:rsidRDefault="003016C4" w:rsidP="003016C4">
            <w:pPr>
              <w:spacing w:after="0" w:line="240" w:lineRule="auto"/>
              <w:jc w:val="right"/>
              <w:rPr>
                <w:rFonts w:ascii="Arial" w:hAnsi="Arial" w:cs="Arial"/>
                <w:b/>
                <w:bCs/>
                <w:color w:val="000000"/>
              </w:rPr>
            </w:pPr>
            <w:r w:rsidRPr="003016C4">
              <w:rPr>
                <w:rFonts w:ascii="Arial" w:hAnsi="Arial" w:cs="Arial"/>
                <w:b/>
                <w:bCs/>
                <w:color w:val="000000"/>
              </w:rPr>
              <w:t xml:space="preserve">9,851,800 </w:t>
            </w:r>
          </w:p>
        </w:tc>
        <w:tc>
          <w:tcPr>
            <w:tcW w:w="1239" w:type="dxa"/>
            <w:tcBorders>
              <w:top w:val="nil"/>
              <w:left w:val="nil"/>
              <w:bottom w:val="single" w:sz="4" w:space="0" w:color="000000"/>
              <w:right w:val="nil"/>
            </w:tcBorders>
            <w:shd w:val="clear" w:color="auto" w:fill="auto"/>
            <w:noWrap/>
            <w:vAlign w:val="center"/>
            <w:hideMark/>
          </w:tcPr>
          <w:p w:rsidR="003016C4" w:rsidRPr="003016C4" w:rsidRDefault="003016C4" w:rsidP="003016C4">
            <w:pPr>
              <w:spacing w:after="0" w:line="240" w:lineRule="auto"/>
              <w:jc w:val="right"/>
              <w:rPr>
                <w:rFonts w:ascii="Arial" w:hAnsi="Arial" w:cs="Arial"/>
                <w:b/>
                <w:bCs/>
                <w:color w:val="000000"/>
              </w:rPr>
            </w:pPr>
            <w:r w:rsidRPr="003016C4">
              <w:rPr>
                <w:rFonts w:ascii="Arial" w:hAnsi="Arial" w:cs="Arial"/>
                <w:b/>
                <w:bCs/>
                <w:color w:val="000000"/>
              </w:rPr>
              <w:t xml:space="preserve">10,854,495 </w:t>
            </w:r>
          </w:p>
        </w:tc>
      </w:tr>
    </w:tbl>
    <w:p w:rsidR="00B2394E" w:rsidRPr="008B49E5" w:rsidRDefault="00B2394E" w:rsidP="001D4988">
      <w:pPr>
        <w:pStyle w:val="TableGraphic"/>
        <w:jc w:val="left"/>
        <w:rPr>
          <w:i/>
        </w:rPr>
      </w:pPr>
      <w:proofErr w:type="gramStart"/>
      <w:r w:rsidRPr="00F64A54">
        <w:rPr>
          <w:rFonts w:ascii="Arial" w:hAnsi="Arial" w:cs="Arial"/>
        </w:rPr>
        <w:t xml:space="preserve">Prepared on Australian </w:t>
      </w:r>
      <w:r w:rsidRPr="008B49E5">
        <w:rPr>
          <w:rFonts w:ascii="Arial" w:hAnsi="Arial" w:cs="Arial"/>
        </w:rPr>
        <w:t>Accounting Standards basis.</w:t>
      </w:r>
      <w:proofErr w:type="gramEnd"/>
    </w:p>
    <w:p w:rsidR="00B2394E" w:rsidRDefault="00B2394E" w:rsidP="00B2394E">
      <w:pPr>
        <w:pStyle w:val="NoSpacing"/>
      </w:pPr>
    </w:p>
    <w:p w:rsidR="00B2394E" w:rsidRDefault="00B2394E" w:rsidP="00BE1C0C">
      <w:pPr>
        <w:pStyle w:val="Heading5"/>
        <w:spacing w:after="0"/>
      </w:pPr>
      <w:r>
        <w:br w:type="page"/>
      </w:r>
      <w:r w:rsidRPr="00D30CBA">
        <w:lastRenderedPageBreak/>
        <w:t>Table</w:t>
      </w:r>
      <w:r>
        <w:t xml:space="preserve"> 3.8</w:t>
      </w:r>
      <w:r w:rsidR="00BE1C0C">
        <w:t xml:space="preserve">: </w:t>
      </w:r>
      <w:r w:rsidR="001D4988">
        <w:t>Schedule of</w:t>
      </w:r>
      <w:r w:rsidRPr="00D30CBA">
        <w:t xml:space="preserve"> </w:t>
      </w:r>
      <w:r w:rsidR="00BE1C0C">
        <w:t xml:space="preserve">Budgeted </w:t>
      </w:r>
      <w:r>
        <w:t>A</w:t>
      </w:r>
      <w:r w:rsidRPr="00D30CBA">
        <w:t xml:space="preserve">ssets and </w:t>
      </w:r>
      <w:r>
        <w:t>L</w:t>
      </w:r>
      <w:r w:rsidRPr="00D30CBA">
        <w:t xml:space="preserve">iabilities </w:t>
      </w:r>
      <w:r>
        <w:t>A</w:t>
      </w:r>
      <w:r w:rsidRPr="00D30CBA">
        <w:t>dministered o</w:t>
      </w:r>
      <w:r>
        <w:t>n Behalf of G</w:t>
      </w:r>
      <w:r w:rsidRPr="00D30CBA">
        <w:t>overnment (as at 30 June)</w:t>
      </w:r>
    </w:p>
    <w:tbl>
      <w:tblPr>
        <w:tblW w:w="7460" w:type="dxa"/>
        <w:tblInd w:w="96" w:type="dxa"/>
        <w:tblLook w:val="04A0"/>
      </w:tblPr>
      <w:tblGrid>
        <w:gridCol w:w="2260"/>
        <w:gridCol w:w="1051"/>
        <w:gridCol w:w="1051"/>
        <w:gridCol w:w="1051"/>
        <w:gridCol w:w="1051"/>
        <w:gridCol w:w="1051"/>
      </w:tblGrid>
      <w:tr w:rsidR="003016C4" w:rsidRPr="003016C4" w:rsidTr="003016C4">
        <w:trPr>
          <w:trHeight w:val="225"/>
        </w:trPr>
        <w:tc>
          <w:tcPr>
            <w:tcW w:w="2260" w:type="dxa"/>
            <w:tcBorders>
              <w:top w:val="single" w:sz="4" w:space="0" w:color="auto"/>
              <w:left w:val="nil"/>
              <w:bottom w:val="nil"/>
              <w:right w:val="nil"/>
            </w:tcBorders>
            <w:shd w:val="clear" w:color="auto" w:fill="auto"/>
            <w:noWrap/>
            <w:hideMark/>
          </w:tcPr>
          <w:p w:rsidR="003016C4" w:rsidRPr="003016C4" w:rsidRDefault="003016C4" w:rsidP="003016C4">
            <w:pPr>
              <w:spacing w:after="0" w:line="240" w:lineRule="auto"/>
              <w:jc w:val="left"/>
              <w:rPr>
                <w:rFonts w:ascii="Arial" w:hAnsi="Arial" w:cs="Arial"/>
                <w:b/>
                <w:bCs/>
                <w:sz w:val="15"/>
                <w:szCs w:val="15"/>
              </w:rPr>
            </w:pPr>
            <w:r w:rsidRPr="003016C4">
              <w:rPr>
                <w:rFonts w:ascii="Arial" w:hAnsi="Arial" w:cs="Arial"/>
                <w:b/>
                <w:bCs/>
                <w:sz w:val="15"/>
                <w:szCs w:val="15"/>
              </w:rPr>
              <w:t> </w:t>
            </w:r>
          </w:p>
        </w:tc>
        <w:tc>
          <w:tcPr>
            <w:tcW w:w="1040" w:type="dxa"/>
            <w:tcBorders>
              <w:top w:val="single" w:sz="4" w:space="0" w:color="auto"/>
              <w:left w:val="nil"/>
              <w:bottom w:val="nil"/>
              <w:right w:val="nil"/>
            </w:tcBorders>
            <w:shd w:val="clear" w:color="auto" w:fill="auto"/>
            <w:hideMark/>
          </w:tcPr>
          <w:p w:rsidR="003016C4" w:rsidRPr="003016C4" w:rsidRDefault="003016C4" w:rsidP="003016C4">
            <w:pPr>
              <w:spacing w:after="0" w:line="240" w:lineRule="auto"/>
              <w:jc w:val="right"/>
              <w:rPr>
                <w:rFonts w:ascii="Arial" w:hAnsi="Arial" w:cs="Arial"/>
                <w:sz w:val="15"/>
                <w:szCs w:val="15"/>
              </w:rPr>
            </w:pPr>
            <w:r w:rsidRPr="003016C4">
              <w:rPr>
                <w:rFonts w:ascii="Arial" w:hAnsi="Arial" w:cs="Arial"/>
                <w:sz w:val="15"/>
                <w:szCs w:val="15"/>
              </w:rPr>
              <w:t>2015-16</w:t>
            </w:r>
          </w:p>
        </w:tc>
        <w:tc>
          <w:tcPr>
            <w:tcW w:w="1040" w:type="dxa"/>
            <w:tcBorders>
              <w:top w:val="single" w:sz="4" w:space="0" w:color="auto"/>
              <w:left w:val="nil"/>
              <w:bottom w:val="nil"/>
              <w:right w:val="nil"/>
            </w:tcBorders>
            <w:shd w:val="clear" w:color="000000" w:fill="E6E6E6"/>
            <w:hideMark/>
          </w:tcPr>
          <w:p w:rsidR="003016C4" w:rsidRPr="003016C4" w:rsidRDefault="003016C4" w:rsidP="003016C4">
            <w:pPr>
              <w:spacing w:after="0" w:line="240" w:lineRule="auto"/>
              <w:jc w:val="right"/>
              <w:rPr>
                <w:rFonts w:ascii="Arial" w:hAnsi="Arial" w:cs="Arial"/>
                <w:sz w:val="15"/>
                <w:szCs w:val="15"/>
              </w:rPr>
            </w:pPr>
            <w:r w:rsidRPr="003016C4">
              <w:rPr>
                <w:rFonts w:ascii="Arial" w:hAnsi="Arial" w:cs="Arial"/>
                <w:sz w:val="15"/>
                <w:szCs w:val="15"/>
              </w:rPr>
              <w:t>2016-17</w:t>
            </w:r>
          </w:p>
        </w:tc>
        <w:tc>
          <w:tcPr>
            <w:tcW w:w="1040" w:type="dxa"/>
            <w:tcBorders>
              <w:top w:val="single" w:sz="4" w:space="0" w:color="auto"/>
              <w:left w:val="nil"/>
              <w:bottom w:val="nil"/>
              <w:right w:val="nil"/>
            </w:tcBorders>
            <w:shd w:val="clear" w:color="auto" w:fill="auto"/>
            <w:hideMark/>
          </w:tcPr>
          <w:p w:rsidR="003016C4" w:rsidRPr="003016C4" w:rsidRDefault="003016C4" w:rsidP="003016C4">
            <w:pPr>
              <w:spacing w:after="0" w:line="240" w:lineRule="auto"/>
              <w:jc w:val="right"/>
              <w:rPr>
                <w:rFonts w:ascii="Arial" w:hAnsi="Arial" w:cs="Arial"/>
                <w:sz w:val="15"/>
                <w:szCs w:val="15"/>
              </w:rPr>
            </w:pPr>
            <w:r w:rsidRPr="003016C4">
              <w:rPr>
                <w:rFonts w:ascii="Arial" w:hAnsi="Arial" w:cs="Arial"/>
                <w:sz w:val="15"/>
                <w:szCs w:val="15"/>
              </w:rPr>
              <w:t>2017-18</w:t>
            </w:r>
          </w:p>
        </w:tc>
        <w:tc>
          <w:tcPr>
            <w:tcW w:w="1040" w:type="dxa"/>
            <w:tcBorders>
              <w:top w:val="single" w:sz="4" w:space="0" w:color="auto"/>
              <w:left w:val="nil"/>
              <w:bottom w:val="nil"/>
              <w:right w:val="nil"/>
            </w:tcBorders>
            <w:shd w:val="clear" w:color="auto" w:fill="auto"/>
            <w:hideMark/>
          </w:tcPr>
          <w:p w:rsidR="003016C4" w:rsidRPr="003016C4" w:rsidRDefault="003016C4" w:rsidP="003016C4">
            <w:pPr>
              <w:spacing w:after="0" w:line="240" w:lineRule="auto"/>
              <w:jc w:val="right"/>
              <w:rPr>
                <w:rFonts w:ascii="Arial" w:hAnsi="Arial" w:cs="Arial"/>
                <w:sz w:val="15"/>
                <w:szCs w:val="15"/>
              </w:rPr>
            </w:pPr>
            <w:r w:rsidRPr="003016C4">
              <w:rPr>
                <w:rFonts w:ascii="Arial" w:hAnsi="Arial" w:cs="Arial"/>
                <w:sz w:val="15"/>
                <w:szCs w:val="15"/>
              </w:rPr>
              <w:t>2018-19</w:t>
            </w:r>
          </w:p>
        </w:tc>
        <w:tc>
          <w:tcPr>
            <w:tcW w:w="1040" w:type="dxa"/>
            <w:tcBorders>
              <w:top w:val="single" w:sz="4" w:space="0" w:color="auto"/>
              <w:left w:val="nil"/>
              <w:bottom w:val="nil"/>
              <w:right w:val="nil"/>
            </w:tcBorders>
            <w:shd w:val="clear" w:color="auto" w:fill="auto"/>
            <w:hideMark/>
          </w:tcPr>
          <w:p w:rsidR="003016C4" w:rsidRPr="003016C4" w:rsidRDefault="003016C4" w:rsidP="003016C4">
            <w:pPr>
              <w:spacing w:after="0" w:line="240" w:lineRule="auto"/>
              <w:jc w:val="right"/>
              <w:rPr>
                <w:rFonts w:ascii="Arial" w:hAnsi="Arial" w:cs="Arial"/>
                <w:sz w:val="15"/>
                <w:szCs w:val="15"/>
              </w:rPr>
            </w:pPr>
            <w:r w:rsidRPr="003016C4">
              <w:rPr>
                <w:rFonts w:ascii="Arial" w:hAnsi="Arial" w:cs="Arial"/>
                <w:sz w:val="15"/>
                <w:szCs w:val="15"/>
              </w:rPr>
              <w:t>2019-20</w:t>
            </w:r>
          </w:p>
        </w:tc>
      </w:tr>
      <w:tr w:rsidR="003016C4" w:rsidRPr="003016C4" w:rsidTr="003016C4">
        <w:trPr>
          <w:trHeight w:val="225"/>
        </w:trPr>
        <w:tc>
          <w:tcPr>
            <w:tcW w:w="2260" w:type="dxa"/>
            <w:tcBorders>
              <w:top w:val="nil"/>
              <w:left w:val="nil"/>
              <w:bottom w:val="nil"/>
              <w:right w:val="nil"/>
            </w:tcBorders>
            <w:shd w:val="clear" w:color="auto" w:fill="auto"/>
            <w:noWrap/>
            <w:hideMark/>
          </w:tcPr>
          <w:p w:rsidR="003016C4" w:rsidRPr="003016C4" w:rsidRDefault="003016C4" w:rsidP="003016C4">
            <w:pPr>
              <w:spacing w:after="0" w:line="240" w:lineRule="auto"/>
              <w:jc w:val="left"/>
              <w:rPr>
                <w:rFonts w:ascii="Arial" w:hAnsi="Arial" w:cs="Arial"/>
                <w:b/>
                <w:bCs/>
                <w:sz w:val="15"/>
                <w:szCs w:val="15"/>
              </w:rPr>
            </w:pPr>
          </w:p>
        </w:tc>
        <w:tc>
          <w:tcPr>
            <w:tcW w:w="1040" w:type="dxa"/>
            <w:tcBorders>
              <w:top w:val="nil"/>
              <w:left w:val="nil"/>
              <w:bottom w:val="nil"/>
              <w:right w:val="nil"/>
            </w:tcBorders>
            <w:shd w:val="clear" w:color="auto" w:fill="auto"/>
            <w:hideMark/>
          </w:tcPr>
          <w:p w:rsidR="003016C4" w:rsidRPr="003016C4" w:rsidRDefault="003016C4" w:rsidP="003016C4">
            <w:pPr>
              <w:spacing w:after="0" w:line="240" w:lineRule="auto"/>
              <w:jc w:val="right"/>
              <w:rPr>
                <w:rFonts w:ascii="Arial" w:hAnsi="Arial" w:cs="Arial"/>
                <w:sz w:val="15"/>
                <w:szCs w:val="15"/>
              </w:rPr>
            </w:pPr>
            <w:r w:rsidRPr="003016C4">
              <w:rPr>
                <w:rFonts w:ascii="Arial" w:hAnsi="Arial" w:cs="Arial"/>
                <w:sz w:val="15"/>
                <w:szCs w:val="15"/>
              </w:rPr>
              <w:t>Estimated</w:t>
            </w:r>
          </w:p>
        </w:tc>
        <w:tc>
          <w:tcPr>
            <w:tcW w:w="1040" w:type="dxa"/>
            <w:tcBorders>
              <w:top w:val="nil"/>
              <w:left w:val="nil"/>
              <w:bottom w:val="nil"/>
              <w:right w:val="nil"/>
            </w:tcBorders>
            <w:shd w:val="clear" w:color="000000" w:fill="E6E6E6"/>
            <w:hideMark/>
          </w:tcPr>
          <w:p w:rsidR="003016C4" w:rsidRPr="003016C4" w:rsidRDefault="003016C4" w:rsidP="003016C4">
            <w:pPr>
              <w:spacing w:after="0" w:line="240" w:lineRule="auto"/>
              <w:jc w:val="right"/>
              <w:rPr>
                <w:rFonts w:ascii="Arial" w:hAnsi="Arial" w:cs="Arial"/>
                <w:sz w:val="15"/>
                <w:szCs w:val="15"/>
              </w:rPr>
            </w:pPr>
            <w:r w:rsidRPr="003016C4">
              <w:rPr>
                <w:rFonts w:ascii="Arial" w:hAnsi="Arial" w:cs="Arial"/>
                <w:sz w:val="15"/>
                <w:szCs w:val="15"/>
              </w:rPr>
              <w:t>Budget</w:t>
            </w:r>
          </w:p>
        </w:tc>
        <w:tc>
          <w:tcPr>
            <w:tcW w:w="1040" w:type="dxa"/>
            <w:tcBorders>
              <w:top w:val="nil"/>
              <w:left w:val="nil"/>
              <w:bottom w:val="nil"/>
              <w:right w:val="nil"/>
            </w:tcBorders>
            <w:shd w:val="clear" w:color="auto" w:fill="auto"/>
            <w:hideMark/>
          </w:tcPr>
          <w:p w:rsidR="003016C4" w:rsidRPr="003016C4" w:rsidRDefault="003016C4" w:rsidP="003016C4">
            <w:pPr>
              <w:spacing w:after="0" w:line="240" w:lineRule="auto"/>
              <w:jc w:val="right"/>
              <w:rPr>
                <w:rFonts w:ascii="Arial" w:hAnsi="Arial" w:cs="Arial"/>
                <w:sz w:val="15"/>
                <w:szCs w:val="15"/>
              </w:rPr>
            </w:pPr>
            <w:r w:rsidRPr="003016C4">
              <w:rPr>
                <w:rFonts w:ascii="Arial" w:hAnsi="Arial" w:cs="Arial"/>
                <w:sz w:val="15"/>
                <w:szCs w:val="15"/>
              </w:rPr>
              <w:t>Forward</w:t>
            </w:r>
          </w:p>
        </w:tc>
        <w:tc>
          <w:tcPr>
            <w:tcW w:w="1040" w:type="dxa"/>
            <w:tcBorders>
              <w:top w:val="nil"/>
              <w:left w:val="nil"/>
              <w:bottom w:val="nil"/>
              <w:right w:val="nil"/>
            </w:tcBorders>
            <w:shd w:val="clear" w:color="auto" w:fill="auto"/>
            <w:hideMark/>
          </w:tcPr>
          <w:p w:rsidR="003016C4" w:rsidRPr="003016C4" w:rsidRDefault="003016C4" w:rsidP="003016C4">
            <w:pPr>
              <w:spacing w:after="0" w:line="240" w:lineRule="auto"/>
              <w:jc w:val="right"/>
              <w:rPr>
                <w:rFonts w:ascii="Arial" w:hAnsi="Arial" w:cs="Arial"/>
                <w:sz w:val="15"/>
                <w:szCs w:val="15"/>
              </w:rPr>
            </w:pPr>
            <w:r w:rsidRPr="003016C4">
              <w:rPr>
                <w:rFonts w:ascii="Arial" w:hAnsi="Arial" w:cs="Arial"/>
                <w:sz w:val="15"/>
                <w:szCs w:val="15"/>
              </w:rPr>
              <w:t>Forward</w:t>
            </w:r>
          </w:p>
        </w:tc>
        <w:tc>
          <w:tcPr>
            <w:tcW w:w="1040" w:type="dxa"/>
            <w:tcBorders>
              <w:top w:val="nil"/>
              <w:left w:val="nil"/>
              <w:bottom w:val="nil"/>
              <w:right w:val="nil"/>
            </w:tcBorders>
            <w:shd w:val="clear" w:color="auto" w:fill="auto"/>
            <w:hideMark/>
          </w:tcPr>
          <w:p w:rsidR="003016C4" w:rsidRPr="003016C4" w:rsidRDefault="003016C4" w:rsidP="003016C4">
            <w:pPr>
              <w:spacing w:after="0" w:line="240" w:lineRule="auto"/>
              <w:jc w:val="right"/>
              <w:rPr>
                <w:rFonts w:ascii="Arial" w:hAnsi="Arial" w:cs="Arial"/>
                <w:sz w:val="15"/>
                <w:szCs w:val="15"/>
              </w:rPr>
            </w:pPr>
            <w:r w:rsidRPr="003016C4">
              <w:rPr>
                <w:rFonts w:ascii="Arial" w:hAnsi="Arial" w:cs="Arial"/>
                <w:sz w:val="15"/>
                <w:szCs w:val="15"/>
              </w:rPr>
              <w:t>Forward</w:t>
            </w:r>
          </w:p>
        </w:tc>
      </w:tr>
      <w:tr w:rsidR="003016C4" w:rsidRPr="003016C4" w:rsidTr="003016C4">
        <w:trPr>
          <w:trHeight w:val="225"/>
        </w:trPr>
        <w:tc>
          <w:tcPr>
            <w:tcW w:w="2260" w:type="dxa"/>
            <w:tcBorders>
              <w:top w:val="nil"/>
              <w:left w:val="nil"/>
              <w:bottom w:val="nil"/>
              <w:right w:val="nil"/>
            </w:tcBorders>
            <w:shd w:val="clear" w:color="auto" w:fill="auto"/>
            <w:noWrap/>
            <w:hideMark/>
          </w:tcPr>
          <w:p w:rsidR="003016C4" w:rsidRPr="003016C4" w:rsidRDefault="003016C4" w:rsidP="003016C4">
            <w:pPr>
              <w:spacing w:after="0" w:line="240" w:lineRule="auto"/>
              <w:jc w:val="left"/>
              <w:rPr>
                <w:rFonts w:ascii="Arial" w:hAnsi="Arial" w:cs="Arial"/>
                <w:b/>
                <w:bCs/>
                <w:sz w:val="15"/>
                <w:szCs w:val="15"/>
              </w:rPr>
            </w:pPr>
          </w:p>
        </w:tc>
        <w:tc>
          <w:tcPr>
            <w:tcW w:w="1040" w:type="dxa"/>
            <w:tcBorders>
              <w:top w:val="nil"/>
              <w:left w:val="nil"/>
              <w:bottom w:val="nil"/>
              <w:right w:val="nil"/>
            </w:tcBorders>
            <w:shd w:val="clear" w:color="auto" w:fill="auto"/>
            <w:hideMark/>
          </w:tcPr>
          <w:p w:rsidR="003016C4" w:rsidRPr="003016C4" w:rsidRDefault="003016C4" w:rsidP="003016C4">
            <w:pPr>
              <w:spacing w:after="0" w:line="240" w:lineRule="auto"/>
              <w:jc w:val="right"/>
              <w:rPr>
                <w:rFonts w:ascii="Arial" w:hAnsi="Arial" w:cs="Arial"/>
                <w:sz w:val="15"/>
                <w:szCs w:val="15"/>
              </w:rPr>
            </w:pPr>
            <w:r w:rsidRPr="003016C4">
              <w:rPr>
                <w:rFonts w:ascii="Arial" w:hAnsi="Arial" w:cs="Arial"/>
                <w:sz w:val="15"/>
                <w:szCs w:val="15"/>
              </w:rPr>
              <w:t>actual</w:t>
            </w:r>
          </w:p>
        </w:tc>
        <w:tc>
          <w:tcPr>
            <w:tcW w:w="1040" w:type="dxa"/>
            <w:tcBorders>
              <w:top w:val="nil"/>
              <w:left w:val="nil"/>
              <w:bottom w:val="nil"/>
              <w:right w:val="nil"/>
            </w:tcBorders>
            <w:shd w:val="clear" w:color="000000" w:fill="E6E6E6"/>
            <w:hideMark/>
          </w:tcPr>
          <w:p w:rsidR="003016C4" w:rsidRPr="003016C4" w:rsidRDefault="003016C4" w:rsidP="003016C4">
            <w:pPr>
              <w:spacing w:after="0" w:line="240" w:lineRule="auto"/>
              <w:jc w:val="right"/>
              <w:rPr>
                <w:rFonts w:ascii="Arial" w:hAnsi="Arial" w:cs="Arial"/>
                <w:sz w:val="15"/>
                <w:szCs w:val="15"/>
              </w:rPr>
            </w:pPr>
            <w:r w:rsidRPr="003016C4">
              <w:rPr>
                <w:rFonts w:ascii="Arial" w:hAnsi="Arial" w:cs="Arial"/>
                <w:sz w:val="15"/>
                <w:szCs w:val="15"/>
              </w:rPr>
              <w:t> </w:t>
            </w:r>
          </w:p>
        </w:tc>
        <w:tc>
          <w:tcPr>
            <w:tcW w:w="1040" w:type="dxa"/>
            <w:tcBorders>
              <w:top w:val="nil"/>
              <w:left w:val="nil"/>
              <w:bottom w:val="nil"/>
              <w:right w:val="nil"/>
            </w:tcBorders>
            <w:shd w:val="clear" w:color="auto" w:fill="auto"/>
            <w:hideMark/>
          </w:tcPr>
          <w:p w:rsidR="003016C4" w:rsidRPr="003016C4" w:rsidRDefault="003016C4" w:rsidP="003016C4">
            <w:pPr>
              <w:spacing w:after="0" w:line="240" w:lineRule="auto"/>
              <w:jc w:val="right"/>
              <w:rPr>
                <w:rFonts w:ascii="Arial" w:hAnsi="Arial" w:cs="Arial"/>
                <w:sz w:val="15"/>
                <w:szCs w:val="15"/>
              </w:rPr>
            </w:pPr>
            <w:r w:rsidRPr="003016C4">
              <w:rPr>
                <w:rFonts w:ascii="Arial" w:hAnsi="Arial" w:cs="Arial"/>
                <w:sz w:val="15"/>
                <w:szCs w:val="15"/>
              </w:rPr>
              <w:t>estimate</w:t>
            </w:r>
          </w:p>
        </w:tc>
        <w:tc>
          <w:tcPr>
            <w:tcW w:w="1040" w:type="dxa"/>
            <w:tcBorders>
              <w:top w:val="nil"/>
              <w:left w:val="nil"/>
              <w:bottom w:val="nil"/>
              <w:right w:val="nil"/>
            </w:tcBorders>
            <w:shd w:val="clear" w:color="auto" w:fill="auto"/>
            <w:hideMark/>
          </w:tcPr>
          <w:p w:rsidR="003016C4" w:rsidRPr="003016C4" w:rsidRDefault="003016C4" w:rsidP="003016C4">
            <w:pPr>
              <w:spacing w:after="0" w:line="240" w:lineRule="auto"/>
              <w:jc w:val="right"/>
              <w:rPr>
                <w:rFonts w:ascii="Arial" w:hAnsi="Arial" w:cs="Arial"/>
                <w:sz w:val="15"/>
                <w:szCs w:val="15"/>
              </w:rPr>
            </w:pPr>
            <w:r w:rsidRPr="003016C4">
              <w:rPr>
                <w:rFonts w:ascii="Arial" w:hAnsi="Arial" w:cs="Arial"/>
                <w:sz w:val="15"/>
                <w:szCs w:val="15"/>
              </w:rPr>
              <w:t>estimate</w:t>
            </w:r>
          </w:p>
        </w:tc>
        <w:tc>
          <w:tcPr>
            <w:tcW w:w="1040" w:type="dxa"/>
            <w:tcBorders>
              <w:top w:val="nil"/>
              <w:left w:val="nil"/>
              <w:bottom w:val="nil"/>
              <w:right w:val="nil"/>
            </w:tcBorders>
            <w:shd w:val="clear" w:color="auto" w:fill="auto"/>
            <w:hideMark/>
          </w:tcPr>
          <w:p w:rsidR="003016C4" w:rsidRPr="003016C4" w:rsidRDefault="003016C4" w:rsidP="003016C4">
            <w:pPr>
              <w:spacing w:after="0" w:line="240" w:lineRule="auto"/>
              <w:jc w:val="right"/>
              <w:rPr>
                <w:rFonts w:ascii="Arial" w:hAnsi="Arial" w:cs="Arial"/>
                <w:sz w:val="15"/>
                <w:szCs w:val="15"/>
              </w:rPr>
            </w:pPr>
            <w:r w:rsidRPr="003016C4">
              <w:rPr>
                <w:rFonts w:ascii="Arial" w:hAnsi="Arial" w:cs="Arial"/>
                <w:sz w:val="15"/>
                <w:szCs w:val="15"/>
              </w:rPr>
              <w:t>estimate</w:t>
            </w:r>
          </w:p>
        </w:tc>
      </w:tr>
      <w:tr w:rsidR="003016C4" w:rsidRPr="003016C4" w:rsidTr="003016C4">
        <w:trPr>
          <w:trHeight w:val="225"/>
        </w:trPr>
        <w:tc>
          <w:tcPr>
            <w:tcW w:w="2260" w:type="dxa"/>
            <w:tcBorders>
              <w:top w:val="nil"/>
              <w:left w:val="nil"/>
              <w:bottom w:val="nil"/>
              <w:right w:val="nil"/>
            </w:tcBorders>
            <w:shd w:val="clear" w:color="auto" w:fill="auto"/>
            <w:noWrap/>
            <w:hideMark/>
          </w:tcPr>
          <w:p w:rsidR="003016C4" w:rsidRPr="003016C4" w:rsidRDefault="003016C4" w:rsidP="003016C4">
            <w:pPr>
              <w:spacing w:after="0" w:line="240" w:lineRule="auto"/>
              <w:jc w:val="left"/>
              <w:rPr>
                <w:rFonts w:ascii="Arial" w:hAnsi="Arial" w:cs="Arial"/>
                <w:b/>
                <w:bCs/>
                <w:sz w:val="15"/>
                <w:szCs w:val="15"/>
              </w:rPr>
            </w:pPr>
          </w:p>
        </w:tc>
        <w:tc>
          <w:tcPr>
            <w:tcW w:w="1040" w:type="dxa"/>
            <w:tcBorders>
              <w:top w:val="nil"/>
              <w:left w:val="nil"/>
              <w:bottom w:val="single" w:sz="4" w:space="0" w:color="auto"/>
              <w:right w:val="nil"/>
            </w:tcBorders>
            <w:shd w:val="clear" w:color="auto" w:fill="auto"/>
            <w:hideMark/>
          </w:tcPr>
          <w:p w:rsidR="003016C4" w:rsidRPr="003016C4" w:rsidRDefault="003016C4" w:rsidP="003016C4">
            <w:pPr>
              <w:spacing w:after="0" w:line="240" w:lineRule="auto"/>
              <w:jc w:val="right"/>
              <w:rPr>
                <w:rFonts w:ascii="Arial" w:hAnsi="Arial" w:cs="Arial"/>
                <w:sz w:val="15"/>
                <w:szCs w:val="15"/>
              </w:rPr>
            </w:pPr>
            <w:r w:rsidRPr="003016C4">
              <w:rPr>
                <w:rFonts w:ascii="Arial" w:hAnsi="Arial" w:cs="Arial"/>
                <w:sz w:val="15"/>
                <w:szCs w:val="15"/>
              </w:rPr>
              <w:t>$'000</w:t>
            </w:r>
          </w:p>
        </w:tc>
        <w:tc>
          <w:tcPr>
            <w:tcW w:w="1040" w:type="dxa"/>
            <w:tcBorders>
              <w:top w:val="nil"/>
              <w:left w:val="nil"/>
              <w:bottom w:val="single" w:sz="4" w:space="0" w:color="auto"/>
              <w:right w:val="nil"/>
            </w:tcBorders>
            <w:shd w:val="clear" w:color="000000" w:fill="E6E6E6"/>
            <w:hideMark/>
          </w:tcPr>
          <w:p w:rsidR="003016C4" w:rsidRPr="003016C4" w:rsidRDefault="003016C4" w:rsidP="003016C4">
            <w:pPr>
              <w:spacing w:after="0" w:line="240" w:lineRule="auto"/>
              <w:jc w:val="right"/>
              <w:rPr>
                <w:rFonts w:ascii="Arial" w:hAnsi="Arial" w:cs="Arial"/>
                <w:sz w:val="15"/>
                <w:szCs w:val="15"/>
              </w:rPr>
            </w:pPr>
            <w:r w:rsidRPr="003016C4">
              <w:rPr>
                <w:rFonts w:ascii="Arial" w:hAnsi="Arial" w:cs="Arial"/>
                <w:sz w:val="15"/>
                <w:szCs w:val="15"/>
              </w:rPr>
              <w:t>$'000</w:t>
            </w:r>
          </w:p>
        </w:tc>
        <w:tc>
          <w:tcPr>
            <w:tcW w:w="1040" w:type="dxa"/>
            <w:tcBorders>
              <w:top w:val="nil"/>
              <w:left w:val="nil"/>
              <w:bottom w:val="single" w:sz="4" w:space="0" w:color="auto"/>
              <w:right w:val="nil"/>
            </w:tcBorders>
            <w:shd w:val="clear" w:color="auto" w:fill="auto"/>
            <w:hideMark/>
          </w:tcPr>
          <w:p w:rsidR="003016C4" w:rsidRPr="003016C4" w:rsidRDefault="003016C4" w:rsidP="003016C4">
            <w:pPr>
              <w:spacing w:after="0" w:line="240" w:lineRule="auto"/>
              <w:jc w:val="right"/>
              <w:rPr>
                <w:rFonts w:ascii="Arial" w:hAnsi="Arial" w:cs="Arial"/>
                <w:sz w:val="15"/>
                <w:szCs w:val="15"/>
              </w:rPr>
            </w:pPr>
            <w:r w:rsidRPr="003016C4">
              <w:rPr>
                <w:rFonts w:ascii="Arial" w:hAnsi="Arial" w:cs="Arial"/>
                <w:sz w:val="15"/>
                <w:szCs w:val="15"/>
              </w:rPr>
              <w:t>$'000</w:t>
            </w:r>
          </w:p>
        </w:tc>
        <w:tc>
          <w:tcPr>
            <w:tcW w:w="1040" w:type="dxa"/>
            <w:tcBorders>
              <w:top w:val="nil"/>
              <w:left w:val="nil"/>
              <w:bottom w:val="single" w:sz="4" w:space="0" w:color="auto"/>
              <w:right w:val="nil"/>
            </w:tcBorders>
            <w:shd w:val="clear" w:color="auto" w:fill="auto"/>
            <w:hideMark/>
          </w:tcPr>
          <w:p w:rsidR="003016C4" w:rsidRPr="003016C4" w:rsidRDefault="003016C4" w:rsidP="003016C4">
            <w:pPr>
              <w:spacing w:after="0" w:line="240" w:lineRule="auto"/>
              <w:jc w:val="right"/>
              <w:rPr>
                <w:rFonts w:ascii="Arial" w:hAnsi="Arial" w:cs="Arial"/>
                <w:sz w:val="15"/>
                <w:szCs w:val="15"/>
              </w:rPr>
            </w:pPr>
            <w:r w:rsidRPr="003016C4">
              <w:rPr>
                <w:rFonts w:ascii="Arial" w:hAnsi="Arial" w:cs="Arial"/>
                <w:sz w:val="15"/>
                <w:szCs w:val="15"/>
              </w:rPr>
              <w:t>$'000</w:t>
            </w:r>
          </w:p>
        </w:tc>
        <w:tc>
          <w:tcPr>
            <w:tcW w:w="1040" w:type="dxa"/>
            <w:tcBorders>
              <w:top w:val="nil"/>
              <w:left w:val="nil"/>
              <w:bottom w:val="single" w:sz="4" w:space="0" w:color="auto"/>
              <w:right w:val="nil"/>
            </w:tcBorders>
            <w:shd w:val="clear" w:color="auto" w:fill="auto"/>
            <w:hideMark/>
          </w:tcPr>
          <w:p w:rsidR="003016C4" w:rsidRPr="003016C4" w:rsidRDefault="003016C4" w:rsidP="003016C4">
            <w:pPr>
              <w:spacing w:after="0" w:line="240" w:lineRule="auto"/>
              <w:jc w:val="right"/>
              <w:rPr>
                <w:rFonts w:ascii="Arial" w:hAnsi="Arial" w:cs="Arial"/>
                <w:sz w:val="15"/>
                <w:szCs w:val="15"/>
              </w:rPr>
            </w:pPr>
            <w:r w:rsidRPr="003016C4">
              <w:rPr>
                <w:rFonts w:ascii="Arial" w:hAnsi="Arial" w:cs="Arial"/>
                <w:sz w:val="15"/>
                <w:szCs w:val="15"/>
              </w:rPr>
              <w:t>$'000</w:t>
            </w:r>
          </w:p>
        </w:tc>
      </w:tr>
      <w:tr w:rsidR="003016C4" w:rsidRPr="003016C4" w:rsidTr="003016C4">
        <w:trPr>
          <w:trHeight w:val="225"/>
        </w:trPr>
        <w:tc>
          <w:tcPr>
            <w:tcW w:w="2260"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jc w:val="left"/>
              <w:rPr>
                <w:rFonts w:ascii="Arial" w:hAnsi="Arial" w:cs="Arial"/>
                <w:b/>
                <w:bCs/>
                <w:color w:val="000000"/>
                <w:sz w:val="15"/>
                <w:szCs w:val="15"/>
              </w:rPr>
            </w:pPr>
            <w:r w:rsidRPr="003016C4">
              <w:rPr>
                <w:rFonts w:ascii="Arial" w:hAnsi="Arial" w:cs="Arial"/>
                <w:b/>
                <w:bCs/>
                <w:color w:val="000000"/>
                <w:sz w:val="15"/>
                <w:szCs w:val="15"/>
              </w:rPr>
              <w:t xml:space="preserve">ASSETS </w:t>
            </w:r>
          </w:p>
        </w:tc>
        <w:tc>
          <w:tcPr>
            <w:tcW w:w="1040"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jc w:val="left"/>
              <w:rPr>
                <w:rFonts w:ascii="Arial" w:hAnsi="Arial" w:cs="Arial"/>
                <w:color w:val="000000"/>
                <w:sz w:val="15"/>
                <w:szCs w:val="15"/>
              </w:rPr>
            </w:pPr>
          </w:p>
        </w:tc>
        <w:tc>
          <w:tcPr>
            <w:tcW w:w="1040" w:type="dxa"/>
            <w:tcBorders>
              <w:top w:val="nil"/>
              <w:left w:val="nil"/>
              <w:bottom w:val="nil"/>
              <w:right w:val="nil"/>
            </w:tcBorders>
            <w:shd w:val="clear" w:color="000000" w:fill="E6E6E6"/>
            <w:noWrap/>
            <w:vAlign w:val="center"/>
            <w:hideMark/>
          </w:tcPr>
          <w:p w:rsidR="003016C4" w:rsidRPr="003016C4" w:rsidRDefault="003016C4" w:rsidP="003016C4">
            <w:pPr>
              <w:spacing w:after="0" w:line="240" w:lineRule="auto"/>
              <w:jc w:val="left"/>
              <w:rPr>
                <w:rFonts w:ascii="Arial" w:hAnsi="Arial" w:cs="Arial"/>
                <w:color w:val="000000"/>
                <w:sz w:val="15"/>
                <w:szCs w:val="15"/>
              </w:rPr>
            </w:pPr>
            <w:r w:rsidRPr="003016C4">
              <w:rPr>
                <w:rFonts w:ascii="Arial" w:hAnsi="Arial" w:cs="Arial"/>
                <w:color w:val="000000"/>
                <w:sz w:val="15"/>
                <w:szCs w:val="15"/>
              </w:rPr>
              <w:t> </w:t>
            </w:r>
          </w:p>
        </w:tc>
        <w:tc>
          <w:tcPr>
            <w:tcW w:w="1040"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jc w:val="left"/>
              <w:rPr>
                <w:rFonts w:ascii="Arial" w:hAnsi="Arial" w:cs="Arial"/>
                <w:color w:val="000000"/>
                <w:sz w:val="15"/>
                <w:szCs w:val="15"/>
              </w:rPr>
            </w:pPr>
          </w:p>
        </w:tc>
        <w:tc>
          <w:tcPr>
            <w:tcW w:w="1040"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jc w:val="left"/>
              <w:rPr>
                <w:rFonts w:ascii="Arial" w:hAnsi="Arial" w:cs="Arial"/>
                <w:color w:val="000000"/>
                <w:sz w:val="15"/>
                <w:szCs w:val="15"/>
              </w:rPr>
            </w:pPr>
          </w:p>
        </w:tc>
        <w:tc>
          <w:tcPr>
            <w:tcW w:w="1040"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jc w:val="left"/>
              <w:rPr>
                <w:rFonts w:ascii="Arial" w:hAnsi="Arial" w:cs="Arial"/>
                <w:color w:val="000000"/>
                <w:sz w:val="15"/>
                <w:szCs w:val="15"/>
              </w:rPr>
            </w:pPr>
          </w:p>
        </w:tc>
      </w:tr>
      <w:tr w:rsidR="003016C4" w:rsidRPr="003016C4" w:rsidTr="003016C4">
        <w:trPr>
          <w:trHeight w:val="225"/>
        </w:trPr>
        <w:tc>
          <w:tcPr>
            <w:tcW w:w="2260"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jc w:val="left"/>
              <w:rPr>
                <w:rFonts w:ascii="Arial" w:hAnsi="Arial" w:cs="Arial"/>
                <w:b/>
                <w:bCs/>
                <w:color w:val="000000"/>
                <w:sz w:val="15"/>
                <w:szCs w:val="15"/>
              </w:rPr>
            </w:pPr>
            <w:r w:rsidRPr="003016C4">
              <w:rPr>
                <w:rFonts w:ascii="Arial" w:hAnsi="Arial" w:cs="Arial"/>
                <w:b/>
                <w:bCs/>
                <w:color w:val="000000"/>
                <w:sz w:val="15"/>
                <w:szCs w:val="15"/>
              </w:rPr>
              <w:t>Financial assets</w:t>
            </w:r>
          </w:p>
        </w:tc>
        <w:tc>
          <w:tcPr>
            <w:tcW w:w="1040"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jc w:val="left"/>
              <w:rPr>
                <w:rFonts w:ascii="Arial" w:hAnsi="Arial" w:cs="Arial"/>
                <w:color w:val="000000"/>
                <w:sz w:val="15"/>
                <w:szCs w:val="15"/>
              </w:rPr>
            </w:pPr>
          </w:p>
        </w:tc>
        <w:tc>
          <w:tcPr>
            <w:tcW w:w="1040" w:type="dxa"/>
            <w:tcBorders>
              <w:top w:val="nil"/>
              <w:left w:val="nil"/>
              <w:bottom w:val="nil"/>
              <w:right w:val="nil"/>
            </w:tcBorders>
            <w:shd w:val="clear" w:color="000000" w:fill="E6E6E6"/>
            <w:noWrap/>
            <w:vAlign w:val="center"/>
            <w:hideMark/>
          </w:tcPr>
          <w:p w:rsidR="003016C4" w:rsidRPr="003016C4" w:rsidRDefault="003016C4" w:rsidP="003016C4">
            <w:pPr>
              <w:spacing w:after="0" w:line="240" w:lineRule="auto"/>
              <w:jc w:val="left"/>
              <w:rPr>
                <w:rFonts w:ascii="Arial" w:hAnsi="Arial" w:cs="Arial"/>
                <w:color w:val="000000"/>
                <w:sz w:val="15"/>
                <w:szCs w:val="15"/>
              </w:rPr>
            </w:pPr>
            <w:r w:rsidRPr="003016C4">
              <w:rPr>
                <w:rFonts w:ascii="Arial" w:hAnsi="Arial" w:cs="Arial"/>
                <w:color w:val="000000"/>
                <w:sz w:val="15"/>
                <w:szCs w:val="15"/>
              </w:rPr>
              <w:t> </w:t>
            </w:r>
          </w:p>
        </w:tc>
        <w:tc>
          <w:tcPr>
            <w:tcW w:w="1040"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jc w:val="left"/>
              <w:rPr>
                <w:rFonts w:ascii="Arial" w:hAnsi="Arial" w:cs="Arial"/>
                <w:color w:val="000000"/>
                <w:sz w:val="15"/>
                <w:szCs w:val="15"/>
              </w:rPr>
            </w:pPr>
          </w:p>
        </w:tc>
        <w:tc>
          <w:tcPr>
            <w:tcW w:w="1040"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jc w:val="left"/>
              <w:rPr>
                <w:rFonts w:ascii="Arial" w:hAnsi="Arial" w:cs="Arial"/>
                <w:color w:val="000000"/>
                <w:sz w:val="15"/>
                <w:szCs w:val="15"/>
              </w:rPr>
            </w:pPr>
          </w:p>
        </w:tc>
        <w:tc>
          <w:tcPr>
            <w:tcW w:w="1040"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jc w:val="left"/>
              <w:rPr>
                <w:rFonts w:ascii="Arial" w:hAnsi="Arial" w:cs="Arial"/>
                <w:color w:val="000000"/>
                <w:sz w:val="15"/>
                <w:szCs w:val="15"/>
              </w:rPr>
            </w:pPr>
          </w:p>
        </w:tc>
      </w:tr>
      <w:tr w:rsidR="003016C4" w:rsidRPr="003016C4" w:rsidTr="003016C4">
        <w:trPr>
          <w:trHeight w:val="225"/>
        </w:trPr>
        <w:tc>
          <w:tcPr>
            <w:tcW w:w="2260"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ind w:firstLineChars="100" w:firstLine="150"/>
              <w:jc w:val="left"/>
              <w:rPr>
                <w:rFonts w:ascii="Arial" w:hAnsi="Arial" w:cs="Arial"/>
                <w:sz w:val="15"/>
                <w:szCs w:val="15"/>
              </w:rPr>
            </w:pPr>
            <w:r w:rsidRPr="003016C4">
              <w:rPr>
                <w:rFonts w:ascii="Arial" w:hAnsi="Arial" w:cs="Arial"/>
                <w:sz w:val="15"/>
                <w:szCs w:val="15"/>
              </w:rPr>
              <w:t>Cash and cash equivalents</w:t>
            </w:r>
          </w:p>
        </w:tc>
        <w:tc>
          <w:tcPr>
            <w:tcW w:w="1040"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jc w:val="right"/>
              <w:rPr>
                <w:rFonts w:ascii="Arial" w:hAnsi="Arial" w:cs="Arial"/>
                <w:color w:val="000000"/>
                <w:sz w:val="15"/>
                <w:szCs w:val="15"/>
              </w:rPr>
            </w:pPr>
            <w:r w:rsidRPr="003016C4">
              <w:rPr>
                <w:rFonts w:ascii="Arial" w:hAnsi="Arial" w:cs="Arial"/>
                <w:color w:val="000000"/>
                <w:sz w:val="15"/>
                <w:szCs w:val="15"/>
              </w:rPr>
              <w:t xml:space="preserve">2,699 </w:t>
            </w:r>
          </w:p>
        </w:tc>
        <w:tc>
          <w:tcPr>
            <w:tcW w:w="1040" w:type="dxa"/>
            <w:tcBorders>
              <w:top w:val="nil"/>
              <w:left w:val="nil"/>
              <w:bottom w:val="nil"/>
              <w:right w:val="nil"/>
            </w:tcBorders>
            <w:shd w:val="clear" w:color="000000" w:fill="E6E6E6"/>
            <w:noWrap/>
            <w:vAlign w:val="center"/>
            <w:hideMark/>
          </w:tcPr>
          <w:p w:rsidR="003016C4" w:rsidRPr="003016C4" w:rsidRDefault="003016C4" w:rsidP="003016C4">
            <w:pPr>
              <w:spacing w:after="0" w:line="240" w:lineRule="auto"/>
              <w:jc w:val="right"/>
              <w:rPr>
                <w:rFonts w:ascii="Arial" w:hAnsi="Arial" w:cs="Arial"/>
                <w:color w:val="000000"/>
                <w:sz w:val="15"/>
                <w:szCs w:val="15"/>
              </w:rPr>
            </w:pPr>
            <w:r w:rsidRPr="003016C4">
              <w:rPr>
                <w:rFonts w:ascii="Arial" w:hAnsi="Arial" w:cs="Arial"/>
                <w:color w:val="000000"/>
                <w:sz w:val="15"/>
                <w:szCs w:val="15"/>
              </w:rPr>
              <w:t xml:space="preserve">2,780 </w:t>
            </w:r>
          </w:p>
        </w:tc>
        <w:tc>
          <w:tcPr>
            <w:tcW w:w="1040"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jc w:val="right"/>
              <w:rPr>
                <w:rFonts w:ascii="Arial" w:hAnsi="Arial" w:cs="Arial"/>
                <w:color w:val="000000"/>
                <w:sz w:val="15"/>
                <w:szCs w:val="15"/>
              </w:rPr>
            </w:pPr>
            <w:r w:rsidRPr="003016C4">
              <w:rPr>
                <w:rFonts w:ascii="Arial" w:hAnsi="Arial" w:cs="Arial"/>
                <w:color w:val="000000"/>
                <w:sz w:val="15"/>
                <w:szCs w:val="15"/>
              </w:rPr>
              <w:t xml:space="preserve">2,863 </w:t>
            </w:r>
          </w:p>
        </w:tc>
        <w:tc>
          <w:tcPr>
            <w:tcW w:w="1040"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jc w:val="right"/>
              <w:rPr>
                <w:rFonts w:ascii="Arial" w:hAnsi="Arial" w:cs="Arial"/>
                <w:color w:val="000000"/>
                <w:sz w:val="15"/>
                <w:szCs w:val="15"/>
              </w:rPr>
            </w:pPr>
            <w:r w:rsidRPr="003016C4">
              <w:rPr>
                <w:rFonts w:ascii="Arial" w:hAnsi="Arial" w:cs="Arial"/>
                <w:color w:val="000000"/>
                <w:sz w:val="15"/>
                <w:szCs w:val="15"/>
              </w:rPr>
              <w:t xml:space="preserve">2,949 </w:t>
            </w:r>
          </w:p>
        </w:tc>
        <w:tc>
          <w:tcPr>
            <w:tcW w:w="1040"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jc w:val="right"/>
              <w:rPr>
                <w:rFonts w:ascii="Arial" w:hAnsi="Arial" w:cs="Arial"/>
                <w:color w:val="000000"/>
                <w:sz w:val="15"/>
                <w:szCs w:val="15"/>
              </w:rPr>
            </w:pPr>
            <w:r w:rsidRPr="003016C4">
              <w:rPr>
                <w:rFonts w:ascii="Arial" w:hAnsi="Arial" w:cs="Arial"/>
                <w:color w:val="000000"/>
                <w:sz w:val="15"/>
                <w:szCs w:val="15"/>
              </w:rPr>
              <w:t xml:space="preserve">3,038 </w:t>
            </w:r>
          </w:p>
        </w:tc>
      </w:tr>
      <w:tr w:rsidR="003016C4" w:rsidRPr="003016C4" w:rsidTr="003016C4">
        <w:trPr>
          <w:trHeight w:val="225"/>
        </w:trPr>
        <w:tc>
          <w:tcPr>
            <w:tcW w:w="2260"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ind w:firstLineChars="100" w:firstLine="150"/>
              <w:jc w:val="left"/>
              <w:rPr>
                <w:rFonts w:ascii="Arial" w:hAnsi="Arial" w:cs="Arial"/>
                <w:color w:val="000000"/>
                <w:sz w:val="15"/>
                <w:szCs w:val="15"/>
              </w:rPr>
            </w:pPr>
            <w:r w:rsidRPr="003016C4">
              <w:rPr>
                <w:rFonts w:ascii="Arial" w:hAnsi="Arial" w:cs="Arial"/>
                <w:color w:val="000000"/>
                <w:sz w:val="15"/>
                <w:szCs w:val="15"/>
              </w:rPr>
              <w:t>Trade and other receivables</w:t>
            </w:r>
          </w:p>
        </w:tc>
        <w:tc>
          <w:tcPr>
            <w:tcW w:w="1040" w:type="dxa"/>
            <w:tcBorders>
              <w:top w:val="nil"/>
              <w:left w:val="nil"/>
              <w:bottom w:val="nil"/>
              <w:right w:val="nil"/>
            </w:tcBorders>
            <w:shd w:val="clear" w:color="000000" w:fill="FFFFFF"/>
            <w:noWrap/>
            <w:vAlign w:val="center"/>
            <w:hideMark/>
          </w:tcPr>
          <w:p w:rsidR="003016C4" w:rsidRPr="003016C4" w:rsidRDefault="003016C4" w:rsidP="003016C4">
            <w:pPr>
              <w:spacing w:after="0" w:line="240" w:lineRule="auto"/>
              <w:jc w:val="right"/>
              <w:rPr>
                <w:rFonts w:ascii="Arial" w:hAnsi="Arial" w:cs="Arial"/>
                <w:color w:val="000000"/>
                <w:sz w:val="15"/>
                <w:szCs w:val="15"/>
              </w:rPr>
            </w:pPr>
            <w:r w:rsidRPr="003016C4">
              <w:rPr>
                <w:rFonts w:ascii="Arial" w:hAnsi="Arial" w:cs="Arial"/>
                <w:color w:val="000000"/>
                <w:sz w:val="15"/>
                <w:szCs w:val="15"/>
              </w:rPr>
              <w:t xml:space="preserve">1,937,645 </w:t>
            </w:r>
          </w:p>
        </w:tc>
        <w:tc>
          <w:tcPr>
            <w:tcW w:w="1040" w:type="dxa"/>
            <w:tcBorders>
              <w:top w:val="nil"/>
              <w:left w:val="nil"/>
              <w:bottom w:val="nil"/>
              <w:right w:val="nil"/>
            </w:tcBorders>
            <w:shd w:val="clear" w:color="000000" w:fill="E6E6E6"/>
            <w:noWrap/>
            <w:vAlign w:val="center"/>
            <w:hideMark/>
          </w:tcPr>
          <w:p w:rsidR="003016C4" w:rsidRPr="003016C4" w:rsidRDefault="003016C4" w:rsidP="003016C4">
            <w:pPr>
              <w:spacing w:after="0" w:line="240" w:lineRule="auto"/>
              <w:jc w:val="right"/>
              <w:rPr>
                <w:rFonts w:ascii="Arial" w:hAnsi="Arial" w:cs="Arial"/>
                <w:color w:val="000000"/>
                <w:sz w:val="15"/>
                <w:szCs w:val="15"/>
              </w:rPr>
            </w:pPr>
            <w:r w:rsidRPr="003016C4">
              <w:rPr>
                <w:rFonts w:ascii="Arial" w:hAnsi="Arial" w:cs="Arial"/>
                <w:color w:val="000000"/>
                <w:sz w:val="15"/>
                <w:szCs w:val="15"/>
              </w:rPr>
              <w:t xml:space="preserve">2,041,502 </w:t>
            </w:r>
          </w:p>
        </w:tc>
        <w:tc>
          <w:tcPr>
            <w:tcW w:w="1040"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jc w:val="right"/>
              <w:rPr>
                <w:rFonts w:ascii="Arial" w:hAnsi="Arial" w:cs="Arial"/>
                <w:color w:val="000000"/>
                <w:sz w:val="15"/>
                <w:szCs w:val="15"/>
              </w:rPr>
            </w:pPr>
            <w:r w:rsidRPr="003016C4">
              <w:rPr>
                <w:rFonts w:ascii="Arial" w:hAnsi="Arial" w:cs="Arial"/>
                <w:color w:val="000000"/>
                <w:sz w:val="15"/>
                <w:szCs w:val="15"/>
              </w:rPr>
              <w:t xml:space="preserve">2,055,354 </w:t>
            </w:r>
          </w:p>
        </w:tc>
        <w:tc>
          <w:tcPr>
            <w:tcW w:w="1040"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jc w:val="right"/>
              <w:rPr>
                <w:rFonts w:ascii="Arial" w:hAnsi="Arial" w:cs="Arial"/>
                <w:color w:val="000000"/>
                <w:sz w:val="15"/>
                <w:szCs w:val="15"/>
              </w:rPr>
            </w:pPr>
            <w:r w:rsidRPr="003016C4">
              <w:rPr>
                <w:rFonts w:ascii="Arial" w:hAnsi="Arial" w:cs="Arial"/>
                <w:color w:val="000000"/>
                <w:sz w:val="15"/>
                <w:szCs w:val="15"/>
              </w:rPr>
              <w:t xml:space="preserve">2,070,194 </w:t>
            </w:r>
          </w:p>
        </w:tc>
        <w:tc>
          <w:tcPr>
            <w:tcW w:w="1040"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jc w:val="right"/>
              <w:rPr>
                <w:rFonts w:ascii="Arial" w:hAnsi="Arial" w:cs="Arial"/>
                <w:color w:val="000000"/>
                <w:sz w:val="15"/>
                <w:szCs w:val="15"/>
              </w:rPr>
            </w:pPr>
            <w:r w:rsidRPr="003016C4">
              <w:rPr>
                <w:rFonts w:ascii="Arial" w:hAnsi="Arial" w:cs="Arial"/>
                <w:color w:val="000000"/>
                <w:sz w:val="15"/>
                <w:szCs w:val="15"/>
              </w:rPr>
              <w:t xml:space="preserve">2,086,091 </w:t>
            </w:r>
          </w:p>
        </w:tc>
      </w:tr>
      <w:tr w:rsidR="003016C4" w:rsidRPr="003016C4" w:rsidTr="003016C4">
        <w:trPr>
          <w:trHeight w:val="225"/>
        </w:trPr>
        <w:tc>
          <w:tcPr>
            <w:tcW w:w="2260"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ind w:firstLineChars="100" w:firstLine="150"/>
              <w:jc w:val="left"/>
              <w:rPr>
                <w:rFonts w:ascii="Arial" w:hAnsi="Arial" w:cs="Arial"/>
                <w:color w:val="000000"/>
                <w:sz w:val="15"/>
                <w:szCs w:val="15"/>
              </w:rPr>
            </w:pPr>
            <w:r w:rsidRPr="003016C4">
              <w:rPr>
                <w:rFonts w:ascii="Arial" w:hAnsi="Arial" w:cs="Arial"/>
                <w:color w:val="000000"/>
                <w:sz w:val="15"/>
                <w:szCs w:val="15"/>
              </w:rPr>
              <w:t>Other investments</w:t>
            </w:r>
          </w:p>
        </w:tc>
        <w:tc>
          <w:tcPr>
            <w:tcW w:w="1040" w:type="dxa"/>
            <w:tcBorders>
              <w:top w:val="nil"/>
              <w:left w:val="nil"/>
              <w:bottom w:val="nil"/>
              <w:right w:val="nil"/>
            </w:tcBorders>
            <w:shd w:val="clear" w:color="000000" w:fill="FFFFFF"/>
            <w:noWrap/>
            <w:vAlign w:val="center"/>
            <w:hideMark/>
          </w:tcPr>
          <w:p w:rsidR="003016C4" w:rsidRPr="003016C4" w:rsidRDefault="003016C4" w:rsidP="003016C4">
            <w:pPr>
              <w:spacing w:after="0" w:line="240" w:lineRule="auto"/>
              <w:jc w:val="right"/>
              <w:rPr>
                <w:rFonts w:ascii="Arial" w:hAnsi="Arial" w:cs="Arial"/>
                <w:color w:val="000000"/>
                <w:sz w:val="15"/>
                <w:szCs w:val="15"/>
              </w:rPr>
            </w:pPr>
            <w:r w:rsidRPr="003016C4">
              <w:rPr>
                <w:rFonts w:ascii="Arial" w:hAnsi="Arial" w:cs="Arial"/>
                <w:color w:val="000000"/>
                <w:sz w:val="15"/>
                <w:szCs w:val="15"/>
              </w:rPr>
              <w:t xml:space="preserve">119,625,126 </w:t>
            </w:r>
          </w:p>
        </w:tc>
        <w:tc>
          <w:tcPr>
            <w:tcW w:w="1040" w:type="dxa"/>
            <w:tcBorders>
              <w:top w:val="nil"/>
              <w:left w:val="nil"/>
              <w:bottom w:val="nil"/>
              <w:right w:val="nil"/>
            </w:tcBorders>
            <w:shd w:val="clear" w:color="000000" w:fill="E6E6E6"/>
            <w:noWrap/>
            <w:vAlign w:val="center"/>
            <w:hideMark/>
          </w:tcPr>
          <w:p w:rsidR="003016C4" w:rsidRPr="003016C4" w:rsidRDefault="003016C4" w:rsidP="003016C4">
            <w:pPr>
              <w:spacing w:after="0" w:line="240" w:lineRule="auto"/>
              <w:jc w:val="right"/>
              <w:rPr>
                <w:rFonts w:ascii="Arial" w:hAnsi="Arial" w:cs="Arial"/>
                <w:color w:val="000000"/>
                <w:sz w:val="15"/>
                <w:szCs w:val="15"/>
              </w:rPr>
            </w:pPr>
            <w:r w:rsidRPr="003016C4">
              <w:rPr>
                <w:rFonts w:ascii="Arial" w:hAnsi="Arial" w:cs="Arial"/>
                <w:color w:val="000000"/>
                <w:sz w:val="15"/>
                <w:szCs w:val="15"/>
              </w:rPr>
              <w:t xml:space="preserve">127,759,634 </w:t>
            </w:r>
          </w:p>
        </w:tc>
        <w:tc>
          <w:tcPr>
            <w:tcW w:w="1040"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jc w:val="right"/>
              <w:rPr>
                <w:rFonts w:ascii="Arial" w:hAnsi="Arial" w:cs="Arial"/>
                <w:color w:val="000000"/>
                <w:sz w:val="15"/>
                <w:szCs w:val="15"/>
              </w:rPr>
            </w:pPr>
            <w:r w:rsidRPr="003016C4">
              <w:rPr>
                <w:rFonts w:ascii="Arial" w:hAnsi="Arial" w:cs="Arial"/>
                <w:color w:val="000000"/>
                <w:sz w:val="15"/>
                <w:szCs w:val="15"/>
              </w:rPr>
              <w:t xml:space="preserve">136,830,568 </w:t>
            </w:r>
          </w:p>
        </w:tc>
        <w:tc>
          <w:tcPr>
            <w:tcW w:w="1040"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jc w:val="right"/>
              <w:rPr>
                <w:rFonts w:ascii="Arial" w:hAnsi="Arial" w:cs="Arial"/>
                <w:color w:val="000000"/>
                <w:sz w:val="15"/>
                <w:szCs w:val="15"/>
              </w:rPr>
            </w:pPr>
            <w:r w:rsidRPr="003016C4">
              <w:rPr>
                <w:rFonts w:ascii="Arial" w:hAnsi="Arial" w:cs="Arial"/>
                <w:color w:val="000000"/>
                <w:sz w:val="15"/>
                <w:szCs w:val="15"/>
              </w:rPr>
              <w:t xml:space="preserve">146,682,370 </w:t>
            </w:r>
          </w:p>
        </w:tc>
        <w:tc>
          <w:tcPr>
            <w:tcW w:w="1040"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jc w:val="right"/>
              <w:rPr>
                <w:rFonts w:ascii="Arial" w:hAnsi="Arial" w:cs="Arial"/>
                <w:color w:val="000000"/>
                <w:sz w:val="15"/>
                <w:szCs w:val="15"/>
              </w:rPr>
            </w:pPr>
            <w:r w:rsidRPr="003016C4">
              <w:rPr>
                <w:rFonts w:ascii="Arial" w:hAnsi="Arial" w:cs="Arial"/>
                <w:color w:val="000000"/>
                <w:sz w:val="15"/>
                <w:szCs w:val="15"/>
              </w:rPr>
              <w:t xml:space="preserve">157,536,865 </w:t>
            </w:r>
          </w:p>
        </w:tc>
      </w:tr>
      <w:tr w:rsidR="003016C4" w:rsidRPr="003016C4" w:rsidTr="003016C4">
        <w:trPr>
          <w:trHeight w:val="225"/>
        </w:trPr>
        <w:tc>
          <w:tcPr>
            <w:tcW w:w="2260"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jc w:val="left"/>
              <w:rPr>
                <w:rFonts w:ascii="Arial" w:hAnsi="Arial" w:cs="Arial"/>
                <w:b/>
                <w:bCs/>
                <w:color w:val="000000"/>
                <w:sz w:val="15"/>
                <w:szCs w:val="15"/>
              </w:rPr>
            </w:pPr>
            <w:r w:rsidRPr="003016C4">
              <w:rPr>
                <w:rFonts w:ascii="Arial" w:hAnsi="Arial" w:cs="Arial"/>
                <w:b/>
                <w:bCs/>
                <w:color w:val="000000"/>
                <w:sz w:val="15"/>
                <w:szCs w:val="15"/>
              </w:rPr>
              <w:t>Total financial assets</w:t>
            </w:r>
          </w:p>
        </w:tc>
        <w:tc>
          <w:tcPr>
            <w:tcW w:w="1040" w:type="dxa"/>
            <w:tcBorders>
              <w:top w:val="single" w:sz="4" w:space="0" w:color="000000"/>
              <w:left w:val="nil"/>
              <w:bottom w:val="single" w:sz="4" w:space="0" w:color="000000"/>
              <w:right w:val="nil"/>
            </w:tcBorders>
            <w:shd w:val="clear" w:color="000000" w:fill="FFFFFF"/>
            <w:noWrap/>
            <w:vAlign w:val="center"/>
            <w:hideMark/>
          </w:tcPr>
          <w:p w:rsidR="003016C4" w:rsidRPr="003016C4" w:rsidRDefault="003016C4" w:rsidP="003016C4">
            <w:pPr>
              <w:spacing w:after="0" w:line="240" w:lineRule="auto"/>
              <w:jc w:val="right"/>
              <w:rPr>
                <w:rFonts w:ascii="Arial" w:hAnsi="Arial" w:cs="Arial"/>
                <w:b/>
                <w:bCs/>
                <w:color w:val="000000"/>
                <w:sz w:val="15"/>
                <w:szCs w:val="15"/>
              </w:rPr>
            </w:pPr>
            <w:r w:rsidRPr="003016C4">
              <w:rPr>
                <w:rFonts w:ascii="Arial" w:hAnsi="Arial" w:cs="Arial"/>
                <w:b/>
                <w:bCs/>
                <w:color w:val="000000"/>
                <w:sz w:val="15"/>
                <w:szCs w:val="15"/>
              </w:rPr>
              <w:t xml:space="preserve">121,565,470 </w:t>
            </w:r>
          </w:p>
        </w:tc>
        <w:tc>
          <w:tcPr>
            <w:tcW w:w="1040" w:type="dxa"/>
            <w:tcBorders>
              <w:top w:val="single" w:sz="4" w:space="0" w:color="000000"/>
              <w:left w:val="nil"/>
              <w:bottom w:val="single" w:sz="4" w:space="0" w:color="000000"/>
              <w:right w:val="nil"/>
            </w:tcBorders>
            <w:shd w:val="clear" w:color="000000" w:fill="E6E6E6"/>
            <w:noWrap/>
            <w:vAlign w:val="center"/>
            <w:hideMark/>
          </w:tcPr>
          <w:p w:rsidR="003016C4" w:rsidRPr="003016C4" w:rsidRDefault="003016C4" w:rsidP="003016C4">
            <w:pPr>
              <w:spacing w:after="0" w:line="240" w:lineRule="auto"/>
              <w:jc w:val="right"/>
              <w:rPr>
                <w:rFonts w:ascii="Arial" w:hAnsi="Arial" w:cs="Arial"/>
                <w:b/>
                <w:bCs/>
                <w:color w:val="000000"/>
                <w:sz w:val="15"/>
                <w:szCs w:val="15"/>
              </w:rPr>
            </w:pPr>
            <w:r w:rsidRPr="003016C4">
              <w:rPr>
                <w:rFonts w:ascii="Arial" w:hAnsi="Arial" w:cs="Arial"/>
                <w:b/>
                <w:bCs/>
                <w:color w:val="000000"/>
                <w:sz w:val="15"/>
                <w:szCs w:val="15"/>
              </w:rPr>
              <w:t xml:space="preserve">129,803,916 </w:t>
            </w:r>
          </w:p>
        </w:tc>
        <w:tc>
          <w:tcPr>
            <w:tcW w:w="1040" w:type="dxa"/>
            <w:tcBorders>
              <w:top w:val="single" w:sz="4" w:space="0" w:color="000000"/>
              <w:left w:val="nil"/>
              <w:bottom w:val="single" w:sz="4" w:space="0" w:color="000000"/>
              <w:right w:val="nil"/>
            </w:tcBorders>
            <w:shd w:val="clear" w:color="auto" w:fill="auto"/>
            <w:noWrap/>
            <w:vAlign w:val="center"/>
            <w:hideMark/>
          </w:tcPr>
          <w:p w:rsidR="003016C4" w:rsidRPr="003016C4" w:rsidRDefault="003016C4" w:rsidP="003016C4">
            <w:pPr>
              <w:spacing w:after="0" w:line="240" w:lineRule="auto"/>
              <w:jc w:val="right"/>
              <w:rPr>
                <w:rFonts w:ascii="Arial" w:hAnsi="Arial" w:cs="Arial"/>
                <w:b/>
                <w:bCs/>
                <w:color w:val="000000"/>
                <w:sz w:val="15"/>
                <w:szCs w:val="15"/>
              </w:rPr>
            </w:pPr>
            <w:r w:rsidRPr="003016C4">
              <w:rPr>
                <w:rFonts w:ascii="Arial" w:hAnsi="Arial" w:cs="Arial"/>
                <w:b/>
                <w:bCs/>
                <w:color w:val="000000"/>
                <w:sz w:val="15"/>
                <w:szCs w:val="15"/>
              </w:rPr>
              <w:t xml:space="preserve">138,888,785 </w:t>
            </w:r>
          </w:p>
        </w:tc>
        <w:tc>
          <w:tcPr>
            <w:tcW w:w="1040" w:type="dxa"/>
            <w:tcBorders>
              <w:top w:val="single" w:sz="4" w:space="0" w:color="000000"/>
              <w:left w:val="nil"/>
              <w:bottom w:val="single" w:sz="4" w:space="0" w:color="000000"/>
              <w:right w:val="nil"/>
            </w:tcBorders>
            <w:shd w:val="clear" w:color="auto" w:fill="auto"/>
            <w:noWrap/>
            <w:vAlign w:val="center"/>
            <w:hideMark/>
          </w:tcPr>
          <w:p w:rsidR="003016C4" w:rsidRPr="003016C4" w:rsidRDefault="003016C4" w:rsidP="003016C4">
            <w:pPr>
              <w:spacing w:after="0" w:line="240" w:lineRule="auto"/>
              <w:jc w:val="right"/>
              <w:rPr>
                <w:rFonts w:ascii="Arial" w:hAnsi="Arial" w:cs="Arial"/>
                <w:b/>
                <w:bCs/>
                <w:color w:val="000000"/>
                <w:sz w:val="15"/>
                <w:szCs w:val="15"/>
              </w:rPr>
            </w:pPr>
            <w:r w:rsidRPr="003016C4">
              <w:rPr>
                <w:rFonts w:ascii="Arial" w:hAnsi="Arial" w:cs="Arial"/>
                <w:b/>
                <w:bCs/>
                <w:color w:val="000000"/>
                <w:sz w:val="15"/>
                <w:szCs w:val="15"/>
              </w:rPr>
              <w:t xml:space="preserve">148,755,513 </w:t>
            </w:r>
          </w:p>
        </w:tc>
        <w:tc>
          <w:tcPr>
            <w:tcW w:w="1040" w:type="dxa"/>
            <w:tcBorders>
              <w:top w:val="single" w:sz="4" w:space="0" w:color="000000"/>
              <w:left w:val="nil"/>
              <w:bottom w:val="single" w:sz="4" w:space="0" w:color="000000"/>
              <w:right w:val="nil"/>
            </w:tcBorders>
            <w:shd w:val="clear" w:color="auto" w:fill="auto"/>
            <w:noWrap/>
            <w:vAlign w:val="center"/>
            <w:hideMark/>
          </w:tcPr>
          <w:p w:rsidR="003016C4" w:rsidRPr="003016C4" w:rsidRDefault="003016C4" w:rsidP="003016C4">
            <w:pPr>
              <w:spacing w:after="0" w:line="240" w:lineRule="auto"/>
              <w:jc w:val="right"/>
              <w:rPr>
                <w:rFonts w:ascii="Arial" w:hAnsi="Arial" w:cs="Arial"/>
                <w:b/>
                <w:bCs/>
                <w:color w:val="000000"/>
                <w:sz w:val="15"/>
                <w:szCs w:val="15"/>
              </w:rPr>
            </w:pPr>
            <w:r w:rsidRPr="003016C4">
              <w:rPr>
                <w:rFonts w:ascii="Arial" w:hAnsi="Arial" w:cs="Arial"/>
                <w:b/>
                <w:bCs/>
                <w:color w:val="000000"/>
                <w:sz w:val="15"/>
                <w:szCs w:val="15"/>
              </w:rPr>
              <w:t xml:space="preserve">159,625,994 </w:t>
            </w:r>
          </w:p>
        </w:tc>
      </w:tr>
      <w:tr w:rsidR="003016C4" w:rsidRPr="003016C4" w:rsidTr="003016C4">
        <w:trPr>
          <w:trHeight w:val="225"/>
        </w:trPr>
        <w:tc>
          <w:tcPr>
            <w:tcW w:w="2260" w:type="dxa"/>
            <w:tcBorders>
              <w:top w:val="nil"/>
              <w:left w:val="nil"/>
              <w:bottom w:val="nil"/>
              <w:right w:val="nil"/>
            </w:tcBorders>
            <w:shd w:val="clear" w:color="auto" w:fill="auto"/>
            <w:noWrap/>
            <w:vAlign w:val="bottom"/>
            <w:hideMark/>
          </w:tcPr>
          <w:p w:rsidR="003016C4" w:rsidRPr="003016C4" w:rsidRDefault="003016C4" w:rsidP="003016C4">
            <w:pPr>
              <w:spacing w:after="0" w:line="240" w:lineRule="auto"/>
              <w:jc w:val="left"/>
              <w:rPr>
                <w:rFonts w:ascii="Arial" w:hAnsi="Arial" w:cs="Arial"/>
                <w:b/>
                <w:bCs/>
                <w:color w:val="000000"/>
                <w:sz w:val="15"/>
                <w:szCs w:val="15"/>
              </w:rPr>
            </w:pPr>
            <w:r w:rsidRPr="003016C4">
              <w:rPr>
                <w:rFonts w:ascii="Arial" w:hAnsi="Arial" w:cs="Arial"/>
                <w:b/>
                <w:bCs/>
                <w:color w:val="000000"/>
                <w:sz w:val="15"/>
                <w:szCs w:val="15"/>
              </w:rPr>
              <w:t xml:space="preserve">Total assets administered </w:t>
            </w:r>
          </w:p>
        </w:tc>
        <w:tc>
          <w:tcPr>
            <w:tcW w:w="1040"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jc w:val="left"/>
              <w:rPr>
                <w:rFonts w:ascii="Arial" w:hAnsi="Arial" w:cs="Arial"/>
                <w:color w:val="000000"/>
                <w:sz w:val="15"/>
                <w:szCs w:val="15"/>
              </w:rPr>
            </w:pPr>
            <w:r w:rsidRPr="003016C4">
              <w:rPr>
                <w:rFonts w:ascii="Arial" w:hAnsi="Arial" w:cs="Arial"/>
                <w:color w:val="000000"/>
                <w:sz w:val="15"/>
                <w:szCs w:val="15"/>
              </w:rPr>
              <w:t> </w:t>
            </w:r>
          </w:p>
        </w:tc>
        <w:tc>
          <w:tcPr>
            <w:tcW w:w="1040" w:type="dxa"/>
            <w:tcBorders>
              <w:top w:val="nil"/>
              <w:left w:val="nil"/>
              <w:bottom w:val="nil"/>
              <w:right w:val="nil"/>
            </w:tcBorders>
            <w:shd w:val="clear" w:color="000000" w:fill="E6E6E6"/>
            <w:noWrap/>
            <w:vAlign w:val="center"/>
            <w:hideMark/>
          </w:tcPr>
          <w:p w:rsidR="003016C4" w:rsidRPr="003016C4" w:rsidRDefault="003016C4" w:rsidP="003016C4">
            <w:pPr>
              <w:spacing w:after="0" w:line="240" w:lineRule="auto"/>
              <w:jc w:val="left"/>
              <w:rPr>
                <w:rFonts w:ascii="Arial" w:hAnsi="Arial" w:cs="Arial"/>
                <w:color w:val="000000"/>
                <w:sz w:val="15"/>
                <w:szCs w:val="15"/>
              </w:rPr>
            </w:pPr>
            <w:r w:rsidRPr="003016C4">
              <w:rPr>
                <w:rFonts w:ascii="Arial" w:hAnsi="Arial" w:cs="Arial"/>
                <w:color w:val="000000"/>
                <w:sz w:val="15"/>
                <w:szCs w:val="15"/>
              </w:rPr>
              <w:t> </w:t>
            </w:r>
          </w:p>
        </w:tc>
        <w:tc>
          <w:tcPr>
            <w:tcW w:w="1040"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jc w:val="left"/>
              <w:rPr>
                <w:rFonts w:ascii="Arial" w:hAnsi="Arial" w:cs="Arial"/>
                <w:color w:val="000000"/>
                <w:sz w:val="15"/>
                <w:szCs w:val="15"/>
              </w:rPr>
            </w:pPr>
            <w:r w:rsidRPr="003016C4">
              <w:rPr>
                <w:rFonts w:ascii="Arial" w:hAnsi="Arial" w:cs="Arial"/>
                <w:color w:val="000000"/>
                <w:sz w:val="15"/>
                <w:szCs w:val="15"/>
              </w:rPr>
              <w:t> </w:t>
            </w:r>
          </w:p>
        </w:tc>
        <w:tc>
          <w:tcPr>
            <w:tcW w:w="1040"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jc w:val="left"/>
              <w:rPr>
                <w:rFonts w:ascii="Arial" w:hAnsi="Arial" w:cs="Arial"/>
                <w:color w:val="000000"/>
                <w:sz w:val="15"/>
                <w:szCs w:val="15"/>
              </w:rPr>
            </w:pPr>
            <w:r w:rsidRPr="003016C4">
              <w:rPr>
                <w:rFonts w:ascii="Arial" w:hAnsi="Arial" w:cs="Arial"/>
                <w:color w:val="000000"/>
                <w:sz w:val="15"/>
                <w:szCs w:val="15"/>
              </w:rPr>
              <w:t> </w:t>
            </w:r>
          </w:p>
        </w:tc>
        <w:tc>
          <w:tcPr>
            <w:tcW w:w="1040"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jc w:val="left"/>
              <w:rPr>
                <w:rFonts w:ascii="Arial" w:hAnsi="Arial" w:cs="Arial"/>
                <w:color w:val="000000"/>
                <w:sz w:val="15"/>
                <w:szCs w:val="15"/>
              </w:rPr>
            </w:pPr>
            <w:r w:rsidRPr="003016C4">
              <w:rPr>
                <w:rFonts w:ascii="Arial" w:hAnsi="Arial" w:cs="Arial"/>
                <w:color w:val="000000"/>
                <w:sz w:val="15"/>
                <w:szCs w:val="15"/>
              </w:rPr>
              <w:t> </w:t>
            </w:r>
          </w:p>
        </w:tc>
      </w:tr>
      <w:tr w:rsidR="003016C4" w:rsidRPr="003016C4" w:rsidTr="003016C4">
        <w:trPr>
          <w:trHeight w:val="225"/>
        </w:trPr>
        <w:tc>
          <w:tcPr>
            <w:tcW w:w="2260"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ind w:firstLineChars="100" w:firstLine="151"/>
              <w:jc w:val="left"/>
              <w:rPr>
                <w:rFonts w:ascii="Arial" w:hAnsi="Arial" w:cs="Arial"/>
                <w:b/>
                <w:bCs/>
                <w:color w:val="000000"/>
                <w:sz w:val="15"/>
                <w:szCs w:val="15"/>
              </w:rPr>
            </w:pPr>
            <w:r w:rsidRPr="003016C4">
              <w:rPr>
                <w:rFonts w:ascii="Arial" w:hAnsi="Arial" w:cs="Arial"/>
                <w:b/>
                <w:bCs/>
                <w:color w:val="000000"/>
                <w:sz w:val="15"/>
                <w:szCs w:val="15"/>
              </w:rPr>
              <w:t>on behalf of Government</w:t>
            </w:r>
          </w:p>
        </w:tc>
        <w:tc>
          <w:tcPr>
            <w:tcW w:w="1040" w:type="dxa"/>
            <w:tcBorders>
              <w:top w:val="nil"/>
              <w:left w:val="nil"/>
              <w:bottom w:val="single" w:sz="4" w:space="0" w:color="auto"/>
              <w:right w:val="nil"/>
            </w:tcBorders>
            <w:shd w:val="clear" w:color="auto" w:fill="auto"/>
            <w:noWrap/>
            <w:vAlign w:val="center"/>
            <w:hideMark/>
          </w:tcPr>
          <w:p w:rsidR="003016C4" w:rsidRPr="003016C4" w:rsidRDefault="003016C4" w:rsidP="003016C4">
            <w:pPr>
              <w:spacing w:after="0" w:line="240" w:lineRule="auto"/>
              <w:jc w:val="right"/>
              <w:rPr>
                <w:rFonts w:ascii="Arial" w:hAnsi="Arial" w:cs="Arial"/>
                <w:b/>
                <w:bCs/>
                <w:color w:val="000000"/>
                <w:sz w:val="15"/>
                <w:szCs w:val="15"/>
              </w:rPr>
            </w:pPr>
            <w:r w:rsidRPr="003016C4">
              <w:rPr>
                <w:rFonts w:ascii="Arial" w:hAnsi="Arial" w:cs="Arial"/>
                <w:b/>
                <w:bCs/>
                <w:color w:val="000000"/>
                <w:sz w:val="15"/>
                <w:szCs w:val="15"/>
              </w:rPr>
              <w:t xml:space="preserve">121,565,470 </w:t>
            </w:r>
          </w:p>
        </w:tc>
        <w:tc>
          <w:tcPr>
            <w:tcW w:w="1040" w:type="dxa"/>
            <w:tcBorders>
              <w:top w:val="nil"/>
              <w:left w:val="nil"/>
              <w:bottom w:val="single" w:sz="4" w:space="0" w:color="auto"/>
              <w:right w:val="nil"/>
            </w:tcBorders>
            <w:shd w:val="clear" w:color="000000" w:fill="E6E6E6"/>
            <w:noWrap/>
            <w:vAlign w:val="center"/>
            <w:hideMark/>
          </w:tcPr>
          <w:p w:rsidR="003016C4" w:rsidRPr="003016C4" w:rsidRDefault="003016C4" w:rsidP="003016C4">
            <w:pPr>
              <w:spacing w:after="0" w:line="240" w:lineRule="auto"/>
              <w:jc w:val="right"/>
              <w:rPr>
                <w:rFonts w:ascii="Arial" w:hAnsi="Arial" w:cs="Arial"/>
                <w:b/>
                <w:bCs/>
                <w:color w:val="000000"/>
                <w:sz w:val="15"/>
                <w:szCs w:val="15"/>
              </w:rPr>
            </w:pPr>
            <w:r w:rsidRPr="003016C4">
              <w:rPr>
                <w:rFonts w:ascii="Arial" w:hAnsi="Arial" w:cs="Arial"/>
                <w:b/>
                <w:bCs/>
                <w:color w:val="000000"/>
                <w:sz w:val="15"/>
                <w:szCs w:val="15"/>
              </w:rPr>
              <w:t xml:space="preserve">129,803,916 </w:t>
            </w:r>
          </w:p>
        </w:tc>
        <w:tc>
          <w:tcPr>
            <w:tcW w:w="1040" w:type="dxa"/>
            <w:tcBorders>
              <w:top w:val="nil"/>
              <w:left w:val="nil"/>
              <w:bottom w:val="single" w:sz="4" w:space="0" w:color="auto"/>
              <w:right w:val="nil"/>
            </w:tcBorders>
            <w:shd w:val="clear" w:color="auto" w:fill="auto"/>
            <w:noWrap/>
            <w:vAlign w:val="center"/>
            <w:hideMark/>
          </w:tcPr>
          <w:p w:rsidR="003016C4" w:rsidRPr="003016C4" w:rsidRDefault="003016C4" w:rsidP="003016C4">
            <w:pPr>
              <w:spacing w:after="0" w:line="240" w:lineRule="auto"/>
              <w:jc w:val="right"/>
              <w:rPr>
                <w:rFonts w:ascii="Arial" w:hAnsi="Arial" w:cs="Arial"/>
                <w:b/>
                <w:bCs/>
                <w:color w:val="000000"/>
                <w:sz w:val="15"/>
                <w:szCs w:val="15"/>
              </w:rPr>
            </w:pPr>
            <w:r w:rsidRPr="003016C4">
              <w:rPr>
                <w:rFonts w:ascii="Arial" w:hAnsi="Arial" w:cs="Arial"/>
                <w:b/>
                <w:bCs/>
                <w:color w:val="000000"/>
                <w:sz w:val="15"/>
                <w:szCs w:val="15"/>
              </w:rPr>
              <w:t xml:space="preserve">138,888,785 </w:t>
            </w:r>
          </w:p>
        </w:tc>
        <w:tc>
          <w:tcPr>
            <w:tcW w:w="1040" w:type="dxa"/>
            <w:tcBorders>
              <w:top w:val="nil"/>
              <w:left w:val="nil"/>
              <w:bottom w:val="single" w:sz="4" w:space="0" w:color="auto"/>
              <w:right w:val="nil"/>
            </w:tcBorders>
            <w:shd w:val="clear" w:color="auto" w:fill="auto"/>
            <w:noWrap/>
            <w:vAlign w:val="center"/>
            <w:hideMark/>
          </w:tcPr>
          <w:p w:rsidR="003016C4" w:rsidRPr="003016C4" w:rsidRDefault="003016C4" w:rsidP="003016C4">
            <w:pPr>
              <w:spacing w:after="0" w:line="240" w:lineRule="auto"/>
              <w:jc w:val="right"/>
              <w:rPr>
                <w:rFonts w:ascii="Arial" w:hAnsi="Arial" w:cs="Arial"/>
                <w:b/>
                <w:bCs/>
                <w:color w:val="000000"/>
                <w:sz w:val="15"/>
                <w:szCs w:val="15"/>
              </w:rPr>
            </w:pPr>
            <w:r w:rsidRPr="003016C4">
              <w:rPr>
                <w:rFonts w:ascii="Arial" w:hAnsi="Arial" w:cs="Arial"/>
                <w:b/>
                <w:bCs/>
                <w:color w:val="000000"/>
                <w:sz w:val="15"/>
                <w:szCs w:val="15"/>
              </w:rPr>
              <w:t xml:space="preserve">148,755,513 </w:t>
            </w:r>
          </w:p>
        </w:tc>
        <w:tc>
          <w:tcPr>
            <w:tcW w:w="1040" w:type="dxa"/>
            <w:tcBorders>
              <w:top w:val="nil"/>
              <w:left w:val="nil"/>
              <w:bottom w:val="single" w:sz="4" w:space="0" w:color="auto"/>
              <w:right w:val="nil"/>
            </w:tcBorders>
            <w:shd w:val="clear" w:color="auto" w:fill="auto"/>
            <w:noWrap/>
            <w:vAlign w:val="center"/>
            <w:hideMark/>
          </w:tcPr>
          <w:p w:rsidR="003016C4" w:rsidRPr="003016C4" w:rsidRDefault="003016C4" w:rsidP="003016C4">
            <w:pPr>
              <w:spacing w:after="0" w:line="240" w:lineRule="auto"/>
              <w:jc w:val="right"/>
              <w:rPr>
                <w:rFonts w:ascii="Arial" w:hAnsi="Arial" w:cs="Arial"/>
                <w:b/>
                <w:bCs/>
                <w:color w:val="000000"/>
                <w:sz w:val="15"/>
                <w:szCs w:val="15"/>
              </w:rPr>
            </w:pPr>
            <w:r w:rsidRPr="003016C4">
              <w:rPr>
                <w:rFonts w:ascii="Arial" w:hAnsi="Arial" w:cs="Arial"/>
                <w:b/>
                <w:bCs/>
                <w:color w:val="000000"/>
                <w:sz w:val="15"/>
                <w:szCs w:val="15"/>
              </w:rPr>
              <w:t xml:space="preserve">159,625,994 </w:t>
            </w:r>
          </w:p>
        </w:tc>
      </w:tr>
      <w:tr w:rsidR="003016C4" w:rsidRPr="003016C4" w:rsidTr="003016C4">
        <w:trPr>
          <w:trHeight w:val="225"/>
        </w:trPr>
        <w:tc>
          <w:tcPr>
            <w:tcW w:w="2260"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jc w:val="left"/>
              <w:rPr>
                <w:rFonts w:ascii="Arial" w:hAnsi="Arial" w:cs="Arial"/>
                <w:b/>
                <w:bCs/>
                <w:color w:val="000000"/>
                <w:sz w:val="15"/>
                <w:szCs w:val="15"/>
              </w:rPr>
            </w:pPr>
            <w:r w:rsidRPr="003016C4">
              <w:rPr>
                <w:rFonts w:ascii="Arial" w:hAnsi="Arial" w:cs="Arial"/>
                <w:b/>
                <w:bCs/>
                <w:color w:val="000000"/>
                <w:sz w:val="15"/>
                <w:szCs w:val="15"/>
              </w:rPr>
              <w:t>LIABILITIES</w:t>
            </w:r>
          </w:p>
        </w:tc>
        <w:tc>
          <w:tcPr>
            <w:tcW w:w="1040" w:type="dxa"/>
            <w:tcBorders>
              <w:top w:val="nil"/>
              <w:left w:val="nil"/>
              <w:bottom w:val="nil"/>
              <w:right w:val="nil"/>
            </w:tcBorders>
            <w:shd w:val="clear" w:color="000000" w:fill="FFFFFF"/>
            <w:noWrap/>
            <w:vAlign w:val="center"/>
            <w:hideMark/>
          </w:tcPr>
          <w:p w:rsidR="003016C4" w:rsidRPr="003016C4" w:rsidRDefault="003016C4" w:rsidP="003016C4">
            <w:pPr>
              <w:spacing w:after="0" w:line="240" w:lineRule="auto"/>
              <w:jc w:val="left"/>
              <w:rPr>
                <w:rFonts w:ascii="Arial" w:hAnsi="Arial" w:cs="Arial"/>
                <w:color w:val="000000"/>
                <w:sz w:val="15"/>
                <w:szCs w:val="15"/>
              </w:rPr>
            </w:pPr>
            <w:r w:rsidRPr="003016C4">
              <w:rPr>
                <w:rFonts w:ascii="Arial" w:hAnsi="Arial" w:cs="Arial"/>
                <w:color w:val="000000"/>
                <w:sz w:val="15"/>
                <w:szCs w:val="15"/>
              </w:rPr>
              <w:t> </w:t>
            </w:r>
          </w:p>
        </w:tc>
        <w:tc>
          <w:tcPr>
            <w:tcW w:w="1040" w:type="dxa"/>
            <w:tcBorders>
              <w:top w:val="nil"/>
              <w:left w:val="nil"/>
              <w:bottom w:val="nil"/>
              <w:right w:val="nil"/>
            </w:tcBorders>
            <w:shd w:val="clear" w:color="000000" w:fill="E6E6E6"/>
            <w:noWrap/>
            <w:vAlign w:val="center"/>
            <w:hideMark/>
          </w:tcPr>
          <w:p w:rsidR="003016C4" w:rsidRPr="003016C4" w:rsidRDefault="003016C4" w:rsidP="003016C4">
            <w:pPr>
              <w:spacing w:after="0" w:line="240" w:lineRule="auto"/>
              <w:jc w:val="left"/>
              <w:rPr>
                <w:rFonts w:ascii="Arial" w:hAnsi="Arial" w:cs="Arial"/>
                <w:color w:val="000000"/>
                <w:sz w:val="15"/>
                <w:szCs w:val="15"/>
              </w:rPr>
            </w:pPr>
            <w:r w:rsidRPr="003016C4">
              <w:rPr>
                <w:rFonts w:ascii="Arial" w:hAnsi="Arial" w:cs="Arial"/>
                <w:color w:val="000000"/>
                <w:sz w:val="15"/>
                <w:szCs w:val="15"/>
              </w:rPr>
              <w:t> </w:t>
            </w:r>
          </w:p>
        </w:tc>
        <w:tc>
          <w:tcPr>
            <w:tcW w:w="1040"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jc w:val="left"/>
              <w:rPr>
                <w:rFonts w:ascii="Arial" w:hAnsi="Arial" w:cs="Arial"/>
                <w:color w:val="000000"/>
                <w:sz w:val="15"/>
                <w:szCs w:val="15"/>
              </w:rPr>
            </w:pPr>
          </w:p>
        </w:tc>
        <w:tc>
          <w:tcPr>
            <w:tcW w:w="1040"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jc w:val="left"/>
              <w:rPr>
                <w:rFonts w:ascii="Arial" w:hAnsi="Arial" w:cs="Arial"/>
                <w:color w:val="000000"/>
                <w:sz w:val="15"/>
                <w:szCs w:val="15"/>
              </w:rPr>
            </w:pPr>
          </w:p>
        </w:tc>
        <w:tc>
          <w:tcPr>
            <w:tcW w:w="1040"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jc w:val="left"/>
              <w:rPr>
                <w:rFonts w:ascii="Arial" w:hAnsi="Arial" w:cs="Arial"/>
                <w:color w:val="000000"/>
                <w:sz w:val="15"/>
                <w:szCs w:val="15"/>
              </w:rPr>
            </w:pPr>
          </w:p>
        </w:tc>
      </w:tr>
      <w:tr w:rsidR="003016C4" w:rsidRPr="003016C4" w:rsidTr="003016C4">
        <w:trPr>
          <w:trHeight w:val="225"/>
        </w:trPr>
        <w:tc>
          <w:tcPr>
            <w:tcW w:w="2260"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jc w:val="left"/>
              <w:rPr>
                <w:rFonts w:ascii="Arial" w:hAnsi="Arial" w:cs="Arial"/>
                <w:b/>
                <w:bCs/>
                <w:color w:val="000000"/>
                <w:sz w:val="15"/>
                <w:szCs w:val="15"/>
              </w:rPr>
            </w:pPr>
            <w:r w:rsidRPr="003016C4">
              <w:rPr>
                <w:rFonts w:ascii="Arial" w:hAnsi="Arial" w:cs="Arial"/>
                <w:b/>
                <w:bCs/>
                <w:color w:val="000000"/>
                <w:sz w:val="15"/>
                <w:szCs w:val="15"/>
              </w:rPr>
              <w:t>Payables</w:t>
            </w:r>
          </w:p>
        </w:tc>
        <w:tc>
          <w:tcPr>
            <w:tcW w:w="1040" w:type="dxa"/>
            <w:tcBorders>
              <w:top w:val="nil"/>
              <w:left w:val="nil"/>
              <w:bottom w:val="nil"/>
              <w:right w:val="nil"/>
            </w:tcBorders>
            <w:shd w:val="clear" w:color="000000" w:fill="FFFFFF"/>
            <w:noWrap/>
            <w:vAlign w:val="center"/>
            <w:hideMark/>
          </w:tcPr>
          <w:p w:rsidR="003016C4" w:rsidRPr="003016C4" w:rsidRDefault="003016C4" w:rsidP="003016C4">
            <w:pPr>
              <w:spacing w:after="0" w:line="240" w:lineRule="auto"/>
              <w:jc w:val="left"/>
              <w:rPr>
                <w:rFonts w:ascii="Arial" w:hAnsi="Arial" w:cs="Arial"/>
                <w:color w:val="000000"/>
                <w:sz w:val="15"/>
                <w:szCs w:val="15"/>
              </w:rPr>
            </w:pPr>
            <w:r w:rsidRPr="003016C4">
              <w:rPr>
                <w:rFonts w:ascii="Arial" w:hAnsi="Arial" w:cs="Arial"/>
                <w:color w:val="000000"/>
                <w:sz w:val="15"/>
                <w:szCs w:val="15"/>
              </w:rPr>
              <w:t> </w:t>
            </w:r>
          </w:p>
        </w:tc>
        <w:tc>
          <w:tcPr>
            <w:tcW w:w="1040" w:type="dxa"/>
            <w:tcBorders>
              <w:top w:val="nil"/>
              <w:left w:val="nil"/>
              <w:bottom w:val="nil"/>
              <w:right w:val="nil"/>
            </w:tcBorders>
            <w:shd w:val="clear" w:color="000000" w:fill="E6E6E6"/>
            <w:noWrap/>
            <w:vAlign w:val="center"/>
            <w:hideMark/>
          </w:tcPr>
          <w:p w:rsidR="003016C4" w:rsidRPr="003016C4" w:rsidRDefault="003016C4" w:rsidP="003016C4">
            <w:pPr>
              <w:spacing w:after="0" w:line="240" w:lineRule="auto"/>
              <w:jc w:val="left"/>
              <w:rPr>
                <w:rFonts w:ascii="Arial" w:hAnsi="Arial" w:cs="Arial"/>
                <w:color w:val="000000"/>
                <w:sz w:val="15"/>
                <w:szCs w:val="15"/>
              </w:rPr>
            </w:pPr>
            <w:r w:rsidRPr="003016C4">
              <w:rPr>
                <w:rFonts w:ascii="Arial" w:hAnsi="Arial" w:cs="Arial"/>
                <w:color w:val="000000"/>
                <w:sz w:val="15"/>
                <w:szCs w:val="15"/>
              </w:rPr>
              <w:t> </w:t>
            </w:r>
          </w:p>
        </w:tc>
        <w:tc>
          <w:tcPr>
            <w:tcW w:w="1040"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jc w:val="left"/>
              <w:rPr>
                <w:rFonts w:ascii="Arial" w:hAnsi="Arial" w:cs="Arial"/>
                <w:color w:val="000000"/>
                <w:sz w:val="15"/>
                <w:szCs w:val="15"/>
              </w:rPr>
            </w:pPr>
          </w:p>
        </w:tc>
        <w:tc>
          <w:tcPr>
            <w:tcW w:w="1040"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jc w:val="left"/>
              <w:rPr>
                <w:rFonts w:ascii="Arial" w:hAnsi="Arial" w:cs="Arial"/>
                <w:color w:val="000000"/>
                <w:sz w:val="15"/>
                <w:szCs w:val="15"/>
              </w:rPr>
            </w:pPr>
          </w:p>
        </w:tc>
        <w:tc>
          <w:tcPr>
            <w:tcW w:w="1040"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jc w:val="left"/>
              <w:rPr>
                <w:rFonts w:ascii="Arial" w:hAnsi="Arial" w:cs="Arial"/>
                <w:color w:val="000000"/>
                <w:sz w:val="15"/>
                <w:szCs w:val="15"/>
              </w:rPr>
            </w:pPr>
          </w:p>
        </w:tc>
      </w:tr>
      <w:tr w:rsidR="003016C4" w:rsidRPr="003016C4" w:rsidTr="003016C4">
        <w:trPr>
          <w:trHeight w:val="225"/>
        </w:trPr>
        <w:tc>
          <w:tcPr>
            <w:tcW w:w="2260"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ind w:firstLineChars="100" w:firstLine="150"/>
              <w:jc w:val="left"/>
              <w:rPr>
                <w:rFonts w:ascii="Arial" w:hAnsi="Arial" w:cs="Arial"/>
                <w:color w:val="000000"/>
                <w:sz w:val="15"/>
                <w:szCs w:val="15"/>
              </w:rPr>
            </w:pPr>
            <w:r w:rsidRPr="003016C4">
              <w:rPr>
                <w:rFonts w:ascii="Arial" w:hAnsi="Arial" w:cs="Arial"/>
                <w:color w:val="000000"/>
                <w:sz w:val="15"/>
                <w:szCs w:val="15"/>
              </w:rPr>
              <w:t>Suppliers</w:t>
            </w:r>
          </w:p>
        </w:tc>
        <w:tc>
          <w:tcPr>
            <w:tcW w:w="1040" w:type="dxa"/>
            <w:tcBorders>
              <w:top w:val="nil"/>
              <w:left w:val="nil"/>
              <w:bottom w:val="nil"/>
              <w:right w:val="nil"/>
            </w:tcBorders>
            <w:shd w:val="clear" w:color="000000" w:fill="FFFFFF"/>
            <w:noWrap/>
            <w:vAlign w:val="center"/>
            <w:hideMark/>
          </w:tcPr>
          <w:p w:rsidR="003016C4" w:rsidRPr="003016C4" w:rsidRDefault="003016C4" w:rsidP="003016C4">
            <w:pPr>
              <w:spacing w:after="0" w:line="240" w:lineRule="auto"/>
              <w:jc w:val="right"/>
              <w:rPr>
                <w:rFonts w:ascii="Arial" w:hAnsi="Arial" w:cs="Arial"/>
                <w:color w:val="000000"/>
                <w:sz w:val="15"/>
                <w:szCs w:val="15"/>
              </w:rPr>
            </w:pPr>
            <w:r w:rsidRPr="003016C4">
              <w:rPr>
                <w:rFonts w:ascii="Arial" w:hAnsi="Arial" w:cs="Arial"/>
                <w:color w:val="000000"/>
                <w:sz w:val="15"/>
                <w:szCs w:val="15"/>
              </w:rPr>
              <w:t xml:space="preserve">147,073 </w:t>
            </w:r>
          </w:p>
        </w:tc>
        <w:tc>
          <w:tcPr>
            <w:tcW w:w="1040" w:type="dxa"/>
            <w:tcBorders>
              <w:top w:val="nil"/>
              <w:left w:val="nil"/>
              <w:bottom w:val="nil"/>
              <w:right w:val="nil"/>
            </w:tcBorders>
            <w:shd w:val="clear" w:color="000000" w:fill="E6E6E6"/>
            <w:noWrap/>
            <w:vAlign w:val="center"/>
            <w:hideMark/>
          </w:tcPr>
          <w:p w:rsidR="003016C4" w:rsidRPr="003016C4" w:rsidRDefault="003016C4" w:rsidP="003016C4">
            <w:pPr>
              <w:spacing w:after="0" w:line="240" w:lineRule="auto"/>
              <w:jc w:val="right"/>
              <w:rPr>
                <w:rFonts w:ascii="Arial" w:hAnsi="Arial" w:cs="Arial"/>
                <w:color w:val="000000"/>
                <w:sz w:val="15"/>
                <w:szCs w:val="15"/>
              </w:rPr>
            </w:pPr>
            <w:r w:rsidRPr="003016C4">
              <w:rPr>
                <w:rFonts w:ascii="Arial" w:hAnsi="Arial" w:cs="Arial"/>
                <w:color w:val="000000"/>
                <w:sz w:val="15"/>
                <w:szCs w:val="15"/>
              </w:rPr>
              <w:t xml:space="preserve">146,586 </w:t>
            </w:r>
          </w:p>
        </w:tc>
        <w:tc>
          <w:tcPr>
            <w:tcW w:w="1040"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jc w:val="right"/>
              <w:rPr>
                <w:rFonts w:ascii="Arial" w:hAnsi="Arial" w:cs="Arial"/>
                <w:color w:val="000000"/>
                <w:sz w:val="15"/>
                <w:szCs w:val="15"/>
              </w:rPr>
            </w:pPr>
            <w:r w:rsidRPr="003016C4">
              <w:rPr>
                <w:rFonts w:ascii="Arial" w:hAnsi="Arial" w:cs="Arial"/>
                <w:color w:val="000000"/>
                <w:sz w:val="15"/>
                <w:szCs w:val="15"/>
              </w:rPr>
              <w:t xml:space="preserve">156,463 </w:t>
            </w:r>
          </w:p>
        </w:tc>
        <w:tc>
          <w:tcPr>
            <w:tcW w:w="1040"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jc w:val="right"/>
              <w:rPr>
                <w:rFonts w:ascii="Arial" w:hAnsi="Arial" w:cs="Arial"/>
                <w:color w:val="000000"/>
                <w:sz w:val="15"/>
                <w:szCs w:val="15"/>
              </w:rPr>
            </w:pPr>
            <w:r w:rsidRPr="003016C4">
              <w:rPr>
                <w:rFonts w:ascii="Arial" w:hAnsi="Arial" w:cs="Arial"/>
                <w:color w:val="000000"/>
                <w:sz w:val="15"/>
                <w:szCs w:val="15"/>
              </w:rPr>
              <w:t xml:space="preserve">167,768 </w:t>
            </w:r>
          </w:p>
        </w:tc>
        <w:tc>
          <w:tcPr>
            <w:tcW w:w="1040"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jc w:val="right"/>
              <w:rPr>
                <w:rFonts w:ascii="Arial" w:hAnsi="Arial" w:cs="Arial"/>
                <w:color w:val="000000"/>
                <w:sz w:val="15"/>
                <w:szCs w:val="15"/>
              </w:rPr>
            </w:pPr>
            <w:r w:rsidRPr="003016C4">
              <w:rPr>
                <w:rFonts w:ascii="Arial" w:hAnsi="Arial" w:cs="Arial"/>
                <w:color w:val="000000"/>
                <w:sz w:val="15"/>
                <w:szCs w:val="15"/>
              </w:rPr>
              <w:t xml:space="preserve">180,618 </w:t>
            </w:r>
          </w:p>
        </w:tc>
      </w:tr>
      <w:tr w:rsidR="003016C4" w:rsidRPr="003016C4" w:rsidTr="003016C4">
        <w:trPr>
          <w:trHeight w:val="225"/>
        </w:trPr>
        <w:tc>
          <w:tcPr>
            <w:tcW w:w="2260"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ind w:firstLineChars="100" w:firstLine="150"/>
              <w:jc w:val="left"/>
              <w:rPr>
                <w:rFonts w:ascii="Arial" w:hAnsi="Arial" w:cs="Arial"/>
                <w:color w:val="000000"/>
                <w:sz w:val="15"/>
                <w:szCs w:val="15"/>
              </w:rPr>
            </w:pPr>
            <w:r w:rsidRPr="003016C4">
              <w:rPr>
                <w:rFonts w:ascii="Arial" w:hAnsi="Arial" w:cs="Arial"/>
                <w:color w:val="000000"/>
                <w:sz w:val="15"/>
                <w:szCs w:val="15"/>
              </w:rPr>
              <w:t>Other payables</w:t>
            </w:r>
          </w:p>
        </w:tc>
        <w:tc>
          <w:tcPr>
            <w:tcW w:w="1040" w:type="dxa"/>
            <w:tcBorders>
              <w:top w:val="nil"/>
              <w:left w:val="nil"/>
              <w:bottom w:val="nil"/>
              <w:right w:val="nil"/>
            </w:tcBorders>
            <w:shd w:val="clear" w:color="000000" w:fill="FFFFFF"/>
            <w:noWrap/>
            <w:vAlign w:val="center"/>
            <w:hideMark/>
          </w:tcPr>
          <w:p w:rsidR="003016C4" w:rsidRPr="003016C4" w:rsidRDefault="003016C4" w:rsidP="003016C4">
            <w:pPr>
              <w:spacing w:after="0" w:line="240" w:lineRule="auto"/>
              <w:jc w:val="right"/>
              <w:rPr>
                <w:rFonts w:ascii="Arial" w:hAnsi="Arial" w:cs="Arial"/>
                <w:color w:val="000000"/>
                <w:sz w:val="15"/>
                <w:szCs w:val="15"/>
              </w:rPr>
            </w:pPr>
            <w:r w:rsidRPr="003016C4">
              <w:rPr>
                <w:rFonts w:ascii="Arial" w:hAnsi="Arial" w:cs="Arial"/>
                <w:color w:val="000000"/>
                <w:sz w:val="15"/>
                <w:szCs w:val="15"/>
              </w:rPr>
              <w:t xml:space="preserve">1,184,892 </w:t>
            </w:r>
          </w:p>
        </w:tc>
        <w:tc>
          <w:tcPr>
            <w:tcW w:w="1040" w:type="dxa"/>
            <w:tcBorders>
              <w:top w:val="nil"/>
              <w:left w:val="nil"/>
              <w:bottom w:val="nil"/>
              <w:right w:val="nil"/>
            </w:tcBorders>
            <w:shd w:val="clear" w:color="000000" w:fill="E6E6E6"/>
            <w:noWrap/>
            <w:vAlign w:val="center"/>
            <w:hideMark/>
          </w:tcPr>
          <w:p w:rsidR="003016C4" w:rsidRPr="003016C4" w:rsidRDefault="003016C4" w:rsidP="003016C4">
            <w:pPr>
              <w:spacing w:after="0" w:line="240" w:lineRule="auto"/>
              <w:jc w:val="right"/>
              <w:rPr>
                <w:rFonts w:ascii="Arial" w:hAnsi="Arial" w:cs="Arial"/>
                <w:color w:val="000000"/>
                <w:sz w:val="15"/>
                <w:szCs w:val="15"/>
              </w:rPr>
            </w:pPr>
            <w:r w:rsidRPr="003016C4">
              <w:rPr>
                <w:rFonts w:ascii="Arial" w:hAnsi="Arial" w:cs="Arial"/>
                <w:color w:val="000000"/>
                <w:sz w:val="15"/>
                <w:szCs w:val="15"/>
              </w:rPr>
              <w:t xml:space="preserve">1,289,317 </w:t>
            </w:r>
          </w:p>
        </w:tc>
        <w:tc>
          <w:tcPr>
            <w:tcW w:w="1040"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jc w:val="right"/>
              <w:rPr>
                <w:rFonts w:ascii="Arial" w:hAnsi="Arial" w:cs="Arial"/>
                <w:color w:val="000000"/>
                <w:sz w:val="15"/>
                <w:szCs w:val="15"/>
              </w:rPr>
            </w:pPr>
            <w:r w:rsidRPr="003016C4">
              <w:rPr>
                <w:rFonts w:ascii="Arial" w:hAnsi="Arial" w:cs="Arial"/>
                <w:color w:val="000000"/>
                <w:sz w:val="15"/>
                <w:szCs w:val="15"/>
              </w:rPr>
              <w:t xml:space="preserve">1,293,373 </w:t>
            </w:r>
          </w:p>
        </w:tc>
        <w:tc>
          <w:tcPr>
            <w:tcW w:w="1040"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jc w:val="right"/>
              <w:rPr>
                <w:rFonts w:ascii="Arial" w:hAnsi="Arial" w:cs="Arial"/>
                <w:color w:val="000000"/>
                <w:sz w:val="15"/>
                <w:szCs w:val="15"/>
              </w:rPr>
            </w:pPr>
            <w:r w:rsidRPr="003016C4">
              <w:rPr>
                <w:rFonts w:ascii="Arial" w:hAnsi="Arial" w:cs="Arial"/>
                <w:color w:val="000000"/>
                <w:sz w:val="15"/>
                <w:szCs w:val="15"/>
              </w:rPr>
              <w:t xml:space="preserve">1,296,995 </w:t>
            </w:r>
          </w:p>
        </w:tc>
        <w:tc>
          <w:tcPr>
            <w:tcW w:w="1040"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jc w:val="right"/>
              <w:rPr>
                <w:rFonts w:ascii="Arial" w:hAnsi="Arial" w:cs="Arial"/>
                <w:color w:val="000000"/>
                <w:sz w:val="15"/>
                <w:szCs w:val="15"/>
              </w:rPr>
            </w:pPr>
            <w:r w:rsidRPr="003016C4">
              <w:rPr>
                <w:rFonts w:ascii="Arial" w:hAnsi="Arial" w:cs="Arial"/>
                <w:color w:val="000000"/>
                <w:sz w:val="15"/>
                <w:szCs w:val="15"/>
              </w:rPr>
              <w:t xml:space="preserve">1,300,130 </w:t>
            </w:r>
          </w:p>
        </w:tc>
      </w:tr>
      <w:tr w:rsidR="003016C4" w:rsidRPr="003016C4" w:rsidTr="003016C4">
        <w:trPr>
          <w:trHeight w:val="225"/>
        </w:trPr>
        <w:tc>
          <w:tcPr>
            <w:tcW w:w="2260"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jc w:val="left"/>
              <w:rPr>
                <w:rFonts w:ascii="Arial" w:hAnsi="Arial" w:cs="Arial"/>
                <w:b/>
                <w:bCs/>
                <w:color w:val="000000"/>
                <w:sz w:val="15"/>
                <w:szCs w:val="15"/>
              </w:rPr>
            </w:pPr>
            <w:r w:rsidRPr="003016C4">
              <w:rPr>
                <w:rFonts w:ascii="Arial" w:hAnsi="Arial" w:cs="Arial"/>
                <w:b/>
                <w:bCs/>
                <w:color w:val="000000"/>
                <w:sz w:val="15"/>
                <w:szCs w:val="15"/>
              </w:rPr>
              <w:t>Total payables</w:t>
            </w:r>
          </w:p>
        </w:tc>
        <w:tc>
          <w:tcPr>
            <w:tcW w:w="1040" w:type="dxa"/>
            <w:tcBorders>
              <w:top w:val="single" w:sz="4" w:space="0" w:color="000000"/>
              <w:left w:val="nil"/>
              <w:bottom w:val="single" w:sz="4" w:space="0" w:color="000000"/>
              <w:right w:val="nil"/>
            </w:tcBorders>
            <w:shd w:val="clear" w:color="auto" w:fill="auto"/>
            <w:noWrap/>
            <w:vAlign w:val="center"/>
            <w:hideMark/>
          </w:tcPr>
          <w:p w:rsidR="003016C4" w:rsidRPr="003016C4" w:rsidRDefault="003016C4" w:rsidP="003016C4">
            <w:pPr>
              <w:spacing w:after="0" w:line="240" w:lineRule="auto"/>
              <w:jc w:val="right"/>
              <w:rPr>
                <w:rFonts w:ascii="Arial" w:hAnsi="Arial" w:cs="Arial"/>
                <w:b/>
                <w:bCs/>
                <w:color w:val="000000"/>
                <w:sz w:val="15"/>
                <w:szCs w:val="15"/>
              </w:rPr>
            </w:pPr>
            <w:r w:rsidRPr="003016C4">
              <w:rPr>
                <w:rFonts w:ascii="Arial" w:hAnsi="Arial" w:cs="Arial"/>
                <w:b/>
                <w:bCs/>
                <w:color w:val="000000"/>
                <w:sz w:val="15"/>
                <w:szCs w:val="15"/>
              </w:rPr>
              <w:t xml:space="preserve">1,331,965 </w:t>
            </w:r>
          </w:p>
        </w:tc>
        <w:tc>
          <w:tcPr>
            <w:tcW w:w="1040" w:type="dxa"/>
            <w:tcBorders>
              <w:top w:val="single" w:sz="4" w:space="0" w:color="000000"/>
              <w:left w:val="nil"/>
              <w:bottom w:val="single" w:sz="4" w:space="0" w:color="000000"/>
              <w:right w:val="nil"/>
            </w:tcBorders>
            <w:shd w:val="clear" w:color="000000" w:fill="E6E6E6"/>
            <w:noWrap/>
            <w:vAlign w:val="center"/>
            <w:hideMark/>
          </w:tcPr>
          <w:p w:rsidR="003016C4" w:rsidRPr="003016C4" w:rsidRDefault="003016C4" w:rsidP="003016C4">
            <w:pPr>
              <w:spacing w:after="0" w:line="240" w:lineRule="auto"/>
              <w:jc w:val="right"/>
              <w:rPr>
                <w:rFonts w:ascii="Arial" w:hAnsi="Arial" w:cs="Arial"/>
                <w:b/>
                <w:bCs/>
                <w:color w:val="000000"/>
                <w:sz w:val="15"/>
                <w:szCs w:val="15"/>
              </w:rPr>
            </w:pPr>
            <w:r w:rsidRPr="003016C4">
              <w:rPr>
                <w:rFonts w:ascii="Arial" w:hAnsi="Arial" w:cs="Arial"/>
                <w:b/>
                <w:bCs/>
                <w:color w:val="000000"/>
                <w:sz w:val="15"/>
                <w:szCs w:val="15"/>
              </w:rPr>
              <w:t xml:space="preserve">1,435,903 </w:t>
            </w:r>
          </w:p>
        </w:tc>
        <w:tc>
          <w:tcPr>
            <w:tcW w:w="1040" w:type="dxa"/>
            <w:tcBorders>
              <w:top w:val="single" w:sz="4" w:space="0" w:color="000000"/>
              <w:left w:val="nil"/>
              <w:bottom w:val="single" w:sz="4" w:space="0" w:color="000000"/>
              <w:right w:val="nil"/>
            </w:tcBorders>
            <w:shd w:val="clear" w:color="auto" w:fill="auto"/>
            <w:noWrap/>
            <w:vAlign w:val="center"/>
            <w:hideMark/>
          </w:tcPr>
          <w:p w:rsidR="003016C4" w:rsidRPr="003016C4" w:rsidRDefault="003016C4" w:rsidP="003016C4">
            <w:pPr>
              <w:spacing w:after="0" w:line="240" w:lineRule="auto"/>
              <w:jc w:val="right"/>
              <w:rPr>
                <w:rFonts w:ascii="Arial" w:hAnsi="Arial" w:cs="Arial"/>
                <w:b/>
                <w:bCs/>
                <w:color w:val="000000"/>
                <w:sz w:val="15"/>
                <w:szCs w:val="15"/>
              </w:rPr>
            </w:pPr>
            <w:r w:rsidRPr="003016C4">
              <w:rPr>
                <w:rFonts w:ascii="Arial" w:hAnsi="Arial" w:cs="Arial"/>
                <w:b/>
                <w:bCs/>
                <w:color w:val="000000"/>
                <w:sz w:val="15"/>
                <w:szCs w:val="15"/>
              </w:rPr>
              <w:t xml:space="preserve">1,449,836 </w:t>
            </w:r>
          </w:p>
        </w:tc>
        <w:tc>
          <w:tcPr>
            <w:tcW w:w="1040" w:type="dxa"/>
            <w:tcBorders>
              <w:top w:val="single" w:sz="4" w:space="0" w:color="000000"/>
              <w:left w:val="nil"/>
              <w:bottom w:val="single" w:sz="4" w:space="0" w:color="000000"/>
              <w:right w:val="nil"/>
            </w:tcBorders>
            <w:shd w:val="clear" w:color="auto" w:fill="auto"/>
            <w:noWrap/>
            <w:vAlign w:val="center"/>
            <w:hideMark/>
          </w:tcPr>
          <w:p w:rsidR="003016C4" w:rsidRPr="003016C4" w:rsidRDefault="003016C4" w:rsidP="003016C4">
            <w:pPr>
              <w:spacing w:after="0" w:line="240" w:lineRule="auto"/>
              <w:jc w:val="right"/>
              <w:rPr>
                <w:rFonts w:ascii="Arial" w:hAnsi="Arial" w:cs="Arial"/>
                <w:b/>
                <w:bCs/>
                <w:color w:val="000000"/>
                <w:sz w:val="15"/>
                <w:szCs w:val="15"/>
              </w:rPr>
            </w:pPr>
            <w:r w:rsidRPr="003016C4">
              <w:rPr>
                <w:rFonts w:ascii="Arial" w:hAnsi="Arial" w:cs="Arial"/>
                <w:b/>
                <w:bCs/>
                <w:color w:val="000000"/>
                <w:sz w:val="15"/>
                <w:szCs w:val="15"/>
              </w:rPr>
              <w:t xml:space="preserve">1,464,763 </w:t>
            </w:r>
          </w:p>
        </w:tc>
        <w:tc>
          <w:tcPr>
            <w:tcW w:w="1040" w:type="dxa"/>
            <w:tcBorders>
              <w:top w:val="single" w:sz="4" w:space="0" w:color="000000"/>
              <w:left w:val="nil"/>
              <w:bottom w:val="single" w:sz="4" w:space="0" w:color="000000"/>
              <w:right w:val="nil"/>
            </w:tcBorders>
            <w:shd w:val="clear" w:color="auto" w:fill="auto"/>
            <w:noWrap/>
            <w:vAlign w:val="center"/>
            <w:hideMark/>
          </w:tcPr>
          <w:p w:rsidR="003016C4" w:rsidRPr="003016C4" w:rsidRDefault="003016C4" w:rsidP="003016C4">
            <w:pPr>
              <w:spacing w:after="0" w:line="240" w:lineRule="auto"/>
              <w:jc w:val="right"/>
              <w:rPr>
                <w:rFonts w:ascii="Arial" w:hAnsi="Arial" w:cs="Arial"/>
                <w:b/>
                <w:bCs/>
                <w:color w:val="000000"/>
                <w:sz w:val="15"/>
                <w:szCs w:val="15"/>
              </w:rPr>
            </w:pPr>
            <w:r w:rsidRPr="003016C4">
              <w:rPr>
                <w:rFonts w:ascii="Arial" w:hAnsi="Arial" w:cs="Arial"/>
                <w:b/>
                <w:bCs/>
                <w:color w:val="000000"/>
                <w:sz w:val="15"/>
                <w:szCs w:val="15"/>
              </w:rPr>
              <w:t xml:space="preserve">1,480,748 </w:t>
            </w:r>
          </w:p>
        </w:tc>
      </w:tr>
      <w:tr w:rsidR="003016C4" w:rsidRPr="003016C4" w:rsidTr="003016C4">
        <w:trPr>
          <w:trHeight w:val="225"/>
        </w:trPr>
        <w:tc>
          <w:tcPr>
            <w:tcW w:w="2260"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jc w:val="left"/>
              <w:rPr>
                <w:rFonts w:ascii="Arial" w:hAnsi="Arial" w:cs="Arial"/>
                <w:b/>
                <w:bCs/>
                <w:color w:val="000000"/>
                <w:sz w:val="15"/>
                <w:szCs w:val="15"/>
              </w:rPr>
            </w:pPr>
            <w:r w:rsidRPr="003016C4">
              <w:rPr>
                <w:rFonts w:ascii="Arial" w:hAnsi="Arial" w:cs="Arial"/>
                <w:b/>
                <w:bCs/>
                <w:color w:val="000000"/>
                <w:sz w:val="15"/>
                <w:szCs w:val="15"/>
              </w:rPr>
              <w:t>Provisions</w:t>
            </w:r>
          </w:p>
        </w:tc>
        <w:tc>
          <w:tcPr>
            <w:tcW w:w="1040"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jc w:val="left"/>
              <w:rPr>
                <w:rFonts w:ascii="Arial" w:hAnsi="Arial" w:cs="Arial"/>
                <w:color w:val="000000"/>
                <w:sz w:val="15"/>
                <w:szCs w:val="15"/>
              </w:rPr>
            </w:pPr>
          </w:p>
        </w:tc>
        <w:tc>
          <w:tcPr>
            <w:tcW w:w="1040" w:type="dxa"/>
            <w:tcBorders>
              <w:top w:val="nil"/>
              <w:left w:val="nil"/>
              <w:bottom w:val="nil"/>
              <w:right w:val="nil"/>
            </w:tcBorders>
            <w:shd w:val="clear" w:color="000000" w:fill="E6E6E6"/>
            <w:noWrap/>
            <w:vAlign w:val="center"/>
            <w:hideMark/>
          </w:tcPr>
          <w:p w:rsidR="003016C4" w:rsidRPr="003016C4" w:rsidRDefault="003016C4" w:rsidP="003016C4">
            <w:pPr>
              <w:spacing w:after="0" w:line="240" w:lineRule="auto"/>
              <w:jc w:val="left"/>
              <w:rPr>
                <w:rFonts w:ascii="Arial" w:hAnsi="Arial" w:cs="Arial"/>
                <w:color w:val="000000"/>
                <w:sz w:val="15"/>
                <w:szCs w:val="15"/>
              </w:rPr>
            </w:pPr>
            <w:r w:rsidRPr="003016C4">
              <w:rPr>
                <w:rFonts w:ascii="Arial" w:hAnsi="Arial" w:cs="Arial"/>
                <w:color w:val="000000"/>
                <w:sz w:val="15"/>
                <w:szCs w:val="15"/>
              </w:rPr>
              <w:t> </w:t>
            </w:r>
          </w:p>
        </w:tc>
        <w:tc>
          <w:tcPr>
            <w:tcW w:w="1040"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jc w:val="left"/>
              <w:rPr>
                <w:rFonts w:ascii="Arial" w:hAnsi="Arial" w:cs="Arial"/>
                <w:color w:val="000000"/>
                <w:sz w:val="15"/>
                <w:szCs w:val="15"/>
              </w:rPr>
            </w:pPr>
          </w:p>
        </w:tc>
        <w:tc>
          <w:tcPr>
            <w:tcW w:w="1040"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jc w:val="left"/>
              <w:rPr>
                <w:rFonts w:ascii="Arial" w:hAnsi="Arial" w:cs="Arial"/>
                <w:color w:val="000000"/>
                <w:sz w:val="15"/>
                <w:szCs w:val="15"/>
              </w:rPr>
            </w:pPr>
          </w:p>
        </w:tc>
        <w:tc>
          <w:tcPr>
            <w:tcW w:w="1040"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jc w:val="left"/>
              <w:rPr>
                <w:rFonts w:ascii="Arial" w:hAnsi="Arial" w:cs="Arial"/>
                <w:color w:val="000000"/>
                <w:sz w:val="15"/>
                <w:szCs w:val="15"/>
              </w:rPr>
            </w:pPr>
          </w:p>
        </w:tc>
      </w:tr>
      <w:tr w:rsidR="003016C4" w:rsidRPr="003016C4" w:rsidTr="003016C4">
        <w:trPr>
          <w:trHeight w:val="225"/>
        </w:trPr>
        <w:tc>
          <w:tcPr>
            <w:tcW w:w="2260"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ind w:firstLineChars="100" w:firstLine="150"/>
              <w:jc w:val="left"/>
              <w:rPr>
                <w:rFonts w:ascii="Arial" w:hAnsi="Arial" w:cs="Arial"/>
                <w:color w:val="000000"/>
                <w:sz w:val="15"/>
                <w:szCs w:val="15"/>
              </w:rPr>
            </w:pPr>
            <w:r w:rsidRPr="003016C4">
              <w:rPr>
                <w:rFonts w:ascii="Arial" w:hAnsi="Arial" w:cs="Arial"/>
                <w:color w:val="000000"/>
                <w:sz w:val="15"/>
                <w:szCs w:val="15"/>
              </w:rPr>
              <w:t>Employee provisions</w:t>
            </w:r>
          </w:p>
        </w:tc>
        <w:tc>
          <w:tcPr>
            <w:tcW w:w="1040"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jc w:val="right"/>
              <w:rPr>
                <w:rFonts w:ascii="Arial" w:hAnsi="Arial" w:cs="Arial"/>
                <w:color w:val="000000"/>
                <w:sz w:val="15"/>
                <w:szCs w:val="15"/>
              </w:rPr>
            </w:pPr>
            <w:r w:rsidRPr="003016C4">
              <w:rPr>
                <w:rFonts w:ascii="Arial" w:hAnsi="Arial" w:cs="Arial"/>
                <w:color w:val="000000"/>
                <w:sz w:val="15"/>
                <w:szCs w:val="15"/>
              </w:rPr>
              <w:t xml:space="preserve">34 </w:t>
            </w:r>
          </w:p>
        </w:tc>
        <w:tc>
          <w:tcPr>
            <w:tcW w:w="1040" w:type="dxa"/>
            <w:tcBorders>
              <w:top w:val="nil"/>
              <w:left w:val="nil"/>
              <w:bottom w:val="nil"/>
              <w:right w:val="nil"/>
            </w:tcBorders>
            <w:shd w:val="clear" w:color="000000" w:fill="E6E6E6"/>
            <w:noWrap/>
            <w:vAlign w:val="center"/>
            <w:hideMark/>
          </w:tcPr>
          <w:p w:rsidR="003016C4" w:rsidRPr="003016C4" w:rsidRDefault="003016C4" w:rsidP="003016C4">
            <w:pPr>
              <w:spacing w:after="0" w:line="240" w:lineRule="auto"/>
              <w:jc w:val="right"/>
              <w:rPr>
                <w:rFonts w:ascii="Arial" w:hAnsi="Arial" w:cs="Arial"/>
                <w:color w:val="000000"/>
                <w:sz w:val="15"/>
                <w:szCs w:val="15"/>
              </w:rPr>
            </w:pPr>
            <w:r w:rsidRPr="003016C4">
              <w:rPr>
                <w:rFonts w:ascii="Arial" w:hAnsi="Arial" w:cs="Arial"/>
                <w:color w:val="000000"/>
                <w:sz w:val="15"/>
                <w:szCs w:val="15"/>
              </w:rPr>
              <w:t xml:space="preserve">35 </w:t>
            </w:r>
          </w:p>
        </w:tc>
        <w:tc>
          <w:tcPr>
            <w:tcW w:w="1040"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jc w:val="right"/>
              <w:rPr>
                <w:rFonts w:ascii="Arial" w:hAnsi="Arial" w:cs="Arial"/>
                <w:color w:val="000000"/>
                <w:sz w:val="15"/>
                <w:szCs w:val="15"/>
              </w:rPr>
            </w:pPr>
            <w:r w:rsidRPr="003016C4">
              <w:rPr>
                <w:rFonts w:ascii="Arial" w:hAnsi="Arial" w:cs="Arial"/>
                <w:color w:val="000000"/>
                <w:sz w:val="15"/>
                <w:szCs w:val="15"/>
              </w:rPr>
              <w:t xml:space="preserve">36 </w:t>
            </w:r>
          </w:p>
        </w:tc>
        <w:tc>
          <w:tcPr>
            <w:tcW w:w="1040"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jc w:val="right"/>
              <w:rPr>
                <w:rFonts w:ascii="Arial" w:hAnsi="Arial" w:cs="Arial"/>
                <w:color w:val="000000"/>
                <w:sz w:val="15"/>
                <w:szCs w:val="15"/>
              </w:rPr>
            </w:pPr>
            <w:r w:rsidRPr="003016C4">
              <w:rPr>
                <w:rFonts w:ascii="Arial" w:hAnsi="Arial" w:cs="Arial"/>
                <w:color w:val="000000"/>
                <w:sz w:val="15"/>
                <w:szCs w:val="15"/>
              </w:rPr>
              <w:t xml:space="preserve">37 </w:t>
            </w:r>
          </w:p>
        </w:tc>
        <w:tc>
          <w:tcPr>
            <w:tcW w:w="1040"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jc w:val="right"/>
              <w:rPr>
                <w:rFonts w:ascii="Arial" w:hAnsi="Arial" w:cs="Arial"/>
                <w:color w:val="000000"/>
                <w:sz w:val="15"/>
                <w:szCs w:val="15"/>
              </w:rPr>
            </w:pPr>
            <w:r w:rsidRPr="003016C4">
              <w:rPr>
                <w:rFonts w:ascii="Arial" w:hAnsi="Arial" w:cs="Arial"/>
                <w:color w:val="000000"/>
                <w:sz w:val="15"/>
                <w:szCs w:val="15"/>
              </w:rPr>
              <w:t xml:space="preserve">38 </w:t>
            </w:r>
          </w:p>
        </w:tc>
      </w:tr>
      <w:tr w:rsidR="003016C4" w:rsidRPr="003016C4" w:rsidTr="003016C4">
        <w:trPr>
          <w:trHeight w:val="225"/>
        </w:trPr>
        <w:tc>
          <w:tcPr>
            <w:tcW w:w="2260"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jc w:val="left"/>
              <w:rPr>
                <w:rFonts w:ascii="Arial" w:hAnsi="Arial" w:cs="Arial"/>
                <w:b/>
                <w:bCs/>
                <w:color w:val="000000"/>
                <w:sz w:val="15"/>
                <w:szCs w:val="15"/>
              </w:rPr>
            </w:pPr>
            <w:r w:rsidRPr="003016C4">
              <w:rPr>
                <w:rFonts w:ascii="Arial" w:hAnsi="Arial" w:cs="Arial"/>
                <w:b/>
                <w:bCs/>
                <w:color w:val="000000"/>
                <w:sz w:val="15"/>
                <w:szCs w:val="15"/>
              </w:rPr>
              <w:t>Total provisions</w:t>
            </w:r>
          </w:p>
        </w:tc>
        <w:tc>
          <w:tcPr>
            <w:tcW w:w="1040" w:type="dxa"/>
            <w:tcBorders>
              <w:top w:val="single" w:sz="4" w:space="0" w:color="000000"/>
              <w:left w:val="nil"/>
              <w:bottom w:val="single" w:sz="4" w:space="0" w:color="000000"/>
              <w:right w:val="nil"/>
            </w:tcBorders>
            <w:shd w:val="clear" w:color="auto" w:fill="auto"/>
            <w:noWrap/>
            <w:vAlign w:val="center"/>
            <w:hideMark/>
          </w:tcPr>
          <w:p w:rsidR="003016C4" w:rsidRPr="003016C4" w:rsidRDefault="003016C4" w:rsidP="003016C4">
            <w:pPr>
              <w:spacing w:after="0" w:line="240" w:lineRule="auto"/>
              <w:jc w:val="right"/>
              <w:rPr>
                <w:rFonts w:ascii="Arial" w:hAnsi="Arial" w:cs="Arial"/>
                <w:b/>
                <w:bCs/>
                <w:color w:val="000000"/>
                <w:sz w:val="15"/>
                <w:szCs w:val="15"/>
              </w:rPr>
            </w:pPr>
            <w:r w:rsidRPr="003016C4">
              <w:rPr>
                <w:rFonts w:ascii="Arial" w:hAnsi="Arial" w:cs="Arial"/>
                <w:b/>
                <w:bCs/>
                <w:color w:val="000000"/>
                <w:sz w:val="15"/>
                <w:szCs w:val="15"/>
              </w:rPr>
              <w:t xml:space="preserve">34 </w:t>
            </w:r>
          </w:p>
        </w:tc>
        <w:tc>
          <w:tcPr>
            <w:tcW w:w="1040" w:type="dxa"/>
            <w:tcBorders>
              <w:top w:val="single" w:sz="4" w:space="0" w:color="000000"/>
              <w:left w:val="nil"/>
              <w:bottom w:val="single" w:sz="4" w:space="0" w:color="000000"/>
              <w:right w:val="nil"/>
            </w:tcBorders>
            <w:shd w:val="clear" w:color="000000" w:fill="E6E6E6"/>
            <w:noWrap/>
            <w:vAlign w:val="center"/>
            <w:hideMark/>
          </w:tcPr>
          <w:p w:rsidR="003016C4" w:rsidRPr="003016C4" w:rsidRDefault="003016C4" w:rsidP="003016C4">
            <w:pPr>
              <w:spacing w:after="0" w:line="240" w:lineRule="auto"/>
              <w:jc w:val="right"/>
              <w:rPr>
                <w:rFonts w:ascii="Arial" w:hAnsi="Arial" w:cs="Arial"/>
                <w:b/>
                <w:bCs/>
                <w:color w:val="000000"/>
                <w:sz w:val="15"/>
                <w:szCs w:val="15"/>
              </w:rPr>
            </w:pPr>
            <w:r w:rsidRPr="003016C4">
              <w:rPr>
                <w:rFonts w:ascii="Arial" w:hAnsi="Arial" w:cs="Arial"/>
                <w:b/>
                <w:bCs/>
                <w:color w:val="000000"/>
                <w:sz w:val="15"/>
                <w:szCs w:val="15"/>
              </w:rPr>
              <w:t xml:space="preserve">35 </w:t>
            </w:r>
          </w:p>
        </w:tc>
        <w:tc>
          <w:tcPr>
            <w:tcW w:w="1040" w:type="dxa"/>
            <w:tcBorders>
              <w:top w:val="single" w:sz="4" w:space="0" w:color="000000"/>
              <w:left w:val="nil"/>
              <w:bottom w:val="single" w:sz="4" w:space="0" w:color="000000"/>
              <w:right w:val="nil"/>
            </w:tcBorders>
            <w:shd w:val="clear" w:color="auto" w:fill="auto"/>
            <w:noWrap/>
            <w:vAlign w:val="center"/>
            <w:hideMark/>
          </w:tcPr>
          <w:p w:rsidR="003016C4" w:rsidRPr="003016C4" w:rsidRDefault="003016C4" w:rsidP="003016C4">
            <w:pPr>
              <w:spacing w:after="0" w:line="240" w:lineRule="auto"/>
              <w:jc w:val="right"/>
              <w:rPr>
                <w:rFonts w:ascii="Arial" w:hAnsi="Arial" w:cs="Arial"/>
                <w:b/>
                <w:bCs/>
                <w:color w:val="000000"/>
                <w:sz w:val="15"/>
                <w:szCs w:val="15"/>
              </w:rPr>
            </w:pPr>
            <w:r w:rsidRPr="003016C4">
              <w:rPr>
                <w:rFonts w:ascii="Arial" w:hAnsi="Arial" w:cs="Arial"/>
                <w:b/>
                <w:bCs/>
                <w:color w:val="000000"/>
                <w:sz w:val="15"/>
                <w:szCs w:val="15"/>
              </w:rPr>
              <w:t xml:space="preserve">36 </w:t>
            </w:r>
          </w:p>
        </w:tc>
        <w:tc>
          <w:tcPr>
            <w:tcW w:w="1040" w:type="dxa"/>
            <w:tcBorders>
              <w:top w:val="single" w:sz="4" w:space="0" w:color="000000"/>
              <w:left w:val="nil"/>
              <w:bottom w:val="single" w:sz="4" w:space="0" w:color="000000"/>
              <w:right w:val="nil"/>
            </w:tcBorders>
            <w:shd w:val="clear" w:color="auto" w:fill="auto"/>
            <w:noWrap/>
            <w:vAlign w:val="center"/>
            <w:hideMark/>
          </w:tcPr>
          <w:p w:rsidR="003016C4" w:rsidRPr="003016C4" w:rsidRDefault="003016C4" w:rsidP="003016C4">
            <w:pPr>
              <w:spacing w:after="0" w:line="240" w:lineRule="auto"/>
              <w:jc w:val="right"/>
              <w:rPr>
                <w:rFonts w:ascii="Arial" w:hAnsi="Arial" w:cs="Arial"/>
                <w:b/>
                <w:bCs/>
                <w:color w:val="000000"/>
                <w:sz w:val="15"/>
                <w:szCs w:val="15"/>
              </w:rPr>
            </w:pPr>
            <w:r w:rsidRPr="003016C4">
              <w:rPr>
                <w:rFonts w:ascii="Arial" w:hAnsi="Arial" w:cs="Arial"/>
                <w:b/>
                <w:bCs/>
                <w:color w:val="000000"/>
                <w:sz w:val="15"/>
                <w:szCs w:val="15"/>
              </w:rPr>
              <w:t xml:space="preserve">37 </w:t>
            </w:r>
          </w:p>
        </w:tc>
        <w:tc>
          <w:tcPr>
            <w:tcW w:w="1040" w:type="dxa"/>
            <w:tcBorders>
              <w:top w:val="single" w:sz="4" w:space="0" w:color="000000"/>
              <w:left w:val="nil"/>
              <w:bottom w:val="single" w:sz="4" w:space="0" w:color="000000"/>
              <w:right w:val="nil"/>
            </w:tcBorders>
            <w:shd w:val="clear" w:color="auto" w:fill="auto"/>
            <w:noWrap/>
            <w:vAlign w:val="center"/>
            <w:hideMark/>
          </w:tcPr>
          <w:p w:rsidR="003016C4" w:rsidRPr="003016C4" w:rsidRDefault="003016C4" w:rsidP="003016C4">
            <w:pPr>
              <w:spacing w:after="0" w:line="240" w:lineRule="auto"/>
              <w:jc w:val="right"/>
              <w:rPr>
                <w:rFonts w:ascii="Arial" w:hAnsi="Arial" w:cs="Arial"/>
                <w:b/>
                <w:bCs/>
                <w:color w:val="000000"/>
                <w:sz w:val="15"/>
                <w:szCs w:val="15"/>
              </w:rPr>
            </w:pPr>
            <w:r w:rsidRPr="003016C4">
              <w:rPr>
                <w:rFonts w:ascii="Arial" w:hAnsi="Arial" w:cs="Arial"/>
                <w:b/>
                <w:bCs/>
                <w:color w:val="000000"/>
                <w:sz w:val="15"/>
                <w:szCs w:val="15"/>
              </w:rPr>
              <w:t xml:space="preserve">38 </w:t>
            </w:r>
          </w:p>
        </w:tc>
      </w:tr>
      <w:tr w:rsidR="003016C4" w:rsidRPr="003016C4" w:rsidTr="003016C4">
        <w:trPr>
          <w:trHeight w:val="225"/>
        </w:trPr>
        <w:tc>
          <w:tcPr>
            <w:tcW w:w="3300" w:type="dxa"/>
            <w:gridSpan w:val="2"/>
            <w:tcBorders>
              <w:top w:val="nil"/>
              <w:left w:val="nil"/>
              <w:bottom w:val="nil"/>
              <w:right w:val="nil"/>
            </w:tcBorders>
            <w:shd w:val="clear" w:color="auto" w:fill="auto"/>
            <w:noWrap/>
            <w:vAlign w:val="bottom"/>
            <w:hideMark/>
          </w:tcPr>
          <w:p w:rsidR="003016C4" w:rsidRPr="003016C4" w:rsidRDefault="003016C4" w:rsidP="003016C4">
            <w:pPr>
              <w:spacing w:after="0" w:line="240" w:lineRule="auto"/>
              <w:jc w:val="left"/>
              <w:rPr>
                <w:rFonts w:ascii="Arial" w:hAnsi="Arial" w:cs="Arial"/>
                <w:b/>
                <w:bCs/>
                <w:color w:val="000000"/>
                <w:sz w:val="15"/>
                <w:szCs w:val="15"/>
              </w:rPr>
            </w:pPr>
            <w:r w:rsidRPr="003016C4">
              <w:rPr>
                <w:rFonts w:ascii="Arial" w:hAnsi="Arial" w:cs="Arial"/>
                <w:b/>
                <w:bCs/>
                <w:color w:val="000000"/>
                <w:sz w:val="15"/>
                <w:szCs w:val="15"/>
              </w:rPr>
              <w:t xml:space="preserve">Total liabilities administered </w:t>
            </w:r>
          </w:p>
        </w:tc>
        <w:tc>
          <w:tcPr>
            <w:tcW w:w="1040" w:type="dxa"/>
            <w:tcBorders>
              <w:top w:val="nil"/>
              <w:left w:val="nil"/>
              <w:bottom w:val="nil"/>
              <w:right w:val="nil"/>
            </w:tcBorders>
            <w:shd w:val="clear" w:color="000000" w:fill="E6E6E6"/>
            <w:noWrap/>
            <w:vAlign w:val="center"/>
            <w:hideMark/>
          </w:tcPr>
          <w:p w:rsidR="003016C4" w:rsidRPr="003016C4" w:rsidRDefault="003016C4" w:rsidP="003016C4">
            <w:pPr>
              <w:spacing w:after="0" w:line="240" w:lineRule="auto"/>
              <w:jc w:val="left"/>
              <w:rPr>
                <w:rFonts w:ascii="Arial" w:hAnsi="Arial" w:cs="Arial"/>
                <w:color w:val="000000"/>
                <w:sz w:val="15"/>
                <w:szCs w:val="15"/>
              </w:rPr>
            </w:pPr>
            <w:r w:rsidRPr="003016C4">
              <w:rPr>
                <w:rFonts w:ascii="Arial" w:hAnsi="Arial" w:cs="Arial"/>
                <w:color w:val="000000"/>
                <w:sz w:val="15"/>
                <w:szCs w:val="15"/>
              </w:rPr>
              <w:t> </w:t>
            </w:r>
          </w:p>
        </w:tc>
        <w:tc>
          <w:tcPr>
            <w:tcW w:w="1040"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jc w:val="left"/>
              <w:rPr>
                <w:rFonts w:ascii="Arial" w:hAnsi="Arial" w:cs="Arial"/>
                <w:color w:val="000000"/>
                <w:sz w:val="15"/>
                <w:szCs w:val="15"/>
              </w:rPr>
            </w:pPr>
          </w:p>
        </w:tc>
        <w:tc>
          <w:tcPr>
            <w:tcW w:w="1040"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jc w:val="left"/>
              <w:rPr>
                <w:rFonts w:ascii="Arial" w:hAnsi="Arial" w:cs="Arial"/>
                <w:color w:val="000000"/>
                <w:sz w:val="15"/>
                <w:szCs w:val="15"/>
              </w:rPr>
            </w:pPr>
          </w:p>
        </w:tc>
        <w:tc>
          <w:tcPr>
            <w:tcW w:w="1040"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jc w:val="left"/>
              <w:rPr>
                <w:rFonts w:ascii="Arial" w:hAnsi="Arial" w:cs="Arial"/>
                <w:color w:val="000000"/>
                <w:sz w:val="15"/>
                <w:szCs w:val="15"/>
              </w:rPr>
            </w:pPr>
          </w:p>
        </w:tc>
      </w:tr>
      <w:tr w:rsidR="003016C4" w:rsidRPr="003016C4" w:rsidTr="003016C4">
        <w:trPr>
          <w:trHeight w:val="225"/>
        </w:trPr>
        <w:tc>
          <w:tcPr>
            <w:tcW w:w="2260" w:type="dxa"/>
            <w:tcBorders>
              <w:top w:val="nil"/>
              <w:left w:val="nil"/>
              <w:bottom w:val="nil"/>
              <w:right w:val="nil"/>
            </w:tcBorders>
            <w:shd w:val="clear" w:color="auto" w:fill="auto"/>
            <w:noWrap/>
            <w:vAlign w:val="bottom"/>
            <w:hideMark/>
          </w:tcPr>
          <w:p w:rsidR="003016C4" w:rsidRPr="003016C4" w:rsidRDefault="003016C4" w:rsidP="003016C4">
            <w:pPr>
              <w:spacing w:after="0" w:line="240" w:lineRule="auto"/>
              <w:ind w:firstLineChars="100" w:firstLine="151"/>
              <w:jc w:val="left"/>
              <w:rPr>
                <w:rFonts w:ascii="Arial" w:hAnsi="Arial" w:cs="Arial"/>
                <w:b/>
                <w:bCs/>
                <w:color w:val="000000"/>
                <w:sz w:val="15"/>
                <w:szCs w:val="15"/>
              </w:rPr>
            </w:pPr>
            <w:r w:rsidRPr="003016C4">
              <w:rPr>
                <w:rFonts w:ascii="Arial" w:hAnsi="Arial" w:cs="Arial"/>
                <w:b/>
                <w:bCs/>
                <w:color w:val="000000"/>
                <w:sz w:val="15"/>
                <w:szCs w:val="15"/>
              </w:rPr>
              <w:t>on behalf of Government</w:t>
            </w:r>
          </w:p>
        </w:tc>
        <w:tc>
          <w:tcPr>
            <w:tcW w:w="1040" w:type="dxa"/>
            <w:tcBorders>
              <w:top w:val="nil"/>
              <w:left w:val="nil"/>
              <w:bottom w:val="single" w:sz="4" w:space="0" w:color="auto"/>
              <w:right w:val="nil"/>
            </w:tcBorders>
            <w:shd w:val="clear" w:color="auto" w:fill="auto"/>
            <w:noWrap/>
            <w:vAlign w:val="bottom"/>
            <w:hideMark/>
          </w:tcPr>
          <w:p w:rsidR="003016C4" w:rsidRPr="003016C4" w:rsidRDefault="003016C4" w:rsidP="003016C4">
            <w:pPr>
              <w:spacing w:after="0" w:line="240" w:lineRule="auto"/>
              <w:jc w:val="right"/>
              <w:rPr>
                <w:rFonts w:ascii="Arial" w:hAnsi="Arial" w:cs="Arial"/>
                <w:b/>
                <w:bCs/>
                <w:color w:val="000000"/>
                <w:sz w:val="15"/>
                <w:szCs w:val="15"/>
              </w:rPr>
            </w:pPr>
            <w:r w:rsidRPr="003016C4">
              <w:rPr>
                <w:rFonts w:ascii="Arial" w:hAnsi="Arial" w:cs="Arial"/>
                <w:b/>
                <w:bCs/>
                <w:color w:val="000000"/>
                <w:sz w:val="15"/>
                <w:szCs w:val="15"/>
              </w:rPr>
              <w:t xml:space="preserve">1,331,999 </w:t>
            </w:r>
          </w:p>
        </w:tc>
        <w:tc>
          <w:tcPr>
            <w:tcW w:w="1040" w:type="dxa"/>
            <w:tcBorders>
              <w:top w:val="nil"/>
              <w:left w:val="nil"/>
              <w:bottom w:val="single" w:sz="4" w:space="0" w:color="auto"/>
              <w:right w:val="nil"/>
            </w:tcBorders>
            <w:shd w:val="clear" w:color="000000" w:fill="E6E6E6"/>
            <w:noWrap/>
            <w:vAlign w:val="bottom"/>
            <w:hideMark/>
          </w:tcPr>
          <w:p w:rsidR="003016C4" w:rsidRPr="003016C4" w:rsidRDefault="003016C4" w:rsidP="003016C4">
            <w:pPr>
              <w:spacing w:after="0" w:line="240" w:lineRule="auto"/>
              <w:jc w:val="right"/>
              <w:rPr>
                <w:rFonts w:ascii="Arial" w:hAnsi="Arial" w:cs="Arial"/>
                <w:b/>
                <w:bCs/>
                <w:color w:val="000000"/>
                <w:sz w:val="15"/>
                <w:szCs w:val="15"/>
              </w:rPr>
            </w:pPr>
            <w:r w:rsidRPr="003016C4">
              <w:rPr>
                <w:rFonts w:ascii="Arial" w:hAnsi="Arial" w:cs="Arial"/>
                <w:b/>
                <w:bCs/>
                <w:color w:val="000000"/>
                <w:sz w:val="15"/>
                <w:szCs w:val="15"/>
              </w:rPr>
              <w:t xml:space="preserve">1,435,938 </w:t>
            </w:r>
          </w:p>
        </w:tc>
        <w:tc>
          <w:tcPr>
            <w:tcW w:w="1040" w:type="dxa"/>
            <w:tcBorders>
              <w:top w:val="nil"/>
              <w:left w:val="nil"/>
              <w:bottom w:val="single" w:sz="4" w:space="0" w:color="auto"/>
              <w:right w:val="nil"/>
            </w:tcBorders>
            <w:shd w:val="clear" w:color="auto" w:fill="auto"/>
            <w:noWrap/>
            <w:vAlign w:val="bottom"/>
            <w:hideMark/>
          </w:tcPr>
          <w:p w:rsidR="003016C4" w:rsidRPr="003016C4" w:rsidRDefault="003016C4" w:rsidP="003016C4">
            <w:pPr>
              <w:spacing w:after="0" w:line="240" w:lineRule="auto"/>
              <w:jc w:val="right"/>
              <w:rPr>
                <w:rFonts w:ascii="Arial" w:hAnsi="Arial" w:cs="Arial"/>
                <w:b/>
                <w:bCs/>
                <w:color w:val="000000"/>
                <w:sz w:val="15"/>
                <w:szCs w:val="15"/>
              </w:rPr>
            </w:pPr>
            <w:r w:rsidRPr="003016C4">
              <w:rPr>
                <w:rFonts w:ascii="Arial" w:hAnsi="Arial" w:cs="Arial"/>
                <w:b/>
                <w:bCs/>
                <w:color w:val="000000"/>
                <w:sz w:val="15"/>
                <w:szCs w:val="15"/>
              </w:rPr>
              <w:t xml:space="preserve">1,449,872 </w:t>
            </w:r>
          </w:p>
        </w:tc>
        <w:tc>
          <w:tcPr>
            <w:tcW w:w="1040" w:type="dxa"/>
            <w:tcBorders>
              <w:top w:val="nil"/>
              <w:left w:val="nil"/>
              <w:bottom w:val="single" w:sz="4" w:space="0" w:color="auto"/>
              <w:right w:val="nil"/>
            </w:tcBorders>
            <w:shd w:val="clear" w:color="auto" w:fill="auto"/>
            <w:noWrap/>
            <w:vAlign w:val="bottom"/>
            <w:hideMark/>
          </w:tcPr>
          <w:p w:rsidR="003016C4" w:rsidRPr="003016C4" w:rsidRDefault="003016C4" w:rsidP="003016C4">
            <w:pPr>
              <w:spacing w:after="0" w:line="240" w:lineRule="auto"/>
              <w:jc w:val="right"/>
              <w:rPr>
                <w:rFonts w:ascii="Arial" w:hAnsi="Arial" w:cs="Arial"/>
                <w:b/>
                <w:bCs/>
                <w:color w:val="000000"/>
                <w:sz w:val="15"/>
                <w:szCs w:val="15"/>
              </w:rPr>
            </w:pPr>
            <w:r w:rsidRPr="003016C4">
              <w:rPr>
                <w:rFonts w:ascii="Arial" w:hAnsi="Arial" w:cs="Arial"/>
                <w:b/>
                <w:bCs/>
                <w:color w:val="000000"/>
                <w:sz w:val="15"/>
                <w:szCs w:val="15"/>
              </w:rPr>
              <w:t xml:space="preserve">1,464,800 </w:t>
            </w:r>
          </w:p>
        </w:tc>
        <w:tc>
          <w:tcPr>
            <w:tcW w:w="1040" w:type="dxa"/>
            <w:tcBorders>
              <w:top w:val="nil"/>
              <w:left w:val="nil"/>
              <w:bottom w:val="single" w:sz="4" w:space="0" w:color="auto"/>
              <w:right w:val="nil"/>
            </w:tcBorders>
            <w:shd w:val="clear" w:color="auto" w:fill="auto"/>
            <w:noWrap/>
            <w:vAlign w:val="bottom"/>
            <w:hideMark/>
          </w:tcPr>
          <w:p w:rsidR="003016C4" w:rsidRPr="003016C4" w:rsidRDefault="003016C4" w:rsidP="003016C4">
            <w:pPr>
              <w:spacing w:after="0" w:line="240" w:lineRule="auto"/>
              <w:jc w:val="right"/>
              <w:rPr>
                <w:rFonts w:ascii="Arial" w:hAnsi="Arial" w:cs="Arial"/>
                <w:b/>
                <w:bCs/>
                <w:color w:val="000000"/>
                <w:sz w:val="15"/>
                <w:szCs w:val="15"/>
              </w:rPr>
            </w:pPr>
            <w:r w:rsidRPr="003016C4">
              <w:rPr>
                <w:rFonts w:ascii="Arial" w:hAnsi="Arial" w:cs="Arial"/>
                <w:b/>
                <w:bCs/>
                <w:color w:val="000000"/>
                <w:sz w:val="15"/>
                <w:szCs w:val="15"/>
              </w:rPr>
              <w:t xml:space="preserve">1,480,786 </w:t>
            </w:r>
          </w:p>
        </w:tc>
      </w:tr>
      <w:tr w:rsidR="003016C4" w:rsidRPr="003016C4" w:rsidTr="003016C4">
        <w:trPr>
          <w:trHeight w:val="225"/>
        </w:trPr>
        <w:tc>
          <w:tcPr>
            <w:tcW w:w="2260" w:type="dxa"/>
            <w:tcBorders>
              <w:top w:val="nil"/>
              <w:left w:val="nil"/>
              <w:bottom w:val="single" w:sz="4" w:space="0" w:color="auto"/>
              <w:right w:val="nil"/>
            </w:tcBorders>
            <w:shd w:val="clear" w:color="auto" w:fill="auto"/>
            <w:noWrap/>
            <w:vAlign w:val="center"/>
            <w:hideMark/>
          </w:tcPr>
          <w:p w:rsidR="003016C4" w:rsidRPr="003016C4" w:rsidRDefault="003016C4" w:rsidP="003016C4">
            <w:pPr>
              <w:spacing w:after="0" w:line="240" w:lineRule="auto"/>
              <w:jc w:val="left"/>
              <w:rPr>
                <w:rFonts w:ascii="Arial" w:hAnsi="Arial" w:cs="Arial"/>
                <w:b/>
                <w:bCs/>
                <w:color w:val="000000"/>
                <w:sz w:val="15"/>
                <w:szCs w:val="15"/>
              </w:rPr>
            </w:pPr>
            <w:r w:rsidRPr="003016C4">
              <w:rPr>
                <w:rFonts w:ascii="Arial" w:hAnsi="Arial" w:cs="Arial"/>
                <w:b/>
                <w:bCs/>
                <w:color w:val="000000"/>
                <w:sz w:val="15"/>
                <w:szCs w:val="15"/>
              </w:rPr>
              <w:t>Net assets/(liabilities)</w:t>
            </w:r>
          </w:p>
        </w:tc>
        <w:tc>
          <w:tcPr>
            <w:tcW w:w="1040" w:type="dxa"/>
            <w:tcBorders>
              <w:top w:val="nil"/>
              <w:left w:val="nil"/>
              <w:bottom w:val="single" w:sz="4" w:space="0" w:color="auto"/>
              <w:right w:val="nil"/>
            </w:tcBorders>
            <w:shd w:val="clear" w:color="auto" w:fill="auto"/>
            <w:noWrap/>
            <w:vAlign w:val="center"/>
            <w:hideMark/>
          </w:tcPr>
          <w:p w:rsidR="003016C4" w:rsidRPr="003016C4" w:rsidRDefault="003016C4" w:rsidP="003016C4">
            <w:pPr>
              <w:spacing w:after="0" w:line="240" w:lineRule="auto"/>
              <w:jc w:val="right"/>
              <w:rPr>
                <w:rFonts w:ascii="Arial" w:hAnsi="Arial" w:cs="Arial"/>
                <w:b/>
                <w:bCs/>
                <w:color w:val="000000"/>
                <w:sz w:val="15"/>
                <w:szCs w:val="15"/>
              </w:rPr>
            </w:pPr>
            <w:r w:rsidRPr="003016C4">
              <w:rPr>
                <w:rFonts w:ascii="Arial" w:hAnsi="Arial" w:cs="Arial"/>
                <w:b/>
                <w:bCs/>
                <w:color w:val="000000"/>
                <w:sz w:val="15"/>
                <w:szCs w:val="15"/>
              </w:rPr>
              <w:t xml:space="preserve">120,233,471 </w:t>
            </w:r>
          </w:p>
        </w:tc>
        <w:tc>
          <w:tcPr>
            <w:tcW w:w="1040" w:type="dxa"/>
            <w:tcBorders>
              <w:top w:val="nil"/>
              <w:left w:val="nil"/>
              <w:bottom w:val="single" w:sz="4" w:space="0" w:color="auto"/>
              <w:right w:val="nil"/>
            </w:tcBorders>
            <w:shd w:val="clear" w:color="000000" w:fill="E6E6E6"/>
            <w:noWrap/>
            <w:vAlign w:val="center"/>
            <w:hideMark/>
          </w:tcPr>
          <w:p w:rsidR="003016C4" w:rsidRPr="003016C4" w:rsidRDefault="003016C4" w:rsidP="003016C4">
            <w:pPr>
              <w:spacing w:after="0" w:line="240" w:lineRule="auto"/>
              <w:jc w:val="right"/>
              <w:rPr>
                <w:rFonts w:ascii="Arial" w:hAnsi="Arial" w:cs="Arial"/>
                <w:b/>
                <w:bCs/>
                <w:color w:val="000000"/>
                <w:sz w:val="15"/>
                <w:szCs w:val="15"/>
              </w:rPr>
            </w:pPr>
            <w:r w:rsidRPr="003016C4">
              <w:rPr>
                <w:rFonts w:ascii="Arial" w:hAnsi="Arial" w:cs="Arial"/>
                <w:b/>
                <w:bCs/>
                <w:color w:val="000000"/>
                <w:sz w:val="15"/>
                <w:szCs w:val="15"/>
              </w:rPr>
              <w:t xml:space="preserve">128,367,978 </w:t>
            </w:r>
          </w:p>
        </w:tc>
        <w:tc>
          <w:tcPr>
            <w:tcW w:w="1040" w:type="dxa"/>
            <w:tcBorders>
              <w:top w:val="nil"/>
              <w:left w:val="nil"/>
              <w:bottom w:val="single" w:sz="4" w:space="0" w:color="auto"/>
              <w:right w:val="nil"/>
            </w:tcBorders>
            <w:shd w:val="clear" w:color="auto" w:fill="auto"/>
            <w:noWrap/>
            <w:vAlign w:val="center"/>
            <w:hideMark/>
          </w:tcPr>
          <w:p w:rsidR="003016C4" w:rsidRPr="003016C4" w:rsidRDefault="003016C4" w:rsidP="003016C4">
            <w:pPr>
              <w:spacing w:after="0" w:line="240" w:lineRule="auto"/>
              <w:jc w:val="right"/>
              <w:rPr>
                <w:rFonts w:ascii="Arial" w:hAnsi="Arial" w:cs="Arial"/>
                <w:b/>
                <w:bCs/>
                <w:color w:val="000000"/>
                <w:sz w:val="15"/>
                <w:szCs w:val="15"/>
              </w:rPr>
            </w:pPr>
            <w:r w:rsidRPr="003016C4">
              <w:rPr>
                <w:rFonts w:ascii="Arial" w:hAnsi="Arial" w:cs="Arial"/>
                <w:b/>
                <w:bCs/>
                <w:color w:val="000000"/>
                <w:sz w:val="15"/>
                <w:szCs w:val="15"/>
              </w:rPr>
              <w:t xml:space="preserve">137,438,913 </w:t>
            </w:r>
          </w:p>
        </w:tc>
        <w:tc>
          <w:tcPr>
            <w:tcW w:w="1040" w:type="dxa"/>
            <w:tcBorders>
              <w:top w:val="nil"/>
              <w:left w:val="nil"/>
              <w:bottom w:val="single" w:sz="4" w:space="0" w:color="auto"/>
              <w:right w:val="nil"/>
            </w:tcBorders>
            <w:shd w:val="clear" w:color="auto" w:fill="auto"/>
            <w:noWrap/>
            <w:vAlign w:val="center"/>
            <w:hideMark/>
          </w:tcPr>
          <w:p w:rsidR="003016C4" w:rsidRPr="003016C4" w:rsidRDefault="003016C4" w:rsidP="003016C4">
            <w:pPr>
              <w:spacing w:after="0" w:line="240" w:lineRule="auto"/>
              <w:jc w:val="right"/>
              <w:rPr>
                <w:rFonts w:ascii="Arial" w:hAnsi="Arial" w:cs="Arial"/>
                <w:b/>
                <w:bCs/>
                <w:color w:val="000000"/>
                <w:sz w:val="15"/>
                <w:szCs w:val="15"/>
              </w:rPr>
            </w:pPr>
            <w:r w:rsidRPr="003016C4">
              <w:rPr>
                <w:rFonts w:ascii="Arial" w:hAnsi="Arial" w:cs="Arial"/>
                <w:b/>
                <w:bCs/>
                <w:color w:val="000000"/>
                <w:sz w:val="15"/>
                <w:szCs w:val="15"/>
              </w:rPr>
              <w:t xml:space="preserve">147,290,713 </w:t>
            </w:r>
          </w:p>
        </w:tc>
        <w:tc>
          <w:tcPr>
            <w:tcW w:w="1040" w:type="dxa"/>
            <w:tcBorders>
              <w:top w:val="nil"/>
              <w:left w:val="nil"/>
              <w:bottom w:val="single" w:sz="4" w:space="0" w:color="auto"/>
              <w:right w:val="nil"/>
            </w:tcBorders>
            <w:shd w:val="clear" w:color="auto" w:fill="auto"/>
            <w:noWrap/>
            <w:vAlign w:val="center"/>
            <w:hideMark/>
          </w:tcPr>
          <w:p w:rsidR="003016C4" w:rsidRPr="003016C4" w:rsidRDefault="003016C4" w:rsidP="003016C4">
            <w:pPr>
              <w:spacing w:after="0" w:line="240" w:lineRule="auto"/>
              <w:jc w:val="right"/>
              <w:rPr>
                <w:rFonts w:ascii="Arial" w:hAnsi="Arial" w:cs="Arial"/>
                <w:b/>
                <w:bCs/>
                <w:color w:val="000000"/>
                <w:sz w:val="15"/>
                <w:szCs w:val="15"/>
              </w:rPr>
            </w:pPr>
            <w:r w:rsidRPr="003016C4">
              <w:rPr>
                <w:rFonts w:ascii="Arial" w:hAnsi="Arial" w:cs="Arial"/>
                <w:b/>
                <w:bCs/>
                <w:color w:val="000000"/>
                <w:sz w:val="15"/>
                <w:szCs w:val="15"/>
              </w:rPr>
              <w:t xml:space="preserve">158,145,208 </w:t>
            </w:r>
          </w:p>
        </w:tc>
      </w:tr>
    </w:tbl>
    <w:p w:rsidR="00B2394E" w:rsidRDefault="00B2394E" w:rsidP="00BE1C0C">
      <w:pPr>
        <w:pStyle w:val="TableGraphic"/>
        <w:jc w:val="left"/>
      </w:pPr>
      <w:proofErr w:type="gramStart"/>
      <w:r w:rsidRPr="00F64A54">
        <w:rPr>
          <w:rFonts w:ascii="Arial" w:hAnsi="Arial" w:cs="Arial"/>
        </w:rPr>
        <w:t>Prepared on Australian Accounting Standards basis.</w:t>
      </w:r>
      <w:proofErr w:type="gramEnd"/>
    </w:p>
    <w:p w:rsidR="00B2394E" w:rsidRDefault="00B2394E" w:rsidP="00B2394E">
      <w:pPr>
        <w:pStyle w:val="SingleParagraph"/>
      </w:pPr>
    </w:p>
    <w:p w:rsidR="003016C4" w:rsidRPr="00D1001C" w:rsidRDefault="00B2394E" w:rsidP="00BE1C0C">
      <w:pPr>
        <w:pStyle w:val="Heading5"/>
        <w:rPr>
          <w:rFonts w:cs="Arial"/>
          <w:sz w:val="16"/>
          <w:szCs w:val="16"/>
        </w:rPr>
      </w:pPr>
      <w:r>
        <w:br w:type="page"/>
      </w:r>
      <w:r>
        <w:lastRenderedPageBreak/>
        <w:t xml:space="preserve">Table 3.9: </w:t>
      </w:r>
      <w:r w:rsidRPr="00C41D55">
        <w:t xml:space="preserve">Schedule of </w:t>
      </w:r>
      <w:r>
        <w:t>B</w:t>
      </w:r>
      <w:r w:rsidR="001D4988">
        <w:t xml:space="preserve">udgeted Administered Cash Flows </w:t>
      </w:r>
      <w:r w:rsidRPr="00C41D55">
        <w:t>(for</w:t>
      </w:r>
      <w:r>
        <w:t> the P</w:t>
      </w:r>
      <w:r w:rsidRPr="00C41D55">
        <w:t xml:space="preserve">eriod </w:t>
      </w:r>
      <w:r>
        <w:t>E</w:t>
      </w:r>
      <w:r w:rsidRPr="00C41D55">
        <w:t>nded 30 June)</w:t>
      </w:r>
    </w:p>
    <w:tbl>
      <w:tblPr>
        <w:tblW w:w="7560" w:type="dxa"/>
        <w:tblInd w:w="96" w:type="dxa"/>
        <w:tblLook w:val="04A0"/>
      </w:tblPr>
      <w:tblGrid>
        <w:gridCol w:w="2260"/>
        <w:gridCol w:w="1060"/>
        <w:gridCol w:w="1060"/>
        <w:gridCol w:w="1060"/>
        <w:gridCol w:w="1060"/>
        <w:gridCol w:w="1060"/>
      </w:tblGrid>
      <w:tr w:rsidR="003016C4" w:rsidRPr="003016C4" w:rsidTr="003016C4">
        <w:trPr>
          <w:trHeight w:val="225"/>
        </w:trPr>
        <w:tc>
          <w:tcPr>
            <w:tcW w:w="2260" w:type="dxa"/>
            <w:tcBorders>
              <w:top w:val="single" w:sz="4" w:space="0" w:color="auto"/>
              <w:left w:val="nil"/>
              <w:bottom w:val="nil"/>
              <w:right w:val="nil"/>
            </w:tcBorders>
            <w:shd w:val="clear" w:color="auto" w:fill="auto"/>
            <w:noWrap/>
            <w:hideMark/>
          </w:tcPr>
          <w:p w:rsidR="003016C4" w:rsidRPr="003016C4" w:rsidRDefault="003016C4" w:rsidP="003016C4">
            <w:pPr>
              <w:spacing w:after="0" w:line="240" w:lineRule="auto"/>
              <w:jc w:val="left"/>
              <w:rPr>
                <w:rFonts w:ascii="Arial" w:hAnsi="Arial" w:cs="Arial"/>
                <w:b/>
                <w:bCs/>
                <w:sz w:val="15"/>
                <w:szCs w:val="15"/>
              </w:rPr>
            </w:pPr>
            <w:r w:rsidRPr="003016C4">
              <w:rPr>
                <w:rFonts w:ascii="Arial" w:hAnsi="Arial" w:cs="Arial"/>
                <w:b/>
                <w:bCs/>
                <w:sz w:val="15"/>
                <w:szCs w:val="15"/>
              </w:rPr>
              <w:t> </w:t>
            </w:r>
          </w:p>
        </w:tc>
        <w:tc>
          <w:tcPr>
            <w:tcW w:w="1060" w:type="dxa"/>
            <w:tcBorders>
              <w:top w:val="single" w:sz="4" w:space="0" w:color="auto"/>
              <w:left w:val="nil"/>
              <w:bottom w:val="nil"/>
              <w:right w:val="nil"/>
            </w:tcBorders>
            <w:shd w:val="clear" w:color="auto" w:fill="auto"/>
            <w:hideMark/>
          </w:tcPr>
          <w:p w:rsidR="003016C4" w:rsidRPr="003016C4" w:rsidRDefault="003016C4" w:rsidP="003016C4">
            <w:pPr>
              <w:spacing w:after="0" w:line="240" w:lineRule="auto"/>
              <w:jc w:val="right"/>
              <w:rPr>
                <w:rFonts w:ascii="Arial" w:hAnsi="Arial" w:cs="Arial"/>
                <w:sz w:val="15"/>
                <w:szCs w:val="15"/>
              </w:rPr>
            </w:pPr>
            <w:r w:rsidRPr="003016C4">
              <w:rPr>
                <w:rFonts w:ascii="Arial" w:hAnsi="Arial" w:cs="Arial"/>
                <w:sz w:val="15"/>
                <w:szCs w:val="15"/>
              </w:rPr>
              <w:t>2015-16</w:t>
            </w:r>
          </w:p>
        </w:tc>
        <w:tc>
          <w:tcPr>
            <w:tcW w:w="1060" w:type="dxa"/>
            <w:tcBorders>
              <w:top w:val="single" w:sz="4" w:space="0" w:color="auto"/>
              <w:left w:val="nil"/>
              <w:bottom w:val="nil"/>
              <w:right w:val="nil"/>
            </w:tcBorders>
            <w:shd w:val="clear" w:color="000000" w:fill="E6E6E6"/>
            <w:hideMark/>
          </w:tcPr>
          <w:p w:rsidR="003016C4" w:rsidRPr="003016C4" w:rsidRDefault="003016C4" w:rsidP="003016C4">
            <w:pPr>
              <w:spacing w:after="0" w:line="240" w:lineRule="auto"/>
              <w:jc w:val="right"/>
              <w:rPr>
                <w:rFonts w:ascii="Arial" w:hAnsi="Arial" w:cs="Arial"/>
                <w:sz w:val="15"/>
                <w:szCs w:val="15"/>
              </w:rPr>
            </w:pPr>
            <w:r w:rsidRPr="003016C4">
              <w:rPr>
                <w:rFonts w:ascii="Arial" w:hAnsi="Arial" w:cs="Arial"/>
                <w:sz w:val="15"/>
                <w:szCs w:val="15"/>
              </w:rPr>
              <w:t>2016-17</w:t>
            </w:r>
          </w:p>
        </w:tc>
        <w:tc>
          <w:tcPr>
            <w:tcW w:w="1060" w:type="dxa"/>
            <w:tcBorders>
              <w:top w:val="single" w:sz="4" w:space="0" w:color="auto"/>
              <w:left w:val="nil"/>
              <w:bottom w:val="nil"/>
              <w:right w:val="nil"/>
            </w:tcBorders>
            <w:shd w:val="clear" w:color="auto" w:fill="auto"/>
            <w:hideMark/>
          </w:tcPr>
          <w:p w:rsidR="003016C4" w:rsidRPr="003016C4" w:rsidRDefault="003016C4" w:rsidP="003016C4">
            <w:pPr>
              <w:spacing w:after="0" w:line="240" w:lineRule="auto"/>
              <w:jc w:val="right"/>
              <w:rPr>
                <w:rFonts w:ascii="Arial" w:hAnsi="Arial" w:cs="Arial"/>
                <w:sz w:val="15"/>
                <w:szCs w:val="15"/>
              </w:rPr>
            </w:pPr>
            <w:r w:rsidRPr="003016C4">
              <w:rPr>
                <w:rFonts w:ascii="Arial" w:hAnsi="Arial" w:cs="Arial"/>
                <w:sz w:val="15"/>
                <w:szCs w:val="15"/>
              </w:rPr>
              <w:t>2017-18</w:t>
            </w:r>
          </w:p>
        </w:tc>
        <w:tc>
          <w:tcPr>
            <w:tcW w:w="1060" w:type="dxa"/>
            <w:tcBorders>
              <w:top w:val="single" w:sz="4" w:space="0" w:color="auto"/>
              <w:left w:val="nil"/>
              <w:bottom w:val="nil"/>
              <w:right w:val="nil"/>
            </w:tcBorders>
            <w:shd w:val="clear" w:color="auto" w:fill="auto"/>
            <w:hideMark/>
          </w:tcPr>
          <w:p w:rsidR="003016C4" w:rsidRPr="003016C4" w:rsidRDefault="003016C4" w:rsidP="003016C4">
            <w:pPr>
              <w:spacing w:after="0" w:line="240" w:lineRule="auto"/>
              <w:jc w:val="right"/>
              <w:rPr>
                <w:rFonts w:ascii="Arial" w:hAnsi="Arial" w:cs="Arial"/>
                <w:sz w:val="15"/>
                <w:szCs w:val="15"/>
              </w:rPr>
            </w:pPr>
            <w:r w:rsidRPr="003016C4">
              <w:rPr>
                <w:rFonts w:ascii="Arial" w:hAnsi="Arial" w:cs="Arial"/>
                <w:sz w:val="15"/>
                <w:szCs w:val="15"/>
              </w:rPr>
              <w:t>2018-19</w:t>
            </w:r>
          </w:p>
        </w:tc>
        <w:tc>
          <w:tcPr>
            <w:tcW w:w="1060" w:type="dxa"/>
            <w:tcBorders>
              <w:top w:val="single" w:sz="4" w:space="0" w:color="auto"/>
              <w:left w:val="nil"/>
              <w:bottom w:val="nil"/>
              <w:right w:val="nil"/>
            </w:tcBorders>
            <w:shd w:val="clear" w:color="auto" w:fill="auto"/>
            <w:hideMark/>
          </w:tcPr>
          <w:p w:rsidR="003016C4" w:rsidRPr="003016C4" w:rsidRDefault="003016C4" w:rsidP="003016C4">
            <w:pPr>
              <w:spacing w:after="0" w:line="240" w:lineRule="auto"/>
              <w:jc w:val="right"/>
              <w:rPr>
                <w:rFonts w:ascii="Arial" w:hAnsi="Arial" w:cs="Arial"/>
                <w:sz w:val="15"/>
                <w:szCs w:val="15"/>
              </w:rPr>
            </w:pPr>
            <w:r w:rsidRPr="003016C4">
              <w:rPr>
                <w:rFonts w:ascii="Arial" w:hAnsi="Arial" w:cs="Arial"/>
                <w:sz w:val="15"/>
                <w:szCs w:val="15"/>
              </w:rPr>
              <w:t>2019-20</w:t>
            </w:r>
          </w:p>
        </w:tc>
      </w:tr>
      <w:tr w:rsidR="003016C4" w:rsidRPr="003016C4" w:rsidTr="003016C4">
        <w:trPr>
          <w:trHeight w:val="225"/>
        </w:trPr>
        <w:tc>
          <w:tcPr>
            <w:tcW w:w="2260" w:type="dxa"/>
            <w:tcBorders>
              <w:top w:val="nil"/>
              <w:left w:val="nil"/>
              <w:bottom w:val="nil"/>
              <w:right w:val="nil"/>
            </w:tcBorders>
            <w:shd w:val="clear" w:color="auto" w:fill="auto"/>
            <w:noWrap/>
            <w:hideMark/>
          </w:tcPr>
          <w:p w:rsidR="003016C4" w:rsidRPr="003016C4" w:rsidRDefault="003016C4" w:rsidP="003016C4">
            <w:pPr>
              <w:spacing w:after="0" w:line="240" w:lineRule="auto"/>
              <w:jc w:val="left"/>
              <w:rPr>
                <w:rFonts w:ascii="Arial" w:hAnsi="Arial" w:cs="Arial"/>
                <w:b/>
                <w:bCs/>
                <w:sz w:val="15"/>
                <w:szCs w:val="15"/>
              </w:rPr>
            </w:pPr>
          </w:p>
        </w:tc>
        <w:tc>
          <w:tcPr>
            <w:tcW w:w="1060" w:type="dxa"/>
            <w:tcBorders>
              <w:top w:val="nil"/>
              <w:left w:val="nil"/>
              <w:bottom w:val="nil"/>
              <w:right w:val="nil"/>
            </w:tcBorders>
            <w:shd w:val="clear" w:color="auto" w:fill="auto"/>
            <w:hideMark/>
          </w:tcPr>
          <w:p w:rsidR="003016C4" w:rsidRPr="003016C4" w:rsidRDefault="003016C4" w:rsidP="003016C4">
            <w:pPr>
              <w:spacing w:after="0" w:line="240" w:lineRule="auto"/>
              <w:jc w:val="right"/>
              <w:rPr>
                <w:rFonts w:ascii="Arial" w:hAnsi="Arial" w:cs="Arial"/>
                <w:sz w:val="15"/>
                <w:szCs w:val="15"/>
              </w:rPr>
            </w:pPr>
            <w:r w:rsidRPr="003016C4">
              <w:rPr>
                <w:rFonts w:ascii="Arial" w:hAnsi="Arial" w:cs="Arial"/>
                <w:sz w:val="15"/>
                <w:szCs w:val="15"/>
              </w:rPr>
              <w:t>Estimated</w:t>
            </w:r>
          </w:p>
        </w:tc>
        <w:tc>
          <w:tcPr>
            <w:tcW w:w="1060" w:type="dxa"/>
            <w:tcBorders>
              <w:top w:val="nil"/>
              <w:left w:val="nil"/>
              <w:bottom w:val="nil"/>
              <w:right w:val="nil"/>
            </w:tcBorders>
            <w:shd w:val="clear" w:color="000000" w:fill="E6E6E6"/>
            <w:hideMark/>
          </w:tcPr>
          <w:p w:rsidR="003016C4" w:rsidRPr="003016C4" w:rsidRDefault="003016C4" w:rsidP="003016C4">
            <w:pPr>
              <w:spacing w:after="0" w:line="240" w:lineRule="auto"/>
              <w:jc w:val="right"/>
              <w:rPr>
                <w:rFonts w:ascii="Arial" w:hAnsi="Arial" w:cs="Arial"/>
                <w:sz w:val="15"/>
                <w:szCs w:val="15"/>
              </w:rPr>
            </w:pPr>
            <w:r w:rsidRPr="003016C4">
              <w:rPr>
                <w:rFonts w:ascii="Arial" w:hAnsi="Arial" w:cs="Arial"/>
                <w:sz w:val="15"/>
                <w:szCs w:val="15"/>
              </w:rPr>
              <w:t>Budget</w:t>
            </w:r>
          </w:p>
        </w:tc>
        <w:tc>
          <w:tcPr>
            <w:tcW w:w="1060" w:type="dxa"/>
            <w:tcBorders>
              <w:top w:val="nil"/>
              <w:left w:val="nil"/>
              <w:bottom w:val="nil"/>
              <w:right w:val="nil"/>
            </w:tcBorders>
            <w:shd w:val="clear" w:color="auto" w:fill="auto"/>
            <w:hideMark/>
          </w:tcPr>
          <w:p w:rsidR="003016C4" w:rsidRPr="003016C4" w:rsidRDefault="003016C4" w:rsidP="003016C4">
            <w:pPr>
              <w:spacing w:after="0" w:line="240" w:lineRule="auto"/>
              <w:jc w:val="right"/>
              <w:rPr>
                <w:rFonts w:ascii="Arial" w:hAnsi="Arial" w:cs="Arial"/>
                <w:sz w:val="15"/>
                <w:szCs w:val="15"/>
              </w:rPr>
            </w:pPr>
            <w:r w:rsidRPr="003016C4">
              <w:rPr>
                <w:rFonts w:ascii="Arial" w:hAnsi="Arial" w:cs="Arial"/>
                <w:sz w:val="15"/>
                <w:szCs w:val="15"/>
              </w:rPr>
              <w:t>Forward</w:t>
            </w:r>
          </w:p>
        </w:tc>
        <w:tc>
          <w:tcPr>
            <w:tcW w:w="1060" w:type="dxa"/>
            <w:tcBorders>
              <w:top w:val="nil"/>
              <w:left w:val="nil"/>
              <w:bottom w:val="nil"/>
              <w:right w:val="nil"/>
            </w:tcBorders>
            <w:shd w:val="clear" w:color="auto" w:fill="auto"/>
            <w:hideMark/>
          </w:tcPr>
          <w:p w:rsidR="003016C4" w:rsidRPr="003016C4" w:rsidRDefault="003016C4" w:rsidP="003016C4">
            <w:pPr>
              <w:spacing w:after="0" w:line="240" w:lineRule="auto"/>
              <w:jc w:val="right"/>
              <w:rPr>
                <w:rFonts w:ascii="Arial" w:hAnsi="Arial" w:cs="Arial"/>
                <w:sz w:val="15"/>
                <w:szCs w:val="15"/>
              </w:rPr>
            </w:pPr>
            <w:r w:rsidRPr="003016C4">
              <w:rPr>
                <w:rFonts w:ascii="Arial" w:hAnsi="Arial" w:cs="Arial"/>
                <w:sz w:val="15"/>
                <w:szCs w:val="15"/>
              </w:rPr>
              <w:t>Forward</w:t>
            </w:r>
          </w:p>
        </w:tc>
        <w:tc>
          <w:tcPr>
            <w:tcW w:w="1060" w:type="dxa"/>
            <w:tcBorders>
              <w:top w:val="nil"/>
              <w:left w:val="nil"/>
              <w:bottom w:val="nil"/>
              <w:right w:val="nil"/>
            </w:tcBorders>
            <w:shd w:val="clear" w:color="auto" w:fill="auto"/>
            <w:hideMark/>
          </w:tcPr>
          <w:p w:rsidR="003016C4" w:rsidRPr="003016C4" w:rsidRDefault="003016C4" w:rsidP="003016C4">
            <w:pPr>
              <w:spacing w:after="0" w:line="240" w:lineRule="auto"/>
              <w:jc w:val="right"/>
              <w:rPr>
                <w:rFonts w:ascii="Arial" w:hAnsi="Arial" w:cs="Arial"/>
                <w:sz w:val="15"/>
                <w:szCs w:val="15"/>
              </w:rPr>
            </w:pPr>
            <w:r w:rsidRPr="003016C4">
              <w:rPr>
                <w:rFonts w:ascii="Arial" w:hAnsi="Arial" w:cs="Arial"/>
                <w:sz w:val="15"/>
                <w:szCs w:val="15"/>
              </w:rPr>
              <w:t>Forward</w:t>
            </w:r>
          </w:p>
        </w:tc>
      </w:tr>
      <w:tr w:rsidR="003016C4" w:rsidRPr="003016C4" w:rsidTr="003016C4">
        <w:trPr>
          <w:trHeight w:val="225"/>
        </w:trPr>
        <w:tc>
          <w:tcPr>
            <w:tcW w:w="2260" w:type="dxa"/>
            <w:tcBorders>
              <w:top w:val="nil"/>
              <w:left w:val="nil"/>
              <w:bottom w:val="nil"/>
              <w:right w:val="nil"/>
            </w:tcBorders>
            <w:shd w:val="clear" w:color="auto" w:fill="auto"/>
            <w:noWrap/>
            <w:hideMark/>
          </w:tcPr>
          <w:p w:rsidR="003016C4" w:rsidRPr="003016C4" w:rsidRDefault="003016C4" w:rsidP="003016C4">
            <w:pPr>
              <w:spacing w:after="0" w:line="240" w:lineRule="auto"/>
              <w:jc w:val="left"/>
              <w:rPr>
                <w:rFonts w:ascii="Arial" w:hAnsi="Arial" w:cs="Arial"/>
                <w:b/>
                <w:bCs/>
                <w:sz w:val="15"/>
                <w:szCs w:val="15"/>
              </w:rPr>
            </w:pPr>
          </w:p>
        </w:tc>
        <w:tc>
          <w:tcPr>
            <w:tcW w:w="1060" w:type="dxa"/>
            <w:tcBorders>
              <w:top w:val="nil"/>
              <w:left w:val="nil"/>
              <w:bottom w:val="nil"/>
              <w:right w:val="nil"/>
            </w:tcBorders>
            <w:shd w:val="clear" w:color="auto" w:fill="auto"/>
            <w:hideMark/>
          </w:tcPr>
          <w:p w:rsidR="003016C4" w:rsidRPr="003016C4" w:rsidRDefault="003016C4" w:rsidP="003016C4">
            <w:pPr>
              <w:spacing w:after="0" w:line="240" w:lineRule="auto"/>
              <w:jc w:val="right"/>
              <w:rPr>
                <w:rFonts w:ascii="Arial" w:hAnsi="Arial" w:cs="Arial"/>
                <w:sz w:val="15"/>
                <w:szCs w:val="15"/>
              </w:rPr>
            </w:pPr>
            <w:r w:rsidRPr="003016C4">
              <w:rPr>
                <w:rFonts w:ascii="Arial" w:hAnsi="Arial" w:cs="Arial"/>
                <w:sz w:val="15"/>
                <w:szCs w:val="15"/>
              </w:rPr>
              <w:t>actual</w:t>
            </w:r>
          </w:p>
        </w:tc>
        <w:tc>
          <w:tcPr>
            <w:tcW w:w="1060" w:type="dxa"/>
            <w:tcBorders>
              <w:top w:val="nil"/>
              <w:left w:val="nil"/>
              <w:bottom w:val="nil"/>
              <w:right w:val="nil"/>
            </w:tcBorders>
            <w:shd w:val="clear" w:color="000000" w:fill="E6E6E6"/>
            <w:hideMark/>
          </w:tcPr>
          <w:p w:rsidR="003016C4" w:rsidRPr="003016C4" w:rsidRDefault="003016C4" w:rsidP="003016C4">
            <w:pPr>
              <w:spacing w:after="0" w:line="240" w:lineRule="auto"/>
              <w:jc w:val="right"/>
              <w:rPr>
                <w:rFonts w:ascii="Arial" w:hAnsi="Arial" w:cs="Arial"/>
                <w:sz w:val="15"/>
                <w:szCs w:val="15"/>
              </w:rPr>
            </w:pPr>
            <w:r w:rsidRPr="003016C4">
              <w:rPr>
                <w:rFonts w:ascii="Arial" w:hAnsi="Arial" w:cs="Arial"/>
                <w:sz w:val="15"/>
                <w:szCs w:val="15"/>
              </w:rPr>
              <w:t> </w:t>
            </w:r>
          </w:p>
        </w:tc>
        <w:tc>
          <w:tcPr>
            <w:tcW w:w="1060" w:type="dxa"/>
            <w:tcBorders>
              <w:top w:val="nil"/>
              <w:left w:val="nil"/>
              <w:bottom w:val="nil"/>
              <w:right w:val="nil"/>
            </w:tcBorders>
            <w:shd w:val="clear" w:color="auto" w:fill="auto"/>
            <w:hideMark/>
          </w:tcPr>
          <w:p w:rsidR="003016C4" w:rsidRPr="003016C4" w:rsidRDefault="003016C4" w:rsidP="003016C4">
            <w:pPr>
              <w:spacing w:after="0" w:line="240" w:lineRule="auto"/>
              <w:jc w:val="right"/>
              <w:rPr>
                <w:rFonts w:ascii="Arial" w:hAnsi="Arial" w:cs="Arial"/>
                <w:sz w:val="15"/>
                <w:szCs w:val="15"/>
              </w:rPr>
            </w:pPr>
            <w:r w:rsidRPr="003016C4">
              <w:rPr>
                <w:rFonts w:ascii="Arial" w:hAnsi="Arial" w:cs="Arial"/>
                <w:sz w:val="15"/>
                <w:szCs w:val="15"/>
              </w:rPr>
              <w:t>estimate</w:t>
            </w:r>
          </w:p>
        </w:tc>
        <w:tc>
          <w:tcPr>
            <w:tcW w:w="1060" w:type="dxa"/>
            <w:tcBorders>
              <w:top w:val="nil"/>
              <w:left w:val="nil"/>
              <w:bottom w:val="nil"/>
              <w:right w:val="nil"/>
            </w:tcBorders>
            <w:shd w:val="clear" w:color="auto" w:fill="auto"/>
            <w:hideMark/>
          </w:tcPr>
          <w:p w:rsidR="003016C4" w:rsidRPr="003016C4" w:rsidRDefault="003016C4" w:rsidP="003016C4">
            <w:pPr>
              <w:spacing w:after="0" w:line="240" w:lineRule="auto"/>
              <w:jc w:val="right"/>
              <w:rPr>
                <w:rFonts w:ascii="Arial" w:hAnsi="Arial" w:cs="Arial"/>
                <w:sz w:val="15"/>
                <w:szCs w:val="15"/>
              </w:rPr>
            </w:pPr>
            <w:r w:rsidRPr="003016C4">
              <w:rPr>
                <w:rFonts w:ascii="Arial" w:hAnsi="Arial" w:cs="Arial"/>
                <w:sz w:val="15"/>
                <w:szCs w:val="15"/>
              </w:rPr>
              <w:t>estimate</w:t>
            </w:r>
          </w:p>
        </w:tc>
        <w:tc>
          <w:tcPr>
            <w:tcW w:w="1060" w:type="dxa"/>
            <w:tcBorders>
              <w:top w:val="nil"/>
              <w:left w:val="nil"/>
              <w:bottom w:val="nil"/>
              <w:right w:val="nil"/>
            </w:tcBorders>
            <w:shd w:val="clear" w:color="auto" w:fill="auto"/>
            <w:hideMark/>
          </w:tcPr>
          <w:p w:rsidR="003016C4" w:rsidRPr="003016C4" w:rsidRDefault="003016C4" w:rsidP="003016C4">
            <w:pPr>
              <w:spacing w:after="0" w:line="240" w:lineRule="auto"/>
              <w:jc w:val="right"/>
              <w:rPr>
                <w:rFonts w:ascii="Arial" w:hAnsi="Arial" w:cs="Arial"/>
                <w:sz w:val="15"/>
                <w:szCs w:val="15"/>
              </w:rPr>
            </w:pPr>
            <w:r w:rsidRPr="003016C4">
              <w:rPr>
                <w:rFonts w:ascii="Arial" w:hAnsi="Arial" w:cs="Arial"/>
                <w:sz w:val="15"/>
                <w:szCs w:val="15"/>
              </w:rPr>
              <w:t>estimate</w:t>
            </w:r>
          </w:p>
        </w:tc>
      </w:tr>
      <w:tr w:rsidR="003016C4" w:rsidRPr="003016C4" w:rsidTr="003016C4">
        <w:trPr>
          <w:trHeight w:val="225"/>
        </w:trPr>
        <w:tc>
          <w:tcPr>
            <w:tcW w:w="2260" w:type="dxa"/>
            <w:tcBorders>
              <w:top w:val="nil"/>
              <w:left w:val="nil"/>
              <w:bottom w:val="nil"/>
              <w:right w:val="nil"/>
            </w:tcBorders>
            <w:shd w:val="clear" w:color="auto" w:fill="auto"/>
            <w:noWrap/>
            <w:hideMark/>
          </w:tcPr>
          <w:p w:rsidR="003016C4" w:rsidRPr="003016C4" w:rsidRDefault="003016C4" w:rsidP="003016C4">
            <w:pPr>
              <w:spacing w:after="0" w:line="240" w:lineRule="auto"/>
              <w:jc w:val="left"/>
              <w:rPr>
                <w:rFonts w:ascii="Arial" w:hAnsi="Arial" w:cs="Arial"/>
                <w:b/>
                <w:bCs/>
                <w:sz w:val="15"/>
                <w:szCs w:val="15"/>
              </w:rPr>
            </w:pPr>
          </w:p>
        </w:tc>
        <w:tc>
          <w:tcPr>
            <w:tcW w:w="1060" w:type="dxa"/>
            <w:tcBorders>
              <w:top w:val="nil"/>
              <w:left w:val="nil"/>
              <w:bottom w:val="single" w:sz="4" w:space="0" w:color="auto"/>
              <w:right w:val="nil"/>
            </w:tcBorders>
            <w:shd w:val="clear" w:color="auto" w:fill="auto"/>
            <w:hideMark/>
          </w:tcPr>
          <w:p w:rsidR="003016C4" w:rsidRPr="003016C4" w:rsidRDefault="003016C4" w:rsidP="003016C4">
            <w:pPr>
              <w:spacing w:after="0" w:line="240" w:lineRule="auto"/>
              <w:jc w:val="right"/>
              <w:rPr>
                <w:rFonts w:ascii="Arial" w:hAnsi="Arial" w:cs="Arial"/>
                <w:sz w:val="15"/>
                <w:szCs w:val="15"/>
              </w:rPr>
            </w:pPr>
            <w:r w:rsidRPr="003016C4">
              <w:rPr>
                <w:rFonts w:ascii="Arial" w:hAnsi="Arial" w:cs="Arial"/>
                <w:sz w:val="15"/>
                <w:szCs w:val="15"/>
              </w:rPr>
              <w:t>$'000</w:t>
            </w:r>
          </w:p>
        </w:tc>
        <w:tc>
          <w:tcPr>
            <w:tcW w:w="1060" w:type="dxa"/>
            <w:tcBorders>
              <w:top w:val="nil"/>
              <w:left w:val="nil"/>
              <w:bottom w:val="single" w:sz="4" w:space="0" w:color="auto"/>
              <w:right w:val="nil"/>
            </w:tcBorders>
            <w:shd w:val="clear" w:color="000000" w:fill="E6E6E6"/>
            <w:hideMark/>
          </w:tcPr>
          <w:p w:rsidR="003016C4" w:rsidRPr="003016C4" w:rsidRDefault="003016C4" w:rsidP="003016C4">
            <w:pPr>
              <w:spacing w:after="0" w:line="240" w:lineRule="auto"/>
              <w:jc w:val="right"/>
              <w:rPr>
                <w:rFonts w:ascii="Arial" w:hAnsi="Arial" w:cs="Arial"/>
                <w:sz w:val="15"/>
                <w:szCs w:val="15"/>
              </w:rPr>
            </w:pPr>
            <w:r w:rsidRPr="003016C4">
              <w:rPr>
                <w:rFonts w:ascii="Arial" w:hAnsi="Arial" w:cs="Arial"/>
                <w:sz w:val="15"/>
                <w:szCs w:val="15"/>
              </w:rPr>
              <w:t>$'000</w:t>
            </w:r>
          </w:p>
        </w:tc>
        <w:tc>
          <w:tcPr>
            <w:tcW w:w="1060" w:type="dxa"/>
            <w:tcBorders>
              <w:top w:val="nil"/>
              <w:left w:val="nil"/>
              <w:bottom w:val="single" w:sz="4" w:space="0" w:color="auto"/>
              <w:right w:val="nil"/>
            </w:tcBorders>
            <w:shd w:val="clear" w:color="auto" w:fill="auto"/>
            <w:hideMark/>
          </w:tcPr>
          <w:p w:rsidR="003016C4" w:rsidRPr="003016C4" w:rsidRDefault="003016C4" w:rsidP="003016C4">
            <w:pPr>
              <w:spacing w:after="0" w:line="240" w:lineRule="auto"/>
              <w:jc w:val="right"/>
              <w:rPr>
                <w:rFonts w:ascii="Arial" w:hAnsi="Arial" w:cs="Arial"/>
                <w:sz w:val="15"/>
                <w:szCs w:val="15"/>
              </w:rPr>
            </w:pPr>
            <w:r w:rsidRPr="003016C4">
              <w:rPr>
                <w:rFonts w:ascii="Arial" w:hAnsi="Arial" w:cs="Arial"/>
                <w:sz w:val="15"/>
                <w:szCs w:val="15"/>
              </w:rPr>
              <w:t>$'000</w:t>
            </w:r>
          </w:p>
        </w:tc>
        <w:tc>
          <w:tcPr>
            <w:tcW w:w="1060" w:type="dxa"/>
            <w:tcBorders>
              <w:top w:val="nil"/>
              <w:left w:val="nil"/>
              <w:bottom w:val="single" w:sz="4" w:space="0" w:color="auto"/>
              <w:right w:val="nil"/>
            </w:tcBorders>
            <w:shd w:val="clear" w:color="auto" w:fill="auto"/>
            <w:hideMark/>
          </w:tcPr>
          <w:p w:rsidR="003016C4" w:rsidRPr="003016C4" w:rsidRDefault="003016C4" w:rsidP="003016C4">
            <w:pPr>
              <w:spacing w:after="0" w:line="240" w:lineRule="auto"/>
              <w:jc w:val="right"/>
              <w:rPr>
                <w:rFonts w:ascii="Arial" w:hAnsi="Arial" w:cs="Arial"/>
                <w:sz w:val="15"/>
                <w:szCs w:val="15"/>
              </w:rPr>
            </w:pPr>
            <w:r w:rsidRPr="003016C4">
              <w:rPr>
                <w:rFonts w:ascii="Arial" w:hAnsi="Arial" w:cs="Arial"/>
                <w:sz w:val="15"/>
                <w:szCs w:val="15"/>
              </w:rPr>
              <w:t>$'000</w:t>
            </w:r>
          </w:p>
        </w:tc>
        <w:tc>
          <w:tcPr>
            <w:tcW w:w="1060" w:type="dxa"/>
            <w:tcBorders>
              <w:top w:val="nil"/>
              <w:left w:val="nil"/>
              <w:bottom w:val="single" w:sz="4" w:space="0" w:color="auto"/>
              <w:right w:val="nil"/>
            </w:tcBorders>
            <w:shd w:val="clear" w:color="auto" w:fill="auto"/>
            <w:hideMark/>
          </w:tcPr>
          <w:p w:rsidR="003016C4" w:rsidRPr="003016C4" w:rsidRDefault="003016C4" w:rsidP="003016C4">
            <w:pPr>
              <w:spacing w:after="0" w:line="240" w:lineRule="auto"/>
              <w:jc w:val="right"/>
              <w:rPr>
                <w:rFonts w:ascii="Arial" w:hAnsi="Arial" w:cs="Arial"/>
                <w:sz w:val="15"/>
                <w:szCs w:val="15"/>
              </w:rPr>
            </w:pPr>
            <w:r w:rsidRPr="003016C4">
              <w:rPr>
                <w:rFonts w:ascii="Arial" w:hAnsi="Arial" w:cs="Arial"/>
                <w:sz w:val="15"/>
                <w:szCs w:val="15"/>
              </w:rPr>
              <w:t>$'000</w:t>
            </w:r>
          </w:p>
        </w:tc>
      </w:tr>
      <w:tr w:rsidR="003016C4" w:rsidRPr="003016C4" w:rsidTr="003016C4">
        <w:trPr>
          <w:trHeight w:val="222"/>
        </w:trPr>
        <w:tc>
          <w:tcPr>
            <w:tcW w:w="2260"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jc w:val="left"/>
              <w:rPr>
                <w:rFonts w:ascii="Arial" w:hAnsi="Arial" w:cs="Arial"/>
                <w:b/>
                <w:bCs/>
                <w:color w:val="000000"/>
                <w:sz w:val="15"/>
                <w:szCs w:val="15"/>
              </w:rPr>
            </w:pPr>
            <w:r w:rsidRPr="003016C4">
              <w:rPr>
                <w:rFonts w:ascii="Arial" w:hAnsi="Arial" w:cs="Arial"/>
                <w:b/>
                <w:bCs/>
                <w:color w:val="000000"/>
                <w:sz w:val="15"/>
                <w:szCs w:val="15"/>
              </w:rPr>
              <w:t>OPERATING ACTIVITIES</w:t>
            </w:r>
          </w:p>
        </w:tc>
        <w:tc>
          <w:tcPr>
            <w:tcW w:w="1060"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jc w:val="left"/>
              <w:rPr>
                <w:rFonts w:ascii="Arial" w:hAnsi="Arial" w:cs="Arial"/>
                <w:color w:val="000000"/>
                <w:sz w:val="15"/>
                <w:szCs w:val="15"/>
              </w:rPr>
            </w:pPr>
          </w:p>
        </w:tc>
        <w:tc>
          <w:tcPr>
            <w:tcW w:w="1060" w:type="dxa"/>
            <w:tcBorders>
              <w:top w:val="nil"/>
              <w:left w:val="nil"/>
              <w:bottom w:val="nil"/>
              <w:right w:val="nil"/>
            </w:tcBorders>
            <w:shd w:val="clear" w:color="000000" w:fill="E6E6E6"/>
            <w:noWrap/>
            <w:vAlign w:val="center"/>
            <w:hideMark/>
          </w:tcPr>
          <w:p w:rsidR="003016C4" w:rsidRPr="003016C4" w:rsidRDefault="003016C4" w:rsidP="003016C4">
            <w:pPr>
              <w:spacing w:after="0" w:line="240" w:lineRule="auto"/>
              <w:jc w:val="left"/>
              <w:rPr>
                <w:rFonts w:ascii="Arial" w:hAnsi="Arial" w:cs="Arial"/>
                <w:color w:val="000000"/>
                <w:sz w:val="15"/>
                <w:szCs w:val="15"/>
              </w:rPr>
            </w:pPr>
            <w:r w:rsidRPr="003016C4">
              <w:rPr>
                <w:rFonts w:ascii="Arial" w:hAnsi="Arial" w:cs="Arial"/>
                <w:color w:val="000000"/>
                <w:sz w:val="15"/>
                <w:szCs w:val="15"/>
              </w:rPr>
              <w:t> </w:t>
            </w:r>
          </w:p>
        </w:tc>
        <w:tc>
          <w:tcPr>
            <w:tcW w:w="1060"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jc w:val="left"/>
              <w:rPr>
                <w:rFonts w:ascii="Arial" w:hAnsi="Arial" w:cs="Arial"/>
                <w:color w:val="000000"/>
                <w:sz w:val="15"/>
                <w:szCs w:val="15"/>
              </w:rPr>
            </w:pPr>
          </w:p>
        </w:tc>
        <w:tc>
          <w:tcPr>
            <w:tcW w:w="1060"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jc w:val="left"/>
              <w:rPr>
                <w:rFonts w:ascii="Arial" w:hAnsi="Arial" w:cs="Arial"/>
                <w:color w:val="000000"/>
                <w:sz w:val="15"/>
                <w:szCs w:val="15"/>
              </w:rPr>
            </w:pPr>
          </w:p>
        </w:tc>
        <w:tc>
          <w:tcPr>
            <w:tcW w:w="1060"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jc w:val="left"/>
              <w:rPr>
                <w:rFonts w:ascii="Arial" w:hAnsi="Arial" w:cs="Arial"/>
                <w:color w:val="000000"/>
                <w:sz w:val="15"/>
                <w:szCs w:val="15"/>
              </w:rPr>
            </w:pPr>
          </w:p>
        </w:tc>
      </w:tr>
      <w:tr w:rsidR="003016C4" w:rsidRPr="003016C4" w:rsidTr="003016C4">
        <w:trPr>
          <w:trHeight w:val="222"/>
        </w:trPr>
        <w:tc>
          <w:tcPr>
            <w:tcW w:w="2260"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jc w:val="left"/>
              <w:rPr>
                <w:rFonts w:ascii="Arial" w:hAnsi="Arial" w:cs="Arial"/>
                <w:b/>
                <w:bCs/>
                <w:color w:val="000000"/>
                <w:sz w:val="15"/>
                <w:szCs w:val="15"/>
              </w:rPr>
            </w:pPr>
            <w:r w:rsidRPr="003016C4">
              <w:rPr>
                <w:rFonts w:ascii="Arial" w:hAnsi="Arial" w:cs="Arial"/>
                <w:b/>
                <w:bCs/>
                <w:color w:val="000000"/>
                <w:sz w:val="15"/>
                <w:szCs w:val="15"/>
              </w:rPr>
              <w:t>Cash received</w:t>
            </w:r>
          </w:p>
        </w:tc>
        <w:tc>
          <w:tcPr>
            <w:tcW w:w="1060"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jc w:val="left"/>
              <w:rPr>
                <w:rFonts w:ascii="Arial" w:hAnsi="Arial" w:cs="Arial"/>
                <w:color w:val="000000"/>
                <w:sz w:val="15"/>
                <w:szCs w:val="15"/>
              </w:rPr>
            </w:pPr>
          </w:p>
        </w:tc>
        <w:tc>
          <w:tcPr>
            <w:tcW w:w="1060" w:type="dxa"/>
            <w:tcBorders>
              <w:top w:val="nil"/>
              <w:left w:val="nil"/>
              <w:bottom w:val="nil"/>
              <w:right w:val="nil"/>
            </w:tcBorders>
            <w:shd w:val="clear" w:color="000000" w:fill="E6E6E6"/>
            <w:noWrap/>
            <w:vAlign w:val="center"/>
            <w:hideMark/>
          </w:tcPr>
          <w:p w:rsidR="003016C4" w:rsidRPr="003016C4" w:rsidRDefault="003016C4" w:rsidP="003016C4">
            <w:pPr>
              <w:spacing w:after="0" w:line="240" w:lineRule="auto"/>
              <w:jc w:val="left"/>
              <w:rPr>
                <w:rFonts w:ascii="Arial" w:hAnsi="Arial" w:cs="Arial"/>
                <w:color w:val="000000"/>
                <w:sz w:val="15"/>
                <w:szCs w:val="15"/>
              </w:rPr>
            </w:pPr>
            <w:r w:rsidRPr="003016C4">
              <w:rPr>
                <w:rFonts w:ascii="Arial" w:hAnsi="Arial" w:cs="Arial"/>
                <w:color w:val="000000"/>
                <w:sz w:val="15"/>
                <w:szCs w:val="15"/>
              </w:rPr>
              <w:t> </w:t>
            </w:r>
          </w:p>
        </w:tc>
        <w:tc>
          <w:tcPr>
            <w:tcW w:w="1060"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jc w:val="left"/>
              <w:rPr>
                <w:rFonts w:ascii="Arial" w:hAnsi="Arial" w:cs="Arial"/>
                <w:color w:val="000000"/>
                <w:sz w:val="15"/>
                <w:szCs w:val="15"/>
              </w:rPr>
            </w:pPr>
          </w:p>
        </w:tc>
        <w:tc>
          <w:tcPr>
            <w:tcW w:w="1060"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jc w:val="left"/>
              <w:rPr>
                <w:rFonts w:ascii="Arial" w:hAnsi="Arial" w:cs="Arial"/>
                <w:color w:val="000000"/>
                <w:sz w:val="15"/>
                <w:szCs w:val="15"/>
              </w:rPr>
            </w:pPr>
          </w:p>
        </w:tc>
        <w:tc>
          <w:tcPr>
            <w:tcW w:w="1060"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jc w:val="left"/>
              <w:rPr>
                <w:rFonts w:ascii="Arial" w:hAnsi="Arial" w:cs="Arial"/>
                <w:color w:val="000000"/>
                <w:sz w:val="15"/>
                <w:szCs w:val="15"/>
              </w:rPr>
            </w:pPr>
          </w:p>
        </w:tc>
      </w:tr>
      <w:tr w:rsidR="003016C4" w:rsidRPr="003016C4" w:rsidTr="003016C4">
        <w:trPr>
          <w:trHeight w:val="222"/>
        </w:trPr>
        <w:tc>
          <w:tcPr>
            <w:tcW w:w="2260"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ind w:firstLineChars="100" w:firstLine="150"/>
              <w:jc w:val="left"/>
              <w:rPr>
                <w:rFonts w:ascii="Arial" w:hAnsi="Arial" w:cs="Arial"/>
                <w:color w:val="000000"/>
                <w:sz w:val="15"/>
                <w:szCs w:val="15"/>
              </w:rPr>
            </w:pPr>
            <w:r w:rsidRPr="003016C4">
              <w:rPr>
                <w:rFonts w:ascii="Arial" w:hAnsi="Arial" w:cs="Arial"/>
                <w:color w:val="000000"/>
                <w:sz w:val="15"/>
                <w:szCs w:val="15"/>
              </w:rPr>
              <w:t>Interest</w:t>
            </w:r>
          </w:p>
        </w:tc>
        <w:tc>
          <w:tcPr>
            <w:tcW w:w="1060" w:type="dxa"/>
            <w:tcBorders>
              <w:top w:val="nil"/>
              <w:left w:val="nil"/>
              <w:bottom w:val="nil"/>
              <w:right w:val="nil"/>
            </w:tcBorders>
            <w:shd w:val="clear" w:color="auto" w:fill="auto"/>
            <w:noWrap/>
            <w:vAlign w:val="bottom"/>
            <w:hideMark/>
          </w:tcPr>
          <w:p w:rsidR="003016C4" w:rsidRPr="003016C4" w:rsidRDefault="003016C4" w:rsidP="003016C4">
            <w:pPr>
              <w:spacing w:after="0" w:line="240" w:lineRule="auto"/>
              <w:jc w:val="right"/>
              <w:rPr>
                <w:rFonts w:ascii="Arial" w:hAnsi="Arial" w:cs="Arial"/>
                <w:color w:val="000000"/>
                <w:sz w:val="15"/>
                <w:szCs w:val="15"/>
              </w:rPr>
            </w:pPr>
            <w:r w:rsidRPr="003016C4">
              <w:rPr>
                <w:rFonts w:ascii="Arial" w:hAnsi="Arial" w:cs="Arial"/>
                <w:color w:val="000000"/>
                <w:sz w:val="15"/>
                <w:szCs w:val="15"/>
              </w:rPr>
              <w:t xml:space="preserve">376,440 </w:t>
            </w:r>
          </w:p>
        </w:tc>
        <w:tc>
          <w:tcPr>
            <w:tcW w:w="1060" w:type="dxa"/>
            <w:tcBorders>
              <w:top w:val="nil"/>
              <w:left w:val="nil"/>
              <w:bottom w:val="nil"/>
              <w:right w:val="nil"/>
            </w:tcBorders>
            <w:shd w:val="clear" w:color="000000" w:fill="E6E6E6"/>
            <w:noWrap/>
            <w:vAlign w:val="bottom"/>
            <w:hideMark/>
          </w:tcPr>
          <w:p w:rsidR="003016C4" w:rsidRPr="003016C4" w:rsidRDefault="003016C4" w:rsidP="003016C4">
            <w:pPr>
              <w:spacing w:after="0" w:line="240" w:lineRule="auto"/>
              <w:jc w:val="right"/>
              <w:rPr>
                <w:rFonts w:ascii="Arial" w:hAnsi="Arial" w:cs="Arial"/>
                <w:color w:val="000000"/>
                <w:sz w:val="15"/>
                <w:szCs w:val="15"/>
              </w:rPr>
            </w:pPr>
            <w:r w:rsidRPr="003016C4">
              <w:rPr>
                <w:rFonts w:ascii="Arial" w:hAnsi="Arial" w:cs="Arial"/>
                <w:color w:val="000000"/>
                <w:sz w:val="15"/>
                <w:szCs w:val="15"/>
              </w:rPr>
              <w:t xml:space="preserve">933,258 </w:t>
            </w:r>
          </w:p>
        </w:tc>
        <w:tc>
          <w:tcPr>
            <w:tcW w:w="1060" w:type="dxa"/>
            <w:tcBorders>
              <w:top w:val="nil"/>
              <w:left w:val="nil"/>
              <w:bottom w:val="nil"/>
              <w:right w:val="nil"/>
            </w:tcBorders>
            <w:shd w:val="clear" w:color="auto" w:fill="auto"/>
            <w:noWrap/>
            <w:vAlign w:val="bottom"/>
            <w:hideMark/>
          </w:tcPr>
          <w:p w:rsidR="003016C4" w:rsidRPr="003016C4" w:rsidRDefault="003016C4" w:rsidP="003016C4">
            <w:pPr>
              <w:spacing w:after="0" w:line="240" w:lineRule="auto"/>
              <w:jc w:val="right"/>
              <w:rPr>
                <w:rFonts w:ascii="Arial" w:hAnsi="Arial" w:cs="Arial"/>
                <w:color w:val="000000"/>
                <w:sz w:val="15"/>
                <w:szCs w:val="15"/>
              </w:rPr>
            </w:pPr>
            <w:r w:rsidRPr="003016C4">
              <w:rPr>
                <w:rFonts w:ascii="Arial" w:hAnsi="Arial" w:cs="Arial"/>
                <w:color w:val="000000"/>
                <w:sz w:val="15"/>
                <w:szCs w:val="15"/>
              </w:rPr>
              <w:t xml:space="preserve">999,520 </w:t>
            </w:r>
          </w:p>
        </w:tc>
        <w:tc>
          <w:tcPr>
            <w:tcW w:w="1060" w:type="dxa"/>
            <w:tcBorders>
              <w:top w:val="nil"/>
              <w:left w:val="nil"/>
              <w:bottom w:val="nil"/>
              <w:right w:val="nil"/>
            </w:tcBorders>
            <w:shd w:val="clear" w:color="auto" w:fill="auto"/>
            <w:noWrap/>
            <w:vAlign w:val="bottom"/>
            <w:hideMark/>
          </w:tcPr>
          <w:p w:rsidR="003016C4" w:rsidRPr="003016C4" w:rsidRDefault="003016C4" w:rsidP="003016C4">
            <w:pPr>
              <w:spacing w:after="0" w:line="240" w:lineRule="auto"/>
              <w:jc w:val="right"/>
              <w:rPr>
                <w:rFonts w:ascii="Arial" w:hAnsi="Arial" w:cs="Arial"/>
                <w:color w:val="000000"/>
                <w:sz w:val="15"/>
                <w:szCs w:val="15"/>
              </w:rPr>
            </w:pPr>
            <w:r w:rsidRPr="003016C4">
              <w:rPr>
                <w:rFonts w:ascii="Arial" w:hAnsi="Arial" w:cs="Arial"/>
                <w:color w:val="000000"/>
                <w:sz w:val="15"/>
                <w:szCs w:val="15"/>
              </w:rPr>
              <w:t xml:space="preserve">1,071,485 </w:t>
            </w:r>
          </w:p>
        </w:tc>
        <w:tc>
          <w:tcPr>
            <w:tcW w:w="1060" w:type="dxa"/>
            <w:tcBorders>
              <w:top w:val="nil"/>
              <w:left w:val="nil"/>
              <w:bottom w:val="nil"/>
              <w:right w:val="nil"/>
            </w:tcBorders>
            <w:shd w:val="clear" w:color="auto" w:fill="auto"/>
            <w:noWrap/>
            <w:vAlign w:val="bottom"/>
            <w:hideMark/>
          </w:tcPr>
          <w:p w:rsidR="003016C4" w:rsidRPr="003016C4" w:rsidRDefault="003016C4" w:rsidP="003016C4">
            <w:pPr>
              <w:spacing w:after="0" w:line="240" w:lineRule="auto"/>
              <w:jc w:val="right"/>
              <w:rPr>
                <w:rFonts w:ascii="Arial" w:hAnsi="Arial" w:cs="Arial"/>
                <w:color w:val="000000"/>
                <w:sz w:val="15"/>
                <w:szCs w:val="15"/>
              </w:rPr>
            </w:pPr>
            <w:r w:rsidRPr="003016C4">
              <w:rPr>
                <w:rFonts w:ascii="Arial" w:hAnsi="Arial" w:cs="Arial"/>
                <w:color w:val="000000"/>
                <w:sz w:val="15"/>
                <w:szCs w:val="15"/>
              </w:rPr>
              <w:t xml:space="preserve">1,150,775 </w:t>
            </w:r>
          </w:p>
        </w:tc>
      </w:tr>
      <w:tr w:rsidR="003016C4" w:rsidRPr="003016C4" w:rsidTr="003016C4">
        <w:trPr>
          <w:trHeight w:val="222"/>
        </w:trPr>
        <w:tc>
          <w:tcPr>
            <w:tcW w:w="2260"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ind w:firstLineChars="100" w:firstLine="150"/>
              <w:jc w:val="left"/>
              <w:rPr>
                <w:rFonts w:ascii="Arial" w:hAnsi="Arial" w:cs="Arial"/>
                <w:color w:val="000000"/>
                <w:sz w:val="15"/>
                <w:szCs w:val="15"/>
              </w:rPr>
            </w:pPr>
            <w:r w:rsidRPr="003016C4">
              <w:rPr>
                <w:rFonts w:ascii="Arial" w:hAnsi="Arial" w:cs="Arial"/>
                <w:color w:val="000000"/>
                <w:sz w:val="15"/>
                <w:szCs w:val="15"/>
              </w:rPr>
              <w:t>Dividends</w:t>
            </w:r>
          </w:p>
        </w:tc>
        <w:tc>
          <w:tcPr>
            <w:tcW w:w="1060" w:type="dxa"/>
            <w:tcBorders>
              <w:top w:val="nil"/>
              <w:left w:val="nil"/>
              <w:bottom w:val="nil"/>
              <w:right w:val="nil"/>
            </w:tcBorders>
            <w:shd w:val="clear" w:color="auto" w:fill="auto"/>
            <w:noWrap/>
            <w:vAlign w:val="bottom"/>
            <w:hideMark/>
          </w:tcPr>
          <w:p w:rsidR="003016C4" w:rsidRPr="003016C4" w:rsidRDefault="003016C4" w:rsidP="003016C4">
            <w:pPr>
              <w:spacing w:after="0" w:line="240" w:lineRule="auto"/>
              <w:jc w:val="right"/>
              <w:rPr>
                <w:rFonts w:ascii="Arial" w:hAnsi="Arial" w:cs="Arial"/>
                <w:color w:val="000000"/>
                <w:sz w:val="15"/>
                <w:szCs w:val="15"/>
              </w:rPr>
            </w:pPr>
            <w:r w:rsidRPr="003016C4">
              <w:rPr>
                <w:rFonts w:ascii="Arial" w:hAnsi="Arial" w:cs="Arial"/>
                <w:color w:val="000000"/>
                <w:sz w:val="15"/>
                <w:szCs w:val="15"/>
              </w:rPr>
              <w:t xml:space="preserve">2,899,316 </w:t>
            </w:r>
          </w:p>
        </w:tc>
        <w:tc>
          <w:tcPr>
            <w:tcW w:w="1060" w:type="dxa"/>
            <w:tcBorders>
              <w:top w:val="nil"/>
              <w:left w:val="nil"/>
              <w:bottom w:val="nil"/>
              <w:right w:val="nil"/>
            </w:tcBorders>
            <w:shd w:val="clear" w:color="000000" w:fill="E6E6E6"/>
            <w:noWrap/>
            <w:vAlign w:val="bottom"/>
            <w:hideMark/>
          </w:tcPr>
          <w:p w:rsidR="003016C4" w:rsidRPr="003016C4" w:rsidRDefault="003016C4" w:rsidP="003016C4">
            <w:pPr>
              <w:spacing w:after="0" w:line="240" w:lineRule="auto"/>
              <w:jc w:val="right"/>
              <w:rPr>
                <w:rFonts w:ascii="Arial" w:hAnsi="Arial" w:cs="Arial"/>
                <w:color w:val="000000"/>
                <w:sz w:val="15"/>
                <w:szCs w:val="15"/>
              </w:rPr>
            </w:pPr>
            <w:r w:rsidRPr="003016C4">
              <w:rPr>
                <w:rFonts w:ascii="Arial" w:hAnsi="Arial" w:cs="Arial"/>
                <w:color w:val="000000"/>
                <w:sz w:val="15"/>
                <w:szCs w:val="15"/>
              </w:rPr>
              <w:t xml:space="preserve">2,869,242 </w:t>
            </w:r>
          </w:p>
        </w:tc>
        <w:tc>
          <w:tcPr>
            <w:tcW w:w="1060" w:type="dxa"/>
            <w:tcBorders>
              <w:top w:val="nil"/>
              <w:left w:val="nil"/>
              <w:bottom w:val="nil"/>
              <w:right w:val="nil"/>
            </w:tcBorders>
            <w:shd w:val="clear" w:color="auto" w:fill="auto"/>
            <w:noWrap/>
            <w:vAlign w:val="bottom"/>
            <w:hideMark/>
          </w:tcPr>
          <w:p w:rsidR="003016C4" w:rsidRPr="003016C4" w:rsidRDefault="003016C4" w:rsidP="003016C4">
            <w:pPr>
              <w:spacing w:after="0" w:line="240" w:lineRule="auto"/>
              <w:jc w:val="right"/>
              <w:rPr>
                <w:rFonts w:ascii="Arial" w:hAnsi="Arial" w:cs="Arial"/>
                <w:color w:val="000000"/>
                <w:sz w:val="15"/>
                <w:szCs w:val="15"/>
              </w:rPr>
            </w:pPr>
            <w:r w:rsidRPr="003016C4">
              <w:rPr>
                <w:rFonts w:ascii="Arial" w:hAnsi="Arial" w:cs="Arial"/>
                <w:color w:val="000000"/>
                <w:sz w:val="15"/>
                <w:szCs w:val="15"/>
              </w:rPr>
              <w:t xml:space="preserve">3,172,076 </w:t>
            </w:r>
          </w:p>
        </w:tc>
        <w:tc>
          <w:tcPr>
            <w:tcW w:w="1060" w:type="dxa"/>
            <w:tcBorders>
              <w:top w:val="nil"/>
              <w:left w:val="nil"/>
              <w:bottom w:val="nil"/>
              <w:right w:val="nil"/>
            </w:tcBorders>
            <w:shd w:val="clear" w:color="auto" w:fill="auto"/>
            <w:noWrap/>
            <w:vAlign w:val="bottom"/>
            <w:hideMark/>
          </w:tcPr>
          <w:p w:rsidR="003016C4" w:rsidRPr="003016C4" w:rsidRDefault="003016C4" w:rsidP="003016C4">
            <w:pPr>
              <w:spacing w:after="0" w:line="240" w:lineRule="auto"/>
              <w:jc w:val="right"/>
              <w:rPr>
                <w:rFonts w:ascii="Arial" w:hAnsi="Arial" w:cs="Arial"/>
                <w:color w:val="000000"/>
                <w:sz w:val="15"/>
                <w:szCs w:val="15"/>
              </w:rPr>
            </w:pPr>
            <w:r w:rsidRPr="003016C4">
              <w:rPr>
                <w:rFonts w:ascii="Arial" w:hAnsi="Arial" w:cs="Arial"/>
                <w:color w:val="000000"/>
                <w:sz w:val="15"/>
                <w:szCs w:val="15"/>
              </w:rPr>
              <w:t xml:space="preserve">3,400,476 </w:t>
            </w:r>
          </w:p>
        </w:tc>
        <w:tc>
          <w:tcPr>
            <w:tcW w:w="1060" w:type="dxa"/>
            <w:tcBorders>
              <w:top w:val="nil"/>
              <w:left w:val="nil"/>
              <w:bottom w:val="nil"/>
              <w:right w:val="nil"/>
            </w:tcBorders>
            <w:shd w:val="clear" w:color="auto" w:fill="auto"/>
            <w:noWrap/>
            <w:vAlign w:val="bottom"/>
            <w:hideMark/>
          </w:tcPr>
          <w:p w:rsidR="003016C4" w:rsidRPr="003016C4" w:rsidRDefault="003016C4" w:rsidP="003016C4">
            <w:pPr>
              <w:spacing w:after="0" w:line="240" w:lineRule="auto"/>
              <w:jc w:val="right"/>
              <w:rPr>
                <w:rFonts w:ascii="Arial" w:hAnsi="Arial" w:cs="Arial"/>
                <w:color w:val="000000"/>
                <w:sz w:val="15"/>
                <w:szCs w:val="15"/>
              </w:rPr>
            </w:pPr>
            <w:r w:rsidRPr="003016C4">
              <w:rPr>
                <w:rFonts w:ascii="Arial" w:hAnsi="Arial" w:cs="Arial"/>
                <w:color w:val="000000"/>
                <w:sz w:val="15"/>
                <w:szCs w:val="15"/>
              </w:rPr>
              <w:t xml:space="preserve">3,652,150 </w:t>
            </w:r>
          </w:p>
        </w:tc>
      </w:tr>
      <w:tr w:rsidR="003016C4" w:rsidRPr="003016C4" w:rsidTr="003016C4">
        <w:trPr>
          <w:trHeight w:val="222"/>
        </w:trPr>
        <w:tc>
          <w:tcPr>
            <w:tcW w:w="2260"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ind w:firstLineChars="100" w:firstLine="150"/>
              <w:jc w:val="left"/>
              <w:rPr>
                <w:rFonts w:ascii="Arial" w:hAnsi="Arial" w:cs="Arial"/>
                <w:sz w:val="15"/>
                <w:szCs w:val="15"/>
              </w:rPr>
            </w:pPr>
            <w:r w:rsidRPr="003016C4">
              <w:rPr>
                <w:rFonts w:ascii="Arial" w:hAnsi="Arial" w:cs="Arial"/>
                <w:sz w:val="15"/>
                <w:szCs w:val="15"/>
              </w:rPr>
              <w:t>Net GST received</w:t>
            </w:r>
          </w:p>
        </w:tc>
        <w:tc>
          <w:tcPr>
            <w:tcW w:w="1060" w:type="dxa"/>
            <w:tcBorders>
              <w:top w:val="nil"/>
              <w:left w:val="nil"/>
              <w:bottom w:val="nil"/>
              <w:right w:val="nil"/>
            </w:tcBorders>
            <w:shd w:val="clear" w:color="auto" w:fill="auto"/>
            <w:noWrap/>
            <w:vAlign w:val="bottom"/>
            <w:hideMark/>
          </w:tcPr>
          <w:p w:rsidR="003016C4" w:rsidRPr="003016C4" w:rsidRDefault="003016C4" w:rsidP="003016C4">
            <w:pPr>
              <w:spacing w:after="0" w:line="240" w:lineRule="auto"/>
              <w:jc w:val="right"/>
              <w:rPr>
                <w:rFonts w:ascii="Arial" w:hAnsi="Arial" w:cs="Arial"/>
                <w:color w:val="000000"/>
                <w:sz w:val="15"/>
                <w:szCs w:val="15"/>
              </w:rPr>
            </w:pPr>
            <w:r w:rsidRPr="003016C4">
              <w:rPr>
                <w:rFonts w:ascii="Arial" w:hAnsi="Arial" w:cs="Arial"/>
                <w:color w:val="000000"/>
                <w:sz w:val="15"/>
                <w:szCs w:val="15"/>
              </w:rPr>
              <w:t xml:space="preserve">5,697 </w:t>
            </w:r>
          </w:p>
        </w:tc>
        <w:tc>
          <w:tcPr>
            <w:tcW w:w="1060" w:type="dxa"/>
            <w:tcBorders>
              <w:top w:val="nil"/>
              <w:left w:val="nil"/>
              <w:bottom w:val="nil"/>
              <w:right w:val="nil"/>
            </w:tcBorders>
            <w:shd w:val="clear" w:color="000000" w:fill="E6E6E6"/>
            <w:noWrap/>
            <w:vAlign w:val="bottom"/>
            <w:hideMark/>
          </w:tcPr>
          <w:p w:rsidR="003016C4" w:rsidRPr="003016C4" w:rsidRDefault="003016C4" w:rsidP="003016C4">
            <w:pPr>
              <w:spacing w:after="0" w:line="240" w:lineRule="auto"/>
              <w:jc w:val="right"/>
              <w:rPr>
                <w:rFonts w:ascii="Arial" w:hAnsi="Arial" w:cs="Arial"/>
                <w:color w:val="000000"/>
                <w:sz w:val="15"/>
                <w:szCs w:val="15"/>
              </w:rPr>
            </w:pPr>
            <w:r w:rsidRPr="003016C4">
              <w:rPr>
                <w:rFonts w:ascii="Arial" w:hAnsi="Arial" w:cs="Arial"/>
                <w:color w:val="000000"/>
                <w:sz w:val="15"/>
                <w:szCs w:val="15"/>
              </w:rPr>
              <w:t xml:space="preserve">4,867 </w:t>
            </w:r>
          </w:p>
        </w:tc>
        <w:tc>
          <w:tcPr>
            <w:tcW w:w="1060" w:type="dxa"/>
            <w:tcBorders>
              <w:top w:val="nil"/>
              <w:left w:val="nil"/>
              <w:bottom w:val="nil"/>
              <w:right w:val="nil"/>
            </w:tcBorders>
            <w:shd w:val="clear" w:color="auto" w:fill="auto"/>
            <w:noWrap/>
            <w:vAlign w:val="bottom"/>
            <w:hideMark/>
          </w:tcPr>
          <w:p w:rsidR="003016C4" w:rsidRPr="003016C4" w:rsidRDefault="003016C4" w:rsidP="003016C4">
            <w:pPr>
              <w:spacing w:after="0" w:line="240" w:lineRule="auto"/>
              <w:jc w:val="right"/>
              <w:rPr>
                <w:rFonts w:ascii="Arial" w:hAnsi="Arial" w:cs="Arial"/>
                <w:color w:val="000000"/>
                <w:sz w:val="15"/>
                <w:szCs w:val="15"/>
              </w:rPr>
            </w:pPr>
            <w:r w:rsidRPr="003016C4">
              <w:rPr>
                <w:rFonts w:ascii="Arial" w:hAnsi="Arial" w:cs="Arial"/>
                <w:color w:val="000000"/>
                <w:sz w:val="15"/>
                <w:szCs w:val="15"/>
              </w:rPr>
              <w:t xml:space="preserve">5,214 </w:t>
            </w:r>
          </w:p>
        </w:tc>
        <w:tc>
          <w:tcPr>
            <w:tcW w:w="1060" w:type="dxa"/>
            <w:tcBorders>
              <w:top w:val="nil"/>
              <w:left w:val="nil"/>
              <w:bottom w:val="nil"/>
              <w:right w:val="nil"/>
            </w:tcBorders>
            <w:shd w:val="clear" w:color="000000" w:fill="FFFFFF"/>
            <w:noWrap/>
            <w:vAlign w:val="bottom"/>
            <w:hideMark/>
          </w:tcPr>
          <w:p w:rsidR="003016C4" w:rsidRPr="003016C4" w:rsidRDefault="003016C4" w:rsidP="003016C4">
            <w:pPr>
              <w:spacing w:after="0" w:line="240" w:lineRule="auto"/>
              <w:jc w:val="right"/>
              <w:rPr>
                <w:rFonts w:ascii="Arial" w:hAnsi="Arial" w:cs="Arial"/>
                <w:color w:val="000000"/>
                <w:sz w:val="15"/>
                <w:szCs w:val="15"/>
              </w:rPr>
            </w:pPr>
            <w:r w:rsidRPr="003016C4">
              <w:rPr>
                <w:rFonts w:ascii="Arial" w:hAnsi="Arial" w:cs="Arial"/>
                <w:color w:val="000000"/>
                <w:sz w:val="15"/>
                <w:szCs w:val="15"/>
              </w:rPr>
              <w:t xml:space="preserve">5,585 </w:t>
            </w:r>
          </w:p>
        </w:tc>
        <w:tc>
          <w:tcPr>
            <w:tcW w:w="1060" w:type="dxa"/>
            <w:tcBorders>
              <w:top w:val="nil"/>
              <w:left w:val="nil"/>
              <w:bottom w:val="nil"/>
              <w:right w:val="nil"/>
            </w:tcBorders>
            <w:shd w:val="clear" w:color="000000" w:fill="FFFFFF"/>
            <w:noWrap/>
            <w:vAlign w:val="bottom"/>
            <w:hideMark/>
          </w:tcPr>
          <w:p w:rsidR="003016C4" w:rsidRPr="003016C4" w:rsidRDefault="003016C4" w:rsidP="003016C4">
            <w:pPr>
              <w:spacing w:after="0" w:line="240" w:lineRule="auto"/>
              <w:jc w:val="right"/>
              <w:rPr>
                <w:rFonts w:ascii="Arial" w:hAnsi="Arial" w:cs="Arial"/>
                <w:color w:val="000000"/>
                <w:sz w:val="15"/>
                <w:szCs w:val="15"/>
              </w:rPr>
            </w:pPr>
            <w:r w:rsidRPr="003016C4">
              <w:rPr>
                <w:rFonts w:ascii="Arial" w:hAnsi="Arial" w:cs="Arial"/>
                <w:color w:val="000000"/>
                <w:sz w:val="15"/>
                <w:szCs w:val="15"/>
              </w:rPr>
              <w:t xml:space="preserve">5,983 </w:t>
            </w:r>
          </w:p>
        </w:tc>
      </w:tr>
      <w:tr w:rsidR="003016C4" w:rsidRPr="003016C4" w:rsidTr="003016C4">
        <w:trPr>
          <w:trHeight w:val="222"/>
        </w:trPr>
        <w:tc>
          <w:tcPr>
            <w:tcW w:w="2260"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jc w:val="left"/>
              <w:rPr>
                <w:rFonts w:ascii="Arial" w:hAnsi="Arial" w:cs="Arial"/>
                <w:b/>
                <w:bCs/>
                <w:color w:val="000000"/>
                <w:sz w:val="15"/>
                <w:szCs w:val="15"/>
              </w:rPr>
            </w:pPr>
            <w:r w:rsidRPr="003016C4">
              <w:rPr>
                <w:rFonts w:ascii="Arial" w:hAnsi="Arial" w:cs="Arial"/>
                <w:b/>
                <w:bCs/>
                <w:color w:val="000000"/>
                <w:sz w:val="15"/>
                <w:szCs w:val="15"/>
              </w:rPr>
              <w:t>Total cash received</w:t>
            </w:r>
          </w:p>
        </w:tc>
        <w:tc>
          <w:tcPr>
            <w:tcW w:w="1060" w:type="dxa"/>
            <w:tcBorders>
              <w:top w:val="single" w:sz="4" w:space="0" w:color="000000"/>
              <w:left w:val="nil"/>
              <w:bottom w:val="single" w:sz="4" w:space="0" w:color="000000"/>
              <w:right w:val="nil"/>
            </w:tcBorders>
            <w:shd w:val="clear" w:color="auto" w:fill="auto"/>
            <w:noWrap/>
            <w:vAlign w:val="bottom"/>
            <w:hideMark/>
          </w:tcPr>
          <w:p w:rsidR="003016C4" w:rsidRPr="003016C4" w:rsidRDefault="003016C4" w:rsidP="003016C4">
            <w:pPr>
              <w:spacing w:after="0" w:line="240" w:lineRule="auto"/>
              <w:jc w:val="right"/>
              <w:rPr>
                <w:rFonts w:ascii="Arial" w:hAnsi="Arial" w:cs="Arial"/>
                <w:b/>
                <w:bCs/>
                <w:color w:val="000000"/>
                <w:sz w:val="15"/>
                <w:szCs w:val="15"/>
              </w:rPr>
            </w:pPr>
            <w:r w:rsidRPr="003016C4">
              <w:rPr>
                <w:rFonts w:ascii="Arial" w:hAnsi="Arial" w:cs="Arial"/>
                <w:b/>
                <w:bCs/>
                <w:color w:val="000000"/>
                <w:sz w:val="15"/>
                <w:szCs w:val="15"/>
              </w:rPr>
              <w:t xml:space="preserve">3,281,453 </w:t>
            </w:r>
          </w:p>
        </w:tc>
        <w:tc>
          <w:tcPr>
            <w:tcW w:w="1060" w:type="dxa"/>
            <w:tcBorders>
              <w:top w:val="single" w:sz="4" w:space="0" w:color="000000"/>
              <w:left w:val="nil"/>
              <w:bottom w:val="single" w:sz="4" w:space="0" w:color="000000"/>
              <w:right w:val="nil"/>
            </w:tcBorders>
            <w:shd w:val="clear" w:color="000000" w:fill="E6E6E6"/>
            <w:noWrap/>
            <w:vAlign w:val="bottom"/>
            <w:hideMark/>
          </w:tcPr>
          <w:p w:rsidR="003016C4" w:rsidRPr="003016C4" w:rsidRDefault="003016C4" w:rsidP="003016C4">
            <w:pPr>
              <w:spacing w:after="0" w:line="240" w:lineRule="auto"/>
              <w:jc w:val="right"/>
              <w:rPr>
                <w:rFonts w:ascii="Arial" w:hAnsi="Arial" w:cs="Arial"/>
                <w:b/>
                <w:bCs/>
                <w:color w:val="000000"/>
                <w:sz w:val="15"/>
                <w:szCs w:val="15"/>
              </w:rPr>
            </w:pPr>
            <w:r w:rsidRPr="003016C4">
              <w:rPr>
                <w:rFonts w:ascii="Arial" w:hAnsi="Arial" w:cs="Arial"/>
                <w:b/>
                <w:bCs/>
                <w:color w:val="000000"/>
                <w:sz w:val="15"/>
                <w:szCs w:val="15"/>
              </w:rPr>
              <w:t xml:space="preserve">3,807,367 </w:t>
            </w:r>
          </w:p>
        </w:tc>
        <w:tc>
          <w:tcPr>
            <w:tcW w:w="1060" w:type="dxa"/>
            <w:tcBorders>
              <w:top w:val="single" w:sz="4" w:space="0" w:color="000000"/>
              <w:left w:val="nil"/>
              <w:bottom w:val="single" w:sz="4" w:space="0" w:color="000000"/>
              <w:right w:val="nil"/>
            </w:tcBorders>
            <w:shd w:val="clear" w:color="auto" w:fill="auto"/>
            <w:noWrap/>
            <w:vAlign w:val="bottom"/>
            <w:hideMark/>
          </w:tcPr>
          <w:p w:rsidR="003016C4" w:rsidRPr="003016C4" w:rsidRDefault="003016C4" w:rsidP="003016C4">
            <w:pPr>
              <w:spacing w:after="0" w:line="240" w:lineRule="auto"/>
              <w:jc w:val="right"/>
              <w:rPr>
                <w:rFonts w:ascii="Arial" w:hAnsi="Arial" w:cs="Arial"/>
                <w:b/>
                <w:bCs/>
                <w:color w:val="000000"/>
                <w:sz w:val="15"/>
                <w:szCs w:val="15"/>
              </w:rPr>
            </w:pPr>
            <w:r w:rsidRPr="003016C4">
              <w:rPr>
                <w:rFonts w:ascii="Arial" w:hAnsi="Arial" w:cs="Arial"/>
                <w:b/>
                <w:bCs/>
                <w:color w:val="000000"/>
                <w:sz w:val="15"/>
                <w:szCs w:val="15"/>
              </w:rPr>
              <w:t xml:space="preserve">4,176,810 </w:t>
            </w:r>
          </w:p>
        </w:tc>
        <w:tc>
          <w:tcPr>
            <w:tcW w:w="1060" w:type="dxa"/>
            <w:tcBorders>
              <w:top w:val="single" w:sz="4" w:space="0" w:color="000000"/>
              <w:left w:val="nil"/>
              <w:bottom w:val="single" w:sz="4" w:space="0" w:color="000000"/>
              <w:right w:val="nil"/>
            </w:tcBorders>
            <w:shd w:val="clear" w:color="auto" w:fill="auto"/>
            <w:noWrap/>
            <w:vAlign w:val="bottom"/>
            <w:hideMark/>
          </w:tcPr>
          <w:p w:rsidR="003016C4" w:rsidRPr="003016C4" w:rsidRDefault="003016C4" w:rsidP="003016C4">
            <w:pPr>
              <w:spacing w:after="0" w:line="240" w:lineRule="auto"/>
              <w:jc w:val="right"/>
              <w:rPr>
                <w:rFonts w:ascii="Arial" w:hAnsi="Arial" w:cs="Arial"/>
                <w:b/>
                <w:bCs/>
                <w:color w:val="000000"/>
                <w:sz w:val="15"/>
                <w:szCs w:val="15"/>
              </w:rPr>
            </w:pPr>
            <w:r w:rsidRPr="003016C4">
              <w:rPr>
                <w:rFonts w:ascii="Arial" w:hAnsi="Arial" w:cs="Arial"/>
                <w:b/>
                <w:bCs/>
                <w:color w:val="000000"/>
                <w:sz w:val="15"/>
                <w:szCs w:val="15"/>
              </w:rPr>
              <w:t xml:space="preserve">4,477,546 </w:t>
            </w:r>
          </w:p>
        </w:tc>
        <w:tc>
          <w:tcPr>
            <w:tcW w:w="1060" w:type="dxa"/>
            <w:tcBorders>
              <w:top w:val="single" w:sz="4" w:space="0" w:color="000000"/>
              <w:left w:val="nil"/>
              <w:bottom w:val="single" w:sz="4" w:space="0" w:color="000000"/>
              <w:right w:val="nil"/>
            </w:tcBorders>
            <w:shd w:val="clear" w:color="auto" w:fill="auto"/>
            <w:noWrap/>
            <w:vAlign w:val="bottom"/>
            <w:hideMark/>
          </w:tcPr>
          <w:p w:rsidR="003016C4" w:rsidRPr="003016C4" w:rsidRDefault="003016C4" w:rsidP="003016C4">
            <w:pPr>
              <w:spacing w:after="0" w:line="240" w:lineRule="auto"/>
              <w:jc w:val="right"/>
              <w:rPr>
                <w:rFonts w:ascii="Arial" w:hAnsi="Arial" w:cs="Arial"/>
                <w:b/>
                <w:bCs/>
                <w:color w:val="000000"/>
                <w:sz w:val="15"/>
                <w:szCs w:val="15"/>
              </w:rPr>
            </w:pPr>
            <w:r w:rsidRPr="003016C4">
              <w:rPr>
                <w:rFonts w:ascii="Arial" w:hAnsi="Arial" w:cs="Arial"/>
                <w:b/>
                <w:bCs/>
                <w:color w:val="000000"/>
                <w:sz w:val="15"/>
                <w:szCs w:val="15"/>
              </w:rPr>
              <w:t xml:space="preserve">4,808,908 </w:t>
            </w:r>
          </w:p>
        </w:tc>
      </w:tr>
      <w:tr w:rsidR="003016C4" w:rsidRPr="003016C4" w:rsidTr="003016C4">
        <w:trPr>
          <w:trHeight w:val="222"/>
        </w:trPr>
        <w:tc>
          <w:tcPr>
            <w:tcW w:w="2260"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jc w:val="left"/>
              <w:rPr>
                <w:rFonts w:ascii="Arial" w:hAnsi="Arial" w:cs="Arial"/>
                <w:b/>
                <w:bCs/>
                <w:color w:val="000000"/>
                <w:sz w:val="15"/>
                <w:szCs w:val="15"/>
              </w:rPr>
            </w:pPr>
            <w:r w:rsidRPr="003016C4">
              <w:rPr>
                <w:rFonts w:ascii="Arial" w:hAnsi="Arial" w:cs="Arial"/>
                <w:b/>
                <w:bCs/>
                <w:color w:val="000000"/>
                <w:sz w:val="15"/>
                <w:szCs w:val="15"/>
              </w:rPr>
              <w:t>Cash used</w:t>
            </w:r>
          </w:p>
        </w:tc>
        <w:tc>
          <w:tcPr>
            <w:tcW w:w="1060" w:type="dxa"/>
            <w:tcBorders>
              <w:top w:val="nil"/>
              <w:left w:val="nil"/>
              <w:bottom w:val="nil"/>
              <w:right w:val="nil"/>
            </w:tcBorders>
            <w:shd w:val="clear" w:color="auto" w:fill="auto"/>
            <w:noWrap/>
            <w:vAlign w:val="bottom"/>
            <w:hideMark/>
          </w:tcPr>
          <w:p w:rsidR="003016C4" w:rsidRPr="003016C4" w:rsidRDefault="003016C4" w:rsidP="003016C4">
            <w:pPr>
              <w:spacing w:after="0" w:line="240" w:lineRule="auto"/>
              <w:jc w:val="left"/>
              <w:rPr>
                <w:rFonts w:ascii="Arial" w:hAnsi="Arial" w:cs="Arial"/>
                <w:color w:val="000000"/>
                <w:sz w:val="15"/>
                <w:szCs w:val="15"/>
              </w:rPr>
            </w:pPr>
          </w:p>
        </w:tc>
        <w:tc>
          <w:tcPr>
            <w:tcW w:w="1060" w:type="dxa"/>
            <w:tcBorders>
              <w:top w:val="nil"/>
              <w:left w:val="nil"/>
              <w:bottom w:val="nil"/>
              <w:right w:val="nil"/>
            </w:tcBorders>
            <w:shd w:val="clear" w:color="000000" w:fill="E6E6E6"/>
            <w:noWrap/>
            <w:vAlign w:val="bottom"/>
            <w:hideMark/>
          </w:tcPr>
          <w:p w:rsidR="003016C4" w:rsidRPr="003016C4" w:rsidRDefault="003016C4" w:rsidP="003016C4">
            <w:pPr>
              <w:spacing w:after="0" w:line="240" w:lineRule="auto"/>
              <w:jc w:val="left"/>
              <w:rPr>
                <w:rFonts w:ascii="Arial" w:hAnsi="Arial" w:cs="Arial"/>
                <w:color w:val="000000"/>
                <w:sz w:val="15"/>
                <w:szCs w:val="15"/>
              </w:rPr>
            </w:pPr>
            <w:r w:rsidRPr="003016C4">
              <w:rPr>
                <w:rFonts w:ascii="Arial" w:hAnsi="Arial" w:cs="Arial"/>
                <w:color w:val="000000"/>
                <w:sz w:val="15"/>
                <w:szCs w:val="15"/>
              </w:rPr>
              <w:t> </w:t>
            </w:r>
          </w:p>
        </w:tc>
        <w:tc>
          <w:tcPr>
            <w:tcW w:w="1060" w:type="dxa"/>
            <w:tcBorders>
              <w:top w:val="nil"/>
              <w:left w:val="nil"/>
              <w:bottom w:val="nil"/>
              <w:right w:val="nil"/>
            </w:tcBorders>
            <w:shd w:val="clear" w:color="auto" w:fill="auto"/>
            <w:noWrap/>
            <w:vAlign w:val="bottom"/>
            <w:hideMark/>
          </w:tcPr>
          <w:p w:rsidR="003016C4" w:rsidRPr="003016C4" w:rsidRDefault="003016C4" w:rsidP="003016C4">
            <w:pPr>
              <w:spacing w:after="0" w:line="240" w:lineRule="auto"/>
              <w:jc w:val="left"/>
              <w:rPr>
                <w:rFonts w:ascii="Arial" w:hAnsi="Arial" w:cs="Arial"/>
                <w:color w:val="000000"/>
                <w:sz w:val="15"/>
                <w:szCs w:val="15"/>
              </w:rPr>
            </w:pPr>
          </w:p>
        </w:tc>
        <w:tc>
          <w:tcPr>
            <w:tcW w:w="1060" w:type="dxa"/>
            <w:tcBorders>
              <w:top w:val="nil"/>
              <w:left w:val="nil"/>
              <w:bottom w:val="nil"/>
              <w:right w:val="nil"/>
            </w:tcBorders>
            <w:shd w:val="clear" w:color="auto" w:fill="auto"/>
            <w:noWrap/>
            <w:vAlign w:val="bottom"/>
            <w:hideMark/>
          </w:tcPr>
          <w:p w:rsidR="003016C4" w:rsidRPr="003016C4" w:rsidRDefault="003016C4" w:rsidP="003016C4">
            <w:pPr>
              <w:spacing w:after="0" w:line="240" w:lineRule="auto"/>
              <w:jc w:val="left"/>
              <w:rPr>
                <w:rFonts w:ascii="Arial" w:hAnsi="Arial" w:cs="Arial"/>
                <w:color w:val="000000"/>
                <w:sz w:val="15"/>
                <w:szCs w:val="15"/>
              </w:rPr>
            </w:pPr>
          </w:p>
        </w:tc>
        <w:tc>
          <w:tcPr>
            <w:tcW w:w="1060" w:type="dxa"/>
            <w:tcBorders>
              <w:top w:val="nil"/>
              <w:left w:val="nil"/>
              <w:bottom w:val="nil"/>
              <w:right w:val="nil"/>
            </w:tcBorders>
            <w:shd w:val="clear" w:color="auto" w:fill="auto"/>
            <w:noWrap/>
            <w:vAlign w:val="bottom"/>
            <w:hideMark/>
          </w:tcPr>
          <w:p w:rsidR="003016C4" w:rsidRPr="003016C4" w:rsidRDefault="003016C4" w:rsidP="003016C4">
            <w:pPr>
              <w:spacing w:after="0" w:line="240" w:lineRule="auto"/>
              <w:jc w:val="left"/>
              <w:rPr>
                <w:rFonts w:ascii="Arial" w:hAnsi="Arial" w:cs="Arial"/>
                <w:color w:val="000000"/>
                <w:sz w:val="15"/>
                <w:szCs w:val="15"/>
              </w:rPr>
            </w:pPr>
          </w:p>
        </w:tc>
      </w:tr>
      <w:tr w:rsidR="003016C4" w:rsidRPr="003016C4" w:rsidTr="003016C4">
        <w:trPr>
          <w:trHeight w:val="222"/>
        </w:trPr>
        <w:tc>
          <w:tcPr>
            <w:tcW w:w="2260"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ind w:firstLineChars="100" w:firstLine="150"/>
              <w:jc w:val="left"/>
              <w:rPr>
                <w:rFonts w:ascii="Arial" w:hAnsi="Arial" w:cs="Arial"/>
                <w:sz w:val="15"/>
                <w:szCs w:val="15"/>
              </w:rPr>
            </w:pPr>
            <w:r w:rsidRPr="003016C4">
              <w:rPr>
                <w:rFonts w:ascii="Arial" w:hAnsi="Arial" w:cs="Arial"/>
                <w:sz w:val="15"/>
                <w:szCs w:val="15"/>
              </w:rPr>
              <w:t>Suppliers</w:t>
            </w:r>
          </w:p>
        </w:tc>
        <w:tc>
          <w:tcPr>
            <w:tcW w:w="1060" w:type="dxa"/>
            <w:tcBorders>
              <w:top w:val="nil"/>
              <w:left w:val="nil"/>
              <w:bottom w:val="nil"/>
              <w:right w:val="nil"/>
            </w:tcBorders>
            <w:shd w:val="clear" w:color="auto" w:fill="auto"/>
            <w:noWrap/>
            <w:vAlign w:val="bottom"/>
            <w:hideMark/>
          </w:tcPr>
          <w:p w:rsidR="003016C4" w:rsidRPr="003016C4" w:rsidRDefault="003016C4" w:rsidP="003016C4">
            <w:pPr>
              <w:spacing w:after="0" w:line="240" w:lineRule="auto"/>
              <w:jc w:val="right"/>
              <w:rPr>
                <w:rFonts w:ascii="Arial" w:hAnsi="Arial" w:cs="Arial"/>
                <w:color w:val="000000"/>
                <w:sz w:val="15"/>
                <w:szCs w:val="15"/>
              </w:rPr>
            </w:pPr>
            <w:r w:rsidRPr="003016C4">
              <w:rPr>
                <w:rFonts w:ascii="Arial" w:hAnsi="Arial" w:cs="Arial"/>
                <w:color w:val="000000"/>
                <w:sz w:val="15"/>
                <w:szCs w:val="15"/>
              </w:rPr>
              <w:t xml:space="preserve">347,495 </w:t>
            </w:r>
          </w:p>
        </w:tc>
        <w:tc>
          <w:tcPr>
            <w:tcW w:w="1060" w:type="dxa"/>
            <w:tcBorders>
              <w:top w:val="nil"/>
              <w:left w:val="nil"/>
              <w:bottom w:val="nil"/>
              <w:right w:val="nil"/>
            </w:tcBorders>
            <w:shd w:val="clear" w:color="000000" w:fill="E6E6E6"/>
            <w:noWrap/>
            <w:vAlign w:val="bottom"/>
            <w:hideMark/>
          </w:tcPr>
          <w:p w:rsidR="003016C4" w:rsidRPr="003016C4" w:rsidRDefault="003016C4" w:rsidP="003016C4">
            <w:pPr>
              <w:spacing w:after="0" w:line="240" w:lineRule="auto"/>
              <w:jc w:val="right"/>
              <w:rPr>
                <w:rFonts w:ascii="Arial" w:hAnsi="Arial" w:cs="Arial"/>
                <w:color w:val="000000"/>
                <w:sz w:val="15"/>
                <w:szCs w:val="15"/>
              </w:rPr>
            </w:pPr>
            <w:r w:rsidRPr="003016C4">
              <w:rPr>
                <w:rFonts w:ascii="Arial" w:hAnsi="Arial" w:cs="Arial"/>
                <w:color w:val="000000"/>
                <w:sz w:val="15"/>
                <w:szCs w:val="15"/>
              </w:rPr>
              <w:t xml:space="preserve">393,593 </w:t>
            </w:r>
          </w:p>
        </w:tc>
        <w:tc>
          <w:tcPr>
            <w:tcW w:w="1060" w:type="dxa"/>
            <w:tcBorders>
              <w:top w:val="nil"/>
              <w:left w:val="nil"/>
              <w:bottom w:val="nil"/>
              <w:right w:val="nil"/>
            </w:tcBorders>
            <w:shd w:val="clear" w:color="auto" w:fill="auto"/>
            <w:noWrap/>
            <w:vAlign w:val="bottom"/>
            <w:hideMark/>
          </w:tcPr>
          <w:p w:rsidR="003016C4" w:rsidRPr="003016C4" w:rsidRDefault="003016C4" w:rsidP="003016C4">
            <w:pPr>
              <w:spacing w:after="0" w:line="240" w:lineRule="auto"/>
              <w:jc w:val="right"/>
              <w:rPr>
                <w:rFonts w:ascii="Arial" w:hAnsi="Arial" w:cs="Arial"/>
                <w:color w:val="000000"/>
                <w:sz w:val="15"/>
                <w:szCs w:val="15"/>
              </w:rPr>
            </w:pPr>
            <w:r w:rsidRPr="003016C4">
              <w:rPr>
                <w:rFonts w:ascii="Arial" w:hAnsi="Arial" w:cs="Arial"/>
                <w:color w:val="000000"/>
                <w:sz w:val="15"/>
                <w:szCs w:val="15"/>
              </w:rPr>
              <w:t xml:space="preserve">412,531 </w:t>
            </w:r>
          </w:p>
        </w:tc>
        <w:tc>
          <w:tcPr>
            <w:tcW w:w="1060" w:type="dxa"/>
            <w:tcBorders>
              <w:top w:val="nil"/>
              <w:left w:val="nil"/>
              <w:bottom w:val="nil"/>
              <w:right w:val="nil"/>
            </w:tcBorders>
            <w:shd w:val="clear" w:color="000000" w:fill="FFFFFF"/>
            <w:noWrap/>
            <w:vAlign w:val="bottom"/>
            <w:hideMark/>
          </w:tcPr>
          <w:p w:rsidR="003016C4" w:rsidRPr="003016C4" w:rsidRDefault="003016C4" w:rsidP="003016C4">
            <w:pPr>
              <w:spacing w:after="0" w:line="240" w:lineRule="auto"/>
              <w:jc w:val="right"/>
              <w:rPr>
                <w:rFonts w:ascii="Arial" w:hAnsi="Arial" w:cs="Arial"/>
                <w:color w:val="000000"/>
                <w:sz w:val="15"/>
                <w:szCs w:val="15"/>
              </w:rPr>
            </w:pPr>
            <w:r w:rsidRPr="003016C4">
              <w:rPr>
                <w:rFonts w:ascii="Arial" w:hAnsi="Arial" w:cs="Arial"/>
                <w:color w:val="000000"/>
                <w:sz w:val="15"/>
                <w:szCs w:val="15"/>
              </w:rPr>
              <w:t xml:space="preserve">441,356 </w:t>
            </w:r>
          </w:p>
        </w:tc>
        <w:tc>
          <w:tcPr>
            <w:tcW w:w="1060" w:type="dxa"/>
            <w:tcBorders>
              <w:top w:val="nil"/>
              <w:left w:val="nil"/>
              <w:bottom w:val="nil"/>
              <w:right w:val="nil"/>
            </w:tcBorders>
            <w:shd w:val="clear" w:color="000000" w:fill="FFFFFF"/>
            <w:noWrap/>
            <w:vAlign w:val="bottom"/>
            <w:hideMark/>
          </w:tcPr>
          <w:p w:rsidR="003016C4" w:rsidRPr="003016C4" w:rsidRDefault="003016C4" w:rsidP="003016C4">
            <w:pPr>
              <w:spacing w:after="0" w:line="240" w:lineRule="auto"/>
              <w:jc w:val="right"/>
              <w:rPr>
                <w:rFonts w:ascii="Arial" w:hAnsi="Arial" w:cs="Arial"/>
                <w:color w:val="000000"/>
                <w:sz w:val="15"/>
                <w:szCs w:val="15"/>
              </w:rPr>
            </w:pPr>
            <w:r w:rsidRPr="003016C4">
              <w:rPr>
                <w:rFonts w:ascii="Arial" w:hAnsi="Arial" w:cs="Arial"/>
                <w:color w:val="000000"/>
                <w:sz w:val="15"/>
                <w:szCs w:val="15"/>
              </w:rPr>
              <w:t xml:space="preserve">472,910 </w:t>
            </w:r>
          </w:p>
        </w:tc>
      </w:tr>
      <w:tr w:rsidR="003016C4" w:rsidRPr="003016C4" w:rsidTr="003016C4">
        <w:trPr>
          <w:trHeight w:val="222"/>
        </w:trPr>
        <w:tc>
          <w:tcPr>
            <w:tcW w:w="2260"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ind w:firstLineChars="100" w:firstLine="150"/>
              <w:jc w:val="left"/>
              <w:rPr>
                <w:rFonts w:ascii="Arial" w:hAnsi="Arial" w:cs="Arial"/>
                <w:sz w:val="15"/>
                <w:szCs w:val="15"/>
              </w:rPr>
            </w:pPr>
            <w:r w:rsidRPr="003016C4">
              <w:rPr>
                <w:rFonts w:ascii="Arial" w:hAnsi="Arial" w:cs="Arial"/>
                <w:sz w:val="15"/>
                <w:szCs w:val="15"/>
              </w:rPr>
              <w:t>Employees</w:t>
            </w:r>
          </w:p>
        </w:tc>
        <w:tc>
          <w:tcPr>
            <w:tcW w:w="1060" w:type="dxa"/>
            <w:tcBorders>
              <w:top w:val="nil"/>
              <w:left w:val="nil"/>
              <w:bottom w:val="nil"/>
              <w:right w:val="nil"/>
            </w:tcBorders>
            <w:shd w:val="clear" w:color="auto" w:fill="auto"/>
            <w:noWrap/>
            <w:vAlign w:val="bottom"/>
            <w:hideMark/>
          </w:tcPr>
          <w:p w:rsidR="003016C4" w:rsidRPr="003016C4" w:rsidRDefault="003016C4" w:rsidP="003016C4">
            <w:pPr>
              <w:spacing w:after="0" w:line="240" w:lineRule="auto"/>
              <w:jc w:val="right"/>
              <w:rPr>
                <w:rFonts w:ascii="Arial" w:hAnsi="Arial" w:cs="Arial"/>
                <w:color w:val="000000"/>
                <w:sz w:val="15"/>
                <w:szCs w:val="15"/>
              </w:rPr>
            </w:pPr>
            <w:r w:rsidRPr="003016C4">
              <w:rPr>
                <w:rFonts w:ascii="Arial" w:hAnsi="Arial" w:cs="Arial"/>
                <w:color w:val="000000"/>
                <w:sz w:val="15"/>
                <w:szCs w:val="15"/>
              </w:rPr>
              <w:t xml:space="preserve">889 </w:t>
            </w:r>
          </w:p>
        </w:tc>
        <w:tc>
          <w:tcPr>
            <w:tcW w:w="1060" w:type="dxa"/>
            <w:tcBorders>
              <w:top w:val="nil"/>
              <w:left w:val="nil"/>
              <w:bottom w:val="nil"/>
              <w:right w:val="nil"/>
            </w:tcBorders>
            <w:shd w:val="clear" w:color="000000" w:fill="E6E6E6"/>
            <w:noWrap/>
            <w:vAlign w:val="bottom"/>
            <w:hideMark/>
          </w:tcPr>
          <w:p w:rsidR="003016C4" w:rsidRPr="003016C4" w:rsidRDefault="003016C4" w:rsidP="003016C4">
            <w:pPr>
              <w:spacing w:after="0" w:line="240" w:lineRule="auto"/>
              <w:jc w:val="right"/>
              <w:rPr>
                <w:rFonts w:ascii="Arial" w:hAnsi="Arial" w:cs="Arial"/>
                <w:color w:val="000000"/>
                <w:sz w:val="15"/>
                <w:szCs w:val="15"/>
              </w:rPr>
            </w:pPr>
            <w:r w:rsidRPr="003016C4">
              <w:rPr>
                <w:rFonts w:ascii="Arial" w:hAnsi="Arial" w:cs="Arial"/>
                <w:color w:val="000000"/>
                <w:sz w:val="15"/>
                <w:szCs w:val="15"/>
              </w:rPr>
              <w:t xml:space="preserve">900 </w:t>
            </w:r>
          </w:p>
        </w:tc>
        <w:tc>
          <w:tcPr>
            <w:tcW w:w="1060" w:type="dxa"/>
            <w:tcBorders>
              <w:top w:val="nil"/>
              <w:left w:val="nil"/>
              <w:bottom w:val="nil"/>
              <w:right w:val="nil"/>
            </w:tcBorders>
            <w:shd w:val="clear" w:color="auto" w:fill="auto"/>
            <w:noWrap/>
            <w:vAlign w:val="bottom"/>
            <w:hideMark/>
          </w:tcPr>
          <w:p w:rsidR="003016C4" w:rsidRPr="003016C4" w:rsidRDefault="003016C4" w:rsidP="003016C4">
            <w:pPr>
              <w:spacing w:after="0" w:line="240" w:lineRule="auto"/>
              <w:jc w:val="right"/>
              <w:rPr>
                <w:rFonts w:ascii="Arial" w:hAnsi="Arial" w:cs="Arial"/>
                <w:color w:val="000000"/>
                <w:sz w:val="15"/>
                <w:szCs w:val="15"/>
              </w:rPr>
            </w:pPr>
            <w:r w:rsidRPr="003016C4">
              <w:rPr>
                <w:rFonts w:ascii="Arial" w:hAnsi="Arial" w:cs="Arial"/>
                <w:color w:val="000000"/>
                <w:sz w:val="15"/>
                <w:szCs w:val="15"/>
              </w:rPr>
              <w:t xml:space="preserve">927 </w:t>
            </w:r>
          </w:p>
        </w:tc>
        <w:tc>
          <w:tcPr>
            <w:tcW w:w="1060" w:type="dxa"/>
            <w:tcBorders>
              <w:top w:val="nil"/>
              <w:left w:val="nil"/>
              <w:bottom w:val="nil"/>
              <w:right w:val="nil"/>
            </w:tcBorders>
            <w:shd w:val="clear" w:color="000000" w:fill="FFFFFF"/>
            <w:noWrap/>
            <w:vAlign w:val="bottom"/>
            <w:hideMark/>
          </w:tcPr>
          <w:p w:rsidR="003016C4" w:rsidRPr="003016C4" w:rsidRDefault="003016C4" w:rsidP="003016C4">
            <w:pPr>
              <w:spacing w:after="0" w:line="240" w:lineRule="auto"/>
              <w:jc w:val="right"/>
              <w:rPr>
                <w:rFonts w:ascii="Arial" w:hAnsi="Arial" w:cs="Arial"/>
                <w:color w:val="000000"/>
                <w:sz w:val="15"/>
                <w:szCs w:val="15"/>
              </w:rPr>
            </w:pPr>
            <w:r w:rsidRPr="003016C4">
              <w:rPr>
                <w:rFonts w:ascii="Arial" w:hAnsi="Arial" w:cs="Arial"/>
                <w:color w:val="000000"/>
                <w:sz w:val="15"/>
                <w:szCs w:val="15"/>
              </w:rPr>
              <w:t xml:space="preserve">955 </w:t>
            </w:r>
          </w:p>
        </w:tc>
        <w:tc>
          <w:tcPr>
            <w:tcW w:w="1060" w:type="dxa"/>
            <w:tcBorders>
              <w:top w:val="nil"/>
              <w:left w:val="nil"/>
              <w:bottom w:val="nil"/>
              <w:right w:val="nil"/>
            </w:tcBorders>
            <w:shd w:val="clear" w:color="000000" w:fill="FFFFFF"/>
            <w:noWrap/>
            <w:vAlign w:val="bottom"/>
            <w:hideMark/>
          </w:tcPr>
          <w:p w:rsidR="003016C4" w:rsidRPr="003016C4" w:rsidRDefault="003016C4" w:rsidP="003016C4">
            <w:pPr>
              <w:spacing w:after="0" w:line="240" w:lineRule="auto"/>
              <w:jc w:val="right"/>
              <w:rPr>
                <w:rFonts w:ascii="Arial" w:hAnsi="Arial" w:cs="Arial"/>
                <w:color w:val="000000"/>
                <w:sz w:val="15"/>
                <w:szCs w:val="15"/>
              </w:rPr>
            </w:pPr>
            <w:r w:rsidRPr="003016C4">
              <w:rPr>
                <w:rFonts w:ascii="Arial" w:hAnsi="Arial" w:cs="Arial"/>
                <w:color w:val="000000"/>
                <w:sz w:val="15"/>
                <w:szCs w:val="15"/>
              </w:rPr>
              <w:t xml:space="preserve">983 </w:t>
            </w:r>
          </w:p>
        </w:tc>
      </w:tr>
      <w:tr w:rsidR="003016C4" w:rsidRPr="003016C4" w:rsidTr="003016C4">
        <w:trPr>
          <w:trHeight w:val="222"/>
        </w:trPr>
        <w:tc>
          <w:tcPr>
            <w:tcW w:w="2260"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ind w:firstLineChars="100" w:firstLine="150"/>
              <w:jc w:val="left"/>
              <w:rPr>
                <w:rFonts w:ascii="Arial" w:hAnsi="Arial" w:cs="Arial"/>
                <w:color w:val="000000"/>
                <w:sz w:val="15"/>
                <w:szCs w:val="15"/>
              </w:rPr>
            </w:pPr>
            <w:r w:rsidRPr="003016C4">
              <w:rPr>
                <w:rFonts w:ascii="Arial" w:hAnsi="Arial" w:cs="Arial"/>
                <w:color w:val="000000"/>
                <w:sz w:val="15"/>
                <w:szCs w:val="15"/>
              </w:rPr>
              <w:t>Other</w:t>
            </w:r>
          </w:p>
        </w:tc>
        <w:tc>
          <w:tcPr>
            <w:tcW w:w="1060" w:type="dxa"/>
            <w:tcBorders>
              <w:top w:val="nil"/>
              <w:left w:val="nil"/>
              <w:bottom w:val="nil"/>
              <w:right w:val="nil"/>
            </w:tcBorders>
            <w:shd w:val="clear" w:color="000000" w:fill="FFFFFF"/>
            <w:noWrap/>
            <w:vAlign w:val="bottom"/>
            <w:hideMark/>
          </w:tcPr>
          <w:p w:rsidR="003016C4" w:rsidRPr="003016C4" w:rsidRDefault="003016C4" w:rsidP="003016C4">
            <w:pPr>
              <w:spacing w:after="0" w:line="240" w:lineRule="auto"/>
              <w:jc w:val="right"/>
              <w:rPr>
                <w:rFonts w:ascii="Arial" w:hAnsi="Arial" w:cs="Arial"/>
                <w:color w:val="000000"/>
                <w:sz w:val="15"/>
                <w:szCs w:val="15"/>
              </w:rPr>
            </w:pPr>
            <w:r w:rsidRPr="003016C4">
              <w:rPr>
                <w:rFonts w:ascii="Arial" w:hAnsi="Arial" w:cs="Arial"/>
                <w:color w:val="000000"/>
                <w:sz w:val="15"/>
                <w:szCs w:val="15"/>
              </w:rPr>
              <w:t xml:space="preserve">54,029 </w:t>
            </w:r>
          </w:p>
        </w:tc>
        <w:tc>
          <w:tcPr>
            <w:tcW w:w="1060" w:type="dxa"/>
            <w:tcBorders>
              <w:top w:val="nil"/>
              <w:left w:val="nil"/>
              <w:bottom w:val="nil"/>
              <w:right w:val="nil"/>
            </w:tcBorders>
            <w:shd w:val="clear" w:color="000000" w:fill="E6E6E6"/>
            <w:noWrap/>
            <w:vAlign w:val="bottom"/>
            <w:hideMark/>
          </w:tcPr>
          <w:p w:rsidR="003016C4" w:rsidRPr="003016C4" w:rsidRDefault="003016C4" w:rsidP="003016C4">
            <w:pPr>
              <w:spacing w:after="0" w:line="240" w:lineRule="auto"/>
              <w:jc w:val="right"/>
              <w:rPr>
                <w:rFonts w:ascii="Arial" w:hAnsi="Arial" w:cs="Arial"/>
                <w:color w:val="000000"/>
                <w:sz w:val="15"/>
                <w:szCs w:val="15"/>
              </w:rPr>
            </w:pPr>
            <w:r w:rsidRPr="003016C4">
              <w:rPr>
                <w:rFonts w:ascii="Arial" w:hAnsi="Arial" w:cs="Arial"/>
                <w:color w:val="000000"/>
                <w:sz w:val="15"/>
                <w:szCs w:val="15"/>
              </w:rPr>
              <w:t xml:space="preserve">64,917 </w:t>
            </w:r>
          </w:p>
        </w:tc>
        <w:tc>
          <w:tcPr>
            <w:tcW w:w="1060" w:type="dxa"/>
            <w:tcBorders>
              <w:top w:val="nil"/>
              <w:left w:val="nil"/>
              <w:bottom w:val="nil"/>
              <w:right w:val="nil"/>
            </w:tcBorders>
            <w:shd w:val="clear" w:color="auto" w:fill="auto"/>
            <w:noWrap/>
            <w:vAlign w:val="bottom"/>
            <w:hideMark/>
          </w:tcPr>
          <w:p w:rsidR="003016C4" w:rsidRPr="003016C4" w:rsidRDefault="003016C4" w:rsidP="003016C4">
            <w:pPr>
              <w:spacing w:after="0" w:line="240" w:lineRule="auto"/>
              <w:jc w:val="right"/>
              <w:rPr>
                <w:rFonts w:ascii="Arial" w:hAnsi="Arial" w:cs="Arial"/>
                <w:color w:val="000000"/>
                <w:sz w:val="15"/>
                <w:szCs w:val="15"/>
              </w:rPr>
            </w:pPr>
            <w:r w:rsidRPr="003016C4">
              <w:rPr>
                <w:rFonts w:ascii="Arial" w:hAnsi="Arial" w:cs="Arial"/>
                <w:color w:val="000000"/>
                <w:sz w:val="15"/>
                <w:szCs w:val="15"/>
              </w:rPr>
              <w:t xml:space="preserve">69,093 </w:t>
            </w:r>
          </w:p>
        </w:tc>
        <w:tc>
          <w:tcPr>
            <w:tcW w:w="1060" w:type="dxa"/>
            <w:tcBorders>
              <w:top w:val="nil"/>
              <w:left w:val="nil"/>
              <w:bottom w:val="nil"/>
              <w:right w:val="nil"/>
            </w:tcBorders>
            <w:shd w:val="clear" w:color="000000" w:fill="FFFFFF"/>
            <w:noWrap/>
            <w:vAlign w:val="bottom"/>
            <w:hideMark/>
          </w:tcPr>
          <w:p w:rsidR="003016C4" w:rsidRPr="003016C4" w:rsidRDefault="003016C4" w:rsidP="003016C4">
            <w:pPr>
              <w:spacing w:after="0" w:line="240" w:lineRule="auto"/>
              <w:jc w:val="right"/>
              <w:rPr>
                <w:rFonts w:ascii="Arial" w:hAnsi="Arial" w:cs="Arial"/>
                <w:color w:val="000000"/>
                <w:sz w:val="15"/>
                <w:szCs w:val="15"/>
              </w:rPr>
            </w:pPr>
            <w:r w:rsidRPr="003016C4">
              <w:rPr>
                <w:rFonts w:ascii="Arial" w:hAnsi="Arial" w:cs="Arial"/>
                <w:color w:val="000000"/>
                <w:sz w:val="15"/>
                <w:szCs w:val="15"/>
              </w:rPr>
              <w:t xml:space="preserve">72,007 </w:t>
            </w:r>
          </w:p>
        </w:tc>
        <w:tc>
          <w:tcPr>
            <w:tcW w:w="1060" w:type="dxa"/>
            <w:tcBorders>
              <w:top w:val="nil"/>
              <w:left w:val="nil"/>
              <w:bottom w:val="nil"/>
              <w:right w:val="nil"/>
            </w:tcBorders>
            <w:shd w:val="clear" w:color="000000" w:fill="FFFFFF"/>
            <w:noWrap/>
            <w:vAlign w:val="bottom"/>
            <w:hideMark/>
          </w:tcPr>
          <w:p w:rsidR="003016C4" w:rsidRPr="003016C4" w:rsidRDefault="003016C4" w:rsidP="003016C4">
            <w:pPr>
              <w:spacing w:after="0" w:line="240" w:lineRule="auto"/>
              <w:jc w:val="right"/>
              <w:rPr>
                <w:rFonts w:ascii="Arial" w:hAnsi="Arial" w:cs="Arial"/>
                <w:color w:val="000000"/>
                <w:sz w:val="15"/>
                <w:szCs w:val="15"/>
              </w:rPr>
            </w:pPr>
            <w:r w:rsidRPr="003016C4">
              <w:rPr>
                <w:rFonts w:ascii="Arial" w:hAnsi="Arial" w:cs="Arial"/>
                <w:color w:val="000000"/>
                <w:sz w:val="15"/>
                <w:szCs w:val="15"/>
              </w:rPr>
              <w:t xml:space="preserve">74,146 </w:t>
            </w:r>
          </w:p>
        </w:tc>
      </w:tr>
      <w:tr w:rsidR="003016C4" w:rsidRPr="003016C4" w:rsidTr="003016C4">
        <w:trPr>
          <w:trHeight w:val="222"/>
        </w:trPr>
        <w:tc>
          <w:tcPr>
            <w:tcW w:w="2260"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jc w:val="left"/>
              <w:rPr>
                <w:rFonts w:ascii="Arial" w:hAnsi="Arial" w:cs="Arial"/>
                <w:b/>
                <w:bCs/>
                <w:color w:val="000000"/>
                <w:sz w:val="15"/>
                <w:szCs w:val="15"/>
              </w:rPr>
            </w:pPr>
            <w:r w:rsidRPr="003016C4">
              <w:rPr>
                <w:rFonts w:ascii="Arial" w:hAnsi="Arial" w:cs="Arial"/>
                <w:b/>
                <w:bCs/>
                <w:color w:val="000000"/>
                <w:sz w:val="15"/>
                <w:szCs w:val="15"/>
              </w:rPr>
              <w:t>Total cash used</w:t>
            </w:r>
          </w:p>
        </w:tc>
        <w:tc>
          <w:tcPr>
            <w:tcW w:w="1060" w:type="dxa"/>
            <w:tcBorders>
              <w:top w:val="single" w:sz="4" w:space="0" w:color="000000"/>
              <w:left w:val="nil"/>
              <w:bottom w:val="single" w:sz="4" w:space="0" w:color="000000"/>
              <w:right w:val="nil"/>
            </w:tcBorders>
            <w:shd w:val="clear" w:color="auto" w:fill="auto"/>
            <w:noWrap/>
            <w:vAlign w:val="bottom"/>
            <w:hideMark/>
          </w:tcPr>
          <w:p w:rsidR="003016C4" w:rsidRPr="003016C4" w:rsidRDefault="003016C4" w:rsidP="003016C4">
            <w:pPr>
              <w:spacing w:after="0" w:line="240" w:lineRule="auto"/>
              <w:jc w:val="right"/>
              <w:rPr>
                <w:rFonts w:ascii="Arial" w:hAnsi="Arial" w:cs="Arial"/>
                <w:b/>
                <w:bCs/>
                <w:color w:val="000000"/>
                <w:sz w:val="15"/>
                <w:szCs w:val="15"/>
              </w:rPr>
            </w:pPr>
            <w:r w:rsidRPr="003016C4">
              <w:rPr>
                <w:rFonts w:ascii="Arial" w:hAnsi="Arial" w:cs="Arial"/>
                <w:b/>
                <w:bCs/>
                <w:color w:val="000000"/>
                <w:sz w:val="15"/>
                <w:szCs w:val="15"/>
              </w:rPr>
              <w:t xml:space="preserve">402,413 </w:t>
            </w:r>
          </w:p>
        </w:tc>
        <w:tc>
          <w:tcPr>
            <w:tcW w:w="1060" w:type="dxa"/>
            <w:tcBorders>
              <w:top w:val="single" w:sz="4" w:space="0" w:color="000000"/>
              <w:left w:val="nil"/>
              <w:bottom w:val="single" w:sz="4" w:space="0" w:color="000000"/>
              <w:right w:val="nil"/>
            </w:tcBorders>
            <w:shd w:val="clear" w:color="000000" w:fill="E6E6E6"/>
            <w:noWrap/>
            <w:vAlign w:val="bottom"/>
            <w:hideMark/>
          </w:tcPr>
          <w:p w:rsidR="003016C4" w:rsidRPr="003016C4" w:rsidRDefault="003016C4" w:rsidP="003016C4">
            <w:pPr>
              <w:spacing w:after="0" w:line="240" w:lineRule="auto"/>
              <w:jc w:val="right"/>
              <w:rPr>
                <w:rFonts w:ascii="Arial" w:hAnsi="Arial" w:cs="Arial"/>
                <w:b/>
                <w:bCs/>
                <w:color w:val="000000"/>
                <w:sz w:val="15"/>
                <w:szCs w:val="15"/>
              </w:rPr>
            </w:pPr>
            <w:r w:rsidRPr="003016C4">
              <w:rPr>
                <w:rFonts w:ascii="Arial" w:hAnsi="Arial" w:cs="Arial"/>
                <w:b/>
                <w:bCs/>
                <w:color w:val="000000"/>
                <w:sz w:val="15"/>
                <w:szCs w:val="15"/>
              </w:rPr>
              <w:t xml:space="preserve">459,410 </w:t>
            </w:r>
          </w:p>
        </w:tc>
        <w:tc>
          <w:tcPr>
            <w:tcW w:w="1060" w:type="dxa"/>
            <w:tcBorders>
              <w:top w:val="single" w:sz="4" w:space="0" w:color="000000"/>
              <w:left w:val="nil"/>
              <w:bottom w:val="single" w:sz="4" w:space="0" w:color="000000"/>
              <w:right w:val="nil"/>
            </w:tcBorders>
            <w:shd w:val="clear" w:color="auto" w:fill="auto"/>
            <w:noWrap/>
            <w:vAlign w:val="bottom"/>
            <w:hideMark/>
          </w:tcPr>
          <w:p w:rsidR="003016C4" w:rsidRPr="003016C4" w:rsidRDefault="003016C4" w:rsidP="003016C4">
            <w:pPr>
              <w:spacing w:after="0" w:line="240" w:lineRule="auto"/>
              <w:jc w:val="right"/>
              <w:rPr>
                <w:rFonts w:ascii="Arial" w:hAnsi="Arial" w:cs="Arial"/>
                <w:b/>
                <w:bCs/>
                <w:color w:val="000000"/>
                <w:sz w:val="15"/>
                <w:szCs w:val="15"/>
              </w:rPr>
            </w:pPr>
            <w:r w:rsidRPr="003016C4">
              <w:rPr>
                <w:rFonts w:ascii="Arial" w:hAnsi="Arial" w:cs="Arial"/>
                <w:b/>
                <w:bCs/>
                <w:color w:val="000000"/>
                <w:sz w:val="15"/>
                <w:szCs w:val="15"/>
              </w:rPr>
              <w:t xml:space="preserve">482,551 </w:t>
            </w:r>
          </w:p>
        </w:tc>
        <w:tc>
          <w:tcPr>
            <w:tcW w:w="1060" w:type="dxa"/>
            <w:tcBorders>
              <w:top w:val="single" w:sz="4" w:space="0" w:color="000000"/>
              <w:left w:val="nil"/>
              <w:bottom w:val="single" w:sz="4" w:space="0" w:color="000000"/>
              <w:right w:val="nil"/>
            </w:tcBorders>
            <w:shd w:val="clear" w:color="auto" w:fill="auto"/>
            <w:noWrap/>
            <w:vAlign w:val="bottom"/>
            <w:hideMark/>
          </w:tcPr>
          <w:p w:rsidR="003016C4" w:rsidRPr="003016C4" w:rsidRDefault="003016C4" w:rsidP="003016C4">
            <w:pPr>
              <w:spacing w:after="0" w:line="240" w:lineRule="auto"/>
              <w:jc w:val="right"/>
              <w:rPr>
                <w:rFonts w:ascii="Arial" w:hAnsi="Arial" w:cs="Arial"/>
                <w:b/>
                <w:bCs/>
                <w:color w:val="000000"/>
                <w:sz w:val="15"/>
                <w:szCs w:val="15"/>
              </w:rPr>
            </w:pPr>
            <w:r w:rsidRPr="003016C4">
              <w:rPr>
                <w:rFonts w:ascii="Arial" w:hAnsi="Arial" w:cs="Arial"/>
                <w:b/>
                <w:bCs/>
                <w:color w:val="000000"/>
                <w:sz w:val="15"/>
                <w:szCs w:val="15"/>
              </w:rPr>
              <w:t xml:space="preserve">514,318 </w:t>
            </w:r>
          </w:p>
        </w:tc>
        <w:tc>
          <w:tcPr>
            <w:tcW w:w="1060" w:type="dxa"/>
            <w:tcBorders>
              <w:top w:val="single" w:sz="4" w:space="0" w:color="000000"/>
              <w:left w:val="nil"/>
              <w:bottom w:val="single" w:sz="4" w:space="0" w:color="000000"/>
              <w:right w:val="nil"/>
            </w:tcBorders>
            <w:shd w:val="clear" w:color="auto" w:fill="auto"/>
            <w:noWrap/>
            <w:vAlign w:val="bottom"/>
            <w:hideMark/>
          </w:tcPr>
          <w:p w:rsidR="003016C4" w:rsidRPr="003016C4" w:rsidRDefault="003016C4" w:rsidP="003016C4">
            <w:pPr>
              <w:spacing w:after="0" w:line="240" w:lineRule="auto"/>
              <w:jc w:val="right"/>
              <w:rPr>
                <w:rFonts w:ascii="Arial" w:hAnsi="Arial" w:cs="Arial"/>
                <w:b/>
                <w:bCs/>
                <w:color w:val="000000"/>
                <w:sz w:val="15"/>
                <w:szCs w:val="15"/>
              </w:rPr>
            </w:pPr>
            <w:r w:rsidRPr="003016C4">
              <w:rPr>
                <w:rFonts w:ascii="Arial" w:hAnsi="Arial" w:cs="Arial"/>
                <w:b/>
                <w:bCs/>
                <w:color w:val="000000"/>
                <w:sz w:val="15"/>
                <w:szCs w:val="15"/>
              </w:rPr>
              <w:t xml:space="preserve">548,039 </w:t>
            </w:r>
          </w:p>
        </w:tc>
      </w:tr>
      <w:tr w:rsidR="003016C4" w:rsidRPr="003016C4" w:rsidTr="003016C4">
        <w:trPr>
          <w:trHeight w:val="222"/>
        </w:trPr>
        <w:tc>
          <w:tcPr>
            <w:tcW w:w="2260" w:type="dxa"/>
            <w:tcBorders>
              <w:top w:val="nil"/>
              <w:left w:val="nil"/>
              <w:bottom w:val="nil"/>
              <w:right w:val="nil"/>
            </w:tcBorders>
            <w:shd w:val="clear" w:color="auto" w:fill="auto"/>
            <w:noWrap/>
            <w:vAlign w:val="bottom"/>
            <w:hideMark/>
          </w:tcPr>
          <w:p w:rsidR="003016C4" w:rsidRPr="003016C4" w:rsidRDefault="003016C4" w:rsidP="003016C4">
            <w:pPr>
              <w:spacing w:after="0" w:line="240" w:lineRule="auto"/>
              <w:jc w:val="left"/>
              <w:rPr>
                <w:rFonts w:ascii="Arial" w:hAnsi="Arial" w:cs="Arial"/>
                <w:b/>
                <w:bCs/>
                <w:color w:val="000000"/>
                <w:sz w:val="15"/>
                <w:szCs w:val="15"/>
              </w:rPr>
            </w:pPr>
            <w:r w:rsidRPr="003016C4">
              <w:rPr>
                <w:rFonts w:ascii="Arial" w:hAnsi="Arial" w:cs="Arial"/>
                <w:b/>
                <w:bCs/>
                <w:color w:val="000000"/>
                <w:sz w:val="15"/>
                <w:szCs w:val="15"/>
              </w:rPr>
              <w:t xml:space="preserve">Net cash from/(used by) </w:t>
            </w:r>
          </w:p>
        </w:tc>
        <w:tc>
          <w:tcPr>
            <w:tcW w:w="1060" w:type="dxa"/>
            <w:tcBorders>
              <w:top w:val="nil"/>
              <w:left w:val="nil"/>
              <w:bottom w:val="nil"/>
              <w:right w:val="nil"/>
            </w:tcBorders>
            <w:shd w:val="clear" w:color="auto" w:fill="auto"/>
            <w:noWrap/>
            <w:vAlign w:val="bottom"/>
            <w:hideMark/>
          </w:tcPr>
          <w:p w:rsidR="003016C4" w:rsidRPr="003016C4" w:rsidRDefault="003016C4" w:rsidP="003016C4">
            <w:pPr>
              <w:spacing w:after="0" w:line="240" w:lineRule="auto"/>
              <w:jc w:val="left"/>
              <w:rPr>
                <w:rFonts w:ascii="Arial" w:hAnsi="Arial" w:cs="Arial"/>
                <w:b/>
                <w:bCs/>
                <w:color w:val="000000"/>
                <w:sz w:val="15"/>
                <w:szCs w:val="15"/>
              </w:rPr>
            </w:pPr>
            <w:r w:rsidRPr="003016C4">
              <w:rPr>
                <w:rFonts w:ascii="Arial" w:hAnsi="Arial" w:cs="Arial"/>
                <w:b/>
                <w:bCs/>
                <w:color w:val="000000"/>
                <w:sz w:val="15"/>
                <w:szCs w:val="15"/>
              </w:rPr>
              <w:t> </w:t>
            </w:r>
          </w:p>
        </w:tc>
        <w:tc>
          <w:tcPr>
            <w:tcW w:w="1060" w:type="dxa"/>
            <w:tcBorders>
              <w:top w:val="nil"/>
              <w:left w:val="nil"/>
              <w:bottom w:val="nil"/>
              <w:right w:val="nil"/>
            </w:tcBorders>
            <w:shd w:val="clear" w:color="000000" w:fill="E6E6E6"/>
            <w:noWrap/>
            <w:vAlign w:val="bottom"/>
            <w:hideMark/>
          </w:tcPr>
          <w:p w:rsidR="003016C4" w:rsidRPr="003016C4" w:rsidRDefault="003016C4" w:rsidP="003016C4">
            <w:pPr>
              <w:spacing w:after="0" w:line="240" w:lineRule="auto"/>
              <w:jc w:val="left"/>
              <w:rPr>
                <w:rFonts w:ascii="Arial" w:hAnsi="Arial" w:cs="Arial"/>
                <w:color w:val="000000"/>
                <w:sz w:val="15"/>
                <w:szCs w:val="15"/>
              </w:rPr>
            </w:pPr>
            <w:r w:rsidRPr="003016C4">
              <w:rPr>
                <w:rFonts w:ascii="Arial" w:hAnsi="Arial" w:cs="Arial"/>
                <w:color w:val="000000"/>
                <w:sz w:val="15"/>
                <w:szCs w:val="15"/>
              </w:rPr>
              <w:t> </w:t>
            </w:r>
          </w:p>
        </w:tc>
        <w:tc>
          <w:tcPr>
            <w:tcW w:w="1060" w:type="dxa"/>
            <w:tcBorders>
              <w:top w:val="nil"/>
              <w:left w:val="nil"/>
              <w:bottom w:val="nil"/>
              <w:right w:val="nil"/>
            </w:tcBorders>
            <w:shd w:val="clear" w:color="auto" w:fill="auto"/>
            <w:noWrap/>
            <w:vAlign w:val="bottom"/>
            <w:hideMark/>
          </w:tcPr>
          <w:p w:rsidR="003016C4" w:rsidRPr="003016C4" w:rsidRDefault="003016C4" w:rsidP="003016C4">
            <w:pPr>
              <w:spacing w:after="0" w:line="240" w:lineRule="auto"/>
              <w:jc w:val="left"/>
              <w:rPr>
                <w:rFonts w:ascii="Arial" w:hAnsi="Arial" w:cs="Arial"/>
                <w:b/>
                <w:bCs/>
                <w:color w:val="000000"/>
                <w:sz w:val="15"/>
                <w:szCs w:val="15"/>
              </w:rPr>
            </w:pPr>
            <w:r w:rsidRPr="003016C4">
              <w:rPr>
                <w:rFonts w:ascii="Arial" w:hAnsi="Arial" w:cs="Arial"/>
                <w:b/>
                <w:bCs/>
                <w:color w:val="000000"/>
                <w:sz w:val="15"/>
                <w:szCs w:val="15"/>
              </w:rPr>
              <w:t> </w:t>
            </w:r>
          </w:p>
        </w:tc>
        <w:tc>
          <w:tcPr>
            <w:tcW w:w="1060" w:type="dxa"/>
            <w:tcBorders>
              <w:top w:val="nil"/>
              <w:left w:val="nil"/>
              <w:bottom w:val="nil"/>
              <w:right w:val="nil"/>
            </w:tcBorders>
            <w:shd w:val="clear" w:color="auto" w:fill="auto"/>
            <w:noWrap/>
            <w:vAlign w:val="bottom"/>
            <w:hideMark/>
          </w:tcPr>
          <w:p w:rsidR="003016C4" w:rsidRPr="003016C4" w:rsidRDefault="003016C4" w:rsidP="003016C4">
            <w:pPr>
              <w:spacing w:after="0" w:line="240" w:lineRule="auto"/>
              <w:jc w:val="left"/>
              <w:rPr>
                <w:rFonts w:ascii="Arial" w:hAnsi="Arial" w:cs="Arial"/>
                <w:b/>
                <w:bCs/>
                <w:color w:val="000000"/>
                <w:sz w:val="15"/>
                <w:szCs w:val="15"/>
              </w:rPr>
            </w:pPr>
            <w:r w:rsidRPr="003016C4">
              <w:rPr>
                <w:rFonts w:ascii="Arial" w:hAnsi="Arial" w:cs="Arial"/>
                <w:b/>
                <w:bCs/>
                <w:color w:val="000000"/>
                <w:sz w:val="15"/>
                <w:szCs w:val="15"/>
              </w:rPr>
              <w:t> </w:t>
            </w:r>
          </w:p>
        </w:tc>
        <w:tc>
          <w:tcPr>
            <w:tcW w:w="1060" w:type="dxa"/>
            <w:tcBorders>
              <w:top w:val="nil"/>
              <w:left w:val="nil"/>
              <w:bottom w:val="nil"/>
              <w:right w:val="nil"/>
            </w:tcBorders>
            <w:shd w:val="clear" w:color="auto" w:fill="auto"/>
            <w:noWrap/>
            <w:vAlign w:val="bottom"/>
            <w:hideMark/>
          </w:tcPr>
          <w:p w:rsidR="003016C4" w:rsidRPr="003016C4" w:rsidRDefault="003016C4" w:rsidP="003016C4">
            <w:pPr>
              <w:spacing w:after="0" w:line="240" w:lineRule="auto"/>
              <w:jc w:val="left"/>
              <w:rPr>
                <w:rFonts w:ascii="Arial" w:hAnsi="Arial" w:cs="Arial"/>
                <w:b/>
                <w:bCs/>
                <w:color w:val="000000"/>
                <w:sz w:val="15"/>
                <w:szCs w:val="15"/>
              </w:rPr>
            </w:pPr>
            <w:r w:rsidRPr="003016C4">
              <w:rPr>
                <w:rFonts w:ascii="Arial" w:hAnsi="Arial" w:cs="Arial"/>
                <w:b/>
                <w:bCs/>
                <w:color w:val="000000"/>
                <w:sz w:val="15"/>
                <w:szCs w:val="15"/>
              </w:rPr>
              <w:t> </w:t>
            </w:r>
          </w:p>
        </w:tc>
      </w:tr>
      <w:tr w:rsidR="003016C4" w:rsidRPr="003016C4" w:rsidTr="003016C4">
        <w:trPr>
          <w:trHeight w:val="222"/>
        </w:trPr>
        <w:tc>
          <w:tcPr>
            <w:tcW w:w="2260" w:type="dxa"/>
            <w:tcBorders>
              <w:top w:val="nil"/>
              <w:left w:val="nil"/>
              <w:bottom w:val="nil"/>
              <w:right w:val="nil"/>
            </w:tcBorders>
            <w:shd w:val="clear" w:color="auto" w:fill="auto"/>
            <w:noWrap/>
            <w:vAlign w:val="bottom"/>
            <w:hideMark/>
          </w:tcPr>
          <w:p w:rsidR="003016C4" w:rsidRPr="003016C4" w:rsidRDefault="003016C4" w:rsidP="003016C4">
            <w:pPr>
              <w:spacing w:after="0" w:line="240" w:lineRule="auto"/>
              <w:ind w:firstLineChars="100" w:firstLine="151"/>
              <w:jc w:val="left"/>
              <w:rPr>
                <w:rFonts w:ascii="Arial" w:hAnsi="Arial" w:cs="Arial"/>
                <w:b/>
                <w:bCs/>
                <w:color w:val="000000"/>
                <w:sz w:val="15"/>
                <w:szCs w:val="15"/>
              </w:rPr>
            </w:pPr>
            <w:r w:rsidRPr="003016C4">
              <w:rPr>
                <w:rFonts w:ascii="Arial" w:hAnsi="Arial" w:cs="Arial"/>
                <w:b/>
                <w:bCs/>
                <w:color w:val="000000"/>
                <w:sz w:val="15"/>
                <w:szCs w:val="15"/>
              </w:rPr>
              <w:t>operating activities</w:t>
            </w:r>
          </w:p>
        </w:tc>
        <w:tc>
          <w:tcPr>
            <w:tcW w:w="1060" w:type="dxa"/>
            <w:tcBorders>
              <w:top w:val="nil"/>
              <w:left w:val="nil"/>
              <w:bottom w:val="single" w:sz="4" w:space="0" w:color="000000"/>
              <w:right w:val="nil"/>
            </w:tcBorders>
            <w:shd w:val="clear" w:color="auto" w:fill="auto"/>
            <w:noWrap/>
            <w:vAlign w:val="bottom"/>
            <w:hideMark/>
          </w:tcPr>
          <w:p w:rsidR="003016C4" w:rsidRPr="003016C4" w:rsidRDefault="003016C4" w:rsidP="003016C4">
            <w:pPr>
              <w:spacing w:after="0" w:line="240" w:lineRule="auto"/>
              <w:jc w:val="right"/>
              <w:rPr>
                <w:rFonts w:ascii="Arial" w:hAnsi="Arial" w:cs="Arial"/>
                <w:b/>
                <w:bCs/>
                <w:color w:val="000000"/>
                <w:sz w:val="15"/>
                <w:szCs w:val="15"/>
              </w:rPr>
            </w:pPr>
            <w:r w:rsidRPr="003016C4">
              <w:rPr>
                <w:rFonts w:ascii="Arial" w:hAnsi="Arial" w:cs="Arial"/>
                <w:b/>
                <w:bCs/>
                <w:color w:val="000000"/>
                <w:sz w:val="15"/>
                <w:szCs w:val="15"/>
              </w:rPr>
              <w:t xml:space="preserve">2,879,040 </w:t>
            </w:r>
          </w:p>
        </w:tc>
        <w:tc>
          <w:tcPr>
            <w:tcW w:w="1060" w:type="dxa"/>
            <w:tcBorders>
              <w:top w:val="nil"/>
              <w:left w:val="nil"/>
              <w:bottom w:val="single" w:sz="4" w:space="0" w:color="000000"/>
              <w:right w:val="nil"/>
            </w:tcBorders>
            <w:shd w:val="clear" w:color="000000" w:fill="E6E6E6"/>
            <w:noWrap/>
            <w:vAlign w:val="bottom"/>
            <w:hideMark/>
          </w:tcPr>
          <w:p w:rsidR="003016C4" w:rsidRPr="003016C4" w:rsidRDefault="003016C4" w:rsidP="003016C4">
            <w:pPr>
              <w:spacing w:after="0" w:line="240" w:lineRule="auto"/>
              <w:jc w:val="right"/>
              <w:rPr>
                <w:rFonts w:ascii="Arial" w:hAnsi="Arial" w:cs="Arial"/>
                <w:b/>
                <w:bCs/>
                <w:color w:val="000000"/>
                <w:sz w:val="15"/>
                <w:szCs w:val="15"/>
              </w:rPr>
            </w:pPr>
            <w:r w:rsidRPr="003016C4">
              <w:rPr>
                <w:rFonts w:ascii="Arial" w:hAnsi="Arial" w:cs="Arial"/>
                <w:b/>
                <w:bCs/>
                <w:color w:val="000000"/>
                <w:sz w:val="15"/>
                <w:szCs w:val="15"/>
              </w:rPr>
              <w:t xml:space="preserve">3,347,957 </w:t>
            </w:r>
          </w:p>
        </w:tc>
        <w:tc>
          <w:tcPr>
            <w:tcW w:w="1060" w:type="dxa"/>
            <w:tcBorders>
              <w:top w:val="nil"/>
              <w:left w:val="nil"/>
              <w:bottom w:val="single" w:sz="4" w:space="0" w:color="000000"/>
              <w:right w:val="nil"/>
            </w:tcBorders>
            <w:shd w:val="clear" w:color="auto" w:fill="auto"/>
            <w:noWrap/>
            <w:vAlign w:val="bottom"/>
            <w:hideMark/>
          </w:tcPr>
          <w:p w:rsidR="003016C4" w:rsidRPr="003016C4" w:rsidRDefault="003016C4" w:rsidP="003016C4">
            <w:pPr>
              <w:spacing w:after="0" w:line="240" w:lineRule="auto"/>
              <w:jc w:val="right"/>
              <w:rPr>
                <w:rFonts w:ascii="Arial" w:hAnsi="Arial" w:cs="Arial"/>
                <w:b/>
                <w:bCs/>
                <w:color w:val="000000"/>
                <w:sz w:val="15"/>
                <w:szCs w:val="15"/>
              </w:rPr>
            </w:pPr>
            <w:r w:rsidRPr="003016C4">
              <w:rPr>
                <w:rFonts w:ascii="Arial" w:hAnsi="Arial" w:cs="Arial"/>
                <w:b/>
                <w:bCs/>
                <w:color w:val="000000"/>
                <w:sz w:val="15"/>
                <w:szCs w:val="15"/>
              </w:rPr>
              <w:t xml:space="preserve">3,694,259 </w:t>
            </w:r>
          </w:p>
        </w:tc>
        <w:tc>
          <w:tcPr>
            <w:tcW w:w="1060" w:type="dxa"/>
            <w:tcBorders>
              <w:top w:val="nil"/>
              <w:left w:val="nil"/>
              <w:bottom w:val="single" w:sz="4" w:space="0" w:color="000000"/>
              <w:right w:val="nil"/>
            </w:tcBorders>
            <w:shd w:val="clear" w:color="auto" w:fill="auto"/>
            <w:noWrap/>
            <w:vAlign w:val="bottom"/>
            <w:hideMark/>
          </w:tcPr>
          <w:p w:rsidR="003016C4" w:rsidRPr="003016C4" w:rsidRDefault="003016C4" w:rsidP="003016C4">
            <w:pPr>
              <w:spacing w:after="0" w:line="240" w:lineRule="auto"/>
              <w:jc w:val="right"/>
              <w:rPr>
                <w:rFonts w:ascii="Arial" w:hAnsi="Arial" w:cs="Arial"/>
                <w:b/>
                <w:bCs/>
                <w:color w:val="000000"/>
                <w:sz w:val="15"/>
                <w:szCs w:val="15"/>
              </w:rPr>
            </w:pPr>
            <w:r w:rsidRPr="003016C4">
              <w:rPr>
                <w:rFonts w:ascii="Arial" w:hAnsi="Arial" w:cs="Arial"/>
                <w:b/>
                <w:bCs/>
                <w:color w:val="000000"/>
                <w:sz w:val="15"/>
                <w:szCs w:val="15"/>
              </w:rPr>
              <w:t xml:space="preserve">3,963,228 </w:t>
            </w:r>
          </w:p>
        </w:tc>
        <w:tc>
          <w:tcPr>
            <w:tcW w:w="1060" w:type="dxa"/>
            <w:tcBorders>
              <w:top w:val="nil"/>
              <w:left w:val="nil"/>
              <w:bottom w:val="single" w:sz="4" w:space="0" w:color="000000"/>
              <w:right w:val="nil"/>
            </w:tcBorders>
            <w:shd w:val="clear" w:color="auto" w:fill="auto"/>
            <w:noWrap/>
            <w:vAlign w:val="bottom"/>
            <w:hideMark/>
          </w:tcPr>
          <w:p w:rsidR="003016C4" w:rsidRPr="003016C4" w:rsidRDefault="003016C4" w:rsidP="003016C4">
            <w:pPr>
              <w:spacing w:after="0" w:line="240" w:lineRule="auto"/>
              <w:jc w:val="right"/>
              <w:rPr>
                <w:rFonts w:ascii="Arial" w:hAnsi="Arial" w:cs="Arial"/>
                <w:b/>
                <w:bCs/>
                <w:color w:val="000000"/>
                <w:sz w:val="15"/>
                <w:szCs w:val="15"/>
              </w:rPr>
            </w:pPr>
            <w:r w:rsidRPr="003016C4">
              <w:rPr>
                <w:rFonts w:ascii="Arial" w:hAnsi="Arial" w:cs="Arial"/>
                <w:b/>
                <w:bCs/>
                <w:color w:val="000000"/>
                <w:sz w:val="15"/>
                <w:szCs w:val="15"/>
              </w:rPr>
              <w:t xml:space="preserve">4,260,869 </w:t>
            </w:r>
          </w:p>
        </w:tc>
      </w:tr>
      <w:tr w:rsidR="003016C4" w:rsidRPr="003016C4" w:rsidTr="003016C4">
        <w:trPr>
          <w:trHeight w:val="222"/>
        </w:trPr>
        <w:tc>
          <w:tcPr>
            <w:tcW w:w="2260"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jc w:val="left"/>
              <w:rPr>
                <w:rFonts w:ascii="Arial" w:hAnsi="Arial" w:cs="Arial"/>
                <w:b/>
                <w:bCs/>
                <w:color w:val="000000"/>
                <w:sz w:val="15"/>
                <w:szCs w:val="15"/>
              </w:rPr>
            </w:pPr>
            <w:r w:rsidRPr="003016C4">
              <w:rPr>
                <w:rFonts w:ascii="Arial" w:hAnsi="Arial" w:cs="Arial"/>
                <w:b/>
                <w:bCs/>
                <w:color w:val="000000"/>
                <w:sz w:val="15"/>
                <w:szCs w:val="15"/>
              </w:rPr>
              <w:t>INVESTING ACTIVITIES</w:t>
            </w:r>
          </w:p>
        </w:tc>
        <w:tc>
          <w:tcPr>
            <w:tcW w:w="1060" w:type="dxa"/>
            <w:tcBorders>
              <w:top w:val="nil"/>
              <w:left w:val="nil"/>
              <w:bottom w:val="nil"/>
              <w:right w:val="nil"/>
            </w:tcBorders>
            <w:shd w:val="clear" w:color="auto" w:fill="auto"/>
            <w:noWrap/>
            <w:vAlign w:val="bottom"/>
            <w:hideMark/>
          </w:tcPr>
          <w:p w:rsidR="003016C4" w:rsidRPr="003016C4" w:rsidRDefault="003016C4" w:rsidP="003016C4">
            <w:pPr>
              <w:spacing w:after="0" w:line="240" w:lineRule="auto"/>
              <w:jc w:val="left"/>
              <w:rPr>
                <w:rFonts w:ascii="Arial" w:hAnsi="Arial" w:cs="Arial"/>
                <w:color w:val="000000"/>
                <w:sz w:val="15"/>
                <w:szCs w:val="15"/>
              </w:rPr>
            </w:pPr>
          </w:p>
        </w:tc>
        <w:tc>
          <w:tcPr>
            <w:tcW w:w="1060" w:type="dxa"/>
            <w:tcBorders>
              <w:top w:val="nil"/>
              <w:left w:val="nil"/>
              <w:bottom w:val="nil"/>
              <w:right w:val="nil"/>
            </w:tcBorders>
            <w:shd w:val="clear" w:color="000000" w:fill="E6E6E6"/>
            <w:noWrap/>
            <w:vAlign w:val="bottom"/>
            <w:hideMark/>
          </w:tcPr>
          <w:p w:rsidR="003016C4" w:rsidRPr="003016C4" w:rsidRDefault="003016C4" w:rsidP="003016C4">
            <w:pPr>
              <w:spacing w:after="0" w:line="240" w:lineRule="auto"/>
              <w:jc w:val="left"/>
              <w:rPr>
                <w:rFonts w:ascii="Arial" w:hAnsi="Arial" w:cs="Arial"/>
                <w:color w:val="000000"/>
                <w:sz w:val="15"/>
                <w:szCs w:val="15"/>
              </w:rPr>
            </w:pPr>
            <w:r w:rsidRPr="003016C4">
              <w:rPr>
                <w:rFonts w:ascii="Arial" w:hAnsi="Arial" w:cs="Arial"/>
                <w:color w:val="000000"/>
                <w:sz w:val="15"/>
                <w:szCs w:val="15"/>
              </w:rPr>
              <w:t> </w:t>
            </w:r>
          </w:p>
        </w:tc>
        <w:tc>
          <w:tcPr>
            <w:tcW w:w="1060" w:type="dxa"/>
            <w:tcBorders>
              <w:top w:val="nil"/>
              <w:left w:val="nil"/>
              <w:bottom w:val="nil"/>
              <w:right w:val="nil"/>
            </w:tcBorders>
            <w:shd w:val="clear" w:color="auto" w:fill="auto"/>
            <w:noWrap/>
            <w:vAlign w:val="bottom"/>
            <w:hideMark/>
          </w:tcPr>
          <w:p w:rsidR="003016C4" w:rsidRPr="003016C4" w:rsidRDefault="003016C4" w:rsidP="003016C4">
            <w:pPr>
              <w:spacing w:after="0" w:line="240" w:lineRule="auto"/>
              <w:jc w:val="left"/>
              <w:rPr>
                <w:rFonts w:ascii="Arial" w:hAnsi="Arial" w:cs="Arial"/>
                <w:color w:val="000000"/>
                <w:sz w:val="15"/>
                <w:szCs w:val="15"/>
              </w:rPr>
            </w:pPr>
          </w:p>
        </w:tc>
        <w:tc>
          <w:tcPr>
            <w:tcW w:w="1060" w:type="dxa"/>
            <w:tcBorders>
              <w:top w:val="nil"/>
              <w:left w:val="nil"/>
              <w:bottom w:val="nil"/>
              <w:right w:val="nil"/>
            </w:tcBorders>
            <w:shd w:val="clear" w:color="auto" w:fill="auto"/>
            <w:noWrap/>
            <w:vAlign w:val="bottom"/>
            <w:hideMark/>
          </w:tcPr>
          <w:p w:rsidR="003016C4" w:rsidRPr="003016C4" w:rsidRDefault="003016C4" w:rsidP="003016C4">
            <w:pPr>
              <w:spacing w:after="0" w:line="240" w:lineRule="auto"/>
              <w:jc w:val="left"/>
              <w:rPr>
                <w:rFonts w:ascii="Arial" w:hAnsi="Arial" w:cs="Arial"/>
                <w:color w:val="000000"/>
                <w:sz w:val="15"/>
                <w:szCs w:val="15"/>
              </w:rPr>
            </w:pPr>
          </w:p>
        </w:tc>
        <w:tc>
          <w:tcPr>
            <w:tcW w:w="1060" w:type="dxa"/>
            <w:tcBorders>
              <w:top w:val="nil"/>
              <w:left w:val="nil"/>
              <w:bottom w:val="nil"/>
              <w:right w:val="nil"/>
            </w:tcBorders>
            <w:shd w:val="clear" w:color="auto" w:fill="auto"/>
            <w:noWrap/>
            <w:vAlign w:val="bottom"/>
            <w:hideMark/>
          </w:tcPr>
          <w:p w:rsidR="003016C4" w:rsidRPr="003016C4" w:rsidRDefault="003016C4" w:rsidP="003016C4">
            <w:pPr>
              <w:spacing w:after="0" w:line="240" w:lineRule="auto"/>
              <w:jc w:val="left"/>
              <w:rPr>
                <w:rFonts w:ascii="Arial" w:hAnsi="Arial" w:cs="Arial"/>
                <w:color w:val="000000"/>
                <w:sz w:val="15"/>
                <w:szCs w:val="15"/>
              </w:rPr>
            </w:pPr>
          </w:p>
        </w:tc>
      </w:tr>
      <w:tr w:rsidR="003016C4" w:rsidRPr="003016C4" w:rsidTr="003016C4">
        <w:trPr>
          <w:trHeight w:val="222"/>
        </w:trPr>
        <w:tc>
          <w:tcPr>
            <w:tcW w:w="2260"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jc w:val="left"/>
              <w:rPr>
                <w:rFonts w:ascii="Arial" w:hAnsi="Arial" w:cs="Arial"/>
                <w:b/>
                <w:bCs/>
                <w:color w:val="000000"/>
                <w:sz w:val="15"/>
                <w:szCs w:val="15"/>
              </w:rPr>
            </w:pPr>
            <w:r w:rsidRPr="003016C4">
              <w:rPr>
                <w:rFonts w:ascii="Arial" w:hAnsi="Arial" w:cs="Arial"/>
                <w:b/>
                <w:bCs/>
                <w:color w:val="000000"/>
                <w:sz w:val="15"/>
                <w:szCs w:val="15"/>
              </w:rPr>
              <w:t>Cash received</w:t>
            </w:r>
          </w:p>
        </w:tc>
        <w:tc>
          <w:tcPr>
            <w:tcW w:w="1060" w:type="dxa"/>
            <w:tcBorders>
              <w:top w:val="nil"/>
              <w:left w:val="nil"/>
              <w:bottom w:val="nil"/>
              <w:right w:val="nil"/>
            </w:tcBorders>
            <w:shd w:val="clear" w:color="auto" w:fill="auto"/>
            <w:noWrap/>
            <w:vAlign w:val="bottom"/>
            <w:hideMark/>
          </w:tcPr>
          <w:p w:rsidR="003016C4" w:rsidRPr="003016C4" w:rsidRDefault="003016C4" w:rsidP="003016C4">
            <w:pPr>
              <w:spacing w:after="0" w:line="240" w:lineRule="auto"/>
              <w:jc w:val="left"/>
              <w:rPr>
                <w:rFonts w:ascii="Arial" w:hAnsi="Arial" w:cs="Arial"/>
                <w:color w:val="000000"/>
                <w:sz w:val="15"/>
                <w:szCs w:val="15"/>
              </w:rPr>
            </w:pPr>
          </w:p>
        </w:tc>
        <w:tc>
          <w:tcPr>
            <w:tcW w:w="1060" w:type="dxa"/>
            <w:tcBorders>
              <w:top w:val="nil"/>
              <w:left w:val="nil"/>
              <w:bottom w:val="nil"/>
              <w:right w:val="nil"/>
            </w:tcBorders>
            <w:shd w:val="clear" w:color="000000" w:fill="E6E6E6"/>
            <w:noWrap/>
            <w:vAlign w:val="bottom"/>
            <w:hideMark/>
          </w:tcPr>
          <w:p w:rsidR="003016C4" w:rsidRPr="003016C4" w:rsidRDefault="003016C4" w:rsidP="003016C4">
            <w:pPr>
              <w:spacing w:after="0" w:line="240" w:lineRule="auto"/>
              <w:jc w:val="left"/>
              <w:rPr>
                <w:rFonts w:ascii="Arial" w:hAnsi="Arial" w:cs="Arial"/>
                <w:color w:val="000000"/>
                <w:sz w:val="15"/>
                <w:szCs w:val="15"/>
              </w:rPr>
            </w:pPr>
            <w:r w:rsidRPr="003016C4">
              <w:rPr>
                <w:rFonts w:ascii="Arial" w:hAnsi="Arial" w:cs="Arial"/>
                <w:color w:val="000000"/>
                <w:sz w:val="15"/>
                <w:szCs w:val="15"/>
              </w:rPr>
              <w:t> </w:t>
            </w:r>
          </w:p>
        </w:tc>
        <w:tc>
          <w:tcPr>
            <w:tcW w:w="1060" w:type="dxa"/>
            <w:tcBorders>
              <w:top w:val="nil"/>
              <w:left w:val="nil"/>
              <w:bottom w:val="nil"/>
              <w:right w:val="nil"/>
            </w:tcBorders>
            <w:shd w:val="clear" w:color="auto" w:fill="auto"/>
            <w:noWrap/>
            <w:vAlign w:val="bottom"/>
            <w:hideMark/>
          </w:tcPr>
          <w:p w:rsidR="003016C4" w:rsidRPr="003016C4" w:rsidRDefault="003016C4" w:rsidP="003016C4">
            <w:pPr>
              <w:spacing w:after="0" w:line="240" w:lineRule="auto"/>
              <w:jc w:val="left"/>
              <w:rPr>
                <w:rFonts w:ascii="Arial" w:hAnsi="Arial" w:cs="Arial"/>
                <w:color w:val="000000"/>
                <w:sz w:val="15"/>
                <w:szCs w:val="15"/>
              </w:rPr>
            </w:pPr>
          </w:p>
        </w:tc>
        <w:tc>
          <w:tcPr>
            <w:tcW w:w="1060" w:type="dxa"/>
            <w:tcBorders>
              <w:top w:val="nil"/>
              <w:left w:val="nil"/>
              <w:bottom w:val="nil"/>
              <w:right w:val="nil"/>
            </w:tcBorders>
            <w:shd w:val="clear" w:color="auto" w:fill="auto"/>
            <w:noWrap/>
            <w:vAlign w:val="bottom"/>
            <w:hideMark/>
          </w:tcPr>
          <w:p w:rsidR="003016C4" w:rsidRPr="003016C4" w:rsidRDefault="003016C4" w:rsidP="003016C4">
            <w:pPr>
              <w:spacing w:after="0" w:line="240" w:lineRule="auto"/>
              <w:jc w:val="left"/>
              <w:rPr>
                <w:rFonts w:ascii="Arial" w:hAnsi="Arial" w:cs="Arial"/>
                <w:color w:val="000000"/>
                <w:sz w:val="15"/>
                <w:szCs w:val="15"/>
              </w:rPr>
            </w:pPr>
          </w:p>
        </w:tc>
        <w:tc>
          <w:tcPr>
            <w:tcW w:w="1060" w:type="dxa"/>
            <w:tcBorders>
              <w:top w:val="nil"/>
              <w:left w:val="nil"/>
              <w:bottom w:val="nil"/>
              <w:right w:val="nil"/>
            </w:tcBorders>
            <w:shd w:val="clear" w:color="auto" w:fill="auto"/>
            <w:noWrap/>
            <w:vAlign w:val="bottom"/>
            <w:hideMark/>
          </w:tcPr>
          <w:p w:rsidR="003016C4" w:rsidRPr="003016C4" w:rsidRDefault="003016C4" w:rsidP="003016C4">
            <w:pPr>
              <w:spacing w:after="0" w:line="240" w:lineRule="auto"/>
              <w:jc w:val="left"/>
              <w:rPr>
                <w:rFonts w:ascii="Arial" w:hAnsi="Arial" w:cs="Arial"/>
                <w:color w:val="000000"/>
                <w:sz w:val="15"/>
                <w:szCs w:val="15"/>
              </w:rPr>
            </w:pPr>
          </w:p>
        </w:tc>
      </w:tr>
      <w:tr w:rsidR="003016C4" w:rsidRPr="003016C4" w:rsidTr="003016C4">
        <w:trPr>
          <w:trHeight w:val="222"/>
        </w:trPr>
        <w:tc>
          <w:tcPr>
            <w:tcW w:w="2260" w:type="dxa"/>
            <w:tcBorders>
              <w:top w:val="nil"/>
              <w:left w:val="nil"/>
              <w:bottom w:val="nil"/>
              <w:right w:val="nil"/>
            </w:tcBorders>
            <w:shd w:val="clear" w:color="auto" w:fill="auto"/>
            <w:noWrap/>
            <w:vAlign w:val="bottom"/>
            <w:hideMark/>
          </w:tcPr>
          <w:p w:rsidR="003016C4" w:rsidRPr="003016C4" w:rsidRDefault="003016C4" w:rsidP="003016C4">
            <w:pPr>
              <w:spacing w:after="0" w:line="240" w:lineRule="auto"/>
              <w:ind w:firstLineChars="100" w:firstLine="150"/>
              <w:jc w:val="left"/>
              <w:rPr>
                <w:rFonts w:ascii="Arial" w:hAnsi="Arial" w:cs="Arial"/>
                <w:color w:val="000000"/>
                <w:sz w:val="15"/>
                <w:szCs w:val="15"/>
              </w:rPr>
            </w:pPr>
            <w:r w:rsidRPr="003016C4">
              <w:rPr>
                <w:rFonts w:ascii="Arial" w:hAnsi="Arial" w:cs="Arial"/>
                <w:color w:val="000000"/>
                <w:sz w:val="15"/>
                <w:szCs w:val="15"/>
              </w:rPr>
              <w:t xml:space="preserve">Proceeds from sales </w:t>
            </w:r>
          </w:p>
        </w:tc>
        <w:tc>
          <w:tcPr>
            <w:tcW w:w="1060" w:type="dxa"/>
            <w:tcBorders>
              <w:top w:val="nil"/>
              <w:left w:val="nil"/>
              <w:bottom w:val="nil"/>
              <w:right w:val="nil"/>
            </w:tcBorders>
            <w:shd w:val="clear" w:color="auto" w:fill="auto"/>
            <w:noWrap/>
            <w:vAlign w:val="bottom"/>
            <w:hideMark/>
          </w:tcPr>
          <w:p w:rsidR="003016C4" w:rsidRPr="003016C4" w:rsidRDefault="003016C4" w:rsidP="003016C4">
            <w:pPr>
              <w:spacing w:after="0" w:line="240" w:lineRule="auto"/>
              <w:jc w:val="left"/>
              <w:rPr>
                <w:rFonts w:ascii="Arial" w:hAnsi="Arial" w:cs="Arial"/>
                <w:color w:val="000000"/>
                <w:sz w:val="15"/>
                <w:szCs w:val="15"/>
              </w:rPr>
            </w:pPr>
          </w:p>
        </w:tc>
        <w:tc>
          <w:tcPr>
            <w:tcW w:w="1060" w:type="dxa"/>
            <w:tcBorders>
              <w:top w:val="nil"/>
              <w:left w:val="nil"/>
              <w:bottom w:val="nil"/>
              <w:right w:val="nil"/>
            </w:tcBorders>
            <w:shd w:val="clear" w:color="000000" w:fill="E6E6E6"/>
            <w:noWrap/>
            <w:vAlign w:val="bottom"/>
            <w:hideMark/>
          </w:tcPr>
          <w:p w:rsidR="003016C4" w:rsidRPr="003016C4" w:rsidRDefault="003016C4" w:rsidP="003016C4">
            <w:pPr>
              <w:spacing w:after="0" w:line="240" w:lineRule="auto"/>
              <w:jc w:val="left"/>
              <w:rPr>
                <w:rFonts w:ascii="Arial" w:hAnsi="Arial" w:cs="Arial"/>
                <w:color w:val="000000"/>
                <w:sz w:val="15"/>
                <w:szCs w:val="15"/>
              </w:rPr>
            </w:pPr>
            <w:r w:rsidRPr="003016C4">
              <w:rPr>
                <w:rFonts w:ascii="Arial" w:hAnsi="Arial" w:cs="Arial"/>
                <w:color w:val="000000"/>
                <w:sz w:val="15"/>
                <w:szCs w:val="15"/>
              </w:rPr>
              <w:t> </w:t>
            </w:r>
          </w:p>
        </w:tc>
        <w:tc>
          <w:tcPr>
            <w:tcW w:w="1060" w:type="dxa"/>
            <w:tcBorders>
              <w:top w:val="nil"/>
              <w:left w:val="nil"/>
              <w:bottom w:val="nil"/>
              <w:right w:val="nil"/>
            </w:tcBorders>
            <w:shd w:val="clear" w:color="auto" w:fill="auto"/>
            <w:noWrap/>
            <w:vAlign w:val="bottom"/>
            <w:hideMark/>
          </w:tcPr>
          <w:p w:rsidR="003016C4" w:rsidRPr="003016C4" w:rsidRDefault="003016C4" w:rsidP="003016C4">
            <w:pPr>
              <w:spacing w:after="0" w:line="240" w:lineRule="auto"/>
              <w:jc w:val="left"/>
              <w:rPr>
                <w:rFonts w:ascii="Arial" w:hAnsi="Arial" w:cs="Arial"/>
                <w:color w:val="000000"/>
                <w:sz w:val="15"/>
                <w:szCs w:val="15"/>
              </w:rPr>
            </w:pPr>
          </w:p>
        </w:tc>
        <w:tc>
          <w:tcPr>
            <w:tcW w:w="1060" w:type="dxa"/>
            <w:tcBorders>
              <w:top w:val="nil"/>
              <w:left w:val="nil"/>
              <w:bottom w:val="nil"/>
              <w:right w:val="nil"/>
            </w:tcBorders>
            <w:shd w:val="clear" w:color="auto" w:fill="auto"/>
            <w:noWrap/>
            <w:vAlign w:val="bottom"/>
            <w:hideMark/>
          </w:tcPr>
          <w:p w:rsidR="003016C4" w:rsidRPr="003016C4" w:rsidRDefault="003016C4" w:rsidP="003016C4">
            <w:pPr>
              <w:spacing w:after="0" w:line="240" w:lineRule="auto"/>
              <w:jc w:val="left"/>
              <w:rPr>
                <w:rFonts w:ascii="Arial" w:hAnsi="Arial" w:cs="Arial"/>
                <w:color w:val="000000"/>
                <w:sz w:val="15"/>
                <w:szCs w:val="15"/>
              </w:rPr>
            </w:pPr>
          </w:p>
        </w:tc>
        <w:tc>
          <w:tcPr>
            <w:tcW w:w="1060" w:type="dxa"/>
            <w:tcBorders>
              <w:top w:val="nil"/>
              <w:left w:val="nil"/>
              <w:bottom w:val="nil"/>
              <w:right w:val="nil"/>
            </w:tcBorders>
            <w:shd w:val="clear" w:color="auto" w:fill="auto"/>
            <w:noWrap/>
            <w:vAlign w:val="bottom"/>
            <w:hideMark/>
          </w:tcPr>
          <w:p w:rsidR="003016C4" w:rsidRPr="003016C4" w:rsidRDefault="003016C4" w:rsidP="003016C4">
            <w:pPr>
              <w:spacing w:after="0" w:line="240" w:lineRule="auto"/>
              <w:jc w:val="left"/>
              <w:rPr>
                <w:rFonts w:ascii="Arial" w:hAnsi="Arial" w:cs="Arial"/>
                <w:color w:val="000000"/>
                <w:sz w:val="15"/>
                <w:szCs w:val="15"/>
              </w:rPr>
            </w:pPr>
          </w:p>
        </w:tc>
      </w:tr>
      <w:tr w:rsidR="003016C4" w:rsidRPr="003016C4" w:rsidTr="003016C4">
        <w:trPr>
          <w:trHeight w:val="222"/>
        </w:trPr>
        <w:tc>
          <w:tcPr>
            <w:tcW w:w="2260" w:type="dxa"/>
            <w:tcBorders>
              <w:top w:val="nil"/>
              <w:left w:val="nil"/>
              <w:bottom w:val="nil"/>
              <w:right w:val="nil"/>
            </w:tcBorders>
            <w:shd w:val="clear" w:color="auto" w:fill="auto"/>
            <w:noWrap/>
            <w:vAlign w:val="bottom"/>
            <w:hideMark/>
          </w:tcPr>
          <w:p w:rsidR="003016C4" w:rsidRPr="003016C4" w:rsidRDefault="003016C4" w:rsidP="003016C4">
            <w:pPr>
              <w:spacing w:after="0" w:line="240" w:lineRule="auto"/>
              <w:ind w:firstLineChars="200" w:firstLine="300"/>
              <w:jc w:val="left"/>
              <w:rPr>
                <w:rFonts w:ascii="Arial" w:hAnsi="Arial" w:cs="Arial"/>
                <w:color w:val="000000"/>
                <w:sz w:val="15"/>
                <w:szCs w:val="15"/>
              </w:rPr>
            </w:pPr>
            <w:r w:rsidRPr="003016C4">
              <w:rPr>
                <w:rFonts w:ascii="Arial" w:hAnsi="Arial" w:cs="Arial"/>
                <w:color w:val="000000"/>
                <w:sz w:val="15"/>
                <w:szCs w:val="15"/>
              </w:rPr>
              <w:t>of investments</w:t>
            </w:r>
          </w:p>
        </w:tc>
        <w:tc>
          <w:tcPr>
            <w:tcW w:w="1060" w:type="dxa"/>
            <w:tcBorders>
              <w:top w:val="nil"/>
              <w:left w:val="nil"/>
              <w:bottom w:val="nil"/>
              <w:right w:val="nil"/>
            </w:tcBorders>
            <w:shd w:val="clear" w:color="auto" w:fill="auto"/>
            <w:noWrap/>
            <w:vAlign w:val="bottom"/>
            <w:hideMark/>
          </w:tcPr>
          <w:p w:rsidR="003016C4" w:rsidRPr="003016C4" w:rsidRDefault="003016C4" w:rsidP="003016C4">
            <w:pPr>
              <w:spacing w:after="0" w:line="240" w:lineRule="auto"/>
              <w:jc w:val="right"/>
              <w:rPr>
                <w:rFonts w:ascii="Arial" w:hAnsi="Arial" w:cs="Arial"/>
                <w:color w:val="000000"/>
                <w:sz w:val="15"/>
                <w:szCs w:val="15"/>
              </w:rPr>
            </w:pPr>
            <w:r w:rsidRPr="003016C4">
              <w:rPr>
                <w:rFonts w:ascii="Arial" w:hAnsi="Arial" w:cs="Arial"/>
                <w:color w:val="000000"/>
                <w:sz w:val="15"/>
                <w:szCs w:val="15"/>
              </w:rPr>
              <w:t xml:space="preserve">123,332,983 </w:t>
            </w:r>
          </w:p>
        </w:tc>
        <w:tc>
          <w:tcPr>
            <w:tcW w:w="1060" w:type="dxa"/>
            <w:tcBorders>
              <w:top w:val="nil"/>
              <w:left w:val="nil"/>
              <w:bottom w:val="nil"/>
              <w:right w:val="nil"/>
            </w:tcBorders>
            <w:shd w:val="clear" w:color="000000" w:fill="E6E6E6"/>
            <w:noWrap/>
            <w:vAlign w:val="bottom"/>
            <w:hideMark/>
          </w:tcPr>
          <w:p w:rsidR="003016C4" w:rsidRPr="003016C4" w:rsidRDefault="003016C4" w:rsidP="003016C4">
            <w:pPr>
              <w:spacing w:after="0" w:line="240" w:lineRule="auto"/>
              <w:jc w:val="right"/>
              <w:rPr>
                <w:rFonts w:ascii="Arial" w:hAnsi="Arial" w:cs="Arial"/>
                <w:color w:val="000000"/>
                <w:sz w:val="15"/>
                <w:szCs w:val="15"/>
              </w:rPr>
            </w:pPr>
            <w:r w:rsidRPr="003016C4">
              <w:rPr>
                <w:rFonts w:ascii="Arial" w:hAnsi="Arial" w:cs="Arial"/>
                <w:color w:val="000000"/>
                <w:sz w:val="15"/>
                <w:szCs w:val="15"/>
              </w:rPr>
              <w:t xml:space="preserve">127,032,971 </w:t>
            </w:r>
          </w:p>
        </w:tc>
        <w:tc>
          <w:tcPr>
            <w:tcW w:w="1060" w:type="dxa"/>
            <w:tcBorders>
              <w:top w:val="nil"/>
              <w:left w:val="nil"/>
              <w:bottom w:val="nil"/>
              <w:right w:val="nil"/>
            </w:tcBorders>
            <w:shd w:val="clear" w:color="auto" w:fill="auto"/>
            <w:noWrap/>
            <w:vAlign w:val="bottom"/>
            <w:hideMark/>
          </w:tcPr>
          <w:p w:rsidR="003016C4" w:rsidRPr="003016C4" w:rsidRDefault="003016C4" w:rsidP="003016C4">
            <w:pPr>
              <w:spacing w:after="0" w:line="240" w:lineRule="auto"/>
              <w:jc w:val="right"/>
              <w:rPr>
                <w:rFonts w:ascii="Arial" w:hAnsi="Arial" w:cs="Arial"/>
                <w:color w:val="000000"/>
                <w:sz w:val="15"/>
                <w:szCs w:val="15"/>
              </w:rPr>
            </w:pPr>
            <w:r w:rsidRPr="003016C4">
              <w:rPr>
                <w:rFonts w:ascii="Arial" w:hAnsi="Arial" w:cs="Arial"/>
                <w:color w:val="000000"/>
                <w:sz w:val="15"/>
                <w:szCs w:val="15"/>
              </w:rPr>
              <w:t xml:space="preserve">130,843,960 </w:t>
            </w:r>
          </w:p>
        </w:tc>
        <w:tc>
          <w:tcPr>
            <w:tcW w:w="1060" w:type="dxa"/>
            <w:tcBorders>
              <w:top w:val="nil"/>
              <w:left w:val="nil"/>
              <w:bottom w:val="nil"/>
              <w:right w:val="nil"/>
            </w:tcBorders>
            <w:shd w:val="clear" w:color="auto" w:fill="auto"/>
            <w:noWrap/>
            <w:vAlign w:val="bottom"/>
            <w:hideMark/>
          </w:tcPr>
          <w:p w:rsidR="003016C4" w:rsidRPr="003016C4" w:rsidRDefault="003016C4" w:rsidP="003016C4">
            <w:pPr>
              <w:spacing w:after="0" w:line="240" w:lineRule="auto"/>
              <w:jc w:val="right"/>
              <w:rPr>
                <w:rFonts w:ascii="Arial" w:hAnsi="Arial" w:cs="Arial"/>
                <w:color w:val="000000"/>
                <w:sz w:val="15"/>
                <w:szCs w:val="15"/>
              </w:rPr>
            </w:pPr>
            <w:r w:rsidRPr="003016C4">
              <w:rPr>
                <w:rFonts w:ascii="Arial" w:hAnsi="Arial" w:cs="Arial"/>
                <w:color w:val="000000"/>
                <w:sz w:val="15"/>
                <w:szCs w:val="15"/>
              </w:rPr>
              <w:t xml:space="preserve">134,769,279 </w:t>
            </w:r>
          </w:p>
        </w:tc>
        <w:tc>
          <w:tcPr>
            <w:tcW w:w="1060" w:type="dxa"/>
            <w:tcBorders>
              <w:top w:val="nil"/>
              <w:left w:val="nil"/>
              <w:bottom w:val="nil"/>
              <w:right w:val="nil"/>
            </w:tcBorders>
            <w:shd w:val="clear" w:color="auto" w:fill="auto"/>
            <w:noWrap/>
            <w:vAlign w:val="bottom"/>
            <w:hideMark/>
          </w:tcPr>
          <w:p w:rsidR="003016C4" w:rsidRPr="003016C4" w:rsidRDefault="003016C4" w:rsidP="003016C4">
            <w:pPr>
              <w:spacing w:after="0" w:line="240" w:lineRule="auto"/>
              <w:jc w:val="right"/>
              <w:rPr>
                <w:rFonts w:ascii="Arial" w:hAnsi="Arial" w:cs="Arial"/>
                <w:color w:val="000000"/>
                <w:sz w:val="15"/>
                <w:szCs w:val="15"/>
              </w:rPr>
            </w:pPr>
            <w:r w:rsidRPr="003016C4">
              <w:rPr>
                <w:rFonts w:ascii="Arial" w:hAnsi="Arial" w:cs="Arial"/>
                <w:color w:val="000000"/>
                <w:sz w:val="15"/>
                <w:szCs w:val="15"/>
              </w:rPr>
              <w:t xml:space="preserve">138,812,357 </w:t>
            </w:r>
          </w:p>
        </w:tc>
      </w:tr>
      <w:tr w:rsidR="003016C4" w:rsidRPr="003016C4" w:rsidTr="003016C4">
        <w:trPr>
          <w:trHeight w:val="222"/>
        </w:trPr>
        <w:tc>
          <w:tcPr>
            <w:tcW w:w="2260"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jc w:val="left"/>
              <w:rPr>
                <w:rFonts w:ascii="Arial" w:hAnsi="Arial" w:cs="Arial"/>
                <w:b/>
                <w:bCs/>
                <w:color w:val="000000"/>
                <w:sz w:val="15"/>
                <w:szCs w:val="15"/>
              </w:rPr>
            </w:pPr>
            <w:r w:rsidRPr="003016C4">
              <w:rPr>
                <w:rFonts w:ascii="Arial" w:hAnsi="Arial" w:cs="Arial"/>
                <w:b/>
                <w:bCs/>
                <w:color w:val="000000"/>
                <w:sz w:val="15"/>
                <w:szCs w:val="15"/>
              </w:rPr>
              <w:t>Total cash received</w:t>
            </w:r>
          </w:p>
        </w:tc>
        <w:tc>
          <w:tcPr>
            <w:tcW w:w="1060" w:type="dxa"/>
            <w:tcBorders>
              <w:top w:val="single" w:sz="4" w:space="0" w:color="000000"/>
              <w:left w:val="nil"/>
              <w:bottom w:val="single" w:sz="4" w:space="0" w:color="000000"/>
              <w:right w:val="nil"/>
            </w:tcBorders>
            <w:shd w:val="clear" w:color="auto" w:fill="auto"/>
            <w:noWrap/>
            <w:vAlign w:val="bottom"/>
            <w:hideMark/>
          </w:tcPr>
          <w:p w:rsidR="003016C4" w:rsidRPr="003016C4" w:rsidRDefault="003016C4" w:rsidP="003016C4">
            <w:pPr>
              <w:spacing w:after="0" w:line="240" w:lineRule="auto"/>
              <w:jc w:val="right"/>
              <w:rPr>
                <w:rFonts w:ascii="Arial" w:hAnsi="Arial" w:cs="Arial"/>
                <w:b/>
                <w:bCs/>
                <w:color w:val="000000"/>
                <w:sz w:val="15"/>
                <w:szCs w:val="15"/>
              </w:rPr>
            </w:pPr>
            <w:r w:rsidRPr="003016C4">
              <w:rPr>
                <w:rFonts w:ascii="Arial" w:hAnsi="Arial" w:cs="Arial"/>
                <w:b/>
                <w:bCs/>
                <w:color w:val="000000"/>
                <w:sz w:val="15"/>
                <w:szCs w:val="15"/>
              </w:rPr>
              <w:t xml:space="preserve">123,332,983 </w:t>
            </w:r>
          </w:p>
        </w:tc>
        <w:tc>
          <w:tcPr>
            <w:tcW w:w="1060" w:type="dxa"/>
            <w:tcBorders>
              <w:top w:val="single" w:sz="4" w:space="0" w:color="000000"/>
              <w:left w:val="nil"/>
              <w:bottom w:val="single" w:sz="4" w:space="0" w:color="000000"/>
              <w:right w:val="nil"/>
            </w:tcBorders>
            <w:shd w:val="clear" w:color="000000" w:fill="E6E6E6"/>
            <w:noWrap/>
            <w:vAlign w:val="bottom"/>
            <w:hideMark/>
          </w:tcPr>
          <w:p w:rsidR="003016C4" w:rsidRPr="003016C4" w:rsidRDefault="003016C4" w:rsidP="003016C4">
            <w:pPr>
              <w:spacing w:after="0" w:line="240" w:lineRule="auto"/>
              <w:jc w:val="right"/>
              <w:rPr>
                <w:rFonts w:ascii="Arial" w:hAnsi="Arial" w:cs="Arial"/>
                <w:b/>
                <w:bCs/>
                <w:color w:val="000000"/>
                <w:sz w:val="15"/>
                <w:szCs w:val="15"/>
              </w:rPr>
            </w:pPr>
            <w:r w:rsidRPr="003016C4">
              <w:rPr>
                <w:rFonts w:ascii="Arial" w:hAnsi="Arial" w:cs="Arial"/>
                <w:b/>
                <w:bCs/>
                <w:color w:val="000000"/>
                <w:sz w:val="15"/>
                <w:szCs w:val="15"/>
              </w:rPr>
              <w:t xml:space="preserve">127,032,971 </w:t>
            </w:r>
          </w:p>
        </w:tc>
        <w:tc>
          <w:tcPr>
            <w:tcW w:w="1060" w:type="dxa"/>
            <w:tcBorders>
              <w:top w:val="single" w:sz="4" w:space="0" w:color="000000"/>
              <w:left w:val="nil"/>
              <w:bottom w:val="single" w:sz="4" w:space="0" w:color="000000"/>
              <w:right w:val="nil"/>
            </w:tcBorders>
            <w:shd w:val="clear" w:color="auto" w:fill="auto"/>
            <w:noWrap/>
            <w:vAlign w:val="bottom"/>
            <w:hideMark/>
          </w:tcPr>
          <w:p w:rsidR="003016C4" w:rsidRPr="003016C4" w:rsidRDefault="003016C4" w:rsidP="003016C4">
            <w:pPr>
              <w:spacing w:after="0" w:line="240" w:lineRule="auto"/>
              <w:jc w:val="right"/>
              <w:rPr>
                <w:rFonts w:ascii="Arial" w:hAnsi="Arial" w:cs="Arial"/>
                <w:b/>
                <w:bCs/>
                <w:color w:val="000000"/>
                <w:sz w:val="15"/>
                <w:szCs w:val="15"/>
              </w:rPr>
            </w:pPr>
            <w:r w:rsidRPr="003016C4">
              <w:rPr>
                <w:rFonts w:ascii="Arial" w:hAnsi="Arial" w:cs="Arial"/>
                <w:b/>
                <w:bCs/>
                <w:color w:val="000000"/>
                <w:sz w:val="15"/>
                <w:szCs w:val="15"/>
              </w:rPr>
              <w:t xml:space="preserve">130,843,960 </w:t>
            </w:r>
          </w:p>
        </w:tc>
        <w:tc>
          <w:tcPr>
            <w:tcW w:w="1060" w:type="dxa"/>
            <w:tcBorders>
              <w:top w:val="single" w:sz="4" w:space="0" w:color="000000"/>
              <w:left w:val="nil"/>
              <w:bottom w:val="single" w:sz="4" w:space="0" w:color="000000"/>
              <w:right w:val="nil"/>
            </w:tcBorders>
            <w:shd w:val="clear" w:color="auto" w:fill="auto"/>
            <w:noWrap/>
            <w:vAlign w:val="bottom"/>
            <w:hideMark/>
          </w:tcPr>
          <w:p w:rsidR="003016C4" w:rsidRPr="003016C4" w:rsidRDefault="003016C4" w:rsidP="003016C4">
            <w:pPr>
              <w:spacing w:after="0" w:line="240" w:lineRule="auto"/>
              <w:jc w:val="right"/>
              <w:rPr>
                <w:rFonts w:ascii="Arial" w:hAnsi="Arial" w:cs="Arial"/>
                <w:b/>
                <w:bCs/>
                <w:color w:val="000000"/>
                <w:sz w:val="15"/>
                <w:szCs w:val="15"/>
              </w:rPr>
            </w:pPr>
            <w:r w:rsidRPr="003016C4">
              <w:rPr>
                <w:rFonts w:ascii="Arial" w:hAnsi="Arial" w:cs="Arial"/>
                <w:b/>
                <w:bCs/>
                <w:color w:val="000000"/>
                <w:sz w:val="15"/>
                <w:szCs w:val="15"/>
              </w:rPr>
              <w:t xml:space="preserve">134,769,279 </w:t>
            </w:r>
          </w:p>
        </w:tc>
        <w:tc>
          <w:tcPr>
            <w:tcW w:w="1060" w:type="dxa"/>
            <w:tcBorders>
              <w:top w:val="single" w:sz="4" w:space="0" w:color="000000"/>
              <w:left w:val="nil"/>
              <w:bottom w:val="single" w:sz="4" w:space="0" w:color="000000"/>
              <w:right w:val="nil"/>
            </w:tcBorders>
            <w:shd w:val="clear" w:color="auto" w:fill="auto"/>
            <w:noWrap/>
            <w:vAlign w:val="bottom"/>
            <w:hideMark/>
          </w:tcPr>
          <w:p w:rsidR="003016C4" w:rsidRPr="003016C4" w:rsidRDefault="003016C4" w:rsidP="003016C4">
            <w:pPr>
              <w:spacing w:after="0" w:line="240" w:lineRule="auto"/>
              <w:jc w:val="right"/>
              <w:rPr>
                <w:rFonts w:ascii="Arial" w:hAnsi="Arial" w:cs="Arial"/>
                <w:b/>
                <w:bCs/>
                <w:color w:val="000000"/>
                <w:sz w:val="15"/>
                <w:szCs w:val="15"/>
              </w:rPr>
            </w:pPr>
            <w:r w:rsidRPr="003016C4">
              <w:rPr>
                <w:rFonts w:ascii="Arial" w:hAnsi="Arial" w:cs="Arial"/>
                <w:b/>
                <w:bCs/>
                <w:color w:val="000000"/>
                <w:sz w:val="15"/>
                <w:szCs w:val="15"/>
              </w:rPr>
              <w:t xml:space="preserve">138,812,357 </w:t>
            </w:r>
          </w:p>
        </w:tc>
      </w:tr>
      <w:tr w:rsidR="003016C4" w:rsidRPr="003016C4" w:rsidTr="003016C4">
        <w:trPr>
          <w:trHeight w:val="222"/>
        </w:trPr>
        <w:tc>
          <w:tcPr>
            <w:tcW w:w="2260"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jc w:val="left"/>
              <w:rPr>
                <w:rFonts w:ascii="Arial" w:hAnsi="Arial" w:cs="Arial"/>
                <w:b/>
                <w:bCs/>
                <w:color w:val="000000"/>
                <w:sz w:val="15"/>
                <w:szCs w:val="15"/>
              </w:rPr>
            </w:pPr>
            <w:r w:rsidRPr="003016C4">
              <w:rPr>
                <w:rFonts w:ascii="Arial" w:hAnsi="Arial" w:cs="Arial"/>
                <w:b/>
                <w:bCs/>
                <w:color w:val="000000"/>
                <w:sz w:val="15"/>
                <w:szCs w:val="15"/>
              </w:rPr>
              <w:t>Cash used</w:t>
            </w:r>
          </w:p>
        </w:tc>
        <w:tc>
          <w:tcPr>
            <w:tcW w:w="1060" w:type="dxa"/>
            <w:tcBorders>
              <w:top w:val="nil"/>
              <w:left w:val="nil"/>
              <w:bottom w:val="nil"/>
              <w:right w:val="nil"/>
            </w:tcBorders>
            <w:shd w:val="clear" w:color="auto" w:fill="auto"/>
            <w:noWrap/>
            <w:vAlign w:val="bottom"/>
            <w:hideMark/>
          </w:tcPr>
          <w:p w:rsidR="003016C4" w:rsidRPr="003016C4" w:rsidRDefault="003016C4" w:rsidP="003016C4">
            <w:pPr>
              <w:spacing w:after="0" w:line="240" w:lineRule="auto"/>
              <w:jc w:val="left"/>
              <w:rPr>
                <w:rFonts w:ascii="Arial" w:hAnsi="Arial" w:cs="Arial"/>
                <w:color w:val="000000"/>
                <w:sz w:val="15"/>
                <w:szCs w:val="15"/>
              </w:rPr>
            </w:pPr>
          </w:p>
        </w:tc>
        <w:tc>
          <w:tcPr>
            <w:tcW w:w="1060" w:type="dxa"/>
            <w:tcBorders>
              <w:top w:val="nil"/>
              <w:left w:val="nil"/>
              <w:bottom w:val="nil"/>
              <w:right w:val="nil"/>
            </w:tcBorders>
            <w:shd w:val="clear" w:color="000000" w:fill="E6E6E6"/>
            <w:noWrap/>
            <w:vAlign w:val="bottom"/>
            <w:hideMark/>
          </w:tcPr>
          <w:p w:rsidR="003016C4" w:rsidRPr="003016C4" w:rsidRDefault="003016C4" w:rsidP="003016C4">
            <w:pPr>
              <w:spacing w:after="0" w:line="240" w:lineRule="auto"/>
              <w:jc w:val="left"/>
              <w:rPr>
                <w:rFonts w:ascii="Arial" w:hAnsi="Arial" w:cs="Arial"/>
                <w:color w:val="000000"/>
                <w:sz w:val="15"/>
                <w:szCs w:val="15"/>
              </w:rPr>
            </w:pPr>
            <w:r w:rsidRPr="003016C4">
              <w:rPr>
                <w:rFonts w:ascii="Arial" w:hAnsi="Arial" w:cs="Arial"/>
                <w:color w:val="000000"/>
                <w:sz w:val="15"/>
                <w:szCs w:val="15"/>
              </w:rPr>
              <w:t> </w:t>
            </w:r>
          </w:p>
        </w:tc>
        <w:tc>
          <w:tcPr>
            <w:tcW w:w="1060" w:type="dxa"/>
            <w:tcBorders>
              <w:top w:val="nil"/>
              <w:left w:val="nil"/>
              <w:bottom w:val="nil"/>
              <w:right w:val="nil"/>
            </w:tcBorders>
            <w:shd w:val="clear" w:color="auto" w:fill="auto"/>
            <w:noWrap/>
            <w:vAlign w:val="bottom"/>
            <w:hideMark/>
          </w:tcPr>
          <w:p w:rsidR="003016C4" w:rsidRPr="003016C4" w:rsidRDefault="003016C4" w:rsidP="003016C4">
            <w:pPr>
              <w:spacing w:after="0" w:line="240" w:lineRule="auto"/>
              <w:jc w:val="left"/>
              <w:rPr>
                <w:rFonts w:ascii="Arial" w:hAnsi="Arial" w:cs="Arial"/>
                <w:color w:val="000000"/>
                <w:sz w:val="15"/>
                <w:szCs w:val="15"/>
              </w:rPr>
            </w:pPr>
          </w:p>
        </w:tc>
        <w:tc>
          <w:tcPr>
            <w:tcW w:w="1060" w:type="dxa"/>
            <w:tcBorders>
              <w:top w:val="nil"/>
              <w:left w:val="nil"/>
              <w:bottom w:val="nil"/>
              <w:right w:val="nil"/>
            </w:tcBorders>
            <w:shd w:val="clear" w:color="auto" w:fill="auto"/>
            <w:noWrap/>
            <w:vAlign w:val="bottom"/>
            <w:hideMark/>
          </w:tcPr>
          <w:p w:rsidR="003016C4" w:rsidRPr="003016C4" w:rsidRDefault="003016C4" w:rsidP="003016C4">
            <w:pPr>
              <w:spacing w:after="0" w:line="240" w:lineRule="auto"/>
              <w:jc w:val="left"/>
              <w:rPr>
                <w:rFonts w:ascii="Arial" w:hAnsi="Arial" w:cs="Arial"/>
                <w:color w:val="000000"/>
                <w:sz w:val="15"/>
                <w:szCs w:val="15"/>
              </w:rPr>
            </w:pPr>
          </w:p>
        </w:tc>
        <w:tc>
          <w:tcPr>
            <w:tcW w:w="1060" w:type="dxa"/>
            <w:tcBorders>
              <w:top w:val="nil"/>
              <w:left w:val="nil"/>
              <w:bottom w:val="nil"/>
              <w:right w:val="nil"/>
            </w:tcBorders>
            <w:shd w:val="clear" w:color="auto" w:fill="auto"/>
            <w:noWrap/>
            <w:vAlign w:val="bottom"/>
            <w:hideMark/>
          </w:tcPr>
          <w:p w:rsidR="003016C4" w:rsidRPr="003016C4" w:rsidRDefault="003016C4" w:rsidP="003016C4">
            <w:pPr>
              <w:spacing w:after="0" w:line="240" w:lineRule="auto"/>
              <w:jc w:val="left"/>
              <w:rPr>
                <w:rFonts w:ascii="Arial" w:hAnsi="Arial" w:cs="Arial"/>
                <w:color w:val="000000"/>
                <w:sz w:val="15"/>
                <w:szCs w:val="15"/>
              </w:rPr>
            </w:pPr>
          </w:p>
        </w:tc>
      </w:tr>
      <w:tr w:rsidR="003016C4" w:rsidRPr="003016C4" w:rsidTr="003016C4">
        <w:trPr>
          <w:trHeight w:val="222"/>
        </w:trPr>
        <w:tc>
          <w:tcPr>
            <w:tcW w:w="2260"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ind w:firstLineChars="100" w:firstLine="150"/>
              <w:jc w:val="left"/>
              <w:rPr>
                <w:rFonts w:ascii="Arial" w:hAnsi="Arial" w:cs="Arial"/>
                <w:color w:val="000000"/>
                <w:sz w:val="15"/>
                <w:szCs w:val="15"/>
              </w:rPr>
            </w:pPr>
            <w:r w:rsidRPr="003016C4">
              <w:rPr>
                <w:rFonts w:ascii="Arial" w:hAnsi="Arial" w:cs="Arial"/>
                <w:color w:val="000000"/>
                <w:sz w:val="15"/>
                <w:szCs w:val="15"/>
              </w:rPr>
              <w:t>Investments</w:t>
            </w:r>
          </w:p>
        </w:tc>
        <w:tc>
          <w:tcPr>
            <w:tcW w:w="1060" w:type="dxa"/>
            <w:tcBorders>
              <w:top w:val="nil"/>
              <w:left w:val="nil"/>
              <w:bottom w:val="nil"/>
              <w:right w:val="nil"/>
            </w:tcBorders>
            <w:shd w:val="clear" w:color="000000" w:fill="FFFFFF"/>
            <w:noWrap/>
            <w:vAlign w:val="bottom"/>
            <w:hideMark/>
          </w:tcPr>
          <w:p w:rsidR="003016C4" w:rsidRPr="003016C4" w:rsidRDefault="003016C4" w:rsidP="003016C4">
            <w:pPr>
              <w:spacing w:after="0" w:line="240" w:lineRule="auto"/>
              <w:jc w:val="right"/>
              <w:rPr>
                <w:rFonts w:ascii="Arial" w:hAnsi="Arial" w:cs="Arial"/>
                <w:color w:val="000000"/>
                <w:sz w:val="15"/>
                <w:szCs w:val="15"/>
              </w:rPr>
            </w:pPr>
            <w:r w:rsidRPr="003016C4">
              <w:rPr>
                <w:rFonts w:ascii="Arial" w:hAnsi="Arial" w:cs="Arial"/>
                <w:color w:val="000000"/>
                <w:sz w:val="15"/>
                <w:szCs w:val="15"/>
              </w:rPr>
              <w:t xml:space="preserve">126,210,867 </w:t>
            </w:r>
          </w:p>
        </w:tc>
        <w:tc>
          <w:tcPr>
            <w:tcW w:w="1060" w:type="dxa"/>
            <w:tcBorders>
              <w:top w:val="nil"/>
              <w:left w:val="nil"/>
              <w:bottom w:val="nil"/>
              <w:right w:val="nil"/>
            </w:tcBorders>
            <w:shd w:val="clear" w:color="000000" w:fill="E6E6E6"/>
            <w:noWrap/>
            <w:vAlign w:val="bottom"/>
            <w:hideMark/>
          </w:tcPr>
          <w:p w:rsidR="003016C4" w:rsidRPr="003016C4" w:rsidRDefault="003016C4" w:rsidP="003016C4">
            <w:pPr>
              <w:spacing w:after="0" w:line="240" w:lineRule="auto"/>
              <w:jc w:val="right"/>
              <w:rPr>
                <w:rFonts w:ascii="Arial" w:hAnsi="Arial" w:cs="Arial"/>
                <w:color w:val="000000"/>
                <w:sz w:val="15"/>
                <w:szCs w:val="15"/>
              </w:rPr>
            </w:pPr>
            <w:r w:rsidRPr="003016C4">
              <w:rPr>
                <w:rFonts w:ascii="Arial" w:hAnsi="Arial" w:cs="Arial"/>
                <w:color w:val="000000"/>
                <w:sz w:val="15"/>
                <w:szCs w:val="15"/>
              </w:rPr>
              <w:t xml:space="preserve">130,380,847 </w:t>
            </w:r>
          </w:p>
        </w:tc>
        <w:tc>
          <w:tcPr>
            <w:tcW w:w="1060" w:type="dxa"/>
            <w:tcBorders>
              <w:top w:val="nil"/>
              <w:left w:val="nil"/>
              <w:bottom w:val="nil"/>
              <w:right w:val="nil"/>
            </w:tcBorders>
            <w:shd w:val="clear" w:color="auto" w:fill="auto"/>
            <w:noWrap/>
            <w:vAlign w:val="bottom"/>
            <w:hideMark/>
          </w:tcPr>
          <w:p w:rsidR="003016C4" w:rsidRPr="003016C4" w:rsidRDefault="003016C4" w:rsidP="003016C4">
            <w:pPr>
              <w:spacing w:after="0" w:line="240" w:lineRule="auto"/>
              <w:jc w:val="right"/>
              <w:rPr>
                <w:rFonts w:ascii="Arial" w:hAnsi="Arial" w:cs="Arial"/>
                <w:color w:val="000000"/>
                <w:sz w:val="15"/>
                <w:szCs w:val="15"/>
              </w:rPr>
            </w:pPr>
            <w:r w:rsidRPr="003016C4">
              <w:rPr>
                <w:rFonts w:ascii="Arial" w:hAnsi="Arial" w:cs="Arial"/>
                <w:color w:val="000000"/>
                <w:sz w:val="15"/>
                <w:szCs w:val="15"/>
              </w:rPr>
              <w:t xml:space="preserve">134,538,136 </w:t>
            </w:r>
          </w:p>
        </w:tc>
        <w:tc>
          <w:tcPr>
            <w:tcW w:w="1060" w:type="dxa"/>
            <w:tcBorders>
              <w:top w:val="nil"/>
              <w:left w:val="nil"/>
              <w:bottom w:val="nil"/>
              <w:right w:val="nil"/>
            </w:tcBorders>
            <w:shd w:val="clear" w:color="000000" w:fill="FFFFFF"/>
            <w:noWrap/>
            <w:vAlign w:val="bottom"/>
            <w:hideMark/>
          </w:tcPr>
          <w:p w:rsidR="003016C4" w:rsidRPr="003016C4" w:rsidRDefault="003016C4" w:rsidP="003016C4">
            <w:pPr>
              <w:spacing w:after="0" w:line="240" w:lineRule="auto"/>
              <w:jc w:val="right"/>
              <w:rPr>
                <w:rFonts w:ascii="Arial" w:hAnsi="Arial" w:cs="Arial"/>
                <w:color w:val="000000"/>
                <w:sz w:val="15"/>
                <w:szCs w:val="15"/>
              </w:rPr>
            </w:pPr>
            <w:r w:rsidRPr="003016C4">
              <w:rPr>
                <w:rFonts w:ascii="Arial" w:hAnsi="Arial" w:cs="Arial"/>
                <w:color w:val="000000"/>
                <w:sz w:val="15"/>
                <w:szCs w:val="15"/>
              </w:rPr>
              <w:t xml:space="preserve">138,732,421 </w:t>
            </w:r>
          </w:p>
        </w:tc>
        <w:tc>
          <w:tcPr>
            <w:tcW w:w="1060" w:type="dxa"/>
            <w:tcBorders>
              <w:top w:val="nil"/>
              <w:left w:val="nil"/>
              <w:bottom w:val="nil"/>
              <w:right w:val="nil"/>
            </w:tcBorders>
            <w:shd w:val="clear" w:color="000000" w:fill="FFFFFF"/>
            <w:noWrap/>
            <w:vAlign w:val="bottom"/>
            <w:hideMark/>
          </w:tcPr>
          <w:p w:rsidR="003016C4" w:rsidRPr="003016C4" w:rsidRDefault="003016C4" w:rsidP="003016C4">
            <w:pPr>
              <w:spacing w:after="0" w:line="240" w:lineRule="auto"/>
              <w:jc w:val="right"/>
              <w:rPr>
                <w:rFonts w:ascii="Arial" w:hAnsi="Arial" w:cs="Arial"/>
                <w:color w:val="000000"/>
                <w:sz w:val="15"/>
                <w:szCs w:val="15"/>
              </w:rPr>
            </w:pPr>
            <w:r w:rsidRPr="003016C4">
              <w:rPr>
                <w:rFonts w:ascii="Arial" w:hAnsi="Arial" w:cs="Arial"/>
                <w:color w:val="000000"/>
                <w:sz w:val="15"/>
                <w:szCs w:val="15"/>
              </w:rPr>
              <w:t xml:space="preserve">143,073,137 </w:t>
            </w:r>
          </w:p>
        </w:tc>
      </w:tr>
      <w:tr w:rsidR="003016C4" w:rsidRPr="003016C4" w:rsidTr="003016C4">
        <w:trPr>
          <w:trHeight w:val="222"/>
        </w:trPr>
        <w:tc>
          <w:tcPr>
            <w:tcW w:w="2260"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jc w:val="left"/>
              <w:rPr>
                <w:rFonts w:ascii="Arial" w:hAnsi="Arial" w:cs="Arial"/>
                <w:b/>
                <w:bCs/>
                <w:color w:val="000000"/>
                <w:sz w:val="15"/>
                <w:szCs w:val="15"/>
              </w:rPr>
            </w:pPr>
            <w:r w:rsidRPr="003016C4">
              <w:rPr>
                <w:rFonts w:ascii="Arial" w:hAnsi="Arial" w:cs="Arial"/>
                <w:b/>
                <w:bCs/>
                <w:color w:val="000000"/>
                <w:sz w:val="15"/>
                <w:szCs w:val="15"/>
              </w:rPr>
              <w:t>Total cash used</w:t>
            </w:r>
          </w:p>
        </w:tc>
        <w:tc>
          <w:tcPr>
            <w:tcW w:w="1060" w:type="dxa"/>
            <w:tcBorders>
              <w:top w:val="single" w:sz="4" w:space="0" w:color="000000"/>
              <w:left w:val="nil"/>
              <w:bottom w:val="single" w:sz="4" w:space="0" w:color="000000"/>
              <w:right w:val="nil"/>
            </w:tcBorders>
            <w:shd w:val="clear" w:color="auto" w:fill="auto"/>
            <w:noWrap/>
            <w:vAlign w:val="bottom"/>
            <w:hideMark/>
          </w:tcPr>
          <w:p w:rsidR="003016C4" w:rsidRPr="003016C4" w:rsidRDefault="003016C4" w:rsidP="003016C4">
            <w:pPr>
              <w:spacing w:after="0" w:line="240" w:lineRule="auto"/>
              <w:jc w:val="right"/>
              <w:rPr>
                <w:rFonts w:ascii="Arial" w:hAnsi="Arial" w:cs="Arial"/>
                <w:b/>
                <w:bCs/>
                <w:color w:val="000000"/>
                <w:sz w:val="15"/>
                <w:szCs w:val="15"/>
              </w:rPr>
            </w:pPr>
            <w:r w:rsidRPr="003016C4">
              <w:rPr>
                <w:rFonts w:ascii="Arial" w:hAnsi="Arial" w:cs="Arial"/>
                <w:b/>
                <w:bCs/>
                <w:color w:val="000000"/>
                <w:sz w:val="15"/>
                <w:szCs w:val="15"/>
              </w:rPr>
              <w:t xml:space="preserve">126,210,867 </w:t>
            </w:r>
          </w:p>
        </w:tc>
        <w:tc>
          <w:tcPr>
            <w:tcW w:w="1060" w:type="dxa"/>
            <w:tcBorders>
              <w:top w:val="single" w:sz="4" w:space="0" w:color="000000"/>
              <w:left w:val="nil"/>
              <w:bottom w:val="single" w:sz="4" w:space="0" w:color="000000"/>
              <w:right w:val="nil"/>
            </w:tcBorders>
            <w:shd w:val="clear" w:color="000000" w:fill="E6E6E6"/>
            <w:noWrap/>
            <w:vAlign w:val="bottom"/>
            <w:hideMark/>
          </w:tcPr>
          <w:p w:rsidR="003016C4" w:rsidRPr="003016C4" w:rsidRDefault="003016C4" w:rsidP="003016C4">
            <w:pPr>
              <w:spacing w:after="0" w:line="240" w:lineRule="auto"/>
              <w:jc w:val="right"/>
              <w:rPr>
                <w:rFonts w:ascii="Arial" w:hAnsi="Arial" w:cs="Arial"/>
                <w:b/>
                <w:bCs/>
                <w:color w:val="000000"/>
                <w:sz w:val="15"/>
                <w:szCs w:val="15"/>
              </w:rPr>
            </w:pPr>
            <w:r w:rsidRPr="003016C4">
              <w:rPr>
                <w:rFonts w:ascii="Arial" w:hAnsi="Arial" w:cs="Arial"/>
                <w:b/>
                <w:bCs/>
                <w:color w:val="000000"/>
                <w:sz w:val="15"/>
                <w:szCs w:val="15"/>
              </w:rPr>
              <w:t xml:space="preserve">130,380,847 </w:t>
            </w:r>
          </w:p>
        </w:tc>
        <w:tc>
          <w:tcPr>
            <w:tcW w:w="1060" w:type="dxa"/>
            <w:tcBorders>
              <w:top w:val="single" w:sz="4" w:space="0" w:color="000000"/>
              <w:left w:val="nil"/>
              <w:bottom w:val="single" w:sz="4" w:space="0" w:color="000000"/>
              <w:right w:val="nil"/>
            </w:tcBorders>
            <w:shd w:val="clear" w:color="auto" w:fill="auto"/>
            <w:noWrap/>
            <w:vAlign w:val="bottom"/>
            <w:hideMark/>
          </w:tcPr>
          <w:p w:rsidR="003016C4" w:rsidRPr="003016C4" w:rsidRDefault="003016C4" w:rsidP="003016C4">
            <w:pPr>
              <w:spacing w:after="0" w:line="240" w:lineRule="auto"/>
              <w:jc w:val="right"/>
              <w:rPr>
                <w:rFonts w:ascii="Arial" w:hAnsi="Arial" w:cs="Arial"/>
                <w:b/>
                <w:bCs/>
                <w:color w:val="000000"/>
                <w:sz w:val="15"/>
                <w:szCs w:val="15"/>
              </w:rPr>
            </w:pPr>
            <w:r w:rsidRPr="003016C4">
              <w:rPr>
                <w:rFonts w:ascii="Arial" w:hAnsi="Arial" w:cs="Arial"/>
                <w:b/>
                <w:bCs/>
                <w:color w:val="000000"/>
                <w:sz w:val="15"/>
                <w:szCs w:val="15"/>
              </w:rPr>
              <w:t xml:space="preserve">134,538,136 </w:t>
            </w:r>
          </w:p>
        </w:tc>
        <w:tc>
          <w:tcPr>
            <w:tcW w:w="1060" w:type="dxa"/>
            <w:tcBorders>
              <w:top w:val="single" w:sz="4" w:space="0" w:color="000000"/>
              <w:left w:val="nil"/>
              <w:bottom w:val="single" w:sz="4" w:space="0" w:color="000000"/>
              <w:right w:val="nil"/>
            </w:tcBorders>
            <w:shd w:val="clear" w:color="auto" w:fill="auto"/>
            <w:noWrap/>
            <w:vAlign w:val="bottom"/>
            <w:hideMark/>
          </w:tcPr>
          <w:p w:rsidR="003016C4" w:rsidRPr="003016C4" w:rsidRDefault="003016C4" w:rsidP="003016C4">
            <w:pPr>
              <w:spacing w:after="0" w:line="240" w:lineRule="auto"/>
              <w:jc w:val="right"/>
              <w:rPr>
                <w:rFonts w:ascii="Arial" w:hAnsi="Arial" w:cs="Arial"/>
                <w:b/>
                <w:bCs/>
                <w:color w:val="000000"/>
                <w:sz w:val="15"/>
                <w:szCs w:val="15"/>
              </w:rPr>
            </w:pPr>
            <w:r w:rsidRPr="003016C4">
              <w:rPr>
                <w:rFonts w:ascii="Arial" w:hAnsi="Arial" w:cs="Arial"/>
                <w:b/>
                <w:bCs/>
                <w:color w:val="000000"/>
                <w:sz w:val="15"/>
                <w:szCs w:val="15"/>
              </w:rPr>
              <w:t xml:space="preserve">138,732,421 </w:t>
            </w:r>
          </w:p>
        </w:tc>
        <w:tc>
          <w:tcPr>
            <w:tcW w:w="1060" w:type="dxa"/>
            <w:tcBorders>
              <w:top w:val="single" w:sz="4" w:space="0" w:color="000000"/>
              <w:left w:val="nil"/>
              <w:bottom w:val="single" w:sz="4" w:space="0" w:color="000000"/>
              <w:right w:val="nil"/>
            </w:tcBorders>
            <w:shd w:val="clear" w:color="auto" w:fill="auto"/>
            <w:noWrap/>
            <w:vAlign w:val="bottom"/>
            <w:hideMark/>
          </w:tcPr>
          <w:p w:rsidR="003016C4" w:rsidRPr="003016C4" w:rsidRDefault="003016C4" w:rsidP="003016C4">
            <w:pPr>
              <w:spacing w:after="0" w:line="240" w:lineRule="auto"/>
              <w:jc w:val="right"/>
              <w:rPr>
                <w:rFonts w:ascii="Arial" w:hAnsi="Arial" w:cs="Arial"/>
                <w:b/>
                <w:bCs/>
                <w:color w:val="000000"/>
                <w:sz w:val="15"/>
                <w:szCs w:val="15"/>
              </w:rPr>
            </w:pPr>
            <w:r w:rsidRPr="003016C4">
              <w:rPr>
                <w:rFonts w:ascii="Arial" w:hAnsi="Arial" w:cs="Arial"/>
                <w:b/>
                <w:bCs/>
                <w:color w:val="000000"/>
                <w:sz w:val="15"/>
                <w:szCs w:val="15"/>
              </w:rPr>
              <w:t xml:space="preserve">143,073,137 </w:t>
            </w:r>
          </w:p>
        </w:tc>
      </w:tr>
      <w:tr w:rsidR="003016C4" w:rsidRPr="003016C4" w:rsidTr="003016C4">
        <w:trPr>
          <w:trHeight w:val="222"/>
        </w:trPr>
        <w:tc>
          <w:tcPr>
            <w:tcW w:w="2260"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jc w:val="left"/>
              <w:rPr>
                <w:rFonts w:ascii="Arial" w:hAnsi="Arial" w:cs="Arial"/>
                <w:b/>
                <w:bCs/>
                <w:color w:val="000000"/>
                <w:sz w:val="15"/>
                <w:szCs w:val="15"/>
              </w:rPr>
            </w:pPr>
            <w:r w:rsidRPr="003016C4">
              <w:rPr>
                <w:rFonts w:ascii="Arial" w:hAnsi="Arial" w:cs="Arial"/>
                <w:b/>
                <w:bCs/>
                <w:color w:val="000000"/>
                <w:sz w:val="15"/>
                <w:szCs w:val="15"/>
              </w:rPr>
              <w:t xml:space="preserve">Net cash from/(used by) </w:t>
            </w:r>
          </w:p>
        </w:tc>
        <w:tc>
          <w:tcPr>
            <w:tcW w:w="1060" w:type="dxa"/>
            <w:tcBorders>
              <w:top w:val="nil"/>
              <w:left w:val="nil"/>
              <w:bottom w:val="nil"/>
              <w:right w:val="nil"/>
            </w:tcBorders>
            <w:shd w:val="clear" w:color="auto" w:fill="auto"/>
            <w:noWrap/>
            <w:vAlign w:val="bottom"/>
            <w:hideMark/>
          </w:tcPr>
          <w:p w:rsidR="003016C4" w:rsidRPr="003016C4" w:rsidRDefault="003016C4" w:rsidP="003016C4">
            <w:pPr>
              <w:spacing w:after="0" w:line="240" w:lineRule="auto"/>
              <w:jc w:val="left"/>
              <w:rPr>
                <w:rFonts w:ascii="Arial" w:hAnsi="Arial" w:cs="Arial"/>
                <w:b/>
                <w:bCs/>
                <w:color w:val="000000"/>
                <w:sz w:val="15"/>
                <w:szCs w:val="15"/>
              </w:rPr>
            </w:pPr>
          </w:p>
        </w:tc>
        <w:tc>
          <w:tcPr>
            <w:tcW w:w="1060" w:type="dxa"/>
            <w:tcBorders>
              <w:top w:val="nil"/>
              <w:left w:val="nil"/>
              <w:bottom w:val="nil"/>
              <w:right w:val="nil"/>
            </w:tcBorders>
            <w:shd w:val="clear" w:color="000000" w:fill="E6E6E6"/>
            <w:noWrap/>
            <w:vAlign w:val="bottom"/>
            <w:hideMark/>
          </w:tcPr>
          <w:p w:rsidR="003016C4" w:rsidRPr="003016C4" w:rsidRDefault="003016C4" w:rsidP="003016C4">
            <w:pPr>
              <w:spacing w:after="0" w:line="240" w:lineRule="auto"/>
              <w:jc w:val="left"/>
              <w:rPr>
                <w:rFonts w:ascii="Arial" w:hAnsi="Arial" w:cs="Arial"/>
                <w:b/>
                <w:bCs/>
                <w:color w:val="000000"/>
                <w:sz w:val="15"/>
                <w:szCs w:val="15"/>
              </w:rPr>
            </w:pPr>
            <w:r w:rsidRPr="003016C4">
              <w:rPr>
                <w:rFonts w:ascii="Arial" w:hAnsi="Arial" w:cs="Arial"/>
                <w:b/>
                <w:bCs/>
                <w:color w:val="000000"/>
                <w:sz w:val="15"/>
                <w:szCs w:val="15"/>
              </w:rPr>
              <w:t> </w:t>
            </w:r>
          </w:p>
        </w:tc>
        <w:tc>
          <w:tcPr>
            <w:tcW w:w="1060" w:type="dxa"/>
            <w:tcBorders>
              <w:top w:val="nil"/>
              <w:left w:val="nil"/>
              <w:bottom w:val="nil"/>
              <w:right w:val="nil"/>
            </w:tcBorders>
            <w:shd w:val="clear" w:color="auto" w:fill="auto"/>
            <w:noWrap/>
            <w:vAlign w:val="bottom"/>
            <w:hideMark/>
          </w:tcPr>
          <w:p w:rsidR="003016C4" w:rsidRPr="003016C4" w:rsidRDefault="003016C4" w:rsidP="003016C4">
            <w:pPr>
              <w:spacing w:after="0" w:line="240" w:lineRule="auto"/>
              <w:jc w:val="left"/>
              <w:rPr>
                <w:rFonts w:ascii="Arial" w:hAnsi="Arial" w:cs="Arial"/>
                <w:b/>
                <w:bCs/>
                <w:color w:val="000000"/>
                <w:sz w:val="15"/>
                <w:szCs w:val="15"/>
              </w:rPr>
            </w:pPr>
          </w:p>
        </w:tc>
        <w:tc>
          <w:tcPr>
            <w:tcW w:w="1060" w:type="dxa"/>
            <w:tcBorders>
              <w:top w:val="nil"/>
              <w:left w:val="nil"/>
              <w:bottom w:val="nil"/>
              <w:right w:val="nil"/>
            </w:tcBorders>
            <w:shd w:val="clear" w:color="auto" w:fill="auto"/>
            <w:noWrap/>
            <w:vAlign w:val="bottom"/>
            <w:hideMark/>
          </w:tcPr>
          <w:p w:rsidR="003016C4" w:rsidRPr="003016C4" w:rsidRDefault="003016C4" w:rsidP="003016C4">
            <w:pPr>
              <w:spacing w:after="0" w:line="240" w:lineRule="auto"/>
              <w:jc w:val="left"/>
              <w:rPr>
                <w:rFonts w:ascii="Arial" w:hAnsi="Arial" w:cs="Arial"/>
                <w:b/>
                <w:bCs/>
                <w:color w:val="000000"/>
                <w:sz w:val="15"/>
                <w:szCs w:val="15"/>
              </w:rPr>
            </w:pPr>
          </w:p>
        </w:tc>
        <w:tc>
          <w:tcPr>
            <w:tcW w:w="1060" w:type="dxa"/>
            <w:tcBorders>
              <w:top w:val="nil"/>
              <w:left w:val="nil"/>
              <w:bottom w:val="nil"/>
              <w:right w:val="nil"/>
            </w:tcBorders>
            <w:shd w:val="clear" w:color="auto" w:fill="auto"/>
            <w:noWrap/>
            <w:vAlign w:val="bottom"/>
            <w:hideMark/>
          </w:tcPr>
          <w:p w:rsidR="003016C4" w:rsidRPr="003016C4" w:rsidRDefault="003016C4" w:rsidP="003016C4">
            <w:pPr>
              <w:spacing w:after="0" w:line="240" w:lineRule="auto"/>
              <w:jc w:val="left"/>
              <w:rPr>
                <w:rFonts w:ascii="Arial" w:hAnsi="Arial" w:cs="Arial"/>
                <w:b/>
                <w:bCs/>
                <w:color w:val="000000"/>
                <w:sz w:val="15"/>
                <w:szCs w:val="15"/>
              </w:rPr>
            </w:pPr>
          </w:p>
        </w:tc>
      </w:tr>
      <w:tr w:rsidR="003016C4" w:rsidRPr="003016C4" w:rsidTr="003016C4">
        <w:trPr>
          <w:trHeight w:val="222"/>
        </w:trPr>
        <w:tc>
          <w:tcPr>
            <w:tcW w:w="2260"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ind w:firstLineChars="100" w:firstLine="151"/>
              <w:jc w:val="left"/>
              <w:rPr>
                <w:rFonts w:ascii="Arial" w:hAnsi="Arial" w:cs="Arial"/>
                <w:b/>
                <w:bCs/>
                <w:color w:val="000000"/>
                <w:sz w:val="15"/>
                <w:szCs w:val="15"/>
              </w:rPr>
            </w:pPr>
            <w:r w:rsidRPr="003016C4">
              <w:rPr>
                <w:rFonts w:ascii="Arial" w:hAnsi="Arial" w:cs="Arial"/>
                <w:b/>
                <w:bCs/>
                <w:color w:val="000000"/>
                <w:sz w:val="15"/>
                <w:szCs w:val="15"/>
              </w:rPr>
              <w:t>investing activities</w:t>
            </w:r>
          </w:p>
        </w:tc>
        <w:tc>
          <w:tcPr>
            <w:tcW w:w="1060" w:type="dxa"/>
            <w:tcBorders>
              <w:top w:val="nil"/>
              <w:left w:val="nil"/>
              <w:bottom w:val="single" w:sz="4" w:space="0" w:color="auto"/>
              <w:right w:val="nil"/>
            </w:tcBorders>
            <w:shd w:val="clear" w:color="auto" w:fill="auto"/>
            <w:noWrap/>
            <w:vAlign w:val="bottom"/>
            <w:hideMark/>
          </w:tcPr>
          <w:p w:rsidR="003016C4" w:rsidRPr="003016C4" w:rsidRDefault="003016C4" w:rsidP="003016C4">
            <w:pPr>
              <w:spacing w:after="0" w:line="240" w:lineRule="auto"/>
              <w:jc w:val="right"/>
              <w:rPr>
                <w:rFonts w:ascii="Arial" w:hAnsi="Arial" w:cs="Arial"/>
                <w:b/>
                <w:bCs/>
                <w:color w:val="000000"/>
                <w:sz w:val="15"/>
                <w:szCs w:val="15"/>
              </w:rPr>
            </w:pPr>
            <w:r w:rsidRPr="003016C4">
              <w:rPr>
                <w:rFonts w:ascii="Arial" w:hAnsi="Arial" w:cs="Arial"/>
                <w:b/>
                <w:bCs/>
                <w:color w:val="000000"/>
                <w:sz w:val="15"/>
                <w:szCs w:val="15"/>
              </w:rPr>
              <w:t>(2,877,884)</w:t>
            </w:r>
          </w:p>
        </w:tc>
        <w:tc>
          <w:tcPr>
            <w:tcW w:w="1060" w:type="dxa"/>
            <w:tcBorders>
              <w:top w:val="nil"/>
              <w:left w:val="nil"/>
              <w:bottom w:val="single" w:sz="4" w:space="0" w:color="auto"/>
              <w:right w:val="nil"/>
            </w:tcBorders>
            <w:shd w:val="clear" w:color="000000" w:fill="E6E6E6"/>
            <w:noWrap/>
            <w:vAlign w:val="bottom"/>
            <w:hideMark/>
          </w:tcPr>
          <w:p w:rsidR="003016C4" w:rsidRPr="003016C4" w:rsidRDefault="003016C4" w:rsidP="003016C4">
            <w:pPr>
              <w:spacing w:after="0" w:line="240" w:lineRule="auto"/>
              <w:jc w:val="right"/>
              <w:rPr>
                <w:rFonts w:ascii="Arial" w:hAnsi="Arial" w:cs="Arial"/>
                <w:b/>
                <w:bCs/>
                <w:color w:val="000000"/>
                <w:sz w:val="15"/>
                <w:szCs w:val="15"/>
              </w:rPr>
            </w:pPr>
            <w:r w:rsidRPr="003016C4">
              <w:rPr>
                <w:rFonts w:ascii="Arial" w:hAnsi="Arial" w:cs="Arial"/>
                <w:b/>
                <w:bCs/>
                <w:color w:val="000000"/>
                <w:sz w:val="15"/>
                <w:szCs w:val="15"/>
              </w:rPr>
              <w:t>(3,347,876)</w:t>
            </w:r>
          </w:p>
        </w:tc>
        <w:tc>
          <w:tcPr>
            <w:tcW w:w="1060" w:type="dxa"/>
            <w:tcBorders>
              <w:top w:val="nil"/>
              <w:left w:val="nil"/>
              <w:bottom w:val="single" w:sz="4" w:space="0" w:color="auto"/>
              <w:right w:val="nil"/>
            </w:tcBorders>
            <w:shd w:val="clear" w:color="auto" w:fill="auto"/>
            <w:noWrap/>
            <w:vAlign w:val="bottom"/>
            <w:hideMark/>
          </w:tcPr>
          <w:p w:rsidR="003016C4" w:rsidRPr="003016C4" w:rsidRDefault="003016C4" w:rsidP="003016C4">
            <w:pPr>
              <w:spacing w:after="0" w:line="240" w:lineRule="auto"/>
              <w:jc w:val="right"/>
              <w:rPr>
                <w:rFonts w:ascii="Arial" w:hAnsi="Arial" w:cs="Arial"/>
                <w:b/>
                <w:bCs/>
                <w:color w:val="000000"/>
                <w:sz w:val="15"/>
                <w:szCs w:val="15"/>
              </w:rPr>
            </w:pPr>
            <w:r w:rsidRPr="003016C4">
              <w:rPr>
                <w:rFonts w:ascii="Arial" w:hAnsi="Arial" w:cs="Arial"/>
                <w:b/>
                <w:bCs/>
                <w:color w:val="000000"/>
                <w:sz w:val="15"/>
                <w:szCs w:val="15"/>
              </w:rPr>
              <w:t>(3,694,176)</w:t>
            </w:r>
          </w:p>
        </w:tc>
        <w:tc>
          <w:tcPr>
            <w:tcW w:w="1060" w:type="dxa"/>
            <w:tcBorders>
              <w:top w:val="nil"/>
              <w:left w:val="nil"/>
              <w:bottom w:val="single" w:sz="4" w:space="0" w:color="auto"/>
              <w:right w:val="nil"/>
            </w:tcBorders>
            <w:shd w:val="clear" w:color="auto" w:fill="auto"/>
            <w:noWrap/>
            <w:vAlign w:val="bottom"/>
            <w:hideMark/>
          </w:tcPr>
          <w:p w:rsidR="003016C4" w:rsidRPr="003016C4" w:rsidRDefault="003016C4" w:rsidP="003016C4">
            <w:pPr>
              <w:spacing w:after="0" w:line="240" w:lineRule="auto"/>
              <w:jc w:val="right"/>
              <w:rPr>
                <w:rFonts w:ascii="Arial" w:hAnsi="Arial" w:cs="Arial"/>
                <w:b/>
                <w:bCs/>
                <w:color w:val="000000"/>
                <w:sz w:val="15"/>
                <w:szCs w:val="15"/>
              </w:rPr>
            </w:pPr>
            <w:r w:rsidRPr="003016C4">
              <w:rPr>
                <w:rFonts w:ascii="Arial" w:hAnsi="Arial" w:cs="Arial"/>
                <w:b/>
                <w:bCs/>
                <w:color w:val="000000"/>
                <w:sz w:val="15"/>
                <w:szCs w:val="15"/>
              </w:rPr>
              <w:t>(3,963,142)</w:t>
            </w:r>
          </w:p>
        </w:tc>
        <w:tc>
          <w:tcPr>
            <w:tcW w:w="1060" w:type="dxa"/>
            <w:tcBorders>
              <w:top w:val="nil"/>
              <w:left w:val="nil"/>
              <w:bottom w:val="single" w:sz="4" w:space="0" w:color="auto"/>
              <w:right w:val="nil"/>
            </w:tcBorders>
            <w:shd w:val="clear" w:color="auto" w:fill="auto"/>
            <w:noWrap/>
            <w:vAlign w:val="bottom"/>
            <w:hideMark/>
          </w:tcPr>
          <w:p w:rsidR="003016C4" w:rsidRPr="003016C4" w:rsidRDefault="003016C4" w:rsidP="003016C4">
            <w:pPr>
              <w:spacing w:after="0" w:line="240" w:lineRule="auto"/>
              <w:jc w:val="right"/>
              <w:rPr>
                <w:rFonts w:ascii="Arial" w:hAnsi="Arial" w:cs="Arial"/>
                <w:b/>
                <w:bCs/>
                <w:color w:val="000000"/>
                <w:sz w:val="15"/>
                <w:szCs w:val="15"/>
              </w:rPr>
            </w:pPr>
            <w:r w:rsidRPr="003016C4">
              <w:rPr>
                <w:rFonts w:ascii="Arial" w:hAnsi="Arial" w:cs="Arial"/>
                <w:b/>
                <w:bCs/>
                <w:color w:val="000000"/>
                <w:sz w:val="15"/>
                <w:szCs w:val="15"/>
              </w:rPr>
              <w:t>(4,260,780)</w:t>
            </w:r>
          </w:p>
        </w:tc>
      </w:tr>
      <w:tr w:rsidR="003016C4" w:rsidRPr="003016C4" w:rsidTr="003016C4">
        <w:trPr>
          <w:trHeight w:val="222"/>
        </w:trPr>
        <w:tc>
          <w:tcPr>
            <w:tcW w:w="2260"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jc w:val="left"/>
              <w:rPr>
                <w:rFonts w:ascii="Arial" w:hAnsi="Arial" w:cs="Arial"/>
                <w:b/>
                <w:bCs/>
                <w:color w:val="000000"/>
                <w:sz w:val="15"/>
                <w:szCs w:val="15"/>
              </w:rPr>
            </w:pPr>
            <w:r w:rsidRPr="003016C4">
              <w:rPr>
                <w:rFonts w:ascii="Arial" w:hAnsi="Arial" w:cs="Arial"/>
                <w:b/>
                <w:bCs/>
                <w:color w:val="000000"/>
                <w:sz w:val="15"/>
                <w:szCs w:val="15"/>
              </w:rPr>
              <w:t xml:space="preserve">Net increase/(decrease) </w:t>
            </w:r>
          </w:p>
        </w:tc>
        <w:tc>
          <w:tcPr>
            <w:tcW w:w="1060" w:type="dxa"/>
            <w:tcBorders>
              <w:top w:val="single" w:sz="4" w:space="0" w:color="auto"/>
              <w:left w:val="nil"/>
              <w:bottom w:val="nil"/>
              <w:right w:val="nil"/>
            </w:tcBorders>
            <w:shd w:val="clear" w:color="auto" w:fill="auto"/>
            <w:noWrap/>
            <w:vAlign w:val="bottom"/>
            <w:hideMark/>
          </w:tcPr>
          <w:p w:rsidR="003016C4" w:rsidRPr="003016C4" w:rsidRDefault="003016C4" w:rsidP="003016C4">
            <w:pPr>
              <w:spacing w:after="0" w:line="240" w:lineRule="auto"/>
              <w:jc w:val="left"/>
              <w:rPr>
                <w:rFonts w:ascii="Arial" w:hAnsi="Arial" w:cs="Arial"/>
                <w:color w:val="000000"/>
                <w:sz w:val="15"/>
                <w:szCs w:val="15"/>
              </w:rPr>
            </w:pPr>
            <w:r w:rsidRPr="003016C4">
              <w:rPr>
                <w:rFonts w:ascii="Arial" w:hAnsi="Arial" w:cs="Arial"/>
                <w:color w:val="000000"/>
                <w:sz w:val="15"/>
                <w:szCs w:val="15"/>
              </w:rPr>
              <w:t> </w:t>
            </w:r>
          </w:p>
        </w:tc>
        <w:tc>
          <w:tcPr>
            <w:tcW w:w="1060" w:type="dxa"/>
            <w:tcBorders>
              <w:top w:val="single" w:sz="4" w:space="0" w:color="auto"/>
              <w:left w:val="nil"/>
              <w:bottom w:val="nil"/>
              <w:right w:val="nil"/>
            </w:tcBorders>
            <w:shd w:val="clear" w:color="000000" w:fill="E6E6E6"/>
            <w:noWrap/>
            <w:vAlign w:val="bottom"/>
            <w:hideMark/>
          </w:tcPr>
          <w:p w:rsidR="003016C4" w:rsidRPr="003016C4" w:rsidRDefault="003016C4" w:rsidP="003016C4">
            <w:pPr>
              <w:spacing w:after="0" w:line="240" w:lineRule="auto"/>
              <w:jc w:val="left"/>
              <w:rPr>
                <w:rFonts w:ascii="Arial" w:hAnsi="Arial" w:cs="Arial"/>
                <w:color w:val="000000"/>
                <w:sz w:val="15"/>
                <w:szCs w:val="15"/>
              </w:rPr>
            </w:pPr>
            <w:r w:rsidRPr="003016C4">
              <w:rPr>
                <w:rFonts w:ascii="Arial" w:hAnsi="Arial" w:cs="Arial"/>
                <w:color w:val="000000"/>
                <w:sz w:val="15"/>
                <w:szCs w:val="15"/>
              </w:rPr>
              <w:t> </w:t>
            </w:r>
          </w:p>
        </w:tc>
        <w:tc>
          <w:tcPr>
            <w:tcW w:w="1060" w:type="dxa"/>
            <w:tcBorders>
              <w:top w:val="single" w:sz="4" w:space="0" w:color="auto"/>
              <w:left w:val="nil"/>
              <w:bottom w:val="nil"/>
              <w:right w:val="nil"/>
            </w:tcBorders>
            <w:shd w:val="clear" w:color="auto" w:fill="auto"/>
            <w:noWrap/>
            <w:vAlign w:val="bottom"/>
            <w:hideMark/>
          </w:tcPr>
          <w:p w:rsidR="003016C4" w:rsidRPr="003016C4" w:rsidRDefault="003016C4" w:rsidP="003016C4">
            <w:pPr>
              <w:spacing w:after="0" w:line="240" w:lineRule="auto"/>
              <w:jc w:val="left"/>
              <w:rPr>
                <w:rFonts w:ascii="Arial" w:hAnsi="Arial" w:cs="Arial"/>
                <w:color w:val="000000"/>
                <w:sz w:val="15"/>
                <w:szCs w:val="15"/>
              </w:rPr>
            </w:pPr>
            <w:r w:rsidRPr="003016C4">
              <w:rPr>
                <w:rFonts w:ascii="Arial" w:hAnsi="Arial" w:cs="Arial"/>
                <w:color w:val="000000"/>
                <w:sz w:val="15"/>
                <w:szCs w:val="15"/>
              </w:rPr>
              <w:t> </w:t>
            </w:r>
          </w:p>
        </w:tc>
        <w:tc>
          <w:tcPr>
            <w:tcW w:w="1060" w:type="dxa"/>
            <w:tcBorders>
              <w:top w:val="single" w:sz="4" w:space="0" w:color="auto"/>
              <w:left w:val="nil"/>
              <w:bottom w:val="nil"/>
              <w:right w:val="nil"/>
            </w:tcBorders>
            <w:shd w:val="clear" w:color="auto" w:fill="auto"/>
            <w:noWrap/>
            <w:vAlign w:val="bottom"/>
            <w:hideMark/>
          </w:tcPr>
          <w:p w:rsidR="003016C4" w:rsidRPr="003016C4" w:rsidRDefault="003016C4" w:rsidP="003016C4">
            <w:pPr>
              <w:spacing w:after="0" w:line="240" w:lineRule="auto"/>
              <w:jc w:val="left"/>
              <w:rPr>
                <w:rFonts w:ascii="Arial" w:hAnsi="Arial" w:cs="Arial"/>
                <w:color w:val="000000"/>
                <w:sz w:val="15"/>
                <w:szCs w:val="15"/>
              </w:rPr>
            </w:pPr>
            <w:r w:rsidRPr="003016C4">
              <w:rPr>
                <w:rFonts w:ascii="Arial" w:hAnsi="Arial" w:cs="Arial"/>
                <w:color w:val="000000"/>
                <w:sz w:val="15"/>
                <w:szCs w:val="15"/>
              </w:rPr>
              <w:t> </w:t>
            </w:r>
          </w:p>
        </w:tc>
        <w:tc>
          <w:tcPr>
            <w:tcW w:w="1060" w:type="dxa"/>
            <w:tcBorders>
              <w:top w:val="single" w:sz="4" w:space="0" w:color="auto"/>
              <w:left w:val="nil"/>
              <w:bottom w:val="nil"/>
              <w:right w:val="nil"/>
            </w:tcBorders>
            <w:shd w:val="clear" w:color="auto" w:fill="auto"/>
            <w:noWrap/>
            <w:vAlign w:val="bottom"/>
            <w:hideMark/>
          </w:tcPr>
          <w:p w:rsidR="003016C4" w:rsidRPr="003016C4" w:rsidRDefault="003016C4" w:rsidP="003016C4">
            <w:pPr>
              <w:spacing w:after="0" w:line="240" w:lineRule="auto"/>
              <w:jc w:val="left"/>
              <w:rPr>
                <w:rFonts w:ascii="Arial" w:hAnsi="Arial" w:cs="Arial"/>
                <w:color w:val="000000"/>
                <w:sz w:val="15"/>
                <w:szCs w:val="15"/>
              </w:rPr>
            </w:pPr>
            <w:r w:rsidRPr="003016C4">
              <w:rPr>
                <w:rFonts w:ascii="Arial" w:hAnsi="Arial" w:cs="Arial"/>
                <w:color w:val="000000"/>
                <w:sz w:val="15"/>
                <w:szCs w:val="15"/>
              </w:rPr>
              <w:t> </w:t>
            </w:r>
          </w:p>
        </w:tc>
      </w:tr>
      <w:tr w:rsidR="003016C4" w:rsidRPr="003016C4" w:rsidTr="003016C4">
        <w:trPr>
          <w:trHeight w:val="222"/>
        </w:trPr>
        <w:tc>
          <w:tcPr>
            <w:tcW w:w="2260"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ind w:firstLineChars="100" w:firstLine="151"/>
              <w:jc w:val="left"/>
              <w:rPr>
                <w:rFonts w:ascii="Arial" w:hAnsi="Arial" w:cs="Arial"/>
                <w:b/>
                <w:bCs/>
                <w:color w:val="000000"/>
                <w:sz w:val="15"/>
                <w:szCs w:val="15"/>
              </w:rPr>
            </w:pPr>
            <w:r w:rsidRPr="003016C4">
              <w:rPr>
                <w:rFonts w:ascii="Arial" w:hAnsi="Arial" w:cs="Arial"/>
                <w:b/>
                <w:bCs/>
                <w:color w:val="000000"/>
                <w:sz w:val="15"/>
                <w:szCs w:val="15"/>
              </w:rPr>
              <w:t>in cash held</w:t>
            </w:r>
          </w:p>
        </w:tc>
        <w:tc>
          <w:tcPr>
            <w:tcW w:w="1060" w:type="dxa"/>
            <w:tcBorders>
              <w:top w:val="nil"/>
              <w:left w:val="nil"/>
              <w:bottom w:val="single" w:sz="4" w:space="0" w:color="auto"/>
              <w:right w:val="nil"/>
            </w:tcBorders>
            <w:shd w:val="clear" w:color="auto" w:fill="auto"/>
            <w:noWrap/>
            <w:vAlign w:val="bottom"/>
            <w:hideMark/>
          </w:tcPr>
          <w:p w:rsidR="003016C4" w:rsidRPr="003016C4" w:rsidRDefault="003016C4" w:rsidP="003016C4">
            <w:pPr>
              <w:spacing w:after="0" w:line="240" w:lineRule="auto"/>
              <w:jc w:val="right"/>
              <w:rPr>
                <w:rFonts w:ascii="Arial" w:hAnsi="Arial" w:cs="Arial"/>
                <w:b/>
                <w:bCs/>
                <w:color w:val="000000"/>
                <w:sz w:val="15"/>
                <w:szCs w:val="15"/>
              </w:rPr>
            </w:pPr>
            <w:r w:rsidRPr="003016C4">
              <w:rPr>
                <w:rFonts w:ascii="Arial" w:hAnsi="Arial" w:cs="Arial"/>
                <w:b/>
                <w:bCs/>
                <w:color w:val="000000"/>
                <w:sz w:val="15"/>
                <w:szCs w:val="15"/>
              </w:rPr>
              <w:t xml:space="preserve">1,156 </w:t>
            </w:r>
          </w:p>
        </w:tc>
        <w:tc>
          <w:tcPr>
            <w:tcW w:w="1060" w:type="dxa"/>
            <w:tcBorders>
              <w:top w:val="nil"/>
              <w:left w:val="nil"/>
              <w:bottom w:val="single" w:sz="4" w:space="0" w:color="auto"/>
              <w:right w:val="nil"/>
            </w:tcBorders>
            <w:shd w:val="clear" w:color="000000" w:fill="E6E6E6"/>
            <w:noWrap/>
            <w:vAlign w:val="bottom"/>
            <w:hideMark/>
          </w:tcPr>
          <w:p w:rsidR="003016C4" w:rsidRPr="003016C4" w:rsidRDefault="003016C4" w:rsidP="003016C4">
            <w:pPr>
              <w:spacing w:after="0" w:line="240" w:lineRule="auto"/>
              <w:jc w:val="right"/>
              <w:rPr>
                <w:rFonts w:ascii="Arial" w:hAnsi="Arial" w:cs="Arial"/>
                <w:b/>
                <w:bCs/>
                <w:color w:val="000000"/>
                <w:sz w:val="15"/>
                <w:szCs w:val="15"/>
              </w:rPr>
            </w:pPr>
            <w:r w:rsidRPr="003016C4">
              <w:rPr>
                <w:rFonts w:ascii="Arial" w:hAnsi="Arial" w:cs="Arial"/>
                <w:b/>
                <w:bCs/>
                <w:color w:val="000000"/>
                <w:sz w:val="15"/>
                <w:szCs w:val="15"/>
              </w:rPr>
              <w:t xml:space="preserve">81 </w:t>
            </w:r>
          </w:p>
        </w:tc>
        <w:tc>
          <w:tcPr>
            <w:tcW w:w="1060" w:type="dxa"/>
            <w:tcBorders>
              <w:top w:val="nil"/>
              <w:left w:val="nil"/>
              <w:bottom w:val="single" w:sz="4" w:space="0" w:color="auto"/>
              <w:right w:val="nil"/>
            </w:tcBorders>
            <w:shd w:val="clear" w:color="auto" w:fill="auto"/>
            <w:noWrap/>
            <w:vAlign w:val="bottom"/>
            <w:hideMark/>
          </w:tcPr>
          <w:p w:rsidR="003016C4" w:rsidRPr="003016C4" w:rsidRDefault="003016C4" w:rsidP="003016C4">
            <w:pPr>
              <w:spacing w:after="0" w:line="240" w:lineRule="auto"/>
              <w:jc w:val="right"/>
              <w:rPr>
                <w:rFonts w:ascii="Arial" w:hAnsi="Arial" w:cs="Arial"/>
                <w:b/>
                <w:bCs/>
                <w:color w:val="000000"/>
                <w:sz w:val="15"/>
                <w:szCs w:val="15"/>
              </w:rPr>
            </w:pPr>
            <w:r w:rsidRPr="003016C4">
              <w:rPr>
                <w:rFonts w:ascii="Arial" w:hAnsi="Arial" w:cs="Arial"/>
                <w:b/>
                <w:bCs/>
                <w:color w:val="000000"/>
                <w:sz w:val="15"/>
                <w:szCs w:val="15"/>
              </w:rPr>
              <w:t xml:space="preserve">83 </w:t>
            </w:r>
          </w:p>
        </w:tc>
        <w:tc>
          <w:tcPr>
            <w:tcW w:w="1060" w:type="dxa"/>
            <w:tcBorders>
              <w:top w:val="nil"/>
              <w:left w:val="nil"/>
              <w:bottom w:val="single" w:sz="4" w:space="0" w:color="auto"/>
              <w:right w:val="nil"/>
            </w:tcBorders>
            <w:shd w:val="clear" w:color="auto" w:fill="auto"/>
            <w:noWrap/>
            <w:vAlign w:val="bottom"/>
            <w:hideMark/>
          </w:tcPr>
          <w:p w:rsidR="003016C4" w:rsidRPr="003016C4" w:rsidRDefault="003016C4" w:rsidP="003016C4">
            <w:pPr>
              <w:spacing w:after="0" w:line="240" w:lineRule="auto"/>
              <w:jc w:val="right"/>
              <w:rPr>
                <w:rFonts w:ascii="Arial" w:hAnsi="Arial" w:cs="Arial"/>
                <w:b/>
                <w:bCs/>
                <w:color w:val="000000"/>
                <w:sz w:val="15"/>
                <w:szCs w:val="15"/>
              </w:rPr>
            </w:pPr>
            <w:r w:rsidRPr="003016C4">
              <w:rPr>
                <w:rFonts w:ascii="Arial" w:hAnsi="Arial" w:cs="Arial"/>
                <w:b/>
                <w:bCs/>
                <w:color w:val="000000"/>
                <w:sz w:val="15"/>
                <w:szCs w:val="15"/>
              </w:rPr>
              <w:t xml:space="preserve">86 </w:t>
            </w:r>
          </w:p>
        </w:tc>
        <w:tc>
          <w:tcPr>
            <w:tcW w:w="1060" w:type="dxa"/>
            <w:tcBorders>
              <w:top w:val="nil"/>
              <w:left w:val="nil"/>
              <w:bottom w:val="single" w:sz="4" w:space="0" w:color="auto"/>
              <w:right w:val="nil"/>
            </w:tcBorders>
            <w:shd w:val="clear" w:color="auto" w:fill="auto"/>
            <w:noWrap/>
            <w:vAlign w:val="bottom"/>
            <w:hideMark/>
          </w:tcPr>
          <w:p w:rsidR="003016C4" w:rsidRPr="003016C4" w:rsidRDefault="003016C4" w:rsidP="003016C4">
            <w:pPr>
              <w:spacing w:after="0" w:line="240" w:lineRule="auto"/>
              <w:jc w:val="right"/>
              <w:rPr>
                <w:rFonts w:ascii="Arial" w:hAnsi="Arial" w:cs="Arial"/>
                <w:b/>
                <w:bCs/>
                <w:color w:val="000000"/>
                <w:sz w:val="15"/>
                <w:szCs w:val="15"/>
              </w:rPr>
            </w:pPr>
            <w:r w:rsidRPr="003016C4">
              <w:rPr>
                <w:rFonts w:ascii="Arial" w:hAnsi="Arial" w:cs="Arial"/>
                <w:b/>
                <w:bCs/>
                <w:color w:val="000000"/>
                <w:sz w:val="15"/>
                <w:szCs w:val="15"/>
              </w:rPr>
              <w:t xml:space="preserve">89 </w:t>
            </w:r>
          </w:p>
        </w:tc>
      </w:tr>
      <w:tr w:rsidR="003016C4" w:rsidRPr="003016C4" w:rsidTr="003016C4">
        <w:trPr>
          <w:trHeight w:val="222"/>
        </w:trPr>
        <w:tc>
          <w:tcPr>
            <w:tcW w:w="2260" w:type="dxa"/>
            <w:tcBorders>
              <w:top w:val="nil"/>
              <w:left w:val="nil"/>
              <w:bottom w:val="nil"/>
              <w:right w:val="nil"/>
            </w:tcBorders>
            <w:shd w:val="clear" w:color="auto" w:fill="auto"/>
            <w:noWrap/>
            <w:vAlign w:val="bottom"/>
            <w:hideMark/>
          </w:tcPr>
          <w:p w:rsidR="003016C4" w:rsidRPr="003016C4" w:rsidRDefault="003016C4" w:rsidP="003016C4">
            <w:pPr>
              <w:spacing w:after="0" w:line="240" w:lineRule="auto"/>
              <w:jc w:val="left"/>
              <w:rPr>
                <w:rFonts w:ascii="Arial" w:hAnsi="Arial" w:cs="Arial"/>
                <w:color w:val="000000"/>
                <w:sz w:val="15"/>
                <w:szCs w:val="15"/>
              </w:rPr>
            </w:pPr>
            <w:r w:rsidRPr="003016C4">
              <w:rPr>
                <w:rFonts w:ascii="Arial" w:hAnsi="Arial" w:cs="Arial"/>
                <w:color w:val="000000"/>
                <w:sz w:val="15"/>
                <w:szCs w:val="15"/>
              </w:rPr>
              <w:t xml:space="preserve">Cash and cash equivalents </w:t>
            </w:r>
          </w:p>
        </w:tc>
        <w:tc>
          <w:tcPr>
            <w:tcW w:w="1060" w:type="dxa"/>
            <w:tcBorders>
              <w:top w:val="nil"/>
              <w:left w:val="nil"/>
              <w:bottom w:val="nil"/>
              <w:right w:val="nil"/>
            </w:tcBorders>
            <w:shd w:val="clear" w:color="auto" w:fill="auto"/>
            <w:noWrap/>
            <w:vAlign w:val="bottom"/>
            <w:hideMark/>
          </w:tcPr>
          <w:p w:rsidR="003016C4" w:rsidRPr="003016C4" w:rsidRDefault="003016C4" w:rsidP="003016C4">
            <w:pPr>
              <w:spacing w:after="0" w:line="240" w:lineRule="auto"/>
              <w:jc w:val="left"/>
              <w:rPr>
                <w:rFonts w:ascii="Arial" w:hAnsi="Arial" w:cs="Arial"/>
                <w:color w:val="000000"/>
                <w:sz w:val="15"/>
                <w:szCs w:val="15"/>
              </w:rPr>
            </w:pPr>
          </w:p>
        </w:tc>
        <w:tc>
          <w:tcPr>
            <w:tcW w:w="1060" w:type="dxa"/>
            <w:tcBorders>
              <w:top w:val="nil"/>
              <w:left w:val="nil"/>
              <w:bottom w:val="nil"/>
              <w:right w:val="nil"/>
            </w:tcBorders>
            <w:shd w:val="clear" w:color="000000" w:fill="E6E6E6"/>
            <w:noWrap/>
            <w:vAlign w:val="bottom"/>
            <w:hideMark/>
          </w:tcPr>
          <w:p w:rsidR="003016C4" w:rsidRPr="003016C4" w:rsidRDefault="003016C4" w:rsidP="003016C4">
            <w:pPr>
              <w:spacing w:after="0" w:line="240" w:lineRule="auto"/>
              <w:jc w:val="left"/>
              <w:rPr>
                <w:rFonts w:ascii="Arial" w:hAnsi="Arial" w:cs="Arial"/>
                <w:color w:val="000000"/>
                <w:sz w:val="15"/>
                <w:szCs w:val="15"/>
              </w:rPr>
            </w:pPr>
            <w:r w:rsidRPr="003016C4">
              <w:rPr>
                <w:rFonts w:ascii="Arial" w:hAnsi="Arial" w:cs="Arial"/>
                <w:color w:val="000000"/>
                <w:sz w:val="15"/>
                <w:szCs w:val="15"/>
              </w:rPr>
              <w:t> </w:t>
            </w:r>
          </w:p>
        </w:tc>
        <w:tc>
          <w:tcPr>
            <w:tcW w:w="1060" w:type="dxa"/>
            <w:tcBorders>
              <w:top w:val="nil"/>
              <w:left w:val="nil"/>
              <w:bottom w:val="nil"/>
              <w:right w:val="nil"/>
            </w:tcBorders>
            <w:shd w:val="clear" w:color="auto" w:fill="auto"/>
            <w:noWrap/>
            <w:vAlign w:val="bottom"/>
            <w:hideMark/>
          </w:tcPr>
          <w:p w:rsidR="003016C4" w:rsidRPr="003016C4" w:rsidRDefault="003016C4" w:rsidP="003016C4">
            <w:pPr>
              <w:spacing w:after="0" w:line="240" w:lineRule="auto"/>
              <w:jc w:val="left"/>
              <w:rPr>
                <w:rFonts w:ascii="Arial" w:hAnsi="Arial" w:cs="Arial"/>
                <w:color w:val="000000"/>
                <w:sz w:val="15"/>
                <w:szCs w:val="15"/>
              </w:rPr>
            </w:pPr>
          </w:p>
        </w:tc>
        <w:tc>
          <w:tcPr>
            <w:tcW w:w="1060" w:type="dxa"/>
            <w:tcBorders>
              <w:top w:val="nil"/>
              <w:left w:val="nil"/>
              <w:bottom w:val="nil"/>
              <w:right w:val="nil"/>
            </w:tcBorders>
            <w:shd w:val="clear" w:color="auto" w:fill="auto"/>
            <w:noWrap/>
            <w:vAlign w:val="bottom"/>
            <w:hideMark/>
          </w:tcPr>
          <w:p w:rsidR="003016C4" w:rsidRPr="003016C4" w:rsidRDefault="003016C4" w:rsidP="003016C4">
            <w:pPr>
              <w:spacing w:after="0" w:line="240" w:lineRule="auto"/>
              <w:jc w:val="left"/>
              <w:rPr>
                <w:rFonts w:ascii="Arial" w:hAnsi="Arial" w:cs="Arial"/>
                <w:color w:val="000000"/>
                <w:sz w:val="15"/>
                <w:szCs w:val="15"/>
              </w:rPr>
            </w:pPr>
          </w:p>
        </w:tc>
        <w:tc>
          <w:tcPr>
            <w:tcW w:w="1060" w:type="dxa"/>
            <w:tcBorders>
              <w:top w:val="nil"/>
              <w:left w:val="nil"/>
              <w:bottom w:val="nil"/>
              <w:right w:val="nil"/>
            </w:tcBorders>
            <w:shd w:val="clear" w:color="auto" w:fill="auto"/>
            <w:noWrap/>
            <w:vAlign w:val="bottom"/>
            <w:hideMark/>
          </w:tcPr>
          <w:p w:rsidR="003016C4" w:rsidRPr="003016C4" w:rsidRDefault="003016C4" w:rsidP="003016C4">
            <w:pPr>
              <w:spacing w:after="0" w:line="240" w:lineRule="auto"/>
              <w:jc w:val="left"/>
              <w:rPr>
                <w:rFonts w:ascii="Arial" w:hAnsi="Arial" w:cs="Arial"/>
                <w:color w:val="000000"/>
                <w:sz w:val="15"/>
                <w:szCs w:val="15"/>
              </w:rPr>
            </w:pPr>
          </w:p>
        </w:tc>
      </w:tr>
      <w:tr w:rsidR="003016C4" w:rsidRPr="003016C4" w:rsidTr="003016C4">
        <w:trPr>
          <w:trHeight w:val="222"/>
        </w:trPr>
        <w:tc>
          <w:tcPr>
            <w:tcW w:w="2260" w:type="dxa"/>
            <w:tcBorders>
              <w:top w:val="nil"/>
              <w:left w:val="nil"/>
              <w:bottom w:val="nil"/>
              <w:right w:val="nil"/>
            </w:tcBorders>
            <w:shd w:val="clear" w:color="auto" w:fill="auto"/>
            <w:noWrap/>
            <w:vAlign w:val="center"/>
            <w:hideMark/>
          </w:tcPr>
          <w:p w:rsidR="003016C4" w:rsidRPr="003016C4" w:rsidRDefault="003016C4" w:rsidP="003016C4">
            <w:pPr>
              <w:spacing w:after="0" w:line="240" w:lineRule="auto"/>
              <w:ind w:firstLineChars="100" w:firstLine="150"/>
              <w:jc w:val="left"/>
              <w:rPr>
                <w:rFonts w:ascii="Arial" w:hAnsi="Arial" w:cs="Arial"/>
                <w:color w:val="000000"/>
                <w:sz w:val="15"/>
                <w:szCs w:val="15"/>
              </w:rPr>
            </w:pPr>
            <w:r w:rsidRPr="003016C4">
              <w:rPr>
                <w:rFonts w:ascii="Arial" w:hAnsi="Arial" w:cs="Arial"/>
                <w:color w:val="000000"/>
                <w:sz w:val="15"/>
                <w:szCs w:val="15"/>
              </w:rPr>
              <w:t xml:space="preserve">at beginning of </w:t>
            </w:r>
          </w:p>
        </w:tc>
        <w:tc>
          <w:tcPr>
            <w:tcW w:w="1060" w:type="dxa"/>
            <w:tcBorders>
              <w:top w:val="nil"/>
              <w:left w:val="nil"/>
              <w:bottom w:val="nil"/>
              <w:right w:val="nil"/>
            </w:tcBorders>
            <w:shd w:val="clear" w:color="auto" w:fill="auto"/>
            <w:noWrap/>
            <w:vAlign w:val="bottom"/>
            <w:hideMark/>
          </w:tcPr>
          <w:p w:rsidR="003016C4" w:rsidRPr="003016C4" w:rsidRDefault="003016C4" w:rsidP="003016C4">
            <w:pPr>
              <w:spacing w:after="0" w:line="240" w:lineRule="auto"/>
              <w:jc w:val="left"/>
              <w:rPr>
                <w:rFonts w:ascii="Arial" w:hAnsi="Arial" w:cs="Arial"/>
                <w:color w:val="000000"/>
                <w:sz w:val="15"/>
                <w:szCs w:val="15"/>
              </w:rPr>
            </w:pPr>
          </w:p>
        </w:tc>
        <w:tc>
          <w:tcPr>
            <w:tcW w:w="1060" w:type="dxa"/>
            <w:tcBorders>
              <w:top w:val="nil"/>
              <w:left w:val="nil"/>
              <w:bottom w:val="nil"/>
              <w:right w:val="nil"/>
            </w:tcBorders>
            <w:shd w:val="clear" w:color="000000" w:fill="E6E6E6"/>
            <w:noWrap/>
            <w:vAlign w:val="bottom"/>
            <w:hideMark/>
          </w:tcPr>
          <w:p w:rsidR="003016C4" w:rsidRPr="003016C4" w:rsidRDefault="003016C4" w:rsidP="003016C4">
            <w:pPr>
              <w:spacing w:after="0" w:line="240" w:lineRule="auto"/>
              <w:jc w:val="left"/>
              <w:rPr>
                <w:rFonts w:ascii="Arial" w:hAnsi="Arial" w:cs="Arial"/>
                <w:color w:val="000000"/>
                <w:sz w:val="15"/>
                <w:szCs w:val="15"/>
              </w:rPr>
            </w:pPr>
            <w:r w:rsidRPr="003016C4">
              <w:rPr>
                <w:rFonts w:ascii="Arial" w:hAnsi="Arial" w:cs="Arial"/>
                <w:color w:val="000000"/>
                <w:sz w:val="15"/>
                <w:szCs w:val="15"/>
              </w:rPr>
              <w:t> </w:t>
            </w:r>
          </w:p>
        </w:tc>
        <w:tc>
          <w:tcPr>
            <w:tcW w:w="1060" w:type="dxa"/>
            <w:tcBorders>
              <w:top w:val="nil"/>
              <w:left w:val="nil"/>
              <w:bottom w:val="nil"/>
              <w:right w:val="nil"/>
            </w:tcBorders>
            <w:shd w:val="clear" w:color="auto" w:fill="auto"/>
            <w:noWrap/>
            <w:vAlign w:val="bottom"/>
            <w:hideMark/>
          </w:tcPr>
          <w:p w:rsidR="003016C4" w:rsidRPr="003016C4" w:rsidRDefault="003016C4" w:rsidP="003016C4">
            <w:pPr>
              <w:spacing w:after="0" w:line="240" w:lineRule="auto"/>
              <w:jc w:val="left"/>
              <w:rPr>
                <w:rFonts w:ascii="Arial" w:hAnsi="Arial" w:cs="Arial"/>
                <w:color w:val="000000"/>
                <w:sz w:val="15"/>
                <w:szCs w:val="15"/>
              </w:rPr>
            </w:pPr>
          </w:p>
        </w:tc>
        <w:tc>
          <w:tcPr>
            <w:tcW w:w="1060" w:type="dxa"/>
            <w:tcBorders>
              <w:top w:val="nil"/>
              <w:left w:val="nil"/>
              <w:bottom w:val="nil"/>
              <w:right w:val="nil"/>
            </w:tcBorders>
            <w:shd w:val="clear" w:color="auto" w:fill="auto"/>
            <w:noWrap/>
            <w:vAlign w:val="bottom"/>
            <w:hideMark/>
          </w:tcPr>
          <w:p w:rsidR="003016C4" w:rsidRPr="003016C4" w:rsidRDefault="003016C4" w:rsidP="003016C4">
            <w:pPr>
              <w:spacing w:after="0" w:line="240" w:lineRule="auto"/>
              <w:jc w:val="left"/>
              <w:rPr>
                <w:rFonts w:ascii="Arial" w:hAnsi="Arial" w:cs="Arial"/>
                <w:color w:val="000000"/>
                <w:sz w:val="15"/>
                <w:szCs w:val="15"/>
              </w:rPr>
            </w:pPr>
          </w:p>
        </w:tc>
        <w:tc>
          <w:tcPr>
            <w:tcW w:w="1060" w:type="dxa"/>
            <w:tcBorders>
              <w:top w:val="nil"/>
              <w:left w:val="nil"/>
              <w:bottom w:val="nil"/>
              <w:right w:val="nil"/>
            </w:tcBorders>
            <w:shd w:val="clear" w:color="auto" w:fill="auto"/>
            <w:noWrap/>
            <w:vAlign w:val="bottom"/>
            <w:hideMark/>
          </w:tcPr>
          <w:p w:rsidR="003016C4" w:rsidRPr="003016C4" w:rsidRDefault="003016C4" w:rsidP="003016C4">
            <w:pPr>
              <w:spacing w:after="0" w:line="240" w:lineRule="auto"/>
              <w:jc w:val="left"/>
              <w:rPr>
                <w:rFonts w:ascii="Arial" w:hAnsi="Arial" w:cs="Arial"/>
                <w:color w:val="000000"/>
                <w:sz w:val="15"/>
                <w:szCs w:val="15"/>
              </w:rPr>
            </w:pPr>
          </w:p>
        </w:tc>
      </w:tr>
      <w:tr w:rsidR="003016C4" w:rsidRPr="003016C4" w:rsidTr="003016C4">
        <w:trPr>
          <w:trHeight w:val="222"/>
        </w:trPr>
        <w:tc>
          <w:tcPr>
            <w:tcW w:w="2260" w:type="dxa"/>
            <w:tcBorders>
              <w:top w:val="nil"/>
              <w:left w:val="nil"/>
              <w:bottom w:val="nil"/>
              <w:right w:val="nil"/>
            </w:tcBorders>
            <w:shd w:val="clear" w:color="auto" w:fill="auto"/>
            <w:noWrap/>
            <w:vAlign w:val="bottom"/>
            <w:hideMark/>
          </w:tcPr>
          <w:p w:rsidR="003016C4" w:rsidRPr="003016C4" w:rsidRDefault="003016C4" w:rsidP="003016C4">
            <w:pPr>
              <w:spacing w:after="0" w:line="240" w:lineRule="auto"/>
              <w:ind w:firstLineChars="100" w:firstLine="150"/>
              <w:jc w:val="left"/>
              <w:rPr>
                <w:rFonts w:ascii="Arial" w:hAnsi="Arial" w:cs="Arial"/>
                <w:color w:val="000000"/>
                <w:sz w:val="15"/>
                <w:szCs w:val="15"/>
              </w:rPr>
            </w:pPr>
            <w:r w:rsidRPr="003016C4">
              <w:rPr>
                <w:rFonts w:ascii="Arial" w:hAnsi="Arial" w:cs="Arial"/>
                <w:color w:val="000000"/>
                <w:sz w:val="15"/>
                <w:szCs w:val="15"/>
              </w:rPr>
              <w:t>reporting period</w:t>
            </w:r>
          </w:p>
        </w:tc>
        <w:tc>
          <w:tcPr>
            <w:tcW w:w="1060" w:type="dxa"/>
            <w:tcBorders>
              <w:top w:val="nil"/>
              <w:left w:val="nil"/>
              <w:bottom w:val="nil"/>
              <w:right w:val="nil"/>
            </w:tcBorders>
            <w:shd w:val="clear" w:color="auto" w:fill="auto"/>
            <w:noWrap/>
            <w:vAlign w:val="bottom"/>
            <w:hideMark/>
          </w:tcPr>
          <w:p w:rsidR="003016C4" w:rsidRPr="003016C4" w:rsidRDefault="003016C4" w:rsidP="003016C4">
            <w:pPr>
              <w:spacing w:after="0" w:line="240" w:lineRule="auto"/>
              <w:jc w:val="right"/>
              <w:rPr>
                <w:rFonts w:ascii="Arial" w:hAnsi="Arial" w:cs="Arial"/>
                <w:color w:val="000000"/>
                <w:sz w:val="15"/>
                <w:szCs w:val="15"/>
              </w:rPr>
            </w:pPr>
            <w:r w:rsidRPr="003016C4">
              <w:rPr>
                <w:rFonts w:ascii="Arial" w:hAnsi="Arial" w:cs="Arial"/>
                <w:color w:val="000000"/>
                <w:sz w:val="15"/>
                <w:szCs w:val="15"/>
              </w:rPr>
              <w:t xml:space="preserve">1,543 </w:t>
            </w:r>
          </w:p>
        </w:tc>
        <w:tc>
          <w:tcPr>
            <w:tcW w:w="1060" w:type="dxa"/>
            <w:tcBorders>
              <w:top w:val="nil"/>
              <w:left w:val="nil"/>
              <w:bottom w:val="nil"/>
              <w:right w:val="nil"/>
            </w:tcBorders>
            <w:shd w:val="clear" w:color="000000" w:fill="E6E6E6"/>
            <w:noWrap/>
            <w:vAlign w:val="bottom"/>
            <w:hideMark/>
          </w:tcPr>
          <w:p w:rsidR="003016C4" w:rsidRPr="003016C4" w:rsidRDefault="003016C4" w:rsidP="003016C4">
            <w:pPr>
              <w:spacing w:after="0" w:line="240" w:lineRule="auto"/>
              <w:jc w:val="right"/>
              <w:rPr>
                <w:rFonts w:ascii="Arial" w:hAnsi="Arial" w:cs="Arial"/>
                <w:color w:val="000000"/>
                <w:sz w:val="15"/>
                <w:szCs w:val="15"/>
              </w:rPr>
            </w:pPr>
            <w:r w:rsidRPr="003016C4">
              <w:rPr>
                <w:rFonts w:ascii="Arial" w:hAnsi="Arial" w:cs="Arial"/>
                <w:color w:val="000000"/>
                <w:sz w:val="15"/>
                <w:szCs w:val="15"/>
              </w:rPr>
              <w:t xml:space="preserve">2,699 </w:t>
            </w:r>
          </w:p>
        </w:tc>
        <w:tc>
          <w:tcPr>
            <w:tcW w:w="1060" w:type="dxa"/>
            <w:tcBorders>
              <w:top w:val="nil"/>
              <w:left w:val="nil"/>
              <w:bottom w:val="nil"/>
              <w:right w:val="nil"/>
            </w:tcBorders>
            <w:shd w:val="clear" w:color="auto" w:fill="auto"/>
            <w:noWrap/>
            <w:vAlign w:val="bottom"/>
            <w:hideMark/>
          </w:tcPr>
          <w:p w:rsidR="003016C4" w:rsidRPr="003016C4" w:rsidRDefault="003016C4" w:rsidP="003016C4">
            <w:pPr>
              <w:spacing w:after="0" w:line="240" w:lineRule="auto"/>
              <w:jc w:val="right"/>
              <w:rPr>
                <w:rFonts w:ascii="Arial" w:hAnsi="Arial" w:cs="Arial"/>
                <w:color w:val="000000"/>
                <w:sz w:val="15"/>
                <w:szCs w:val="15"/>
              </w:rPr>
            </w:pPr>
            <w:r w:rsidRPr="003016C4">
              <w:rPr>
                <w:rFonts w:ascii="Arial" w:hAnsi="Arial" w:cs="Arial"/>
                <w:color w:val="000000"/>
                <w:sz w:val="15"/>
                <w:szCs w:val="15"/>
              </w:rPr>
              <w:t xml:space="preserve">2,780 </w:t>
            </w:r>
          </w:p>
        </w:tc>
        <w:tc>
          <w:tcPr>
            <w:tcW w:w="1060" w:type="dxa"/>
            <w:tcBorders>
              <w:top w:val="nil"/>
              <w:left w:val="nil"/>
              <w:bottom w:val="nil"/>
              <w:right w:val="nil"/>
            </w:tcBorders>
            <w:shd w:val="clear" w:color="auto" w:fill="auto"/>
            <w:noWrap/>
            <w:vAlign w:val="bottom"/>
            <w:hideMark/>
          </w:tcPr>
          <w:p w:rsidR="003016C4" w:rsidRPr="003016C4" w:rsidRDefault="003016C4" w:rsidP="003016C4">
            <w:pPr>
              <w:spacing w:after="0" w:line="240" w:lineRule="auto"/>
              <w:jc w:val="right"/>
              <w:rPr>
                <w:rFonts w:ascii="Arial" w:hAnsi="Arial" w:cs="Arial"/>
                <w:color w:val="000000"/>
                <w:sz w:val="15"/>
                <w:szCs w:val="15"/>
              </w:rPr>
            </w:pPr>
            <w:r w:rsidRPr="003016C4">
              <w:rPr>
                <w:rFonts w:ascii="Arial" w:hAnsi="Arial" w:cs="Arial"/>
                <w:color w:val="000000"/>
                <w:sz w:val="15"/>
                <w:szCs w:val="15"/>
              </w:rPr>
              <w:t xml:space="preserve">2,863 </w:t>
            </w:r>
          </w:p>
        </w:tc>
        <w:tc>
          <w:tcPr>
            <w:tcW w:w="1060" w:type="dxa"/>
            <w:tcBorders>
              <w:top w:val="nil"/>
              <w:left w:val="nil"/>
              <w:bottom w:val="nil"/>
              <w:right w:val="nil"/>
            </w:tcBorders>
            <w:shd w:val="clear" w:color="auto" w:fill="auto"/>
            <w:noWrap/>
            <w:vAlign w:val="bottom"/>
            <w:hideMark/>
          </w:tcPr>
          <w:p w:rsidR="003016C4" w:rsidRPr="003016C4" w:rsidRDefault="003016C4" w:rsidP="003016C4">
            <w:pPr>
              <w:spacing w:after="0" w:line="240" w:lineRule="auto"/>
              <w:jc w:val="right"/>
              <w:rPr>
                <w:rFonts w:ascii="Arial" w:hAnsi="Arial" w:cs="Arial"/>
                <w:color w:val="000000"/>
                <w:sz w:val="15"/>
                <w:szCs w:val="15"/>
              </w:rPr>
            </w:pPr>
            <w:r w:rsidRPr="003016C4">
              <w:rPr>
                <w:rFonts w:ascii="Arial" w:hAnsi="Arial" w:cs="Arial"/>
                <w:color w:val="000000"/>
                <w:sz w:val="15"/>
                <w:szCs w:val="15"/>
              </w:rPr>
              <w:t xml:space="preserve">2,949 </w:t>
            </w:r>
          </w:p>
        </w:tc>
      </w:tr>
      <w:tr w:rsidR="003016C4" w:rsidRPr="003016C4" w:rsidTr="003016C4">
        <w:trPr>
          <w:trHeight w:val="222"/>
        </w:trPr>
        <w:tc>
          <w:tcPr>
            <w:tcW w:w="2260" w:type="dxa"/>
            <w:tcBorders>
              <w:top w:val="nil"/>
              <w:left w:val="nil"/>
              <w:bottom w:val="nil"/>
              <w:right w:val="nil"/>
            </w:tcBorders>
            <w:shd w:val="clear" w:color="auto" w:fill="auto"/>
            <w:vAlign w:val="center"/>
            <w:hideMark/>
          </w:tcPr>
          <w:p w:rsidR="003016C4" w:rsidRPr="003016C4" w:rsidRDefault="003016C4" w:rsidP="003016C4">
            <w:pPr>
              <w:spacing w:after="0" w:line="240" w:lineRule="auto"/>
              <w:jc w:val="left"/>
              <w:rPr>
                <w:rFonts w:ascii="Arial" w:hAnsi="Arial" w:cs="Arial"/>
                <w:b/>
                <w:bCs/>
                <w:color w:val="000000"/>
                <w:sz w:val="15"/>
                <w:szCs w:val="15"/>
              </w:rPr>
            </w:pPr>
            <w:r w:rsidRPr="003016C4">
              <w:rPr>
                <w:rFonts w:ascii="Arial" w:hAnsi="Arial" w:cs="Arial"/>
                <w:b/>
                <w:bCs/>
                <w:color w:val="000000"/>
                <w:sz w:val="15"/>
                <w:szCs w:val="15"/>
              </w:rPr>
              <w:t xml:space="preserve">Cash and cash equivalents </w:t>
            </w:r>
          </w:p>
        </w:tc>
        <w:tc>
          <w:tcPr>
            <w:tcW w:w="1060" w:type="dxa"/>
            <w:tcBorders>
              <w:top w:val="single" w:sz="4" w:space="0" w:color="auto"/>
              <w:left w:val="nil"/>
              <w:bottom w:val="nil"/>
              <w:right w:val="nil"/>
            </w:tcBorders>
            <w:shd w:val="clear" w:color="auto" w:fill="auto"/>
            <w:noWrap/>
            <w:vAlign w:val="bottom"/>
            <w:hideMark/>
          </w:tcPr>
          <w:p w:rsidR="003016C4" w:rsidRPr="003016C4" w:rsidRDefault="003016C4" w:rsidP="003016C4">
            <w:pPr>
              <w:spacing w:after="0" w:line="240" w:lineRule="auto"/>
              <w:jc w:val="left"/>
              <w:rPr>
                <w:rFonts w:ascii="Arial" w:hAnsi="Arial" w:cs="Arial"/>
                <w:b/>
                <w:bCs/>
                <w:color w:val="000000"/>
                <w:sz w:val="15"/>
                <w:szCs w:val="15"/>
              </w:rPr>
            </w:pPr>
            <w:r w:rsidRPr="003016C4">
              <w:rPr>
                <w:rFonts w:ascii="Arial" w:hAnsi="Arial" w:cs="Arial"/>
                <w:b/>
                <w:bCs/>
                <w:color w:val="000000"/>
                <w:sz w:val="15"/>
                <w:szCs w:val="15"/>
              </w:rPr>
              <w:t> </w:t>
            </w:r>
          </w:p>
        </w:tc>
        <w:tc>
          <w:tcPr>
            <w:tcW w:w="1060" w:type="dxa"/>
            <w:tcBorders>
              <w:top w:val="single" w:sz="4" w:space="0" w:color="auto"/>
              <w:left w:val="nil"/>
              <w:bottom w:val="nil"/>
              <w:right w:val="nil"/>
            </w:tcBorders>
            <w:shd w:val="clear" w:color="000000" w:fill="E6E6E6"/>
            <w:noWrap/>
            <w:vAlign w:val="bottom"/>
            <w:hideMark/>
          </w:tcPr>
          <w:p w:rsidR="003016C4" w:rsidRPr="003016C4" w:rsidRDefault="003016C4" w:rsidP="003016C4">
            <w:pPr>
              <w:spacing w:after="0" w:line="240" w:lineRule="auto"/>
              <w:jc w:val="left"/>
              <w:rPr>
                <w:rFonts w:ascii="Arial" w:hAnsi="Arial" w:cs="Arial"/>
                <w:color w:val="000000"/>
                <w:sz w:val="15"/>
                <w:szCs w:val="15"/>
              </w:rPr>
            </w:pPr>
            <w:r w:rsidRPr="003016C4">
              <w:rPr>
                <w:rFonts w:ascii="Arial" w:hAnsi="Arial" w:cs="Arial"/>
                <w:color w:val="000000"/>
                <w:sz w:val="15"/>
                <w:szCs w:val="15"/>
              </w:rPr>
              <w:t> </w:t>
            </w:r>
          </w:p>
        </w:tc>
        <w:tc>
          <w:tcPr>
            <w:tcW w:w="1060" w:type="dxa"/>
            <w:tcBorders>
              <w:top w:val="single" w:sz="4" w:space="0" w:color="auto"/>
              <w:left w:val="nil"/>
              <w:bottom w:val="nil"/>
              <w:right w:val="nil"/>
            </w:tcBorders>
            <w:shd w:val="clear" w:color="auto" w:fill="auto"/>
            <w:noWrap/>
            <w:vAlign w:val="bottom"/>
            <w:hideMark/>
          </w:tcPr>
          <w:p w:rsidR="003016C4" w:rsidRPr="003016C4" w:rsidRDefault="003016C4" w:rsidP="003016C4">
            <w:pPr>
              <w:spacing w:after="0" w:line="240" w:lineRule="auto"/>
              <w:jc w:val="left"/>
              <w:rPr>
                <w:rFonts w:ascii="Arial" w:hAnsi="Arial" w:cs="Arial"/>
                <w:b/>
                <w:bCs/>
                <w:color w:val="000000"/>
                <w:sz w:val="15"/>
                <w:szCs w:val="15"/>
              </w:rPr>
            </w:pPr>
            <w:r w:rsidRPr="003016C4">
              <w:rPr>
                <w:rFonts w:ascii="Arial" w:hAnsi="Arial" w:cs="Arial"/>
                <w:b/>
                <w:bCs/>
                <w:color w:val="000000"/>
                <w:sz w:val="15"/>
                <w:szCs w:val="15"/>
              </w:rPr>
              <w:t> </w:t>
            </w:r>
          </w:p>
        </w:tc>
        <w:tc>
          <w:tcPr>
            <w:tcW w:w="1060" w:type="dxa"/>
            <w:tcBorders>
              <w:top w:val="single" w:sz="4" w:space="0" w:color="auto"/>
              <w:left w:val="nil"/>
              <w:bottom w:val="nil"/>
              <w:right w:val="nil"/>
            </w:tcBorders>
            <w:shd w:val="clear" w:color="auto" w:fill="auto"/>
            <w:noWrap/>
            <w:vAlign w:val="bottom"/>
            <w:hideMark/>
          </w:tcPr>
          <w:p w:rsidR="003016C4" w:rsidRPr="003016C4" w:rsidRDefault="003016C4" w:rsidP="003016C4">
            <w:pPr>
              <w:spacing w:after="0" w:line="240" w:lineRule="auto"/>
              <w:jc w:val="left"/>
              <w:rPr>
                <w:rFonts w:ascii="Arial" w:hAnsi="Arial" w:cs="Arial"/>
                <w:b/>
                <w:bCs/>
                <w:color w:val="000000"/>
                <w:sz w:val="15"/>
                <w:szCs w:val="15"/>
              </w:rPr>
            </w:pPr>
            <w:r w:rsidRPr="003016C4">
              <w:rPr>
                <w:rFonts w:ascii="Arial" w:hAnsi="Arial" w:cs="Arial"/>
                <w:b/>
                <w:bCs/>
                <w:color w:val="000000"/>
                <w:sz w:val="15"/>
                <w:szCs w:val="15"/>
              </w:rPr>
              <w:t> </w:t>
            </w:r>
          </w:p>
        </w:tc>
        <w:tc>
          <w:tcPr>
            <w:tcW w:w="1060" w:type="dxa"/>
            <w:tcBorders>
              <w:top w:val="single" w:sz="4" w:space="0" w:color="auto"/>
              <w:left w:val="nil"/>
              <w:bottom w:val="nil"/>
              <w:right w:val="nil"/>
            </w:tcBorders>
            <w:shd w:val="clear" w:color="auto" w:fill="auto"/>
            <w:noWrap/>
            <w:vAlign w:val="bottom"/>
            <w:hideMark/>
          </w:tcPr>
          <w:p w:rsidR="003016C4" w:rsidRPr="003016C4" w:rsidRDefault="003016C4" w:rsidP="003016C4">
            <w:pPr>
              <w:spacing w:after="0" w:line="240" w:lineRule="auto"/>
              <w:jc w:val="left"/>
              <w:rPr>
                <w:rFonts w:ascii="Arial" w:hAnsi="Arial" w:cs="Arial"/>
                <w:b/>
                <w:bCs/>
                <w:color w:val="000000"/>
                <w:sz w:val="15"/>
                <w:szCs w:val="15"/>
              </w:rPr>
            </w:pPr>
            <w:r w:rsidRPr="003016C4">
              <w:rPr>
                <w:rFonts w:ascii="Arial" w:hAnsi="Arial" w:cs="Arial"/>
                <w:b/>
                <w:bCs/>
                <w:color w:val="000000"/>
                <w:sz w:val="15"/>
                <w:szCs w:val="15"/>
              </w:rPr>
              <w:t> </w:t>
            </w:r>
          </w:p>
        </w:tc>
      </w:tr>
      <w:tr w:rsidR="003016C4" w:rsidRPr="003016C4" w:rsidTr="003016C4">
        <w:trPr>
          <w:trHeight w:val="222"/>
        </w:trPr>
        <w:tc>
          <w:tcPr>
            <w:tcW w:w="2260" w:type="dxa"/>
            <w:tcBorders>
              <w:top w:val="nil"/>
              <w:left w:val="nil"/>
              <w:bottom w:val="single" w:sz="4" w:space="0" w:color="auto"/>
              <w:right w:val="nil"/>
            </w:tcBorders>
            <w:shd w:val="clear" w:color="auto" w:fill="auto"/>
            <w:noWrap/>
            <w:vAlign w:val="center"/>
            <w:hideMark/>
          </w:tcPr>
          <w:p w:rsidR="003016C4" w:rsidRPr="003016C4" w:rsidRDefault="003016C4" w:rsidP="003016C4">
            <w:pPr>
              <w:spacing w:after="0" w:line="240" w:lineRule="auto"/>
              <w:ind w:firstLineChars="100" w:firstLine="151"/>
              <w:jc w:val="left"/>
              <w:rPr>
                <w:rFonts w:ascii="Arial" w:hAnsi="Arial" w:cs="Arial"/>
                <w:b/>
                <w:bCs/>
                <w:color w:val="000000"/>
                <w:sz w:val="15"/>
                <w:szCs w:val="15"/>
              </w:rPr>
            </w:pPr>
            <w:r w:rsidRPr="003016C4">
              <w:rPr>
                <w:rFonts w:ascii="Arial" w:hAnsi="Arial" w:cs="Arial"/>
                <w:b/>
                <w:bCs/>
                <w:color w:val="000000"/>
                <w:sz w:val="15"/>
                <w:szCs w:val="15"/>
              </w:rPr>
              <w:t>at end of reporting period</w:t>
            </w:r>
          </w:p>
        </w:tc>
        <w:tc>
          <w:tcPr>
            <w:tcW w:w="1060" w:type="dxa"/>
            <w:tcBorders>
              <w:top w:val="nil"/>
              <w:left w:val="nil"/>
              <w:bottom w:val="single" w:sz="4" w:space="0" w:color="auto"/>
              <w:right w:val="nil"/>
            </w:tcBorders>
            <w:shd w:val="clear" w:color="auto" w:fill="auto"/>
            <w:noWrap/>
            <w:vAlign w:val="center"/>
            <w:hideMark/>
          </w:tcPr>
          <w:p w:rsidR="003016C4" w:rsidRPr="003016C4" w:rsidRDefault="003016C4" w:rsidP="003016C4">
            <w:pPr>
              <w:spacing w:after="0" w:line="240" w:lineRule="auto"/>
              <w:jc w:val="right"/>
              <w:rPr>
                <w:rFonts w:ascii="Arial" w:hAnsi="Arial" w:cs="Arial"/>
                <w:b/>
                <w:bCs/>
                <w:color w:val="000000"/>
                <w:sz w:val="15"/>
                <w:szCs w:val="15"/>
              </w:rPr>
            </w:pPr>
            <w:r w:rsidRPr="003016C4">
              <w:rPr>
                <w:rFonts w:ascii="Arial" w:hAnsi="Arial" w:cs="Arial"/>
                <w:b/>
                <w:bCs/>
                <w:color w:val="000000"/>
                <w:sz w:val="15"/>
                <w:szCs w:val="15"/>
              </w:rPr>
              <w:t xml:space="preserve">2,699 </w:t>
            </w:r>
          </w:p>
        </w:tc>
        <w:tc>
          <w:tcPr>
            <w:tcW w:w="1060" w:type="dxa"/>
            <w:tcBorders>
              <w:top w:val="nil"/>
              <w:left w:val="nil"/>
              <w:bottom w:val="single" w:sz="4" w:space="0" w:color="auto"/>
              <w:right w:val="nil"/>
            </w:tcBorders>
            <w:shd w:val="clear" w:color="000000" w:fill="E6E6E6"/>
            <w:noWrap/>
            <w:vAlign w:val="center"/>
            <w:hideMark/>
          </w:tcPr>
          <w:p w:rsidR="003016C4" w:rsidRPr="003016C4" w:rsidRDefault="003016C4" w:rsidP="003016C4">
            <w:pPr>
              <w:spacing w:after="0" w:line="240" w:lineRule="auto"/>
              <w:jc w:val="right"/>
              <w:rPr>
                <w:rFonts w:ascii="Arial" w:hAnsi="Arial" w:cs="Arial"/>
                <w:b/>
                <w:bCs/>
                <w:color w:val="000000"/>
                <w:sz w:val="15"/>
                <w:szCs w:val="15"/>
              </w:rPr>
            </w:pPr>
            <w:r w:rsidRPr="003016C4">
              <w:rPr>
                <w:rFonts w:ascii="Arial" w:hAnsi="Arial" w:cs="Arial"/>
                <w:b/>
                <w:bCs/>
                <w:color w:val="000000"/>
                <w:sz w:val="15"/>
                <w:szCs w:val="15"/>
              </w:rPr>
              <w:t xml:space="preserve">2,780 </w:t>
            </w:r>
          </w:p>
        </w:tc>
        <w:tc>
          <w:tcPr>
            <w:tcW w:w="1060" w:type="dxa"/>
            <w:tcBorders>
              <w:top w:val="nil"/>
              <w:left w:val="nil"/>
              <w:bottom w:val="single" w:sz="4" w:space="0" w:color="auto"/>
              <w:right w:val="nil"/>
            </w:tcBorders>
            <w:shd w:val="clear" w:color="auto" w:fill="auto"/>
            <w:noWrap/>
            <w:vAlign w:val="center"/>
            <w:hideMark/>
          </w:tcPr>
          <w:p w:rsidR="003016C4" w:rsidRPr="003016C4" w:rsidRDefault="003016C4" w:rsidP="003016C4">
            <w:pPr>
              <w:spacing w:after="0" w:line="240" w:lineRule="auto"/>
              <w:jc w:val="right"/>
              <w:rPr>
                <w:rFonts w:ascii="Arial" w:hAnsi="Arial" w:cs="Arial"/>
                <w:b/>
                <w:bCs/>
                <w:color w:val="000000"/>
                <w:sz w:val="15"/>
                <w:szCs w:val="15"/>
              </w:rPr>
            </w:pPr>
            <w:r w:rsidRPr="003016C4">
              <w:rPr>
                <w:rFonts w:ascii="Arial" w:hAnsi="Arial" w:cs="Arial"/>
                <w:b/>
                <w:bCs/>
                <w:color w:val="000000"/>
                <w:sz w:val="15"/>
                <w:szCs w:val="15"/>
              </w:rPr>
              <w:t xml:space="preserve">2,863 </w:t>
            </w:r>
          </w:p>
        </w:tc>
        <w:tc>
          <w:tcPr>
            <w:tcW w:w="1060" w:type="dxa"/>
            <w:tcBorders>
              <w:top w:val="nil"/>
              <w:left w:val="nil"/>
              <w:bottom w:val="single" w:sz="4" w:space="0" w:color="auto"/>
              <w:right w:val="nil"/>
            </w:tcBorders>
            <w:shd w:val="clear" w:color="auto" w:fill="auto"/>
            <w:noWrap/>
            <w:vAlign w:val="center"/>
            <w:hideMark/>
          </w:tcPr>
          <w:p w:rsidR="003016C4" w:rsidRPr="003016C4" w:rsidRDefault="003016C4" w:rsidP="003016C4">
            <w:pPr>
              <w:spacing w:after="0" w:line="240" w:lineRule="auto"/>
              <w:jc w:val="right"/>
              <w:rPr>
                <w:rFonts w:ascii="Arial" w:hAnsi="Arial" w:cs="Arial"/>
                <w:b/>
                <w:bCs/>
                <w:color w:val="000000"/>
                <w:sz w:val="15"/>
                <w:szCs w:val="15"/>
              </w:rPr>
            </w:pPr>
            <w:r w:rsidRPr="003016C4">
              <w:rPr>
                <w:rFonts w:ascii="Arial" w:hAnsi="Arial" w:cs="Arial"/>
                <w:b/>
                <w:bCs/>
                <w:color w:val="000000"/>
                <w:sz w:val="15"/>
                <w:szCs w:val="15"/>
              </w:rPr>
              <w:t xml:space="preserve">2,949 </w:t>
            </w:r>
          </w:p>
        </w:tc>
        <w:tc>
          <w:tcPr>
            <w:tcW w:w="1060" w:type="dxa"/>
            <w:tcBorders>
              <w:top w:val="nil"/>
              <w:left w:val="nil"/>
              <w:bottom w:val="single" w:sz="4" w:space="0" w:color="auto"/>
              <w:right w:val="nil"/>
            </w:tcBorders>
            <w:shd w:val="clear" w:color="auto" w:fill="auto"/>
            <w:noWrap/>
            <w:vAlign w:val="center"/>
            <w:hideMark/>
          </w:tcPr>
          <w:p w:rsidR="003016C4" w:rsidRPr="003016C4" w:rsidRDefault="003016C4" w:rsidP="003016C4">
            <w:pPr>
              <w:spacing w:after="0" w:line="240" w:lineRule="auto"/>
              <w:jc w:val="right"/>
              <w:rPr>
                <w:rFonts w:ascii="Arial" w:hAnsi="Arial" w:cs="Arial"/>
                <w:b/>
                <w:bCs/>
                <w:color w:val="000000"/>
                <w:sz w:val="15"/>
                <w:szCs w:val="15"/>
              </w:rPr>
            </w:pPr>
            <w:r w:rsidRPr="003016C4">
              <w:rPr>
                <w:rFonts w:ascii="Arial" w:hAnsi="Arial" w:cs="Arial"/>
                <w:b/>
                <w:bCs/>
                <w:color w:val="000000"/>
                <w:sz w:val="15"/>
                <w:szCs w:val="15"/>
              </w:rPr>
              <w:t xml:space="preserve">3,038 </w:t>
            </w:r>
          </w:p>
        </w:tc>
      </w:tr>
    </w:tbl>
    <w:p w:rsidR="00B2394E" w:rsidRPr="00F64A54" w:rsidRDefault="00B2394E" w:rsidP="00BE1C0C">
      <w:pPr>
        <w:pStyle w:val="Heading5"/>
        <w:rPr>
          <w:rFonts w:cs="Arial"/>
          <w:sz w:val="16"/>
          <w:szCs w:val="16"/>
        </w:rPr>
      </w:pPr>
      <w:r w:rsidRPr="00D1001C">
        <w:rPr>
          <w:rFonts w:cs="Arial"/>
          <w:sz w:val="16"/>
          <w:szCs w:val="16"/>
        </w:rPr>
        <w:t xml:space="preserve"> </w:t>
      </w:r>
      <w:proofErr w:type="gramStart"/>
      <w:r w:rsidRPr="00BE1C0C">
        <w:rPr>
          <w:rFonts w:cs="Arial"/>
          <w:b w:val="0"/>
          <w:sz w:val="16"/>
          <w:szCs w:val="16"/>
        </w:rPr>
        <w:t>Prepared on Australian Accounting Standards basis.</w:t>
      </w:r>
      <w:proofErr w:type="gramEnd"/>
    </w:p>
    <w:p w:rsidR="00B2394E" w:rsidRPr="00003EEB" w:rsidRDefault="00B2394E" w:rsidP="003016C4">
      <w:pPr>
        <w:pStyle w:val="TableGraphic"/>
        <w:jc w:val="both"/>
      </w:pPr>
    </w:p>
    <w:p w:rsidR="00B2394E" w:rsidRPr="000C59D4" w:rsidRDefault="00B2394E" w:rsidP="00BE1C0C">
      <w:pPr>
        <w:pStyle w:val="Heading5"/>
      </w:pPr>
      <w:r w:rsidRPr="000C59D4">
        <w:t xml:space="preserve">Table 3.10: Administered </w:t>
      </w:r>
      <w:r>
        <w:t>C</w:t>
      </w:r>
      <w:r w:rsidRPr="000C59D4">
        <w:t xml:space="preserve">apital </w:t>
      </w:r>
      <w:r>
        <w:t>B</w:t>
      </w:r>
      <w:r w:rsidRPr="000C59D4">
        <w:t xml:space="preserve">udget </w:t>
      </w:r>
      <w:r>
        <w:t>S</w:t>
      </w:r>
      <w:r w:rsidRPr="000C59D4">
        <w:t xml:space="preserve">tatement (for the </w:t>
      </w:r>
      <w:r>
        <w:t>P</w:t>
      </w:r>
      <w:r w:rsidRPr="000C59D4">
        <w:t xml:space="preserve">eriod </w:t>
      </w:r>
      <w:r>
        <w:t>E</w:t>
      </w:r>
      <w:r w:rsidRPr="000C59D4">
        <w:t>nded 30</w:t>
      </w:r>
      <w:r>
        <w:t> </w:t>
      </w:r>
      <w:r w:rsidRPr="000C59D4">
        <w:t>June)</w:t>
      </w:r>
    </w:p>
    <w:p w:rsidR="00B2394E" w:rsidRPr="003016C4" w:rsidRDefault="00B2394E" w:rsidP="003016C4">
      <w:pPr>
        <w:pStyle w:val="TableGraphic"/>
        <w:spacing w:after="240" w:line="260" w:lineRule="exact"/>
        <w:ind w:right="0"/>
        <w:jc w:val="left"/>
        <w:rPr>
          <w:rFonts w:ascii="Book Antiqua" w:hAnsi="Book Antiqua" w:cs="Arial"/>
          <w:sz w:val="20"/>
          <w:szCs w:val="20"/>
        </w:rPr>
      </w:pPr>
      <w:r w:rsidRPr="001D4988">
        <w:rPr>
          <w:rFonts w:ascii="Book Antiqua" w:hAnsi="Book Antiqua" w:cs="Arial"/>
          <w:sz w:val="20"/>
          <w:szCs w:val="20"/>
        </w:rPr>
        <w:t>The FFMA has no budgeted capital administered on behalf of the Australian Government.</w:t>
      </w:r>
    </w:p>
    <w:p w:rsidR="00B2394E" w:rsidRDefault="00B2394E" w:rsidP="00BE1C0C">
      <w:pPr>
        <w:pStyle w:val="Heading5"/>
      </w:pPr>
      <w:r>
        <w:t xml:space="preserve">Table 3.11: Statement of Administered Asset Movements (Budget Year 2016-17) </w:t>
      </w:r>
    </w:p>
    <w:p w:rsidR="00B2394E" w:rsidRPr="001D4988" w:rsidRDefault="00B2394E" w:rsidP="00FA4313">
      <w:pPr>
        <w:pStyle w:val="TableGraphic"/>
        <w:spacing w:after="240" w:line="260" w:lineRule="exact"/>
        <w:ind w:right="0"/>
        <w:jc w:val="left"/>
        <w:rPr>
          <w:rFonts w:ascii="Book Antiqua" w:hAnsi="Book Antiqua" w:cs="Arial"/>
          <w:sz w:val="20"/>
          <w:szCs w:val="20"/>
        </w:rPr>
      </w:pPr>
      <w:r w:rsidRPr="001D4988">
        <w:rPr>
          <w:rFonts w:ascii="Book Antiqua" w:hAnsi="Book Antiqua" w:cs="Arial"/>
          <w:sz w:val="20"/>
          <w:szCs w:val="20"/>
        </w:rPr>
        <w:t xml:space="preserve">The FFMA has </w:t>
      </w:r>
      <w:r w:rsidR="00CB78E0" w:rsidRPr="001D4988">
        <w:rPr>
          <w:rFonts w:ascii="Book Antiqua" w:hAnsi="Book Antiqua" w:cs="Arial"/>
          <w:sz w:val="20"/>
          <w:szCs w:val="20"/>
        </w:rPr>
        <w:t>no budgeted non-financial asset</w:t>
      </w:r>
      <w:r w:rsidR="00A837EF">
        <w:rPr>
          <w:rFonts w:ascii="Book Antiqua" w:hAnsi="Book Antiqua" w:cs="Arial"/>
          <w:sz w:val="20"/>
          <w:szCs w:val="20"/>
        </w:rPr>
        <w:t>s</w:t>
      </w:r>
      <w:r w:rsidRPr="001D4988">
        <w:rPr>
          <w:rFonts w:ascii="Book Antiqua" w:hAnsi="Book Antiqua" w:cs="Arial"/>
          <w:sz w:val="20"/>
          <w:szCs w:val="20"/>
        </w:rPr>
        <w:t xml:space="preserve"> administered on behalf of the Australian Government.</w:t>
      </w:r>
    </w:p>
    <w:p w:rsidR="00840A68" w:rsidRDefault="00840A68">
      <w:pPr>
        <w:spacing w:after="0" w:line="240" w:lineRule="auto"/>
        <w:jc w:val="left"/>
        <w:rPr>
          <w:rFonts w:ascii="Arial" w:hAnsi="Arial"/>
          <w:b/>
          <w:smallCaps/>
          <w:kern w:val="28"/>
          <w:sz w:val="34"/>
          <w:szCs w:val="20"/>
        </w:rPr>
        <w:sectPr w:rsidR="00840A68" w:rsidSect="00CB78E0">
          <w:headerReference w:type="even" r:id="rId23"/>
          <w:headerReference w:type="default" r:id="rId24"/>
          <w:pgSz w:w="11906" w:h="16838" w:code="9"/>
          <w:pgMar w:top="2466" w:right="2098" w:bottom="2466" w:left="2098" w:header="1899" w:footer="1899" w:gutter="0"/>
          <w:cols w:space="708"/>
          <w:titlePg/>
          <w:docGrid w:linePitch="360"/>
        </w:sectPr>
      </w:pPr>
    </w:p>
    <w:bookmarkEnd w:id="0"/>
    <w:p w:rsidR="00E05452" w:rsidRPr="00930B30" w:rsidRDefault="00E05452" w:rsidP="00041928">
      <w:pPr>
        <w:spacing w:after="0" w:line="240" w:lineRule="auto"/>
        <w:jc w:val="left"/>
        <w:rPr>
          <w:sz w:val="20"/>
          <w:szCs w:val="20"/>
        </w:rPr>
      </w:pPr>
    </w:p>
    <w:sectPr w:rsidR="00E05452" w:rsidRPr="00930B30" w:rsidSect="00CB78E0">
      <w:headerReference w:type="even" r:id="rId25"/>
      <w:headerReference w:type="default" r:id="rId26"/>
      <w:headerReference w:type="first" r:id="rId27"/>
      <w:pgSz w:w="11906" w:h="16838" w:code="9"/>
      <w:pgMar w:top="2466" w:right="2098" w:bottom="2466" w:left="2098" w:header="1899" w:footer="189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78DC" w:rsidRDefault="00A778DC" w:rsidP="001D7EBC">
      <w:r>
        <w:separator/>
      </w:r>
    </w:p>
  </w:endnote>
  <w:endnote w:type="continuationSeparator" w:id="0">
    <w:p w:rsidR="00A778DC" w:rsidRDefault="00A778DC" w:rsidP="001D7E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old">
    <w:altName w:val="Times New Roman"/>
    <w:panose1 w:val="020B0704020202020204"/>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ook Antiqua">
    <w:altName w:val="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928" w:rsidRDefault="0004192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928" w:rsidRDefault="0004192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928" w:rsidRDefault="000419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78DC" w:rsidRDefault="00A778DC" w:rsidP="001D7EBC">
      <w:r>
        <w:separator/>
      </w:r>
    </w:p>
  </w:footnote>
  <w:footnote w:type="continuationSeparator" w:id="0">
    <w:p w:rsidR="00A778DC" w:rsidRDefault="00A778DC" w:rsidP="001D7E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928" w:rsidRDefault="00041928">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8DC" w:rsidRDefault="00A778DC" w:rsidP="00840A68">
    <w:pPr>
      <w:pStyle w:val="HeaderEven"/>
      <w:jc w:val="right"/>
    </w:pPr>
    <w:r>
      <w:t>Glossary</w:t>
    </w:r>
  </w:p>
  <w:p w:rsidR="00A778DC" w:rsidRPr="00840A68" w:rsidRDefault="00A778DC" w:rsidP="00840A68">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8DC" w:rsidRPr="00041928" w:rsidRDefault="00A778DC" w:rsidP="0004192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928" w:rsidRDefault="0004192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8DC" w:rsidRPr="00950281" w:rsidRDefault="00A778DC" w:rsidP="00035E52">
    <w:pPr>
      <w:pStyle w:val="HeaderEven"/>
      <w:jc w:val="righ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8DC" w:rsidRDefault="00A778DC" w:rsidP="00840A68">
    <w:pPr>
      <w:pStyle w:val="HeaderEven"/>
    </w:pPr>
    <w:r>
      <w:t>FFMA Budget Statements</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8DC" w:rsidRDefault="00A778DC" w:rsidP="00840A68">
    <w:pPr>
      <w:pStyle w:val="HeaderEven"/>
      <w:jc w:val="right"/>
    </w:pPr>
    <w:r>
      <w:rPr>
        <w:noProof/>
        <w:lang w:val="en-US" w:eastAsia="zh-TW"/>
      </w:rPr>
      <w:t>FFMA</w:t>
    </w:r>
    <w:r>
      <w:t xml:space="preserve"> Budget Statements</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8DC" w:rsidRPr="00840A68" w:rsidRDefault="00A778DC" w:rsidP="00840A68">
    <w:pPr>
      <w:pStyle w:val="HeaderEven"/>
      <w:jc w:val="right"/>
    </w:pPr>
    <w:r>
      <w:t>FFMA Budget Statements</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8DC" w:rsidRPr="00840A68" w:rsidRDefault="00A778DC" w:rsidP="00840A68">
    <w:pPr>
      <w:pStyle w:val="HeaderEven"/>
    </w:pPr>
    <w:r>
      <w:t>FFMA Budget Statements</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8DC" w:rsidRDefault="00A778DC" w:rsidP="00840A68">
    <w:pPr>
      <w:pStyle w:val="HeaderEven"/>
      <w:jc w:val="right"/>
    </w:pPr>
    <w:r>
      <w:t>FFMA Budget Statements</w:t>
    </w:r>
  </w:p>
  <w:p w:rsidR="00A778DC" w:rsidRPr="00840A68" w:rsidRDefault="00A778DC" w:rsidP="00840A68">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8DC" w:rsidRDefault="00A778DC" w:rsidP="00840A68">
    <w:pPr>
      <w:pStyle w:val="HeaderEven"/>
    </w:pPr>
    <w:r>
      <w:t>Glossary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275D4"/>
    <w:multiLevelType w:val="hybridMultilevel"/>
    <w:tmpl w:val="1DC8CD10"/>
    <w:lvl w:ilvl="0" w:tplc="C0BC642A">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B003A64"/>
    <w:multiLevelType w:val="hybridMultilevel"/>
    <w:tmpl w:val="C2E6A71A"/>
    <w:lvl w:ilvl="0" w:tplc="F75AFC7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BE0468A"/>
    <w:multiLevelType w:val="hybridMultilevel"/>
    <w:tmpl w:val="9CCA95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DC91D19"/>
    <w:multiLevelType w:val="hybridMultilevel"/>
    <w:tmpl w:val="AA18EF34"/>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E8B1916"/>
    <w:multiLevelType w:val="hybridMultilevel"/>
    <w:tmpl w:val="17346D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6">
    <w:nsid w:val="10757CBC"/>
    <w:multiLevelType w:val="singleLevel"/>
    <w:tmpl w:val="44528540"/>
    <w:name w:val="Box Bullet List"/>
    <w:lvl w:ilvl="0">
      <w:start w:val="1"/>
      <w:numFmt w:val="bullet"/>
      <w:lvlRestart w:val="0"/>
      <w:lvlText w:val="•"/>
      <w:lvlJc w:val="left"/>
      <w:pPr>
        <w:tabs>
          <w:tab w:val="num" w:pos="283"/>
        </w:tabs>
        <w:ind w:left="283" w:hanging="283"/>
      </w:pPr>
      <w:rPr>
        <w:rFonts w:ascii="Times New Roman" w:hAnsi="Times New Roman" w:cs="Times New Roman"/>
        <w:b w:val="0"/>
        <w:i w:val="0"/>
      </w:rPr>
    </w:lvl>
  </w:abstractNum>
  <w:abstractNum w:abstractNumId="7">
    <w:nsid w:val="11150D84"/>
    <w:multiLevelType w:val="hybridMultilevel"/>
    <w:tmpl w:val="D746585E"/>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2212D5A"/>
    <w:multiLevelType w:val="hybridMultilevel"/>
    <w:tmpl w:val="752A5C64"/>
    <w:lvl w:ilvl="0" w:tplc="554A4A8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8BA52C9"/>
    <w:multiLevelType w:val="hybridMultilevel"/>
    <w:tmpl w:val="DF824252"/>
    <w:lvl w:ilvl="0" w:tplc="C340292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E8C13F8"/>
    <w:multiLevelType w:val="hybridMultilevel"/>
    <w:tmpl w:val="BD5CE524"/>
    <w:lvl w:ilvl="0" w:tplc="41FA6406">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F3E38D8"/>
    <w:multiLevelType w:val="hybridMultilevel"/>
    <w:tmpl w:val="9724E81A"/>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FCE61C6"/>
    <w:multiLevelType w:val="hybridMultilevel"/>
    <w:tmpl w:val="512A183C"/>
    <w:lvl w:ilvl="0" w:tplc="FAE83AE0">
      <w:start w:val="1"/>
      <w:numFmt w:val="lowerLetter"/>
      <w:lvlText w:val="(%1)"/>
      <w:lvlJc w:val="left"/>
      <w:pPr>
        <w:ind w:left="360" w:hanging="360"/>
      </w:pPr>
      <w:rPr>
        <w:rFonts w:hint="default"/>
        <w:b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64E4A8F"/>
    <w:multiLevelType w:val="hybridMultilevel"/>
    <w:tmpl w:val="E8CA2398"/>
    <w:lvl w:ilvl="0" w:tplc="07080BA6">
      <w:start w:val="1"/>
      <w:numFmt w:val="bullet"/>
      <w:lvlText w:val=""/>
      <w:lvlJc w:val="left"/>
      <w:pPr>
        <w:ind w:left="360" w:hanging="360"/>
      </w:pPr>
      <w:rPr>
        <w:rFonts w:ascii="Symbol" w:hAnsi="Symbol"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7035C5D"/>
    <w:multiLevelType w:val="hybridMultilevel"/>
    <w:tmpl w:val="CCA209C2"/>
    <w:lvl w:ilvl="0" w:tplc="BF06E728">
      <w:start w:val="1"/>
      <w:numFmt w:val="lowerLetter"/>
      <w:lvlText w:val="(%1)"/>
      <w:lvlJc w:val="left"/>
      <w:pPr>
        <w:ind w:left="720" w:hanging="360"/>
      </w:pPr>
      <w:rPr>
        <w:rFonts w:ascii="Arial" w:eastAsia="Times New Roman" w:hAnsi="Arial" w:cs="Arial"/>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8586FE4"/>
    <w:multiLevelType w:val="hybridMultilevel"/>
    <w:tmpl w:val="7AFA3634"/>
    <w:lvl w:ilvl="0" w:tplc="C30AE5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8922994"/>
    <w:multiLevelType w:val="hybridMultilevel"/>
    <w:tmpl w:val="787CB684"/>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A5D6091"/>
    <w:multiLevelType w:val="hybridMultilevel"/>
    <w:tmpl w:val="EF0C40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9">
    <w:nsid w:val="318A2FB6"/>
    <w:multiLevelType w:val="hybridMultilevel"/>
    <w:tmpl w:val="2CCA9CE2"/>
    <w:lvl w:ilvl="0" w:tplc="F75AFC7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7014FF1"/>
    <w:multiLevelType w:val="hybridMultilevel"/>
    <w:tmpl w:val="2D04700A"/>
    <w:name w:val="ExampleTextBullet2"/>
    <w:lvl w:ilvl="0" w:tplc="944A5BDC">
      <w:start w:val="1"/>
      <w:numFmt w:val="lowerLetter"/>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1">
    <w:nsid w:val="370878E0"/>
    <w:multiLevelType w:val="hybridMultilevel"/>
    <w:tmpl w:val="FF02A3F8"/>
    <w:lvl w:ilvl="0" w:tplc="0928A02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394E3632"/>
    <w:multiLevelType w:val="hybridMultilevel"/>
    <w:tmpl w:val="D0EA3228"/>
    <w:lvl w:ilvl="0" w:tplc="554A4A8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3B2E19AC"/>
    <w:multiLevelType w:val="singleLevel"/>
    <w:tmpl w:val="00062756"/>
    <w:lvl w:ilvl="0">
      <w:start w:val="1"/>
      <w:numFmt w:val="lowerLetter"/>
      <w:lvlRestart w:val="0"/>
      <w:pStyle w:val="ChartandTableFootnoteAlpha"/>
      <w:lvlText w:val="(%1)"/>
      <w:lvlJc w:val="left"/>
      <w:pPr>
        <w:tabs>
          <w:tab w:val="num" w:pos="284"/>
        </w:tabs>
        <w:ind w:left="284" w:hanging="284"/>
      </w:pPr>
      <w:rPr>
        <w:rFonts w:ascii="Arial" w:hAnsi="Arial" w:cs="Arial" w:hint="default"/>
        <w:b w:val="0"/>
        <w:i w:val="0"/>
        <w:color w:val="000000"/>
        <w:sz w:val="16"/>
      </w:rPr>
    </w:lvl>
  </w:abstractNum>
  <w:abstractNum w:abstractNumId="24">
    <w:nsid w:val="3C427C96"/>
    <w:multiLevelType w:val="hybridMultilevel"/>
    <w:tmpl w:val="6A0A5B62"/>
    <w:lvl w:ilvl="0" w:tplc="49EE8A4E">
      <w:start w:val="1"/>
      <w:numFmt w:val="lowerLetter"/>
      <w:lvlText w:val="(%1)"/>
      <w:lvlJc w:val="left"/>
      <w:pPr>
        <w:ind w:left="360" w:hanging="360"/>
      </w:pPr>
      <w:rPr>
        <w:rFonts w:hint="default"/>
        <w:b w:val="0"/>
        <w:i w:val="0"/>
        <w:color w:val="auto"/>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3E047112"/>
    <w:multiLevelType w:val="hybridMultilevel"/>
    <w:tmpl w:val="5278394E"/>
    <w:lvl w:ilvl="0" w:tplc="E8B03840">
      <w:start w:val="1"/>
      <w:numFmt w:val="lowerLetter"/>
      <w:lvlText w:val="(%1)"/>
      <w:lvlJc w:val="left"/>
      <w:pPr>
        <w:ind w:left="928" w:hanging="360"/>
      </w:pPr>
      <w:rPr>
        <w:rFonts w:ascii="Arial" w:hAnsi="Arial" w:cs="Arial" w:hint="default"/>
        <w:b w:val="0"/>
        <w:i w:val="0"/>
        <w:color w:val="auto"/>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2574E4C"/>
    <w:multiLevelType w:val="hybridMultilevel"/>
    <w:tmpl w:val="F822DC02"/>
    <w:lvl w:ilvl="0" w:tplc="9C18EFC2">
      <w:start w:val="1"/>
      <w:numFmt w:val="bullet"/>
      <w:lvlText w:val=""/>
      <w:lvlJc w:val="left"/>
      <w:pPr>
        <w:ind w:left="360" w:hanging="360"/>
      </w:pPr>
      <w:rPr>
        <w:rFonts w:ascii="Symbol" w:hAnsi="Symbol" w:hint="default"/>
        <w:color w:val="auto"/>
      </w:rPr>
    </w:lvl>
    <w:lvl w:ilvl="1" w:tplc="1C46F364">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28">
    <w:nsid w:val="4B7054EE"/>
    <w:multiLevelType w:val="hybridMultilevel"/>
    <w:tmpl w:val="6E260260"/>
    <w:lvl w:ilvl="0" w:tplc="0C090001">
      <w:start w:val="1"/>
      <w:numFmt w:val="bullet"/>
      <w:lvlText w:val=""/>
      <w:lvlJc w:val="left"/>
      <w:pPr>
        <w:ind w:left="360" w:hanging="360"/>
      </w:pPr>
      <w:rPr>
        <w:rFonts w:ascii="Symbol" w:hAnsi="Symbol" w:hint="default"/>
      </w:rPr>
    </w:lvl>
    <w:lvl w:ilvl="1" w:tplc="21D40EDC">
      <w:start w:val="1"/>
      <w:numFmt w:val="bullet"/>
      <w:lvlText w:val="–"/>
      <w:lvlJc w:val="left"/>
      <w:pPr>
        <w:ind w:left="501" w:hanging="360"/>
      </w:pPr>
      <w:rPr>
        <w:rFonts w:ascii="Calibri" w:hAnsi="Calibri" w:hint="default"/>
        <w:b w:val="0"/>
        <w:color w:val="auto"/>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9">
    <w:nsid w:val="51C5322A"/>
    <w:multiLevelType w:val="hybridMultilevel"/>
    <w:tmpl w:val="57FA6FA8"/>
    <w:lvl w:ilvl="0" w:tplc="21D40EDC">
      <w:start w:val="1"/>
      <w:numFmt w:val="bullet"/>
      <w:lvlText w:val="–"/>
      <w:lvlJc w:val="left"/>
      <w:pPr>
        <w:ind w:left="927" w:hanging="360"/>
      </w:pPr>
      <w:rPr>
        <w:rFonts w:ascii="Calibri" w:hAnsi="Calibri" w:hint="default"/>
        <w:b w:val="0"/>
        <w:color w:val="auto"/>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0">
    <w:nsid w:val="51E57F69"/>
    <w:multiLevelType w:val="hybridMultilevel"/>
    <w:tmpl w:val="B80407B0"/>
    <w:lvl w:ilvl="0" w:tplc="0928A022">
      <w:start w:val="1"/>
      <w:numFmt w:val="lowerLetter"/>
      <w:lvlText w:val="(%1)"/>
      <w:lvlJc w:val="left"/>
      <w:pPr>
        <w:ind w:left="720" w:hanging="360"/>
      </w:pPr>
      <w:rPr>
        <w:rFonts w:hint="default"/>
      </w:r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31">
    <w:nsid w:val="53CD3643"/>
    <w:multiLevelType w:val="hybridMultilevel"/>
    <w:tmpl w:val="BA305E0A"/>
    <w:lvl w:ilvl="0" w:tplc="60D8CA4A">
      <w:start w:val="1"/>
      <w:numFmt w:val="bullet"/>
      <w:lvlText w:val="-"/>
      <w:lvlJc w:val="left"/>
      <w:pPr>
        <w:ind w:left="360" w:hanging="360"/>
      </w:pPr>
      <w:rPr>
        <w:rFonts w:ascii="Courier New" w:hAnsi="Courier New" w:hint="default"/>
      </w:rPr>
    </w:lvl>
    <w:lvl w:ilvl="1" w:tplc="CC602444">
      <w:start w:val="1"/>
      <w:numFmt w:val="bullet"/>
      <w:lvlText w:val=""/>
      <w:lvlJc w:val="left"/>
      <w:pPr>
        <w:ind w:left="1080" w:hanging="360"/>
      </w:pPr>
      <w:rPr>
        <w:rFonts w:ascii="Symbol" w:hAnsi="Symbol" w:hint="default"/>
      </w:rPr>
    </w:lvl>
    <w:lvl w:ilvl="2" w:tplc="60D8CA4A">
      <w:start w:val="1"/>
      <w:numFmt w:val="bullet"/>
      <w:lvlText w:val="-"/>
      <w:lvlJc w:val="left"/>
      <w:pPr>
        <w:ind w:left="1800" w:hanging="360"/>
      </w:pPr>
      <w:rPr>
        <w:rFonts w:ascii="Courier New" w:hAnsi="Courier New"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nsid w:val="55A84F27"/>
    <w:multiLevelType w:val="hybridMultilevel"/>
    <w:tmpl w:val="1B24882C"/>
    <w:lvl w:ilvl="0" w:tplc="7A0806D4">
      <w:start w:val="1"/>
      <w:numFmt w:val="lowerLetter"/>
      <w:lvlText w:val="(%1)"/>
      <w:lvlJc w:val="left"/>
      <w:pPr>
        <w:ind w:left="360" w:hanging="360"/>
      </w:pPr>
      <w:rPr>
        <w:rFonts w:ascii="Arial" w:hAnsi="Arial" w:cs="Arial" w:hint="default"/>
        <w:b w:val="0"/>
        <w:i w:val="0"/>
        <w:color w:val="auto"/>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56065998"/>
    <w:multiLevelType w:val="hybridMultilevel"/>
    <w:tmpl w:val="CFFEF168"/>
    <w:lvl w:ilvl="0" w:tplc="3918AE42">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35">
    <w:nsid w:val="599D1829"/>
    <w:multiLevelType w:val="hybridMultilevel"/>
    <w:tmpl w:val="35623AD0"/>
    <w:lvl w:ilvl="0" w:tplc="0928A022">
      <w:start w:val="1"/>
      <w:numFmt w:val="lowerLetter"/>
      <w:lvlText w:val="(%1)"/>
      <w:lvlJc w:val="left"/>
      <w:pPr>
        <w:ind w:left="750" w:hanging="360"/>
      </w:pPr>
      <w:rPr>
        <w:rFonts w:hint="default"/>
      </w:rPr>
    </w:lvl>
    <w:lvl w:ilvl="1" w:tplc="0C090019" w:tentative="1">
      <w:start w:val="1"/>
      <w:numFmt w:val="lowerLetter"/>
      <w:lvlText w:val="%2."/>
      <w:lvlJc w:val="left"/>
      <w:pPr>
        <w:ind w:left="1470" w:hanging="360"/>
      </w:pPr>
    </w:lvl>
    <w:lvl w:ilvl="2" w:tplc="0C09001B" w:tentative="1">
      <w:start w:val="1"/>
      <w:numFmt w:val="lowerRoman"/>
      <w:lvlText w:val="%3."/>
      <w:lvlJc w:val="right"/>
      <w:pPr>
        <w:ind w:left="2190" w:hanging="180"/>
      </w:pPr>
    </w:lvl>
    <w:lvl w:ilvl="3" w:tplc="0C09000F" w:tentative="1">
      <w:start w:val="1"/>
      <w:numFmt w:val="decimal"/>
      <w:lvlText w:val="%4."/>
      <w:lvlJc w:val="left"/>
      <w:pPr>
        <w:ind w:left="2910" w:hanging="360"/>
      </w:pPr>
    </w:lvl>
    <w:lvl w:ilvl="4" w:tplc="0C090019" w:tentative="1">
      <w:start w:val="1"/>
      <w:numFmt w:val="lowerLetter"/>
      <w:lvlText w:val="%5."/>
      <w:lvlJc w:val="left"/>
      <w:pPr>
        <w:ind w:left="3630" w:hanging="360"/>
      </w:pPr>
    </w:lvl>
    <w:lvl w:ilvl="5" w:tplc="0C09001B" w:tentative="1">
      <w:start w:val="1"/>
      <w:numFmt w:val="lowerRoman"/>
      <w:lvlText w:val="%6."/>
      <w:lvlJc w:val="right"/>
      <w:pPr>
        <w:ind w:left="4350" w:hanging="180"/>
      </w:pPr>
    </w:lvl>
    <w:lvl w:ilvl="6" w:tplc="0C09000F" w:tentative="1">
      <w:start w:val="1"/>
      <w:numFmt w:val="decimal"/>
      <w:lvlText w:val="%7."/>
      <w:lvlJc w:val="left"/>
      <w:pPr>
        <w:ind w:left="5070" w:hanging="360"/>
      </w:pPr>
    </w:lvl>
    <w:lvl w:ilvl="7" w:tplc="0C090019" w:tentative="1">
      <w:start w:val="1"/>
      <w:numFmt w:val="lowerLetter"/>
      <w:lvlText w:val="%8."/>
      <w:lvlJc w:val="left"/>
      <w:pPr>
        <w:ind w:left="5790" w:hanging="360"/>
      </w:pPr>
    </w:lvl>
    <w:lvl w:ilvl="8" w:tplc="0C09001B" w:tentative="1">
      <w:start w:val="1"/>
      <w:numFmt w:val="lowerRoman"/>
      <w:lvlText w:val="%9."/>
      <w:lvlJc w:val="right"/>
      <w:pPr>
        <w:ind w:left="6510" w:hanging="180"/>
      </w:pPr>
    </w:lvl>
  </w:abstractNum>
  <w:abstractNum w:abstractNumId="36">
    <w:nsid w:val="5CA0378B"/>
    <w:multiLevelType w:val="hybridMultilevel"/>
    <w:tmpl w:val="20FE29B4"/>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5D892CF9"/>
    <w:multiLevelType w:val="hybridMultilevel"/>
    <w:tmpl w:val="BB22A8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3BF683F"/>
    <w:multiLevelType w:val="hybridMultilevel"/>
    <w:tmpl w:val="888C07EE"/>
    <w:lvl w:ilvl="0" w:tplc="0C090001">
      <w:start w:val="1"/>
      <w:numFmt w:val="bullet"/>
      <w:lvlText w:val=""/>
      <w:lvlJc w:val="left"/>
      <w:pPr>
        <w:ind w:left="758" w:hanging="360"/>
      </w:pPr>
      <w:rPr>
        <w:rFonts w:ascii="Symbol" w:hAnsi="Symbol" w:hint="default"/>
      </w:rPr>
    </w:lvl>
    <w:lvl w:ilvl="1" w:tplc="0C090003" w:tentative="1">
      <w:start w:val="1"/>
      <w:numFmt w:val="bullet"/>
      <w:lvlText w:val="o"/>
      <w:lvlJc w:val="left"/>
      <w:pPr>
        <w:ind w:left="1478" w:hanging="360"/>
      </w:pPr>
      <w:rPr>
        <w:rFonts w:ascii="Courier New" w:hAnsi="Courier New" w:cs="Courier New" w:hint="default"/>
      </w:rPr>
    </w:lvl>
    <w:lvl w:ilvl="2" w:tplc="0C090005" w:tentative="1">
      <w:start w:val="1"/>
      <w:numFmt w:val="bullet"/>
      <w:lvlText w:val=""/>
      <w:lvlJc w:val="left"/>
      <w:pPr>
        <w:ind w:left="2198" w:hanging="360"/>
      </w:pPr>
      <w:rPr>
        <w:rFonts w:ascii="Wingdings" w:hAnsi="Wingdings" w:hint="default"/>
      </w:rPr>
    </w:lvl>
    <w:lvl w:ilvl="3" w:tplc="0C090001" w:tentative="1">
      <w:start w:val="1"/>
      <w:numFmt w:val="bullet"/>
      <w:lvlText w:val=""/>
      <w:lvlJc w:val="left"/>
      <w:pPr>
        <w:ind w:left="2918" w:hanging="360"/>
      </w:pPr>
      <w:rPr>
        <w:rFonts w:ascii="Symbol" w:hAnsi="Symbol" w:hint="default"/>
      </w:rPr>
    </w:lvl>
    <w:lvl w:ilvl="4" w:tplc="0C090003" w:tentative="1">
      <w:start w:val="1"/>
      <w:numFmt w:val="bullet"/>
      <w:lvlText w:val="o"/>
      <w:lvlJc w:val="left"/>
      <w:pPr>
        <w:ind w:left="3638" w:hanging="360"/>
      </w:pPr>
      <w:rPr>
        <w:rFonts w:ascii="Courier New" w:hAnsi="Courier New" w:cs="Courier New" w:hint="default"/>
      </w:rPr>
    </w:lvl>
    <w:lvl w:ilvl="5" w:tplc="0C090005" w:tentative="1">
      <w:start w:val="1"/>
      <w:numFmt w:val="bullet"/>
      <w:lvlText w:val=""/>
      <w:lvlJc w:val="left"/>
      <w:pPr>
        <w:ind w:left="4358" w:hanging="360"/>
      </w:pPr>
      <w:rPr>
        <w:rFonts w:ascii="Wingdings" w:hAnsi="Wingdings" w:hint="default"/>
      </w:rPr>
    </w:lvl>
    <w:lvl w:ilvl="6" w:tplc="0C090001" w:tentative="1">
      <w:start w:val="1"/>
      <w:numFmt w:val="bullet"/>
      <w:lvlText w:val=""/>
      <w:lvlJc w:val="left"/>
      <w:pPr>
        <w:ind w:left="5078" w:hanging="360"/>
      </w:pPr>
      <w:rPr>
        <w:rFonts w:ascii="Symbol" w:hAnsi="Symbol" w:hint="default"/>
      </w:rPr>
    </w:lvl>
    <w:lvl w:ilvl="7" w:tplc="0C090003" w:tentative="1">
      <w:start w:val="1"/>
      <w:numFmt w:val="bullet"/>
      <w:lvlText w:val="o"/>
      <w:lvlJc w:val="left"/>
      <w:pPr>
        <w:ind w:left="5798" w:hanging="360"/>
      </w:pPr>
      <w:rPr>
        <w:rFonts w:ascii="Courier New" w:hAnsi="Courier New" w:cs="Courier New" w:hint="default"/>
      </w:rPr>
    </w:lvl>
    <w:lvl w:ilvl="8" w:tplc="0C090005" w:tentative="1">
      <w:start w:val="1"/>
      <w:numFmt w:val="bullet"/>
      <w:lvlText w:val=""/>
      <w:lvlJc w:val="left"/>
      <w:pPr>
        <w:ind w:left="6518" w:hanging="360"/>
      </w:pPr>
      <w:rPr>
        <w:rFonts w:ascii="Wingdings" w:hAnsi="Wingdings" w:hint="default"/>
      </w:rPr>
    </w:lvl>
  </w:abstractNum>
  <w:abstractNum w:abstractNumId="39">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40">
    <w:nsid w:val="6B6957C0"/>
    <w:multiLevelType w:val="hybridMultilevel"/>
    <w:tmpl w:val="F808EADE"/>
    <w:lvl w:ilvl="0" w:tplc="5BBC9562">
      <w:start w:val="1"/>
      <w:numFmt w:val="bullet"/>
      <w:lvlText w:val=""/>
      <w:lvlJc w:val="left"/>
      <w:pPr>
        <w:ind w:left="502" w:hanging="360"/>
      </w:pPr>
      <w:rPr>
        <w:rFonts w:ascii="Symbol" w:hAnsi="Symbol" w:hint="default"/>
        <w:color w:val="auto"/>
        <w:sz w:val="16"/>
        <w:szCs w:val="16"/>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41">
    <w:nsid w:val="6E4B0815"/>
    <w:multiLevelType w:val="hybridMultilevel"/>
    <w:tmpl w:val="FF02A3F8"/>
    <w:lvl w:ilvl="0" w:tplc="0928A02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6F0E29DB"/>
    <w:multiLevelType w:val="hybridMultilevel"/>
    <w:tmpl w:val="A678EE02"/>
    <w:lvl w:ilvl="0" w:tplc="56DEEDF2">
      <w:start w:val="1"/>
      <w:numFmt w:val="lowerLetter"/>
      <w:lvlText w:val="(%1)"/>
      <w:lvlJc w:val="left"/>
      <w:pPr>
        <w:ind w:left="720" w:hanging="360"/>
      </w:pPr>
      <w:rPr>
        <w:rFonts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7234078E"/>
    <w:multiLevelType w:val="hybridMultilevel"/>
    <w:tmpl w:val="1F263B7E"/>
    <w:lvl w:ilvl="0" w:tplc="B220E552">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73DE62F5"/>
    <w:multiLevelType w:val="hybridMultilevel"/>
    <w:tmpl w:val="3820800A"/>
    <w:lvl w:ilvl="0" w:tplc="51D25B3E">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46">
    <w:nsid w:val="7BB050F6"/>
    <w:multiLevelType w:val="hybridMultilevel"/>
    <w:tmpl w:val="A3046458"/>
    <w:lvl w:ilvl="0" w:tplc="0D5E4B76">
      <w:start w:val="1"/>
      <w:numFmt w:val="lowerLetter"/>
      <w:lvlText w:val="(%1)"/>
      <w:lvlJc w:val="left"/>
      <w:pPr>
        <w:ind w:left="644" w:hanging="360"/>
      </w:pPr>
      <w:rPr>
        <w:rFonts w:ascii="Arial" w:eastAsia="Times New Roman" w:hAnsi="Arial" w:cs="Arial"/>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47">
    <w:nsid w:val="7EB126DE"/>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7"/>
  </w:num>
  <w:num w:numId="2">
    <w:abstractNumId w:val="5"/>
  </w:num>
  <w:num w:numId="3">
    <w:abstractNumId w:val="39"/>
  </w:num>
  <w:num w:numId="4">
    <w:abstractNumId w:val="45"/>
  </w:num>
  <w:num w:numId="5">
    <w:abstractNumId w:val="18"/>
  </w:num>
  <w:num w:numId="6">
    <w:abstractNumId w:val="34"/>
  </w:num>
  <w:num w:numId="7">
    <w:abstractNumId w:val="23"/>
    <w:lvlOverride w:ilvl="0">
      <w:startOverride w:val="1"/>
    </w:lvlOverride>
  </w:num>
  <w:num w:numId="8">
    <w:abstractNumId w:val="37"/>
  </w:num>
  <w:num w:numId="9">
    <w:abstractNumId w:val="38"/>
  </w:num>
  <w:num w:numId="10">
    <w:abstractNumId w:val="4"/>
  </w:num>
  <w:num w:numId="11">
    <w:abstractNumId w:val="40"/>
  </w:num>
  <w:num w:numId="12">
    <w:abstractNumId w:val="28"/>
  </w:num>
  <w:num w:numId="13">
    <w:abstractNumId w:val="2"/>
  </w:num>
  <w:num w:numId="14">
    <w:abstractNumId w:val="0"/>
  </w:num>
  <w:num w:numId="15">
    <w:abstractNumId w:val="12"/>
  </w:num>
  <w:num w:numId="16">
    <w:abstractNumId w:val="25"/>
  </w:num>
  <w:num w:numId="17">
    <w:abstractNumId w:val="32"/>
  </w:num>
  <w:num w:numId="18">
    <w:abstractNumId w:val="24"/>
  </w:num>
  <w:num w:numId="19">
    <w:abstractNumId w:val="23"/>
  </w:num>
  <w:num w:numId="20">
    <w:abstractNumId w:val="23"/>
    <w:lvlOverride w:ilvl="0">
      <w:startOverride w:val="1"/>
    </w:lvlOverride>
  </w:num>
  <w:num w:numId="21">
    <w:abstractNumId w:val="23"/>
    <w:lvlOverride w:ilvl="0">
      <w:startOverride w:val="1"/>
    </w:lvlOverride>
  </w:num>
  <w:num w:numId="22">
    <w:abstractNumId w:val="10"/>
  </w:num>
  <w:num w:numId="23">
    <w:abstractNumId w:val="14"/>
  </w:num>
  <w:num w:numId="24">
    <w:abstractNumId w:val="30"/>
  </w:num>
  <w:num w:numId="25">
    <w:abstractNumId w:val="21"/>
  </w:num>
  <w:num w:numId="26">
    <w:abstractNumId w:val="41"/>
  </w:num>
  <w:num w:numId="27">
    <w:abstractNumId w:val="23"/>
    <w:lvlOverride w:ilvl="0">
      <w:startOverride w:val="1"/>
    </w:lvlOverride>
  </w:num>
  <w:num w:numId="28">
    <w:abstractNumId w:val="23"/>
    <w:lvlOverride w:ilvl="0">
      <w:startOverride w:val="1"/>
    </w:lvlOverride>
  </w:num>
  <w:num w:numId="29">
    <w:abstractNumId w:val="42"/>
  </w:num>
  <w:num w:numId="30">
    <w:abstractNumId w:val="33"/>
  </w:num>
  <w:num w:numId="31">
    <w:abstractNumId w:val="16"/>
  </w:num>
  <w:num w:numId="32">
    <w:abstractNumId w:val="43"/>
  </w:num>
  <w:num w:numId="33">
    <w:abstractNumId w:val="36"/>
  </w:num>
  <w:num w:numId="34">
    <w:abstractNumId w:val="7"/>
  </w:num>
  <w:num w:numId="35">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6"/>
  </w:num>
  <w:num w:numId="37">
    <w:abstractNumId w:val="29"/>
  </w:num>
  <w:num w:numId="38">
    <w:abstractNumId w:val="47"/>
  </w:num>
  <w:num w:numId="39">
    <w:abstractNumId w:val="35"/>
  </w:num>
  <w:num w:numId="40">
    <w:abstractNumId w:val="44"/>
  </w:num>
  <w:num w:numId="41">
    <w:abstractNumId w:val="11"/>
  </w:num>
  <w:num w:numId="42">
    <w:abstractNumId w:val="31"/>
  </w:num>
  <w:num w:numId="43">
    <w:abstractNumId w:val="9"/>
  </w:num>
  <w:num w:numId="44">
    <w:abstractNumId w:val="3"/>
  </w:num>
  <w:num w:numId="45">
    <w:abstractNumId w:val="17"/>
  </w:num>
  <w:num w:numId="46">
    <w:abstractNumId w:val="13"/>
  </w:num>
  <w:num w:numId="47">
    <w:abstractNumId w:val="8"/>
  </w:num>
  <w:num w:numId="48">
    <w:abstractNumId w:val="22"/>
  </w:num>
  <w:num w:numId="49">
    <w:abstractNumId w:val="19"/>
  </w:num>
  <w:num w:numId="50">
    <w:abstractNumId w:val="1"/>
  </w:num>
  <w:num w:numId="51">
    <w:abstractNumId w:val="26"/>
  </w:num>
  <w:num w:numId="52">
    <w:abstractNumId w:val="23"/>
    <w:lvlOverride w:ilvl="0">
      <w:startOverride w:val="1"/>
    </w:lvlOverride>
  </w:num>
  <w:num w:numId="53">
    <w:abstractNumId w:val="15"/>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attachedTemplate r:id="rId1"/>
  <w:stylePaneFormatFilter w:val="7004"/>
  <w:defaultTabStop w:val="567"/>
  <w:evenAndOddHeaders/>
  <w:drawingGridHorizontalSpacing w:val="80"/>
  <w:displayHorizontalDrawingGridEvery w:val="2"/>
  <w:noPunctuationKerning/>
  <w:characterSpacingControl w:val="doNotCompress"/>
  <w:hdrShapeDefaults>
    <o:shapedefaults v:ext="edit" spidmax="2056"/>
  </w:hdrShapeDefaults>
  <w:footnotePr>
    <w:footnote w:id="-1"/>
    <w:footnote w:id="0"/>
  </w:footnotePr>
  <w:endnotePr>
    <w:endnote w:id="-1"/>
    <w:endnote w:id="0"/>
  </w:endnotePr>
  <w:compat/>
  <w:rsids>
    <w:rsidRoot w:val="0010657F"/>
    <w:rsid w:val="000000C3"/>
    <w:rsid w:val="00001912"/>
    <w:rsid w:val="00003393"/>
    <w:rsid w:val="00003873"/>
    <w:rsid w:val="00003AC4"/>
    <w:rsid w:val="00004085"/>
    <w:rsid w:val="00004BDE"/>
    <w:rsid w:val="00006AE4"/>
    <w:rsid w:val="0000711B"/>
    <w:rsid w:val="00012BB0"/>
    <w:rsid w:val="000138F2"/>
    <w:rsid w:val="00013D25"/>
    <w:rsid w:val="0001438C"/>
    <w:rsid w:val="00016D95"/>
    <w:rsid w:val="00017619"/>
    <w:rsid w:val="00020573"/>
    <w:rsid w:val="000208FD"/>
    <w:rsid w:val="000215A8"/>
    <w:rsid w:val="000216BF"/>
    <w:rsid w:val="000217A0"/>
    <w:rsid w:val="00021DA6"/>
    <w:rsid w:val="000220B0"/>
    <w:rsid w:val="00026D32"/>
    <w:rsid w:val="00027945"/>
    <w:rsid w:val="000300D7"/>
    <w:rsid w:val="00030FDA"/>
    <w:rsid w:val="00032565"/>
    <w:rsid w:val="000330D1"/>
    <w:rsid w:val="00033673"/>
    <w:rsid w:val="00035E52"/>
    <w:rsid w:val="00036095"/>
    <w:rsid w:val="000364F3"/>
    <w:rsid w:val="000366AE"/>
    <w:rsid w:val="000369AC"/>
    <w:rsid w:val="00036DF3"/>
    <w:rsid w:val="0003724F"/>
    <w:rsid w:val="00037BA1"/>
    <w:rsid w:val="00037BEE"/>
    <w:rsid w:val="000413D4"/>
    <w:rsid w:val="0004164F"/>
    <w:rsid w:val="00041928"/>
    <w:rsid w:val="000428FC"/>
    <w:rsid w:val="00042B8D"/>
    <w:rsid w:val="00042FDD"/>
    <w:rsid w:val="00044271"/>
    <w:rsid w:val="00045667"/>
    <w:rsid w:val="000519DC"/>
    <w:rsid w:val="00051F38"/>
    <w:rsid w:val="00051F7B"/>
    <w:rsid w:val="00053AB1"/>
    <w:rsid w:val="00054A04"/>
    <w:rsid w:val="00054CC3"/>
    <w:rsid w:val="0005600E"/>
    <w:rsid w:val="00056260"/>
    <w:rsid w:val="00056627"/>
    <w:rsid w:val="0005667B"/>
    <w:rsid w:val="00057224"/>
    <w:rsid w:val="0005722F"/>
    <w:rsid w:val="00060890"/>
    <w:rsid w:val="00061038"/>
    <w:rsid w:val="00063C44"/>
    <w:rsid w:val="00063CE1"/>
    <w:rsid w:val="0006455C"/>
    <w:rsid w:val="00065053"/>
    <w:rsid w:val="000655E4"/>
    <w:rsid w:val="00065658"/>
    <w:rsid w:val="000656AD"/>
    <w:rsid w:val="00065C71"/>
    <w:rsid w:val="00066BBA"/>
    <w:rsid w:val="00067B6F"/>
    <w:rsid w:val="00067D19"/>
    <w:rsid w:val="00067E1D"/>
    <w:rsid w:val="0007064C"/>
    <w:rsid w:val="000712EE"/>
    <w:rsid w:val="000725C0"/>
    <w:rsid w:val="00074CE6"/>
    <w:rsid w:val="0007582E"/>
    <w:rsid w:val="000768A5"/>
    <w:rsid w:val="00076EFB"/>
    <w:rsid w:val="00077277"/>
    <w:rsid w:val="0007743A"/>
    <w:rsid w:val="000774D2"/>
    <w:rsid w:val="00080069"/>
    <w:rsid w:val="00080F4F"/>
    <w:rsid w:val="00081BF9"/>
    <w:rsid w:val="00082159"/>
    <w:rsid w:val="00082A6E"/>
    <w:rsid w:val="00082C86"/>
    <w:rsid w:val="00082E7F"/>
    <w:rsid w:val="00082FCA"/>
    <w:rsid w:val="0008449F"/>
    <w:rsid w:val="00085AB4"/>
    <w:rsid w:val="00085F3F"/>
    <w:rsid w:val="000863E5"/>
    <w:rsid w:val="000867A0"/>
    <w:rsid w:val="00086FF5"/>
    <w:rsid w:val="0009201C"/>
    <w:rsid w:val="000924A7"/>
    <w:rsid w:val="00094B28"/>
    <w:rsid w:val="00094E56"/>
    <w:rsid w:val="00096568"/>
    <w:rsid w:val="0009661B"/>
    <w:rsid w:val="000966C1"/>
    <w:rsid w:val="00096867"/>
    <w:rsid w:val="00096DEE"/>
    <w:rsid w:val="0009701D"/>
    <w:rsid w:val="00097063"/>
    <w:rsid w:val="00097336"/>
    <w:rsid w:val="00097A4B"/>
    <w:rsid w:val="000A1227"/>
    <w:rsid w:val="000A1A89"/>
    <w:rsid w:val="000A1C91"/>
    <w:rsid w:val="000A24C4"/>
    <w:rsid w:val="000A345B"/>
    <w:rsid w:val="000A372A"/>
    <w:rsid w:val="000A395D"/>
    <w:rsid w:val="000A4147"/>
    <w:rsid w:val="000A4FE4"/>
    <w:rsid w:val="000A532C"/>
    <w:rsid w:val="000A56A5"/>
    <w:rsid w:val="000A5C86"/>
    <w:rsid w:val="000A6897"/>
    <w:rsid w:val="000A6DBE"/>
    <w:rsid w:val="000A6F20"/>
    <w:rsid w:val="000A6F85"/>
    <w:rsid w:val="000B0E3C"/>
    <w:rsid w:val="000B1766"/>
    <w:rsid w:val="000B1FC4"/>
    <w:rsid w:val="000B21D6"/>
    <w:rsid w:val="000B2404"/>
    <w:rsid w:val="000B36D8"/>
    <w:rsid w:val="000B3B7D"/>
    <w:rsid w:val="000B3F0E"/>
    <w:rsid w:val="000B514C"/>
    <w:rsid w:val="000B56C8"/>
    <w:rsid w:val="000C056F"/>
    <w:rsid w:val="000C0D74"/>
    <w:rsid w:val="000C1928"/>
    <w:rsid w:val="000C19B3"/>
    <w:rsid w:val="000C19EF"/>
    <w:rsid w:val="000C2D7D"/>
    <w:rsid w:val="000C2FA8"/>
    <w:rsid w:val="000C3B86"/>
    <w:rsid w:val="000C3F25"/>
    <w:rsid w:val="000C4851"/>
    <w:rsid w:val="000C5F91"/>
    <w:rsid w:val="000C6166"/>
    <w:rsid w:val="000C69F2"/>
    <w:rsid w:val="000C6A39"/>
    <w:rsid w:val="000C6FB8"/>
    <w:rsid w:val="000D0E4D"/>
    <w:rsid w:val="000D13E5"/>
    <w:rsid w:val="000D28C8"/>
    <w:rsid w:val="000D3B63"/>
    <w:rsid w:val="000D43DE"/>
    <w:rsid w:val="000D43E2"/>
    <w:rsid w:val="000D458E"/>
    <w:rsid w:val="000D58A1"/>
    <w:rsid w:val="000D7E54"/>
    <w:rsid w:val="000E0A85"/>
    <w:rsid w:val="000E12DE"/>
    <w:rsid w:val="000E2F5F"/>
    <w:rsid w:val="000E3AF4"/>
    <w:rsid w:val="000E537F"/>
    <w:rsid w:val="000E5E2E"/>
    <w:rsid w:val="000E68E3"/>
    <w:rsid w:val="000E6DDB"/>
    <w:rsid w:val="000E74A6"/>
    <w:rsid w:val="000F03B1"/>
    <w:rsid w:val="000F08AE"/>
    <w:rsid w:val="000F1580"/>
    <w:rsid w:val="000F15EB"/>
    <w:rsid w:val="000F2D33"/>
    <w:rsid w:val="000F43F4"/>
    <w:rsid w:val="000F440E"/>
    <w:rsid w:val="000F6647"/>
    <w:rsid w:val="000F73B7"/>
    <w:rsid w:val="000F746C"/>
    <w:rsid w:val="000F7E7B"/>
    <w:rsid w:val="001002F8"/>
    <w:rsid w:val="00102654"/>
    <w:rsid w:val="001028CC"/>
    <w:rsid w:val="00102922"/>
    <w:rsid w:val="00102934"/>
    <w:rsid w:val="00102A4B"/>
    <w:rsid w:val="00102CAD"/>
    <w:rsid w:val="001045F9"/>
    <w:rsid w:val="0010472B"/>
    <w:rsid w:val="00104CEC"/>
    <w:rsid w:val="00105B67"/>
    <w:rsid w:val="00106277"/>
    <w:rsid w:val="0010657F"/>
    <w:rsid w:val="001065ED"/>
    <w:rsid w:val="001105CA"/>
    <w:rsid w:val="00111159"/>
    <w:rsid w:val="00111F74"/>
    <w:rsid w:val="00112B8E"/>
    <w:rsid w:val="00112D0F"/>
    <w:rsid w:val="00112F43"/>
    <w:rsid w:val="001133E0"/>
    <w:rsid w:val="001155DB"/>
    <w:rsid w:val="00115DE5"/>
    <w:rsid w:val="001163D6"/>
    <w:rsid w:val="0011726A"/>
    <w:rsid w:val="0011797A"/>
    <w:rsid w:val="0012022D"/>
    <w:rsid w:val="00120B5E"/>
    <w:rsid w:val="00121EB0"/>
    <w:rsid w:val="0012228D"/>
    <w:rsid w:val="001226F3"/>
    <w:rsid w:val="00122930"/>
    <w:rsid w:val="001230E2"/>
    <w:rsid w:val="00123218"/>
    <w:rsid w:val="00123925"/>
    <w:rsid w:val="00126641"/>
    <w:rsid w:val="00132F17"/>
    <w:rsid w:val="00133D3A"/>
    <w:rsid w:val="00134700"/>
    <w:rsid w:val="001352EE"/>
    <w:rsid w:val="00135314"/>
    <w:rsid w:val="00135505"/>
    <w:rsid w:val="001364A7"/>
    <w:rsid w:val="00136827"/>
    <w:rsid w:val="001375D4"/>
    <w:rsid w:val="00140DAB"/>
    <w:rsid w:val="00143E88"/>
    <w:rsid w:val="001455D8"/>
    <w:rsid w:val="00145B5E"/>
    <w:rsid w:val="00145CCC"/>
    <w:rsid w:val="00145FDE"/>
    <w:rsid w:val="0014790A"/>
    <w:rsid w:val="001503F0"/>
    <w:rsid w:val="00151736"/>
    <w:rsid w:val="00151ABB"/>
    <w:rsid w:val="0015364F"/>
    <w:rsid w:val="00154447"/>
    <w:rsid w:val="001549BE"/>
    <w:rsid w:val="00154CDE"/>
    <w:rsid w:val="00154F5B"/>
    <w:rsid w:val="0015511B"/>
    <w:rsid w:val="001562DF"/>
    <w:rsid w:val="00157BC7"/>
    <w:rsid w:val="00160B7D"/>
    <w:rsid w:val="00161DAC"/>
    <w:rsid w:val="00162B55"/>
    <w:rsid w:val="00162D8B"/>
    <w:rsid w:val="00163101"/>
    <w:rsid w:val="00163479"/>
    <w:rsid w:val="001638E9"/>
    <w:rsid w:val="001641DD"/>
    <w:rsid w:val="00164742"/>
    <w:rsid w:val="00164B9D"/>
    <w:rsid w:val="00165243"/>
    <w:rsid w:val="00165824"/>
    <w:rsid w:val="001666EA"/>
    <w:rsid w:val="00170D51"/>
    <w:rsid w:val="00171052"/>
    <w:rsid w:val="00171A85"/>
    <w:rsid w:val="00172005"/>
    <w:rsid w:val="001721F2"/>
    <w:rsid w:val="00174565"/>
    <w:rsid w:val="0017515A"/>
    <w:rsid w:val="00175BB3"/>
    <w:rsid w:val="00177A9A"/>
    <w:rsid w:val="001808A4"/>
    <w:rsid w:val="001815A5"/>
    <w:rsid w:val="00182740"/>
    <w:rsid w:val="00184071"/>
    <w:rsid w:val="001847FC"/>
    <w:rsid w:val="00184B69"/>
    <w:rsid w:val="0018513F"/>
    <w:rsid w:val="00186850"/>
    <w:rsid w:val="0018714F"/>
    <w:rsid w:val="001904A5"/>
    <w:rsid w:val="00190FE8"/>
    <w:rsid w:val="001923C8"/>
    <w:rsid w:val="001933CF"/>
    <w:rsid w:val="001939FF"/>
    <w:rsid w:val="00193C18"/>
    <w:rsid w:val="0019428D"/>
    <w:rsid w:val="00194DE8"/>
    <w:rsid w:val="0019523E"/>
    <w:rsid w:val="0019539C"/>
    <w:rsid w:val="00197990"/>
    <w:rsid w:val="001A0106"/>
    <w:rsid w:val="001A02CB"/>
    <w:rsid w:val="001A0333"/>
    <w:rsid w:val="001A0642"/>
    <w:rsid w:val="001A0EBB"/>
    <w:rsid w:val="001A11DB"/>
    <w:rsid w:val="001A217E"/>
    <w:rsid w:val="001A2B82"/>
    <w:rsid w:val="001A33F4"/>
    <w:rsid w:val="001A4B6A"/>
    <w:rsid w:val="001A6256"/>
    <w:rsid w:val="001A6EC9"/>
    <w:rsid w:val="001A6F29"/>
    <w:rsid w:val="001A789B"/>
    <w:rsid w:val="001A7D6D"/>
    <w:rsid w:val="001B03CC"/>
    <w:rsid w:val="001B0C75"/>
    <w:rsid w:val="001B1409"/>
    <w:rsid w:val="001B368E"/>
    <w:rsid w:val="001B44C2"/>
    <w:rsid w:val="001B4EC1"/>
    <w:rsid w:val="001B659F"/>
    <w:rsid w:val="001B7399"/>
    <w:rsid w:val="001B7655"/>
    <w:rsid w:val="001B7BAD"/>
    <w:rsid w:val="001B7F09"/>
    <w:rsid w:val="001C1166"/>
    <w:rsid w:val="001C261E"/>
    <w:rsid w:val="001C2C14"/>
    <w:rsid w:val="001C3AC7"/>
    <w:rsid w:val="001C4F17"/>
    <w:rsid w:val="001C7B78"/>
    <w:rsid w:val="001C7FB4"/>
    <w:rsid w:val="001D013E"/>
    <w:rsid w:val="001D089D"/>
    <w:rsid w:val="001D0BA6"/>
    <w:rsid w:val="001D1814"/>
    <w:rsid w:val="001D1903"/>
    <w:rsid w:val="001D1942"/>
    <w:rsid w:val="001D1BEA"/>
    <w:rsid w:val="001D1DDB"/>
    <w:rsid w:val="001D3DD7"/>
    <w:rsid w:val="001D4988"/>
    <w:rsid w:val="001D53EA"/>
    <w:rsid w:val="001D6F7C"/>
    <w:rsid w:val="001D7EBC"/>
    <w:rsid w:val="001E0654"/>
    <w:rsid w:val="001E12A5"/>
    <w:rsid w:val="001E1BF9"/>
    <w:rsid w:val="001E1EDB"/>
    <w:rsid w:val="001E20DE"/>
    <w:rsid w:val="001E22D5"/>
    <w:rsid w:val="001E2321"/>
    <w:rsid w:val="001E3111"/>
    <w:rsid w:val="001E3A18"/>
    <w:rsid w:val="001E3D9F"/>
    <w:rsid w:val="001E48E1"/>
    <w:rsid w:val="001E5DAA"/>
    <w:rsid w:val="001E7001"/>
    <w:rsid w:val="001E7093"/>
    <w:rsid w:val="001E717D"/>
    <w:rsid w:val="001E71F5"/>
    <w:rsid w:val="001E7D86"/>
    <w:rsid w:val="001F1161"/>
    <w:rsid w:val="001F1488"/>
    <w:rsid w:val="001F162C"/>
    <w:rsid w:val="001F1AB8"/>
    <w:rsid w:val="001F255D"/>
    <w:rsid w:val="001F377B"/>
    <w:rsid w:val="001F3CF9"/>
    <w:rsid w:val="001F4A78"/>
    <w:rsid w:val="001F55E5"/>
    <w:rsid w:val="001F5CB9"/>
    <w:rsid w:val="001F730B"/>
    <w:rsid w:val="001F7504"/>
    <w:rsid w:val="0020065B"/>
    <w:rsid w:val="00200DC3"/>
    <w:rsid w:val="002011E2"/>
    <w:rsid w:val="0020160F"/>
    <w:rsid w:val="00201BB9"/>
    <w:rsid w:val="002025EE"/>
    <w:rsid w:val="00202925"/>
    <w:rsid w:val="00202C70"/>
    <w:rsid w:val="00202DDA"/>
    <w:rsid w:val="00204F6B"/>
    <w:rsid w:val="002050B0"/>
    <w:rsid w:val="00205D80"/>
    <w:rsid w:val="00206DE7"/>
    <w:rsid w:val="002074F9"/>
    <w:rsid w:val="00207BFA"/>
    <w:rsid w:val="00210874"/>
    <w:rsid w:val="0021093F"/>
    <w:rsid w:val="002133CA"/>
    <w:rsid w:val="00214369"/>
    <w:rsid w:val="00214F9A"/>
    <w:rsid w:val="00215783"/>
    <w:rsid w:val="00216071"/>
    <w:rsid w:val="0021644B"/>
    <w:rsid w:val="00216DC9"/>
    <w:rsid w:val="00217CA0"/>
    <w:rsid w:val="002202EB"/>
    <w:rsid w:val="00220FCF"/>
    <w:rsid w:val="00221705"/>
    <w:rsid w:val="00222391"/>
    <w:rsid w:val="002247B5"/>
    <w:rsid w:val="0022503D"/>
    <w:rsid w:val="00231CCE"/>
    <w:rsid w:val="002322A1"/>
    <w:rsid w:val="002329C3"/>
    <w:rsid w:val="00232CC4"/>
    <w:rsid w:val="002332AE"/>
    <w:rsid w:val="002333C2"/>
    <w:rsid w:val="00233486"/>
    <w:rsid w:val="00234040"/>
    <w:rsid w:val="00234EA0"/>
    <w:rsid w:val="00235D67"/>
    <w:rsid w:val="0023626B"/>
    <w:rsid w:val="00244D22"/>
    <w:rsid w:val="002457F3"/>
    <w:rsid w:val="00246C09"/>
    <w:rsid w:val="00247262"/>
    <w:rsid w:val="0025262D"/>
    <w:rsid w:val="0025292D"/>
    <w:rsid w:val="00254F6C"/>
    <w:rsid w:val="0025616B"/>
    <w:rsid w:val="0025684F"/>
    <w:rsid w:val="00257285"/>
    <w:rsid w:val="0025784D"/>
    <w:rsid w:val="00257FF4"/>
    <w:rsid w:val="002602D3"/>
    <w:rsid w:val="002606CB"/>
    <w:rsid w:val="002608CE"/>
    <w:rsid w:val="00261813"/>
    <w:rsid w:val="0026279C"/>
    <w:rsid w:val="00262CD3"/>
    <w:rsid w:val="002640E5"/>
    <w:rsid w:val="00265289"/>
    <w:rsid w:val="00266613"/>
    <w:rsid w:val="00266FE9"/>
    <w:rsid w:val="002676AB"/>
    <w:rsid w:val="00267875"/>
    <w:rsid w:val="00270155"/>
    <w:rsid w:val="00270D82"/>
    <w:rsid w:val="0027168C"/>
    <w:rsid w:val="00271FC7"/>
    <w:rsid w:val="00272396"/>
    <w:rsid w:val="0027614D"/>
    <w:rsid w:val="0027651A"/>
    <w:rsid w:val="0028001E"/>
    <w:rsid w:val="002800DD"/>
    <w:rsid w:val="00280510"/>
    <w:rsid w:val="00281673"/>
    <w:rsid w:val="00281CF6"/>
    <w:rsid w:val="0028359B"/>
    <w:rsid w:val="00284DDC"/>
    <w:rsid w:val="002857FE"/>
    <w:rsid w:val="00285F5A"/>
    <w:rsid w:val="00287C57"/>
    <w:rsid w:val="00291E57"/>
    <w:rsid w:val="00292D6A"/>
    <w:rsid w:val="00292ECC"/>
    <w:rsid w:val="0029312A"/>
    <w:rsid w:val="0029325C"/>
    <w:rsid w:val="00293B2D"/>
    <w:rsid w:val="00293B46"/>
    <w:rsid w:val="00294092"/>
    <w:rsid w:val="00294854"/>
    <w:rsid w:val="002960B7"/>
    <w:rsid w:val="00297643"/>
    <w:rsid w:val="00297824"/>
    <w:rsid w:val="002A153F"/>
    <w:rsid w:val="002A3B50"/>
    <w:rsid w:val="002A40DC"/>
    <w:rsid w:val="002A465D"/>
    <w:rsid w:val="002A5329"/>
    <w:rsid w:val="002A55B5"/>
    <w:rsid w:val="002A5C2D"/>
    <w:rsid w:val="002A61E5"/>
    <w:rsid w:val="002A6AF1"/>
    <w:rsid w:val="002A7BD3"/>
    <w:rsid w:val="002A7FC8"/>
    <w:rsid w:val="002B0133"/>
    <w:rsid w:val="002B0A81"/>
    <w:rsid w:val="002B1CE7"/>
    <w:rsid w:val="002B2C50"/>
    <w:rsid w:val="002B2F0F"/>
    <w:rsid w:val="002B4ED5"/>
    <w:rsid w:val="002B595D"/>
    <w:rsid w:val="002B5F6A"/>
    <w:rsid w:val="002B779E"/>
    <w:rsid w:val="002B7D6F"/>
    <w:rsid w:val="002B7D78"/>
    <w:rsid w:val="002C0552"/>
    <w:rsid w:val="002C1CF7"/>
    <w:rsid w:val="002C25D0"/>
    <w:rsid w:val="002C280B"/>
    <w:rsid w:val="002C2B39"/>
    <w:rsid w:val="002C2DB0"/>
    <w:rsid w:val="002C72F9"/>
    <w:rsid w:val="002C75B0"/>
    <w:rsid w:val="002C7703"/>
    <w:rsid w:val="002C7A63"/>
    <w:rsid w:val="002D0153"/>
    <w:rsid w:val="002D403A"/>
    <w:rsid w:val="002D4262"/>
    <w:rsid w:val="002D4C10"/>
    <w:rsid w:val="002D4DB4"/>
    <w:rsid w:val="002E1017"/>
    <w:rsid w:val="002E1064"/>
    <w:rsid w:val="002E1A4D"/>
    <w:rsid w:val="002E323F"/>
    <w:rsid w:val="002E5554"/>
    <w:rsid w:val="002E58D0"/>
    <w:rsid w:val="002E615F"/>
    <w:rsid w:val="002E6DAD"/>
    <w:rsid w:val="002E70EB"/>
    <w:rsid w:val="002F0614"/>
    <w:rsid w:val="002F1606"/>
    <w:rsid w:val="002F1B12"/>
    <w:rsid w:val="002F1ED4"/>
    <w:rsid w:val="002F591B"/>
    <w:rsid w:val="002F6EE2"/>
    <w:rsid w:val="002F7485"/>
    <w:rsid w:val="002F7704"/>
    <w:rsid w:val="002F7B47"/>
    <w:rsid w:val="00300013"/>
    <w:rsid w:val="00300334"/>
    <w:rsid w:val="003006F8"/>
    <w:rsid w:val="00300BF2"/>
    <w:rsid w:val="00301199"/>
    <w:rsid w:val="003016C4"/>
    <w:rsid w:val="00301A44"/>
    <w:rsid w:val="003027C1"/>
    <w:rsid w:val="00302A25"/>
    <w:rsid w:val="00304676"/>
    <w:rsid w:val="00304BB6"/>
    <w:rsid w:val="00304C13"/>
    <w:rsid w:val="00305718"/>
    <w:rsid w:val="00305EC5"/>
    <w:rsid w:val="00306107"/>
    <w:rsid w:val="003068C0"/>
    <w:rsid w:val="00306975"/>
    <w:rsid w:val="003077B8"/>
    <w:rsid w:val="003111F8"/>
    <w:rsid w:val="0031204A"/>
    <w:rsid w:val="0031272B"/>
    <w:rsid w:val="00312DEE"/>
    <w:rsid w:val="00315435"/>
    <w:rsid w:val="0031598E"/>
    <w:rsid w:val="00316AB7"/>
    <w:rsid w:val="0032038C"/>
    <w:rsid w:val="00320C0D"/>
    <w:rsid w:val="00321889"/>
    <w:rsid w:val="0032269F"/>
    <w:rsid w:val="0032417E"/>
    <w:rsid w:val="00325494"/>
    <w:rsid w:val="00325C5E"/>
    <w:rsid w:val="0032738E"/>
    <w:rsid w:val="0032742E"/>
    <w:rsid w:val="003303E4"/>
    <w:rsid w:val="00330A59"/>
    <w:rsid w:val="003311DD"/>
    <w:rsid w:val="00331B40"/>
    <w:rsid w:val="00331C5F"/>
    <w:rsid w:val="00332A05"/>
    <w:rsid w:val="00333074"/>
    <w:rsid w:val="00333223"/>
    <w:rsid w:val="00333875"/>
    <w:rsid w:val="00333D6D"/>
    <w:rsid w:val="003345A1"/>
    <w:rsid w:val="003347F8"/>
    <w:rsid w:val="00334AB4"/>
    <w:rsid w:val="00334F7E"/>
    <w:rsid w:val="003364C1"/>
    <w:rsid w:val="00337F82"/>
    <w:rsid w:val="00340640"/>
    <w:rsid w:val="003435D6"/>
    <w:rsid w:val="00344D99"/>
    <w:rsid w:val="003458E0"/>
    <w:rsid w:val="00345CCD"/>
    <w:rsid w:val="00347BEF"/>
    <w:rsid w:val="003511CE"/>
    <w:rsid w:val="0035163E"/>
    <w:rsid w:val="00351909"/>
    <w:rsid w:val="00352BE0"/>
    <w:rsid w:val="0035333E"/>
    <w:rsid w:val="00353420"/>
    <w:rsid w:val="003538F0"/>
    <w:rsid w:val="00354A26"/>
    <w:rsid w:val="00356026"/>
    <w:rsid w:val="00357DAE"/>
    <w:rsid w:val="003602A5"/>
    <w:rsid w:val="003606A2"/>
    <w:rsid w:val="00361259"/>
    <w:rsid w:val="00361429"/>
    <w:rsid w:val="00361734"/>
    <w:rsid w:val="003624D6"/>
    <w:rsid w:val="00362AA7"/>
    <w:rsid w:val="00364EF7"/>
    <w:rsid w:val="00364F11"/>
    <w:rsid w:val="00365C6C"/>
    <w:rsid w:val="003662DA"/>
    <w:rsid w:val="003705BF"/>
    <w:rsid w:val="00370935"/>
    <w:rsid w:val="00370E97"/>
    <w:rsid w:val="00371C1A"/>
    <w:rsid w:val="003730A0"/>
    <w:rsid w:val="00375E52"/>
    <w:rsid w:val="00377BC4"/>
    <w:rsid w:val="003807C9"/>
    <w:rsid w:val="00380D9F"/>
    <w:rsid w:val="00381383"/>
    <w:rsid w:val="00381C30"/>
    <w:rsid w:val="003821EB"/>
    <w:rsid w:val="00382234"/>
    <w:rsid w:val="003822E4"/>
    <w:rsid w:val="00382408"/>
    <w:rsid w:val="00384BB1"/>
    <w:rsid w:val="003859AA"/>
    <w:rsid w:val="003864FA"/>
    <w:rsid w:val="0038672F"/>
    <w:rsid w:val="00386BC9"/>
    <w:rsid w:val="00386F24"/>
    <w:rsid w:val="00387957"/>
    <w:rsid w:val="00387A6E"/>
    <w:rsid w:val="00387CC2"/>
    <w:rsid w:val="0039053D"/>
    <w:rsid w:val="00392B4E"/>
    <w:rsid w:val="0039449C"/>
    <w:rsid w:val="00395A1E"/>
    <w:rsid w:val="0039684C"/>
    <w:rsid w:val="003A0290"/>
    <w:rsid w:val="003A0981"/>
    <w:rsid w:val="003A25BB"/>
    <w:rsid w:val="003A3E7B"/>
    <w:rsid w:val="003A55C1"/>
    <w:rsid w:val="003A7067"/>
    <w:rsid w:val="003B0197"/>
    <w:rsid w:val="003B026F"/>
    <w:rsid w:val="003B036A"/>
    <w:rsid w:val="003B09F6"/>
    <w:rsid w:val="003B0B7B"/>
    <w:rsid w:val="003B0D03"/>
    <w:rsid w:val="003B16A2"/>
    <w:rsid w:val="003B1C7A"/>
    <w:rsid w:val="003B1C96"/>
    <w:rsid w:val="003B1F0A"/>
    <w:rsid w:val="003B24C9"/>
    <w:rsid w:val="003B2C1F"/>
    <w:rsid w:val="003B5319"/>
    <w:rsid w:val="003B5533"/>
    <w:rsid w:val="003B5A85"/>
    <w:rsid w:val="003B71EE"/>
    <w:rsid w:val="003B73C9"/>
    <w:rsid w:val="003B7621"/>
    <w:rsid w:val="003B7C64"/>
    <w:rsid w:val="003C0593"/>
    <w:rsid w:val="003C13A6"/>
    <w:rsid w:val="003C1EB4"/>
    <w:rsid w:val="003C223B"/>
    <w:rsid w:val="003D0B10"/>
    <w:rsid w:val="003D1E47"/>
    <w:rsid w:val="003D28F5"/>
    <w:rsid w:val="003D3662"/>
    <w:rsid w:val="003D3C14"/>
    <w:rsid w:val="003D4557"/>
    <w:rsid w:val="003D543D"/>
    <w:rsid w:val="003D59FD"/>
    <w:rsid w:val="003D76E3"/>
    <w:rsid w:val="003E0318"/>
    <w:rsid w:val="003E05AC"/>
    <w:rsid w:val="003E10B8"/>
    <w:rsid w:val="003E1222"/>
    <w:rsid w:val="003E122D"/>
    <w:rsid w:val="003E13F5"/>
    <w:rsid w:val="003E3492"/>
    <w:rsid w:val="003E3FF4"/>
    <w:rsid w:val="003E4E15"/>
    <w:rsid w:val="003E51AD"/>
    <w:rsid w:val="003E549B"/>
    <w:rsid w:val="003E5AE8"/>
    <w:rsid w:val="003E7507"/>
    <w:rsid w:val="003E7B05"/>
    <w:rsid w:val="003F07EE"/>
    <w:rsid w:val="003F29F2"/>
    <w:rsid w:val="003F47DF"/>
    <w:rsid w:val="003F496D"/>
    <w:rsid w:val="003F6209"/>
    <w:rsid w:val="004003E3"/>
    <w:rsid w:val="0040314A"/>
    <w:rsid w:val="004036D4"/>
    <w:rsid w:val="0040496B"/>
    <w:rsid w:val="00405A32"/>
    <w:rsid w:val="00405DAB"/>
    <w:rsid w:val="00405E90"/>
    <w:rsid w:val="004065CE"/>
    <w:rsid w:val="00407C84"/>
    <w:rsid w:val="004105DD"/>
    <w:rsid w:val="00410C3B"/>
    <w:rsid w:val="00410DCE"/>
    <w:rsid w:val="004114DA"/>
    <w:rsid w:val="00413AD1"/>
    <w:rsid w:val="0041404E"/>
    <w:rsid w:val="0041429D"/>
    <w:rsid w:val="004147D0"/>
    <w:rsid w:val="00414E1F"/>
    <w:rsid w:val="00416BB8"/>
    <w:rsid w:val="00416DE0"/>
    <w:rsid w:val="0041765C"/>
    <w:rsid w:val="00420837"/>
    <w:rsid w:val="00421EEC"/>
    <w:rsid w:val="00422933"/>
    <w:rsid w:val="00422F4B"/>
    <w:rsid w:val="004230EA"/>
    <w:rsid w:val="004248B4"/>
    <w:rsid w:val="00424C66"/>
    <w:rsid w:val="0042526D"/>
    <w:rsid w:val="004254A2"/>
    <w:rsid w:val="00426D71"/>
    <w:rsid w:val="00427415"/>
    <w:rsid w:val="00430256"/>
    <w:rsid w:val="0043105E"/>
    <w:rsid w:val="00431BF1"/>
    <w:rsid w:val="00432809"/>
    <w:rsid w:val="00432E37"/>
    <w:rsid w:val="004338B9"/>
    <w:rsid w:val="00433D22"/>
    <w:rsid w:val="004342F8"/>
    <w:rsid w:val="00434A2F"/>
    <w:rsid w:val="0043578E"/>
    <w:rsid w:val="0044083A"/>
    <w:rsid w:val="004408FA"/>
    <w:rsid w:val="00441B0C"/>
    <w:rsid w:val="00443B4A"/>
    <w:rsid w:val="00443D0C"/>
    <w:rsid w:val="0044552A"/>
    <w:rsid w:val="00445663"/>
    <w:rsid w:val="00445CA2"/>
    <w:rsid w:val="00447949"/>
    <w:rsid w:val="00447B6D"/>
    <w:rsid w:val="0045006A"/>
    <w:rsid w:val="00450E44"/>
    <w:rsid w:val="00451501"/>
    <w:rsid w:val="0045239E"/>
    <w:rsid w:val="004528D0"/>
    <w:rsid w:val="00453C86"/>
    <w:rsid w:val="00454564"/>
    <w:rsid w:val="004562E5"/>
    <w:rsid w:val="0045777B"/>
    <w:rsid w:val="00457BC3"/>
    <w:rsid w:val="00457E42"/>
    <w:rsid w:val="0046034D"/>
    <w:rsid w:val="00462272"/>
    <w:rsid w:val="0046390C"/>
    <w:rsid w:val="00464279"/>
    <w:rsid w:val="004645D8"/>
    <w:rsid w:val="00465D4E"/>
    <w:rsid w:val="00466646"/>
    <w:rsid w:val="004677D4"/>
    <w:rsid w:val="00467B1A"/>
    <w:rsid w:val="00467BDD"/>
    <w:rsid w:val="00471640"/>
    <w:rsid w:val="004717F6"/>
    <w:rsid w:val="004720FA"/>
    <w:rsid w:val="0047364D"/>
    <w:rsid w:val="00474471"/>
    <w:rsid w:val="0047481E"/>
    <w:rsid w:val="00474918"/>
    <w:rsid w:val="00475EAF"/>
    <w:rsid w:val="00477055"/>
    <w:rsid w:val="004775DD"/>
    <w:rsid w:val="00480B92"/>
    <w:rsid w:val="00481429"/>
    <w:rsid w:val="004815F8"/>
    <w:rsid w:val="00481E32"/>
    <w:rsid w:val="004831ED"/>
    <w:rsid w:val="004836A7"/>
    <w:rsid w:val="004847B4"/>
    <w:rsid w:val="00484915"/>
    <w:rsid w:val="00484921"/>
    <w:rsid w:val="004849E3"/>
    <w:rsid w:val="004856B8"/>
    <w:rsid w:val="00486614"/>
    <w:rsid w:val="00487304"/>
    <w:rsid w:val="00487E11"/>
    <w:rsid w:val="00487FB8"/>
    <w:rsid w:val="00490D2E"/>
    <w:rsid w:val="004910D9"/>
    <w:rsid w:val="004916DE"/>
    <w:rsid w:val="004919D4"/>
    <w:rsid w:val="00491FB2"/>
    <w:rsid w:val="0049212C"/>
    <w:rsid w:val="004942D5"/>
    <w:rsid w:val="004943C4"/>
    <w:rsid w:val="00495045"/>
    <w:rsid w:val="00495C39"/>
    <w:rsid w:val="00497E89"/>
    <w:rsid w:val="004A060A"/>
    <w:rsid w:val="004A0D5C"/>
    <w:rsid w:val="004A1224"/>
    <w:rsid w:val="004A247B"/>
    <w:rsid w:val="004A28C5"/>
    <w:rsid w:val="004A2BB1"/>
    <w:rsid w:val="004A660C"/>
    <w:rsid w:val="004A6B22"/>
    <w:rsid w:val="004A6B44"/>
    <w:rsid w:val="004A7DBD"/>
    <w:rsid w:val="004B08BB"/>
    <w:rsid w:val="004B0B19"/>
    <w:rsid w:val="004B2539"/>
    <w:rsid w:val="004B2603"/>
    <w:rsid w:val="004B27AE"/>
    <w:rsid w:val="004B2C20"/>
    <w:rsid w:val="004B2E73"/>
    <w:rsid w:val="004B35F0"/>
    <w:rsid w:val="004B37A7"/>
    <w:rsid w:val="004B4426"/>
    <w:rsid w:val="004B5F2A"/>
    <w:rsid w:val="004B74B2"/>
    <w:rsid w:val="004B796A"/>
    <w:rsid w:val="004C0CD0"/>
    <w:rsid w:val="004C1399"/>
    <w:rsid w:val="004C1C09"/>
    <w:rsid w:val="004C2A17"/>
    <w:rsid w:val="004C2B0E"/>
    <w:rsid w:val="004C5507"/>
    <w:rsid w:val="004C6877"/>
    <w:rsid w:val="004C7954"/>
    <w:rsid w:val="004D1B70"/>
    <w:rsid w:val="004D1E1A"/>
    <w:rsid w:val="004D1EFF"/>
    <w:rsid w:val="004D20AD"/>
    <w:rsid w:val="004D23A9"/>
    <w:rsid w:val="004D2683"/>
    <w:rsid w:val="004D26C3"/>
    <w:rsid w:val="004D29F5"/>
    <w:rsid w:val="004D2F90"/>
    <w:rsid w:val="004D34B2"/>
    <w:rsid w:val="004D39F1"/>
    <w:rsid w:val="004D419B"/>
    <w:rsid w:val="004D7591"/>
    <w:rsid w:val="004D7804"/>
    <w:rsid w:val="004D7AFE"/>
    <w:rsid w:val="004E0308"/>
    <w:rsid w:val="004E2825"/>
    <w:rsid w:val="004E3079"/>
    <w:rsid w:val="004E3276"/>
    <w:rsid w:val="004E44BD"/>
    <w:rsid w:val="004E518B"/>
    <w:rsid w:val="004E62E4"/>
    <w:rsid w:val="004E74EB"/>
    <w:rsid w:val="004F0669"/>
    <w:rsid w:val="004F0E90"/>
    <w:rsid w:val="004F0F5B"/>
    <w:rsid w:val="004F1DA3"/>
    <w:rsid w:val="004F22B8"/>
    <w:rsid w:val="004F2437"/>
    <w:rsid w:val="004F4624"/>
    <w:rsid w:val="004F5573"/>
    <w:rsid w:val="004F5D8B"/>
    <w:rsid w:val="004F634F"/>
    <w:rsid w:val="004F7556"/>
    <w:rsid w:val="004F7A4C"/>
    <w:rsid w:val="00500700"/>
    <w:rsid w:val="0050141B"/>
    <w:rsid w:val="00502638"/>
    <w:rsid w:val="00502899"/>
    <w:rsid w:val="005029BC"/>
    <w:rsid w:val="0050346A"/>
    <w:rsid w:val="005034C7"/>
    <w:rsid w:val="00503739"/>
    <w:rsid w:val="005037C4"/>
    <w:rsid w:val="005048E3"/>
    <w:rsid w:val="00505A77"/>
    <w:rsid w:val="00505CB3"/>
    <w:rsid w:val="00506408"/>
    <w:rsid w:val="005067C7"/>
    <w:rsid w:val="00506E51"/>
    <w:rsid w:val="00506EB0"/>
    <w:rsid w:val="00507400"/>
    <w:rsid w:val="00507876"/>
    <w:rsid w:val="0050798C"/>
    <w:rsid w:val="00507D84"/>
    <w:rsid w:val="00511DF2"/>
    <w:rsid w:val="0051207B"/>
    <w:rsid w:val="005121AE"/>
    <w:rsid w:val="00513293"/>
    <w:rsid w:val="005136CD"/>
    <w:rsid w:val="0051401E"/>
    <w:rsid w:val="00514B1A"/>
    <w:rsid w:val="00514F84"/>
    <w:rsid w:val="005207F8"/>
    <w:rsid w:val="00521860"/>
    <w:rsid w:val="005222CC"/>
    <w:rsid w:val="00522622"/>
    <w:rsid w:val="00523518"/>
    <w:rsid w:val="00523CC1"/>
    <w:rsid w:val="005250EE"/>
    <w:rsid w:val="005258CE"/>
    <w:rsid w:val="00525AB1"/>
    <w:rsid w:val="00526B01"/>
    <w:rsid w:val="00527492"/>
    <w:rsid w:val="005277F5"/>
    <w:rsid w:val="005310C1"/>
    <w:rsid w:val="00532994"/>
    <w:rsid w:val="005329BE"/>
    <w:rsid w:val="00533515"/>
    <w:rsid w:val="00533D7B"/>
    <w:rsid w:val="005342DE"/>
    <w:rsid w:val="00534AC0"/>
    <w:rsid w:val="005352CC"/>
    <w:rsid w:val="00535557"/>
    <w:rsid w:val="00535C4F"/>
    <w:rsid w:val="0053606A"/>
    <w:rsid w:val="005369C0"/>
    <w:rsid w:val="00537858"/>
    <w:rsid w:val="00537B1F"/>
    <w:rsid w:val="00540D82"/>
    <w:rsid w:val="00540E99"/>
    <w:rsid w:val="00540EEB"/>
    <w:rsid w:val="00541254"/>
    <w:rsid w:val="00541579"/>
    <w:rsid w:val="005421CC"/>
    <w:rsid w:val="005423DF"/>
    <w:rsid w:val="00542BA5"/>
    <w:rsid w:val="00544B8B"/>
    <w:rsid w:val="005459ED"/>
    <w:rsid w:val="0054629D"/>
    <w:rsid w:val="00546797"/>
    <w:rsid w:val="00546FA2"/>
    <w:rsid w:val="00546FBF"/>
    <w:rsid w:val="00547090"/>
    <w:rsid w:val="00547CD4"/>
    <w:rsid w:val="00547EB8"/>
    <w:rsid w:val="00552FC2"/>
    <w:rsid w:val="00553DA2"/>
    <w:rsid w:val="005543FB"/>
    <w:rsid w:val="005546AE"/>
    <w:rsid w:val="00554B1A"/>
    <w:rsid w:val="00555623"/>
    <w:rsid w:val="005562DC"/>
    <w:rsid w:val="00556324"/>
    <w:rsid w:val="00556725"/>
    <w:rsid w:val="00556C4F"/>
    <w:rsid w:val="00557A85"/>
    <w:rsid w:val="005606B5"/>
    <w:rsid w:val="005622CF"/>
    <w:rsid w:val="00562BAD"/>
    <w:rsid w:val="0056365E"/>
    <w:rsid w:val="005656CE"/>
    <w:rsid w:val="00565B98"/>
    <w:rsid w:val="00565C77"/>
    <w:rsid w:val="00566181"/>
    <w:rsid w:val="005668EF"/>
    <w:rsid w:val="00566C45"/>
    <w:rsid w:val="005708BD"/>
    <w:rsid w:val="00571B77"/>
    <w:rsid w:val="00572E61"/>
    <w:rsid w:val="005736DA"/>
    <w:rsid w:val="005737F3"/>
    <w:rsid w:val="00574906"/>
    <w:rsid w:val="00574D8D"/>
    <w:rsid w:val="00574E9E"/>
    <w:rsid w:val="005752BC"/>
    <w:rsid w:val="0057554B"/>
    <w:rsid w:val="0057622F"/>
    <w:rsid w:val="00577817"/>
    <w:rsid w:val="00577977"/>
    <w:rsid w:val="00580854"/>
    <w:rsid w:val="00581017"/>
    <w:rsid w:val="00581719"/>
    <w:rsid w:val="00581D30"/>
    <w:rsid w:val="00583067"/>
    <w:rsid w:val="00584020"/>
    <w:rsid w:val="00584245"/>
    <w:rsid w:val="00584C2D"/>
    <w:rsid w:val="00584D80"/>
    <w:rsid w:val="005855BB"/>
    <w:rsid w:val="00586535"/>
    <w:rsid w:val="00586BB5"/>
    <w:rsid w:val="00586DFB"/>
    <w:rsid w:val="0058701A"/>
    <w:rsid w:val="00587357"/>
    <w:rsid w:val="00587F2B"/>
    <w:rsid w:val="005905BC"/>
    <w:rsid w:val="00590B75"/>
    <w:rsid w:val="00590DAA"/>
    <w:rsid w:val="005914E9"/>
    <w:rsid w:val="0059205C"/>
    <w:rsid w:val="00592349"/>
    <w:rsid w:val="00593F5D"/>
    <w:rsid w:val="00595C73"/>
    <w:rsid w:val="0059682B"/>
    <w:rsid w:val="00596F3F"/>
    <w:rsid w:val="00597EEF"/>
    <w:rsid w:val="005A1A77"/>
    <w:rsid w:val="005A1C4E"/>
    <w:rsid w:val="005A2F2F"/>
    <w:rsid w:val="005A3678"/>
    <w:rsid w:val="005A498A"/>
    <w:rsid w:val="005A4A1A"/>
    <w:rsid w:val="005A57B4"/>
    <w:rsid w:val="005A61D3"/>
    <w:rsid w:val="005A64FF"/>
    <w:rsid w:val="005A7E70"/>
    <w:rsid w:val="005B1A53"/>
    <w:rsid w:val="005B40E8"/>
    <w:rsid w:val="005B6DAA"/>
    <w:rsid w:val="005B7314"/>
    <w:rsid w:val="005B7D8B"/>
    <w:rsid w:val="005C03F6"/>
    <w:rsid w:val="005C0475"/>
    <w:rsid w:val="005C153B"/>
    <w:rsid w:val="005C1569"/>
    <w:rsid w:val="005C4045"/>
    <w:rsid w:val="005C4604"/>
    <w:rsid w:val="005C4BEE"/>
    <w:rsid w:val="005C6366"/>
    <w:rsid w:val="005C63A0"/>
    <w:rsid w:val="005C6E74"/>
    <w:rsid w:val="005C781C"/>
    <w:rsid w:val="005D2FC8"/>
    <w:rsid w:val="005D330E"/>
    <w:rsid w:val="005D4434"/>
    <w:rsid w:val="005D7A35"/>
    <w:rsid w:val="005E034F"/>
    <w:rsid w:val="005E05B0"/>
    <w:rsid w:val="005E09A7"/>
    <w:rsid w:val="005E18E7"/>
    <w:rsid w:val="005E198B"/>
    <w:rsid w:val="005E19D9"/>
    <w:rsid w:val="005E1D35"/>
    <w:rsid w:val="005E2897"/>
    <w:rsid w:val="005E2A31"/>
    <w:rsid w:val="005E3D2F"/>
    <w:rsid w:val="005E442F"/>
    <w:rsid w:val="005E4EEF"/>
    <w:rsid w:val="005E5625"/>
    <w:rsid w:val="005E5820"/>
    <w:rsid w:val="005E61D8"/>
    <w:rsid w:val="005E7891"/>
    <w:rsid w:val="005E7E2C"/>
    <w:rsid w:val="005F0069"/>
    <w:rsid w:val="005F041B"/>
    <w:rsid w:val="005F1ADE"/>
    <w:rsid w:val="005F1AE5"/>
    <w:rsid w:val="005F1DE5"/>
    <w:rsid w:val="005F29CD"/>
    <w:rsid w:val="005F2C5E"/>
    <w:rsid w:val="005F3175"/>
    <w:rsid w:val="005F3436"/>
    <w:rsid w:val="005F41D8"/>
    <w:rsid w:val="005F4739"/>
    <w:rsid w:val="005F48A7"/>
    <w:rsid w:val="005F642B"/>
    <w:rsid w:val="005F67FC"/>
    <w:rsid w:val="005F745C"/>
    <w:rsid w:val="005F74BE"/>
    <w:rsid w:val="00600F1E"/>
    <w:rsid w:val="00601630"/>
    <w:rsid w:val="006026E1"/>
    <w:rsid w:val="006033EF"/>
    <w:rsid w:val="00603A90"/>
    <w:rsid w:val="00605163"/>
    <w:rsid w:val="006065BF"/>
    <w:rsid w:val="0060662B"/>
    <w:rsid w:val="00606786"/>
    <w:rsid w:val="006070EA"/>
    <w:rsid w:val="00607ABE"/>
    <w:rsid w:val="00607AD1"/>
    <w:rsid w:val="00607F53"/>
    <w:rsid w:val="006103D0"/>
    <w:rsid w:val="0061103A"/>
    <w:rsid w:val="00611EAE"/>
    <w:rsid w:val="0061242F"/>
    <w:rsid w:val="0061364A"/>
    <w:rsid w:val="00613B40"/>
    <w:rsid w:val="00613BEA"/>
    <w:rsid w:val="0061402C"/>
    <w:rsid w:val="00614BF4"/>
    <w:rsid w:val="0061595F"/>
    <w:rsid w:val="00615A79"/>
    <w:rsid w:val="00616179"/>
    <w:rsid w:val="0061675B"/>
    <w:rsid w:val="00617374"/>
    <w:rsid w:val="0062052B"/>
    <w:rsid w:val="0062162E"/>
    <w:rsid w:val="00621A86"/>
    <w:rsid w:val="00623401"/>
    <w:rsid w:val="0062363E"/>
    <w:rsid w:val="00625C40"/>
    <w:rsid w:val="00627E7C"/>
    <w:rsid w:val="00631369"/>
    <w:rsid w:val="00631C34"/>
    <w:rsid w:val="00632481"/>
    <w:rsid w:val="0063262D"/>
    <w:rsid w:val="0063268B"/>
    <w:rsid w:val="00632A6D"/>
    <w:rsid w:val="00632C73"/>
    <w:rsid w:val="00633129"/>
    <w:rsid w:val="00634DE5"/>
    <w:rsid w:val="00635B0C"/>
    <w:rsid w:val="006378CA"/>
    <w:rsid w:val="00637BBD"/>
    <w:rsid w:val="00640D17"/>
    <w:rsid w:val="006413C5"/>
    <w:rsid w:val="00641496"/>
    <w:rsid w:val="006419A0"/>
    <w:rsid w:val="00641A99"/>
    <w:rsid w:val="00641C46"/>
    <w:rsid w:val="00642118"/>
    <w:rsid w:val="00642768"/>
    <w:rsid w:val="00644C60"/>
    <w:rsid w:val="00645147"/>
    <w:rsid w:val="00645E69"/>
    <w:rsid w:val="00646130"/>
    <w:rsid w:val="00646ACE"/>
    <w:rsid w:val="006474C0"/>
    <w:rsid w:val="00647927"/>
    <w:rsid w:val="00652B9B"/>
    <w:rsid w:val="00653743"/>
    <w:rsid w:val="00653DD9"/>
    <w:rsid w:val="00654737"/>
    <w:rsid w:val="00654E6A"/>
    <w:rsid w:val="006551FC"/>
    <w:rsid w:val="006575F3"/>
    <w:rsid w:val="006578F5"/>
    <w:rsid w:val="00660871"/>
    <w:rsid w:val="00662809"/>
    <w:rsid w:val="00662C98"/>
    <w:rsid w:val="00664AD0"/>
    <w:rsid w:val="00664E08"/>
    <w:rsid w:val="006650D0"/>
    <w:rsid w:val="006654E9"/>
    <w:rsid w:val="00666874"/>
    <w:rsid w:val="00667603"/>
    <w:rsid w:val="0066774D"/>
    <w:rsid w:val="00667F42"/>
    <w:rsid w:val="006702F3"/>
    <w:rsid w:val="00671284"/>
    <w:rsid w:val="00671D31"/>
    <w:rsid w:val="006727FC"/>
    <w:rsid w:val="00673906"/>
    <w:rsid w:val="00674FC8"/>
    <w:rsid w:val="00675EF7"/>
    <w:rsid w:val="00676E5B"/>
    <w:rsid w:val="00677D6B"/>
    <w:rsid w:val="00680795"/>
    <w:rsid w:val="00681D75"/>
    <w:rsid w:val="00682713"/>
    <w:rsid w:val="00683451"/>
    <w:rsid w:val="00683579"/>
    <w:rsid w:val="006837FB"/>
    <w:rsid w:val="006853B4"/>
    <w:rsid w:val="006854CE"/>
    <w:rsid w:val="00686B47"/>
    <w:rsid w:val="00686B87"/>
    <w:rsid w:val="0068790B"/>
    <w:rsid w:val="006918FA"/>
    <w:rsid w:val="00691B0A"/>
    <w:rsid w:val="00691C64"/>
    <w:rsid w:val="00691E49"/>
    <w:rsid w:val="00693008"/>
    <w:rsid w:val="006941DD"/>
    <w:rsid w:val="0069466B"/>
    <w:rsid w:val="00694D03"/>
    <w:rsid w:val="00695483"/>
    <w:rsid w:val="0069692D"/>
    <w:rsid w:val="00696B84"/>
    <w:rsid w:val="00696CB7"/>
    <w:rsid w:val="00697240"/>
    <w:rsid w:val="00697297"/>
    <w:rsid w:val="00697D42"/>
    <w:rsid w:val="006A257C"/>
    <w:rsid w:val="006A2615"/>
    <w:rsid w:val="006A2FDD"/>
    <w:rsid w:val="006A4158"/>
    <w:rsid w:val="006A4E15"/>
    <w:rsid w:val="006A5866"/>
    <w:rsid w:val="006A641E"/>
    <w:rsid w:val="006A643C"/>
    <w:rsid w:val="006A735F"/>
    <w:rsid w:val="006B062E"/>
    <w:rsid w:val="006B0F54"/>
    <w:rsid w:val="006B415B"/>
    <w:rsid w:val="006B4C95"/>
    <w:rsid w:val="006B4CBA"/>
    <w:rsid w:val="006B5E5A"/>
    <w:rsid w:val="006C0199"/>
    <w:rsid w:val="006C2E46"/>
    <w:rsid w:val="006C3938"/>
    <w:rsid w:val="006C4E45"/>
    <w:rsid w:val="006C5EE1"/>
    <w:rsid w:val="006C61B1"/>
    <w:rsid w:val="006C7898"/>
    <w:rsid w:val="006D0669"/>
    <w:rsid w:val="006D0E5B"/>
    <w:rsid w:val="006D1134"/>
    <w:rsid w:val="006D1D4E"/>
    <w:rsid w:val="006D3333"/>
    <w:rsid w:val="006D3771"/>
    <w:rsid w:val="006D440A"/>
    <w:rsid w:val="006D51EA"/>
    <w:rsid w:val="006D592F"/>
    <w:rsid w:val="006D62BE"/>
    <w:rsid w:val="006D7B71"/>
    <w:rsid w:val="006E0006"/>
    <w:rsid w:val="006E0DF6"/>
    <w:rsid w:val="006E0F43"/>
    <w:rsid w:val="006E1BDE"/>
    <w:rsid w:val="006E2A5F"/>
    <w:rsid w:val="006E336C"/>
    <w:rsid w:val="006E35A9"/>
    <w:rsid w:val="006E3B9E"/>
    <w:rsid w:val="006E4A27"/>
    <w:rsid w:val="006E5828"/>
    <w:rsid w:val="006E6BB9"/>
    <w:rsid w:val="006E715C"/>
    <w:rsid w:val="006E722B"/>
    <w:rsid w:val="006E784F"/>
    <w:rsid w:val="006F0B4F"/>
    <w:rsid w:val="006F0D82"/>
    <w:rsid w:val="006F0E97"/>
    <w:rsid w:val="006F215A"/>
    <w:rsid w:val="006F2DF3"/>
    <w:rsid w:val="006F2DF9"/>
    <w:rsid w:val="006F3865"/>
    <w:rsid w:val="006F3C6F"/>
    <w:rsid w:val="006F41C6"/>
    <w:rsid w:val="006F5DD9"/>
    <w:rsid w:val="006F6FA2"/>
    <w:rsid w:val="006F710F"/>
    <w:rsid w:val="007001D0"/>
    <w:rsid w:val="00700CE3"/>
    <w:rsid w:val="00700DC0"/>
    <w:rsid w:val="00701498"/>
    <w:rsid w:val="007016C1"/>
    <w:rsid w:val="00701E70"/>
    <w:rsid w:val="00703B73"/>
    <w:rsid w:val="00704F47"/>
    <w:rsid w:val="00705776"/>
    <w:rsid w:val="00706350"/>
    <w:rsid w:val="007072C2"/>
    <w:rsid w:val="0070746B"/>
    <w:rsid w:val="007075CA"/>
    <w:rsid w:val="0071123E"/>
    <w:rsid w:val="0071151E"/>
    <w:rsid w:val="007118AC"/>
    <w:rsid w:val="00713EC8"/>
    <w:rsid w:val="0071482B"/>
    <w:rsid w:val="00714866"/>
    <w:rsid w:val="00714C8F"/>
    <w:rsid w:val="00715A32"/>
    <w:rsid w:val="00716F57"/>
    <w:rsid w:val="00717A74"/>
    <w:rsid w:val="00721409"/>
    <w:rsid w:val="00721CE0"/>
    <w:rsid w:val="007221A2"/>
    <w:rsid w:val="00722935"/>
    <w:rsid w:val="00722ADB"/>
    <w:rsid w:val="00722EF9"/>
    <w:rsid w:val="0072464D"/>
    <w:rsid w:val="007264BB"/>
    <w:rsid w:val="00727815"/>
    <w:rsid w:val="00730403"/>
    <w:rsid w:val="00730E31"/>
    <w:rsid w:val="00731675"/>
    <w:rsid w:val="00731C47"/>
    <w:rsid w:val="00731EC9"/>
    <w:rsid w:val="00734E06"/>
    <w:rsid w:val="00734FB5"/>
    <w:rsid w:val="007350BC"/>
    <w:rsid w:val="007351B0"/>
    <w:rsid w:val="00736C95"/>
    <w:rsid w:val="00736E9D"/>
    <w:rsid w:val="007373FA"/>
    <w:rsid w:val="0073757B"/>
    <w:rsid w:val="00737B2A"/>
    <w:rsid w:val="00737D65"/>
    <w:rsid w:val="00737DB3"/>
    <w:rsid w:val="0074063F"/>
    <w:rsid w:val="00740EF1"/>
    <w:rsid w:val="007440D2"/>
    <w:rsid w:val="007444E7"/>
    <w:rsid w:val="00744DBD"/>
    <w:rsid w:val="00745398"/>
    <w:rsid w:val="00745C4D"/>
    <w:rsid w:val="00745E84"/>
    <w:rsid w:val="0074610F"/>
    <w:rsid w:val="0074791F"/>
    <w:rsid w:val="00751F56"/>
    <w:rsid w:val="00753823"/>
    <w:rsid w:val="00754870"/>
    <w:rsid w:val="007553C3"/>
    <w:rsid w:val="007561F0"/>
    <w:rsid w:val="00756632"/>
    <w:rsid w:val="0075754A"/>
    <w:rsid w:val="00757BCE"/>
    <w:rsid w:val="00760554"/>
    <w:rsid w:val="0076083D"/>
    <w:rsid w:val="00761DC2"/>
    <w:rsid w:val="00762B1E"/>
    <w:rsid w:val="00763442"/>
    <w:rsid w:val="007645C5"/>
    <w:rsid w:val="00764B94"/>
    <w:rsid w:val="00765405"/>
    <w:rsid w:val="00766434"/>
    <w:rsid w:val="007667B9"/>
    <w:rsid w:val="00766B96"/>
    <w:rsid w:val="00766BA9"/>
    <w:rsid w:val="00766EA7"/>
    <w:rsid w:val="00770E10"/>
    <w:rsid w:val="00771061"/>
    <w:rsid w:val="00771E5C"/>
    <w:rsid w:val="00772107"/>
    <w:rsid w:val="00774A83"/>
    <w:rsid w:val="00774D07"/>
    <w:rsid w:val="00775146"/>
    <w:rsid w:val="0077566D"/>
    <w:rsid w:val="00776097"/>
    <w:rsid w:val="007766A5"/>
    <w:rsid w:val="00776E39"/>
    <w:rsid w:val="0078016D"/>
    <w:rsid w:val="00781A69"/>
    <w:rsid w:val="00782098"/>
    <w:rsid w:val="0078315B"/>
    <w:rsid w:val="007833E3"/>
    <w:rsid w:val="00783F17"/>
    <w:rsid w:val="007848A3"/>
    <w:rsid w:val="007861F7"/>
    <w:rsid w:val="00786231"/>
    <w:rsid w:val="00787CF8"/>
    <w:rsid w:val="007900CB"/>
    <w:rsid w:val="007905B2"/>
    <w:rsid w:val="00790E9B"/>
    <w:rsid w:val="007917E7"/>
    <w:rsid w:val="007927C6"/>
    <w:rsid w:val="0079328A"/>
    <w:rsid w:val="0079348E"/>
    <w:rsid w:val="00793EEB"/>
    <w:rsid w:val="0079405B"/>
    <w:rsid w:val="00794288"/>
    <w:rsid w:val="00794C34"/>
    <w:rsid w:val="00795F03"/>
    <w:rsid w:val="00795FDF"/>
    <w:rsid w:val="0079629D"/>
    <w:rsid w:val="0079705F"/>
    <w:rsid w:val="00797E6F"/>
    <w:rsid w:val="007A05F4"/>
    <w:rsid w:val="007A0BB9"/>
    <w:rsid w:val="007A1D73"/>
    <w:rsid w:val="007A4023"/>
    <w:rsid w:val="007A40F4"/>
    <w:rsid w:val="007A5445"/>
    <w:rsid w:val="007A5A94"/>
    <w:rsid w:val="007A5E11"/>
    <w:rsid w:val="007A6118"/>
    <w:rsid w:val="007A6468"/>
    <w:rsid w:val="007A6C47"/>
    <w:rsid w:val="007B0F56"/>
    <w:rsid w:val="007B1577"/>
    <w:rsid w:val="007B19F6"/>
    <w:rsid w:val="007B2608"/>
    <w:rsid w:val="007B31F7"/>
    <w:rsid w:val="007B347F"/>
    <w:rsid w:val="007B37AE"/>
    <w:rsid w:val="007B4A7E"/>
    <w:rsid w:val="007B4AE1"/>
    <w:rsid w:val="007B5A98"/>
    <w:rsid w:val="007B5E30"/>
    <w:rsid w:val="007C0B2E"/>
    <w:rsid w:val="007C133F"/>
    <w:rsid w:val="007C13F8"/>
    <w:rsid w:val="007C16CE"/>
    <w:rsid w:val="007C2270"/>
    <w:rsid w:val="007C27D4"/>
    <w:rsid w:val="007C3359"/>
    <w:rsid w:val="007C3E53"/>
    <w:rsid w:val="007C4CCE"/>
    <w:rsid w:val="007C570A"/>
    <w:rsid w:val="007C7616"/>
    <w:rsid w:val="007C79B5"/>
    <w:rsid w:val="007C7D49"/>
    <w:rsid w:val="007D0EEB"/>
    <w:rsid w:val="007D19FE"/>
    <w:rsid w:val="007D1D99"/>
    <w:rsid w:val="007D427C"/>
    <w:rsid w:val="007D4D2A"/>
    <w:rsid w:val="007D6191"/>
    <w:rsid w:val="007D763D"/>
    <w:rsid w:val="007E00B1"/>
    <w:rsid w:val="007E0749"/>
    <w:rsid w:val="007E1501"/>
    <w:rsid w:val="007E2F87"/>
    <w:rsid w:val="007E334F"/>
    <w:rsid w:val="007E57B5"/>
    <w:rsid w:val="007E5B34"/>
    <w:rsid w:val="007E5D39"/>
    <w:rsid w:val="007E6201"/>
    <w:rsid w:val="007E66C8"/>
    <w:rsid w:val="007E67BD"/>
    <w:rsid w:val="007E6BBD"/>
    <w:rsid w:val="007E7F80"/>
    <w:rsid w:val="007F06E1"/>
    <w:rsid w:val="007F088B"/>
    <w:rsid w:val="007F0C09"/>
    <w:rsid w:val="007F2687"/>
    <w:rsid w:val="007F3AC3"/>
    <w:rsid w:val="007F3E75"/>
    <w:rsid w:val="007F517F"/>
    <w:rsid w:val="007F6391"/>
    <w:rsid w:val="007F6FB8"/>
    <w:rsid w:val="007F7481"/>
    <w:rsid w:val="007F76FF"/>
    <w:rsid w:val="00801491"/>
    <w:rsid w:val="008015A7"/>
    <w:rsid w:val="00802201"/>
    <w:rsid w:val="00803099"/>
    <w:rsid w:val="008031F4"/>
    <w:rsid w:val="00803B03"/>
    <w:rsid w:val="00804214"/>
    <w:rsid w:val="0080489A"/>
    <w:rsid w:val="0080562C"/>
    <w:rsid w:val="008056CA"/>
    <w:rsid w:val="00805906"/>
    <w:rsid w:val="00807658"/>
    <w:rsid w:val="008102EE"/>
    <w:rsid w:val="0081066B"/>
    <w:rsid w:val="00810809"/>
    <w:rsid w:val="00810D40"/>
    <w:rsid w:val="00812350"/>
    <w:rsid w:val="00812369"/>
    <w:rsid w:val="0081268B"/>
    <w:rsid w:val="00812741"/>
    <w:rsid w:val="008128E3"/>
    <w:rsid w:val="00813DAB"/>
    <w:rsid w:val="0081476B"/>
    <w:rsid w:val="00815871"/>
    <w:rsid w:val="00816E4A"/>
    <w:rsid w:val="00821789"/>
    <w:rsid w:val="0082180B"/>
    <w:rsid w:val="0082254F"/>
    <w:rsid w:val="008228BC"/>
    <w:rsid w:val="00824637"/>
    <w:rsid w:val="00825D4F"/>
    <w:rsid w:val="00825E7C"/>
    <w:rsid w:val="00826887"/>
    <w:rsid w:val="00830017"/>
    <w:rsid w:val="00830787"/>
    <w:rsid w:val="00830DC9"/>
    <w:rsid w:val="00830E13"/>
    <w:rsid w:val="00832B7A"/>
    <w:rsid w:val="00833A6A"/>
    <w:rsid w:val="00833E2F"/>
    <w:rsid w:val="0083594F"/>
    <w:rsid w:val="008368F3"/>
    <w:rsid w:val="008400A8"/>
    <w:rsid w:val="0084050E"/>
    <w:rsid w:val="00840976"/>
    <w:rsid w:val="00840A68"/>
    <w:rsid w:val="0084156A"/>
    <w:rsid w:val="008427B1"/>
    <w:rsid w:val="008439CC"/>
    <w:rsid w:val="008443CD"/>
    <w:rsid w:val="008449FF"/>
    <w:rsid w:val="00844B9D"/>
    <w:rsid w:val="0084601D"/>
    <w:rsid w:val="00846C73"/>
    <w:rsid w:val="00847057"/>
    <w:rsid w:val="00847303"/>
    <w:rsid w:val="0085161D"/>
    <w:rsid w:val="00853EAF"/>
    <w:rsid w:val="00854676"/>
    <w:rsid w:val="00855597"/>
    <w:rsid w:val="00855780"/>
    <w:rsid w:val="00856178"/>
    <w:rsid w:val="00856C69"/>
    <w:rsid w:val="008570AB"/>
    <w:rsid w:val="00861094"/>
    <w:rsid w:val="008613AF"/>
    <w:rsid w:val="00862545"/>
    <w:rsid w:val="008638C0"/>
    <w:rsid w:val="00863E43"/>
    <w:rsid w:val="00864B39"/>
    <w:rsid w:val="00865A76"/>
    <w:rsid w:val="008663D7"/>
    <w:rsid w:val="0086730B"/>
    <w:rsid w:val="008679E6"/>
    <w:rsid w:val="00867A0F"/>
    <w:rsid w:val="008704EB"/>
    <w:rsid w:val="00871811"/>
    <w:rsid w:val="00872E1F"/>
    <w:rsid w:val="00873942"/>
    <w:rsid w:val="00873B8D"/>
    <w:rsid w:val="0087580E"/>
    <w:rsid w:val="00875E6B"/>
    <w:rsid w:val="00880558"/>
    <w:rsid w:val="00882B95"/>
    <w:rsid w:val="00885B90"/>
    <w:rsid w:val="00885DA2"/>
    <w:rsid w:val="00885E17"/>
    <w:rsid w:val="00886342"/>
    <w:rsid w:val="008875DE"/>
    <w:rsid w:val="00887CB1"/>
    <w:rsid w:val="0089092F"/>
    <w:rsid w:val="00890A9B"/>
    <w:rsid w:val="008922E4"/>
    <w:rsid w:val="0089302D"/>
    <w:rsid w:val="00893594"/>
    <w:rsid w:val="00893B34"/>
    <w:rsid w:val="008947EA"/>
    <w:rsid w:val="00894A27"/>
    <w:rsid w:val="008960E6"/>
    <w:rsid w:val="00896FF4"/>
    <w:rsid w:val="00897DA0"/>
    <w:rsid w:val="008A02E1"/>
    <w:rsid w:val="008A0E85"/>
    <w:rsid w:val="008A15CB"/>
    <w:rsid w:val="008A1DDE"/>
    <w:rsid w:val="008A20C9"/>
    <w:rsid w:val="008A2D14"/>
    <w:rsid w:val="008A371D"/>
    <w:rsid w:val="008A5443"/>
    <w:rsid w:val="008A5466"/>
    <w:rsid w:val="008A55A8"/>
    <w:rsid w:val="008A5F01"/>
    <w:rsid w:val="008A6B66"/>
    <w:rsid w:val="008A7078"/>
    <w:rsid w:val="008A7559"/>
    <w:rsid w:val="008A7921"/>
    <w:rsid w:val="008A7D27"/>
    <w:rsid w:val="008B0969"/>
    <w:rsid w:val="008B11D0"/>
    <w:rsid w:val="008B217F"/>
    <w:rsid w:val="008B32B6"/>
    <w:rsid w:val="008B3625"/>
    <w:rsid w:val="008B3980"/>
    <w:rsid w:val="008B4464"/>
    <w:rsid w:val="008B4BF2"/>
    <w:rsid w:val="008B56E5"/>
    <w:rsid w:val="008B5AFD"/>
    <w:rsid w:val="008B5B3D"/>
    <w:rsid w:val="008B664C"/>
    <w:rsid w:val="008B6650"/>
    <w:rsid w:val="008B729C"/>
    <w:rsid w:val="008B7A4E"/>
    <w:rsid w:val="008B7AF7"/>
    <w:rsid w:val="008C1353"/>
    <w:rsid w:val="008C1506"/>
    <w:rsid w:val="008C1E3D"/>
    <w:rsid w:val="008C2A8A"/>
    <w:rsid w:val="008C2D30"/>
    <w:rsid w:val="008C33F2"/>
    <w:rsid w:val="008C346A"/>
    <w:rsid w:val="008C3F6C"/>
    <w:rsid w:val="008C44B6"/>
    <w:rsid w:val="008C4734"/>
    <w:rsid w:val="008C4AA6"/>
    <w:rsid w:val="008C5C84"/>
    <w:rsid w:val="008C6C92"/>
    <w:rsid w:val="008C77F7"/>
    <w:rsid w:val="008D0AE4"/>
    <w:rsid w:val="008D16C5"/>
    <w:rsid w:val="008D1A96"/>
    <w:rsid w:val="008D1B0D"/>
    <w:rsid w:val="008D1E8F"/>
    <w:rsid w:val="008D2001"/>
    <w:rsid w:val="008D2A80"/>
    <w:rsid w:val="008D2F52"/>
    <w:rsid w:val="008D3E19"/>
    <w:rsid w:val="008D5335"/>
    <w:rsid w:val="008D57A4"/>
    <w:rsid w:val="008D6661"/>
    <w:rsid w:val="008D6B57"/>
    <w:rsid w:val="008D74C3"/>
    <w:rsid w:val="008D7DFC"/>
    <w:rsid w:val="008E00FD"/>
    <w:rsid w:val="008E07C6"/>
    <w:rsid w:val="008E0C5A"/>
    <w:rsid w:val="008E1B13"/>
    <w:rsid w:val="008E1F87"/>
    <w:rsid w:val="008E33EA"/>
    <w:rsid w:val="008E354A"/>
    <w:rsid w:val="008E3C83"/>
    <w:rsid w:val="008E4180"/>
    <w:rsid w:val="008E5F84"/>
    <w:rsid w:val="008E63D2"/>
    <w:rsid w:val="008E6A1B"/>
    <w:rsid w:val="008E6FF6"/>
    <w:rsid w:val="008E72E5"/>
    <w:rsid w:val="008E73F9"/>
    <w:rsid w:val="008E79F9"/>
    <w:rsid w:val="008F0EA9"/>
    <w:rsid w:val="008F1011"/>
    <w:rsid w:val="008F13CD"/>
    <w:rsid w:val="008F1B1E"/>
    <w:rsid w:val="008F2B7E"/>
    <w:rsid w:val="008F411D"/>
    <w:rsid w:val="008F440E"/>
    <w:rsid w:val="008F4D31"/>
    <w:rsid w:val="008F53F5"/>
    <w:rsid w:val="008F5FF0"/>
    <w:rsid w:val="008F61F2"/>
    <w:rsid w:val="008F63BC"/>
    <w:rsid w:val="008F6485"/>
    <w:rsid w:val="008F693F"/>
    <w:rsid w:val="008F710C"/>
    <w:rsid w:val="008F7B17"/>
    <w:rsid w:val="008F7F78"/>
    <w:rsid w:val="00900316"/>
    <w:rsid w:val="00900461"/>
    <w:rsid w:val="0090122A"/>
    <w:rsid w:val="0090394F"/>
    <w:rsid w:val="0090444A"/>
    <w:rsid w:val="009054D3"/>
    <w:rsid w:val="009073FA"/>
    <w:rsid w:val="00907B9D"/>
    <w:rsid w:val="00910CFA"/>
    <w:rsid w:val="009125D2"/>
    <w:rsid w:val="00915E3F"/>
    <w:rsid w:val="00916744"/>
    <w:rsid w:val="009208A3"/>
    <w:rsid w:val="00920B3C"/>
    <w:rsid w:val="009221AD"/>
    <w:rsid w:val="0092273F"/>
    <w:rsid w:val="009238F1"/>
    <w:rsid w:val="00923F02"/>
    <w:rsid w:val="009249B4"/>
    <w:rsid w:val="00925F57"/>
    <w:rsid w:val="00926387"/>
    <w:rsid w:val="00926716"/>
    <w:rsid w:val="00926D62"/>
    <w:rsid w:val="009270DB"/>
    <w:rsid w:val="009303A2"/>
    <w:rsid w:val="009306DA"/>
    <w:rsid w:val="009309B5"/>
    <w:rsid w:val="00930B30"/>
    <w:rsid w:val="009323DF"/>
    <w:rsid w:val="00932AFC"/>
    <w:rsid w:val="00932D00"/>
    <w:rsid w:val="0093491F"/>
    <w:rsid w:val="00935901"/>
    <w:rsid w:val="00935C11"/>
    <w:rsid w:val="00935E14"/>
    <w:rsid w:val="00936DBA"/>
    <w:rsid w:val="00940B86"/>
    <w:rsid w:val="00940EC7"/>
    <w:rsid w:val="00942454"/>
    <w:rsid w:val="00943D26"/>
    <w:rsid w:val="00943F89"/>
    <w:rsid w:val="00943F9E"/>
    <w:rsid w:val="009442CE"/>
    <w:rsid w:val="0094480E"/>
    <w:rsid w:val="00947A13"/>
    <w:rsid w:val="00947B5B"/>
    <w:rsid w:val="00947C49"/>
    <w:rsid w:val="00951BD3"/>
    <w:rsid w:val="009524D4"/>
    <w:rsid w:val="00952B8F"/>
    <w:rsid w:val="00954B35"/>
    <w:rsid w:val="009559F2"/>
    <w:rsid w:val="00955EDF"/>
    <w:rsid w:val="009571BF"/>
    <w:rsid w:val="00957310"/>
    <w:rsid w:val="0095750D"/>
    <w:rsid w:val="0096289C"/>
    <w:rsid w:val="00962B8F"/>
    <w:rsid w:val="00964464"/>
    <w:rsid w:val="00965665"/>
    <w:rsid w:val="0096632E"/>
    <w:rsid w:val="00966D4F"/>
    <w:rsid w:val="009702F1"/>
    <w:rsid w:val="0097102C"/>
    <w:rsid w:val="00971A21"/>
    <w:rsid w:val="00971F52"/>
    <w:rsid w:val="0097202E"/>
    <w:rsid w:val="00972E0B"/>
    <w:rsid w:val="009738C7"/>
    <w:rsid w:val="00973DC5"/>
    <w:rsid w:val="0097462D"/>
    <w:rsid w:val="009746E5"/>
    <w:rsid w:val="009748F0"/>
    <w:rsid w:val="00974A7C"/>
    <w:rsid w:val="0097587B"/>
    <w:rsid w:val="009766FE"/>
    <w:rsid w:val="00976EE8"/>
    <w:rsid w:val="00977715"/>
    <w:rsid w:val="00980345"/>
    <w:rsid w:val="00980439"/>
    <w:rsid w:val="0098057E"/>
    <w:rsid w:val="00981BC8"/>
    <w:rsid w:val="00982444"/>
    <w:rsid w:val="00982BA7"/>
    <w:rsid w:val="00982D92"/>
    <w:rsid w:val="00982F10"/>
    <w:rsid w:val="009834A0"/>
    <w:rsid w:val="00984330"/>
    <w:rsid w:val="009843A8"/>
    <w:rsid w:val="00984939"/>
    <w:rsid w:val="00984956"/>
    <w:rsid w:val="00984993"/>
    <w:rsid w:val="0098668D"/>
    <w:rsid w:val="009873E9"/>
    <w:rsid w:val="00990065"/>
    <w:rsid w:val="0099190E"/>
    <w:rsid w:val="00992A5A"/>
    <w:rsid w:val="00992C87"/>
    <w:rsid w:val="00993490"/>
    <w:rsid w:val="00993EA1"/>
    <w:rsid w:val="0099496C"/>
    <w:rsid w:val="00996569"/>
    <w:rsid w:val="009A057B"/>
    <w:rsid w:val="009A06F0"/>
    <w:rsid w:val="009A1110"/>
    <w:rsid w:val="009A14DE"/>
    <w:rsid w:val="009A2EE6"/>
    <w:rsid w:val="009A656D"/>
    <w:rsid w:val="009A7872"/>
    <w:rsid w:val="009A7BC2"/>
    <w:rsid w:val="009A7C63"/>
    <w:rsid w:val="009B0229"/>
    <w:rsid w:val="009B09C8"/>
    <w:rsid w:val="009B1897"/>
    <w:rsid w:val="009B1BB7"/>
    <w:rsid w:val="009B3AE7"/>
    <w:rsid w:val="009B4863"/>
    <w:rsid w:val="009B48D4"/>
    <w:rsid w:val="009B4D84"/>
    <w:rsid w:val="009B7D70"/>
    <w:rsid w:val="009C0992"/>
    <w:rsid w:val="009C0C48"/>
    <w:rsid w:val="009C1830"/>
    <w:rsid w:val="009C23DA"/>
    <w:rsid w:val="009C24B3"/>
    <w:rsid w:val="009C2C09"/>
    <w:rsid w:val="009C2E5A"/>
    <w:rsid w:val="009C2E8A"/>
    <w:rsid w:val="009C3541"/>
    <w:rsid w:val="009C6214"/>
    <w:rsid w:val="009C672A"/>
    <w:rsid w:val="009C7B18"/>
    <w:rsid w:val="009C7D55"/>
    <w:rsid w:val="009C7E61"/>
    <w:rsid w:val="009C7F52"/>
    <w:rsid w:val="009D06B8"/>
    <w:rsid w:val="009D07F2"/>
    <w:rsid w:val="009D0F23"/>
    <w:rsid w:val="009D1852"/>
    <w:rsid w:val="009D1884"/>
    <w:rsid w:val="009D24A3"/>
    <w:rsid w:val="009D2FD6"/>
    <w:rsid w:val="009D3295"/>
    <w:rsid w:val="009D3665"/>
    <w:rsid w:val="009D3C84"/>
    <w:rsid w:val="009D40C6"/>
    <w:rsid w:val="009D627C"/>
    <w:rsid w:val="009D6969"/>
    <w:rsid w:val="009D7470"/>
    <w:rsid w:val="009D7A58"/>
    <w:rsid w:val="009D7F45"/>
    <w:rsid w:val="009E0828"/>
    <w:rsid w:val="009E0CED"/>
    <w:rsid w:val="009E17A2"/>
    <w:rsid w:val="009E17C3"/>
    <w:rsid w:val="009E257B"/>
    <w:rsid w:val="009E2D23"/>
    <w:rsid w:val="009E3F33"/>
    <w:rsid w:val="009E4043"/>
    <w:rsid w:val="009E43C1"/>
    <w:rsid w:val="009F0A91"/>
    <w:rsid w:val="009F22C0"/>
    <w:rsid w:val="009F3BA0"/>
    <w:rsid w:val="009F3F5D"/>
    <w:rsid w:val="009F43CB"/>
    <w:rsid w:val="009F4CB9"/>
    <w:rsid w:val="009F58D1"/>
    <w:rsid w:val="00A01C02"/>
    <w:rsid w:val="00A02D08"/>
    <w:rsid w:val="00A045F8"/>
    <w:rsid w:val="00A05113"/>
    <w:rsid w:val="00A054DC"/>
    <w:rsid w:val="00A063A9"/>
    <w:rsid w:val="00A069AE"/>
    <w:rsid w:val="00A101CB"/>
    <w:rsid w:val="00A10389"/>
    <w:rsid w:val="00A1133E"/>
    <w:rsid w:val="00A11888"/>
    <w:rsid w:val="00A11E62"/>
    <w:rsid w:val="00A11E8F"/>
    <w:rsid w:val="00A12369"/>
    <w:rsid w:val="00A14357"/>
    <w:rsid w:val="00A14C35"/>
    <w:rsid w:val="00A151BD"/>
    <w:rsid w:val="00A1524F"/>
    <w:rsid w:val="00A156CA"/>
    <w:rsid w:val="00A15E2E"/>
    <w:rsid w:val="00A15E63"/>
    <w:rsid w:val="00A1627A"/>
    <w:rsid w:val="00A167D9"/>
    <w:rsid w:val="00A17672"/>
    <w:rsid w:val="00A20C5D"/>
    <w:rsid w:val="00A21C3B"/>
    <w:rsid w:val="00A222CA"/>
    <w:rsid w:val="00A2261E"/>
    <w:rsid w:val="00A22867"/>
    <w:rsid w:val="00A239CC"/>
    <w:rsid w:val="00A23BC2"/>
    <w:rsid w:val="00A2496A"/>
    <w:rsid w:val="00A250EC"/>
    <w:rsid w:val="00A25778"/>
    <w:rsid w:val="00A25AF3"/>
    <w:rsid w:val="00A25C6C"/>
    <w:rsid w:val="00A279AC"/>
    <w:rsid w:val="00A27FDE"/>
    <w:rsid w:val="00A30C5D"/>
    <w:rsid w:val="00A310F1"/>
    <w:rsid w:val="00A31344"/>
    <w:rsid w:val="00A31C68"/>
    <w:rsid w:val="00A326A6"/>
    <w:rsid w:val="00A35FAA"/>
    <w:rsid w:val="00A361FE"/>
    <w:rsid w:val="00A36A17"/>
    <w:rsid w:val="00A40163"/>
    <w:rsid w:val="00A409BC"/>
    <w:rsid w:val="00A42F6D"/>
    <w:rsid w:val="00A44612"/>
    <w:rsid w:val="00A44720"/>
    <w:rsid w:val="00A45B90"/>
    <w:rsid w:val="00A46984"/>
    <w:rsid w:val="00A4741A"/>
    <w:rsid w:val="00A51337"/>
    <w:rsid w:val="00A53F74"/>
    <w:rsid w:val="00A540A5"/>
    <w:rsid w:val="00A54248"/>
    <w:rsid w:val="00A55B6F"/>
    <w:rsid w:val="00A56AD9"/>
    <w:rsid w:val="00A60611"/>
    <w:rsid w:val="00A60821"/>
    <w:rsid w:val="00A61BD0"/>
    <w:rsid w:val="00A62190"/>
    <w:rsid w:val="00A6388E"/>
    <w:rsid w:val="00A640DB"/>
    <w:rsid w:val="00A64FD7"/>
    <w:rsid w:val="00A668AE"/>
    <w:rsid w:val="00A66F43"/>
    <w:rsid w:val="00A70398"/>
    <w:rsid w:val="00A709AD"/>
    <w:rsid w:val="00A72DA9"/>
    <w:rsid w:val="00A733CB"/>
    <w:rsid w:val="00A739DF"/>
    <w:rsid w:val="00A751AD"/>
    <w:rsid w:val="00A773CD"/>
    <w:rsid w:val="00A775CF"/>
    <w:rsid w:val="00A77614"/>
    <w:rsid w:val="00A77853"/>
    <w:rsid w:val="00A778DC"/>
    <w:rsid w:val="00A77FAF"/>
    <w:rsid w:val="00A80C87"/>
    <w:rsid w:val="00A8291E"/>
    <w:rsid w:val="00A837EF"/>
    <w:rsid w:val="00A84503"/>
    <w:rsid w:val="00A847AE"/>
    <w:rsid w:val="00A85EF9"/>
    <w:rsid w:val="00A867DA"/>
    <w:rsid w:val="00A8782F"/>
    <w:rsid w:val="00A90521"/>
    <w:rsid w:val="00A9167D"/>
    <w:rsid w:val="00A91CFD"/>
    <w:rsid w:val="00A9238F"/>
    <w:rsid w:val="00A92D25"/>
    <w:rsid w:val="00A93613"/>
    <w:rsid w:val="00A94689"/>
    <w:rsid w:val="00A94DDB"/>
    <w:rsid w:val="00A94EAE"/>
    <w:rsid w:val="00A965CD"/>
    <w:rsid w:val="00A972AE"/>
    <w:rsid w:val="00A977A6"/>
    <w:rsid w:val="00AA167E"/>
    <w:rsid w:val="00AA27AA"/>
    <w:rsid w:val="00AA2DF3"/>
    <w:rsid w:val="00AA395E"/>
    <w:rsid w:val="00AA3C00"/>
    <w:rsid w:val="00AA4995"/>
    <w:rsid w:val="00AA50BC"/>
    <w:rsid w:val="00AA5BF3"/>
    <w:rsid w:val="00AB1F3B"/>
    <w:rsid w:val="00AB24E7"/>
    <w:rsid w:val="00AB2591"/>
    <w:rsid w:val="00AB3237"/>
    <w:rsid w:val="00AB3917"/>
    <w:rsid w:val="00AB3A2D"/>
    <w:rsid w:val="00AB5DBB"/>
    <w:rsid w:val="00AB5E21"/>
    <w:rsid w:val="00AB75AE"/>
    <w:rsid w:val="00AB76EC"/>
    <w:rsid w:val="00AB7933"/>
    <w:rsid w:val="00AC13C9"/>
    <w:rsid w:val="00AC3A08"/>
    <w:rsid w:val="00AC3D18"/>
    <w:rsid w:val="00AC4596"/>
    <w:rsid w:val="00AD10CF"/>
    <w:rsid w:val="00AD1EF5"/>
    <w:rsid w:val="00AD2FC0"/>
    <w:rsid w:val="00AD35EA"/>
    <w:rsid w:val="00AD3998"/>
    <w:rsid w:val="00AD3BC7"/>
    <w:rsid w:val="00AD4967"/>
    <w:rsid w:val="00AD562E"/>
    <w:rsid w:val="00AD5B1B"/>
    <w:rsid w:val="00AD5C60"/>
    <w:rsid w:val="00AD6025"/>
    <w:rsid w:val="00AD66BE"/>
    <w:rsid w:val="00AD6DB9"/>
    <w:rsid w:val="00AD7BC7"/>
    <w:rsid w:val="00AE0C5E"/>
    <w:rsid w:val="00AE1837"/>
    <w:rsid w:val="00AE2459"/>
    <w:rsid w:val="00AE2875"/>
    <w:rsid w:val="00AE29C2"/>
    <w:rsid w:val="00AE3D23"/>
    <w:rsid w:val="00AE4EC8"/>
    <w:rsid w:val="00AE517C"/>
    <w:rsid w:val="00AE581A"/>
    <w:rsid w:val="00AE5D9F"/>
    <w:rsid w:val="00AE5F15"/>
    <w:rsid w:val="00AE61C0"/>
    <w:rsid w:val="00AE76C9"/>
    <w:rsid w:val="00AE7E9F"/>
    <w:rsid w:val="00AF0C7E"/>
    <w:rsid w:val="00AF0EB2"/>
    <w:rsid w:val="00AF1788"/>
    <w:rsid w:val="00AF2791"/>
    <w:rsid w:val="00AF326B"/>
    <w:rsid w:val="00AF32F0"/>
    <w:rsid w:val="00AF3811"/>
    <w:rsid w:val="00AF418D"/>
    <w:rsid w:val="00AF560E"/>
    <w:rsid w:val="00AF6220"/>
    <w:rsid w:val="00AF68E5"/>
    <w:rsid w:val="00AF70EE"/>
    <w:rsid w:val="00AF733D"/>
    <w:rsid w:val="00AF7618"/>
    <w:rsid w:val="00B00B01"/>
    <w:rsid w:val="00B0115F"/>
    <w:rsid w:val="00B01F19"/>
    <w:rsid w:val="00B01F6E"/>
    <w:rsid w:val="00B03818"/>
    <w:rsid w:val="00B04550"/>
    <w:rsid w:val="00B04964"/>
    <w:rsid w:val="00B04E2F"/>
    <w:rsid w:val="00B06DA5"/>
    <w:rsid w:val="00B10605"/>
    <w:rsid w:val="00B10F95"/>
    <w:rsid w:val="00B11B0A"/>
    <w:rsid w:val="00B12331"/>
    <w:rsid w:val="00B141CD"/>
    <w:rsid w:val="00B14A14"/>
    <w:rsid w:val="00B15B71"/>
    <w:rsid w:val="00B176D9"/>
    <w:rsid w:val="00B21941"/>
    <w:rsid w:val="00B21A4D"/>
    <w:rsid w:val="00B21EB4"/>
    <w:rsid w:val="00B22551"/>
    <w:rsid w:val="00B2394E"/>
    <w:rsid w:val="00B23FDC"/>
    <w:rsid w:val="00B2691D"/>
    <w:rsid w:val="00B26C44"/>
    <w:rsid w:val="00B27820"/>
    <w:rsid w:val="00B27828"/>
    <w:rsid w:val="00B30944"/>
    <w:rsid w:val="00B3267D"/>
    <w:rsid w:val="00B33F4D"/>
    <w:rsid w:val="00B34D2F"/>
    <w:rsid w:val="00B36299"/>
    <w:rsid w:val="00B36CFC"/>
    <w:rsid w:val="00B37148"/>
    <w:rsid w:val="00B37AFC"/>
    <w:rsid w:val="00B4016F"/>
    <w:rsid w:val="00B42B56"/>
    <w:rsid w:val="00B4311D"/>
    <w:rsid w:val="00B43CCD"/>
    <w:rsid w:val="00B457C9"/>
    <w:rsid w:val="00B460B5"/>
    <w:rsid w:val="00B46D91"/>
    <w:rsid w:val="00B47503"/>
    <w:rsid w:val="00B47AD2"/>
    <w:rsid w:val="00B47C72"/>
    <w:rsid w:val="00B47F4C"/>
    <w:rsid w:val="00B50004"/>
    <w:rsid w:val="00B510D4"/>
    <w:rsid w:val="00B51526"/>
    <w:rsid w:val="00B53D3F"/>
    <w:rsid w:val="00B56BA7"/>
    <w:rsid w:val="00B57892"/>
    <w:rsid w:val="00B60F6F"/>
    <w:rsid w:val="00B61A52"/>
    <w:rsid w:val="00B622F9"/>
    <w:rsid w:val="00B6230B"/>
    <w:rsid w:val="00B62ABE"/>
    <w:rsid w:val="00B64DE4"/>
    <w:rsid w:val="00B6582F"/>
    <w:rsid w:val="00B676B8"/>
    <w:rsid w:val="00B70250"/>
    <w:rsid w:val="00B70C9E"/>
    <w:rsid w:val="00B70CFD"/>
    <w:rsid w:val="00B710B9"/>
    <w:rsid w:val="00B71222"/>
    <w:rsid w:val="00B7177E"/>
    <w:rsid w:val="00B71A79"/>
    <w:rsid w:val="00B71C51"/>
    <w:rsid w:val="00B73379"/>
    <w:rsid w:val="00B7358B"/>
    <w:rsid w:val="00B7388C"/>
    <w:rsid w:val="00B73A03"/>
    <w:rsid w:val="00B73E0D"/>
    <w:rsid w:val="00B7522C"/>
    <w:rsid w:val="00B758DA"/>
    <w:rsid w:val="00B81E0C"/>
    <w:rsid w:val="00B829DD"/>
    <w:rsid w:val="00B830A1"/>
    <w:rsid w:val="00B83705"/>
    <w:rsid w:val="00B83CA0"/>
    <w:rsid w:val="00B84243"/>
    <w:rsid w:val="00B85012"/>
    <w:rsid w:val="00B85C34"/>
    <w:rsid w:val="00B86CCD"/>
    <w:rsid w:val="00B876C0"/>
    <w:rsid w:val="00B87DAF"/>
    <w:rsid w:val="00B90671"/>
    <w:rsid w:val="00B9123F"/>
    <w:rsid w:val="00B91A8B"/>
    <w:rsid w:val="00B92307"/>
    <w:rsid w:val="00B9315D"/>
    <w:rsid w:val="00B93884"/>
    <w:rsid w:val="00B943F1"/>
    <w:rsid w:val="00B94A65"/>
    <w:rsid w:val="00B94ADF"/>
    <w:rsid w:val="00B94FB4"/>
    <w:rsid w:val="00B95854"/>
    <w:rsid w:val="00B95D2D"/>
    <w:rsid w:val="00B9676C"/>
    <w:rsid w:val="00BA067E"/>
    <w:rsid w:val="00BA0966"/>
    <w:rsid w:val="00BA0DE9"/>
    <w:rsid w:val="00BA0F2F"/>
    <w:rsid w:val="00BA10D3"/>
    <w:rsid w:val="00BA2783"/>
    <w:rsid w:val="00BA379F"/>
    <w:rsid w:val="00BA4006"/>
    <w:rsid w:val="00BA4952"/>
    <w:rsid w:val="00BA5660"/>
    <w:rsid w:val="00BA66C1"/>
    <w:rsid w:val="00BA6777"/>
    <w:rsid w:val="00BB048B"/>
    <w:rsid w:val="00BB2A98"/>
    <w:rsid w:val="00BB2EB5"/>
    <w:rsid w:val="00BB3AB5"/>
    <w:rsid w:val="00BB3CA7"/>
    <w:rsid w:val="00BB3DA8"/>
    <w:rsid w:val="00BB498B"/>
    <w:rsid w:val="00BB6D23"/>
    <w:rsid w:val="00BB721D"/>
    <w:rsid w:val="00BB7455"/>
    <w:rsid w:val="00BC156E"/>
    <w:rsid w:val="00BC1DBD"/>
    <w:rsid w:val="00BC2C65"/>
    <w:rsid w:val="00BC3CAB"/>
    <w:rsid w:val="00BC42CE"/>
    <w:rsid w:val="00BC6702"/>
    <w:rsid w:val="00BD1B28"/>
    <w:rsid w:val="00BD210E"/>
    <w:rsid w:val="00BD4954"/>
    <w:rsid w:val="00BD4CE9"/>
    <w:rsid w:val="00BD6EF9"/>
    <w:rsid w:val="00BE073D"/>
    <w:rsid w:val="00BE0851"/>
    <w:rsid w:val="00BE0E29"/>
    <w:rsid w:val="00BE1C0C"/>
    <w:rsid w:val="00BE2BB5"/>
    <w:rsid w:val="00BE3E38"/>
    <w:rsid w:val="00BE4DF1"/>
    <w:rsid w:val="00BE537C"/>
    <w:rsid w:val="00BE5454"/>
    <w:rsid w:val="00BE70B3"/>
    <w:rsid w:val="00BE732D"/>
    <w:rsid w:val="00BE7D58"/>
    <w:rsid w:val="00BF0270"/>
    <w:rsid w:val="00BF03BC"/>
    <w:rsid w:val="00BF0E14"/>
    <w:rsid w:val="00BF164E"/>
    <w:rsid w:val="00BF1A33"/>
    <w:rsid w:val="00BF23C3"/>
    <w:rsid w:val="00BF378F"/>
    <w:rsid w:val="00BF37C5"/>
    <w:rsid w:val="00BF3D35"/>
    <w:rsid w:val="00BF456A"/>
    <w:rsid w:val="00BF4C62"/>
    <w:rsid w:val="00BF6D42"/>
    <w:rsid w:val="00BF6F03"/>
    <w:rsid w:val="00BF7842"/>
    <w:rsid w:val="00BF7ED9"/>
    <w:rsid w:val="00C00084"/>
    <w:rsid w:val="00C006AC"/>
    <w:rsid w:val="00C00AA5"/>
    <w:rsid w:val="00C02450"/>
    <w:rsid w:val="00C024A2"/>
    <w:rsid w:val="00C02AB0"/>
    <w:rsid w:val="00C04472"/>
    <w:rsid w:val="00C07DEC"/>
    <w:rsid w:val="00C1005F"/>
    <w:rsid w:val="00C10659"/>
    <w:rsid w:val="00C107D2"/>
    <w:rsid w:val="00C11F05"/>
    <w:rsid w:val="00C11F2F"/>
    <w:rsid w:val="00C12D0A"/>
    <w:rsid w:val="00C13DA0"/>
    <w:rsid w:val="00C15DEF"/>
    <w:rsid w:val="00C1668D"/>
    <w:rsid w:val="00C20196"/>
    <w:rsid w:val="00C2082C"/>
    <w:rsid w:val="00C20E76"/>
    <w:rsid w:val="00C21074"/>
    <w:rsid w:val="00C23647"/>
    <w:rsid w:val="00C23A8F"/>
    <w:rsid w:val="00C23B01"/>
    <w:rsid w:val="00C2476F"/>
    <w:rsid w:val="00C2641F"/>
    <w:rsid w:val="00C276B1"/>
    <w:rsid w:val="00C277D5"/>
    <w:rsid w:val="00C27DA0"/>
    <w:rsid w:val="00C3009E"/>
    <w:rsid w:val="00C30161"/>
    <w:rsid w:val="00C31E81"/>
    <w:rsid w:val="00C3239B"/>
    <w:rsid w:val="00C3324A"/>
    <w:rsid w:val="00C337BF"/>
    <w:rsid w:val="00C342CD"/>
    <w:rsid w:val="00C34390"/>
    <w:rsid w:val="00C3498D"/>
    <w:rsid w:val="00C34C59"/>
    <w:rsid w:val="00C359BA"/>
    <w:rsid w:val="00C35C04"/>
    <w:rsid w:val="00C36699"/>
    <w:rsid w:val="00C36775"/>
    <w:rsid w:val="00C37070"/>
    <w:rsid w:val="00C40689"/>
    <w:rsid w:val="00C407C3"/>
    <w:rsid w:val="00C40D42"/>
    <w:rsid w:val="00C412EC"/>
    <w:rsid w:val="00C41D55"/>
    <w:rsid w:val="00C428E6"/>
    <w:rsid w:val="00C42D37"/>
    <w:rsid w:val="00C431A3"/>
    <w:rsid w:val="00C44BE3"/>
    <w:rsid w:val="00C44C1D"/>
    <w:rsid w:val="00C450A9"/>
    <w:rsid w:val="00C45903"/>
    <w:rsid w:val="00C46968"/>
    <w:rsid w:val="00C46D0E"/>
    <w:rsid w:val="00C471E0"/>
    <w:rsid w:val="00C50CF4"/>
    <w:rsid w:val="00C50EAA"/>
    <w:rsid w:val="00C53EF2"/>
    <w:rsid w:val="00C544C7"/>
    <w:rsid w:val="00C547E0"/>
    <w:rsid w:val="00C55846"/>
    <w:rsid w:val="00C574B8"/>
    <w:rsid w:val="00C6305B"/>
    <w:rsid w:val="00C630DC"/>
    <w:rsid w:val="00C63109"/>
    <w:rsid w:val="00C632C4"/>
    <w:rsid w:val="00C63C1F"/>
    <w:rsid w:val="00C63ED7"/>
    <w:rsid w:val="00C6568C"/>
    <w:rsid w:val="00C660C1"/>
    <w:rsid w:val="00C66EB8"/>
    <w:rsid w:val="00C71E48"/>
    <w:rsid w:val="00C727FF"/>
    <w:rsid w:val="00C73423"/>
    <w:rsid w:val="00C73911"/>
    <w:rsid w:val="00C74126"/>
    <w:rsid w:val="00C74C39"/>
    <w:rsid w:val="00C74DA9"/>
    <w:rsid w:val="00C74E83"/>
    <w:rsid w:val="00C7638D"/>
    <w:rsid w:val="00C763EA"/>
    <w:rsid w:val="00C801E7"/>
    <w:rsid w:val="00C8049D"/>
    <w:rsid w:val="00C81D03"/>
    <w:rsid w:val="00C8215F"/>
    <w:rsid w:val="00C854F5"/>
    <w:rsid w:val="00C85652"/>
    <w:rsid w:val="00C85E77"/>
    <w:rsid w:val="00C8748F"/>
    <w:rsid w:val="00C87FB8"/>
    <w:rsid w:val="00C910C7"/>
    <w:rsid w:val="00C919F4"/>
    <w:rsid w:val="00C91CF4"/>
    <w:rsid w:val="00C92123"/>
    <w:rsid w:val="00C94F67"/>
    <w:rsid w:val="00C95497"/>
    <w:rsid w:val="00C95596"/>
    <w:rsid w:val="00C95850"/>
    <w:rsid w:val="00C95B85"/>
    <w:rsid w:val="00C97F24"/>
    <w:rsid w:val="00CA009A"/>
    <w:rsid w:val="00CA0B5E"/>
    <w:rsid w:val="00CA0F4F"/>
    <w:rsid w:val="00CA15D7"/>
    <w:rsid w:val="00CA1646"/>
    <w:rsid w:val="00CA1E27"/>
    <w:rsid w:val="00CA2F21"/>
    <w:rsid w:val="00CA3214"/>
    <w:rsid w:val="00CA41B0"/>
    <w:rsid w:val="00CA450E"/>
    <w:rsid w:val="00CA474A"/>
    <w:rsid w:val="00CA475B"/>
    <w:rsid w:val="00CA4819"/>
    <w:rsid w:val="00CA49A3"/>
    <w:rsid w:val="00CA600B"/>
    <w:rsid w:val="00CA709C"/>
    <w:rsid w:val="00CB1F59"/>
    <w:rsid w:val="00CB40F7"/>
    <w:rsid w:val="00CB423E"/>
    <w:rsid w:val="00CB4589"/>
    <w:rsid w:val="00CB45BE"/>
    <w:rsid w:val="00CB48FC"/>
    <w:rsid w:val="00CB54F0"/>
    <w:rsid w:val="00CB62C0"/>
    <w:rsid w:val="00CB77A4"/>
    <w:rsid w:val="00CB78E0"/>
    <w:rsid w:val="00CB795F"/>
    <w:rsid w:val="00CC0486"/>
    <w:rsid w:val="00CC0B67"/>
    <w:rsid w:val="00CC29F4"/>
    <w:rsid w:val="00CC2C6F"/>
    <w:rsid w:val="00CC4693"/>
    <w:rsid w:val="00CC4867"/>
    <w:rsid w:val="00CC5AB0"/>
    <w:rsid w:val="00CC678E"/>
    <w:rsid w:val="00CC6AFF"/>
    <w:rsid w:val="00CC7ED8"/>
    <w:rsid w:val="00CC7F08"/>
    <w:rsid w:val="00CD054D"/>
    <w:rsid w:val="00CD1BF3"/>
    <w:rsid w:val="00CD3382"/>
    <w:rsid w:val="00CD4B53"/>
    <w:rsid w:val="00CD4E98"/>
    <w:rsid w:val="00CD4EE0"/>
    <w:rsid w:val="00CD5B1A"/>
    <w:rsid w:val="00CD64D0"/>
    <w:rsid w:val="00CD7E08"/>
    <w:rsid w:val="00CE0085"/>
    <w:rsid w:val="00CE0472"/>
    <w:rsid w:val="00CE2B6C"/>
    <w:rsid w:val="00CE2C1A"/>
    <w:rsid w:val="00CE3F53"/>
    <w:rsid w:val="00CE4132"/>
    <w:rsid w:val="00CE4134"/>
    <w:rsid w:val="00CE47BC"/>
    <w:rsid w:val="00CE533B"/>
    <w:rsid w:val="00CE558E"/>
    <w:rsid w:val="00CE5774"/>
    <w:rsid w:val="00CE5D77"/>
    <w:rsid w:val="00CE7933"/>
    <w:rsid w:val="00CF164C"/>
    <w:rsid w:val="00CF2C6F"/>
    <w:rsid w:val="00CF4131"/>
    <w:rsid w:val="00CF4BDD"/>
    <w:rsid w:val="00CF4C04"/>
    <w:rsid w:val="00CF5085"/>
    <w:rsid w:val="00CF5FDC"/>
    <w:rsid w:val="00CF6A09"/>
    <w:rsid w:val="00CF78F4"/>
    <w:rsid w:val="00D00382"/>
    <w:rsid w:val="00D0086A"/>
    <w:rsid w:val="00D024C7"/>
    <w:rsid w:val="00D02EF1"/>
    <w:rsid w:val="00D042D9"/>
    <w:rsid w:val="00D05719"/>
    <w:rsid w:val="00D07857"/>
    <w:rsid w:val="00D07A8D"/>
    <w:rsid w:val="00D1024D"/>
    <w:rsid w:val="00D10861"/>
    <w:rsid w:val="00D120BF"/>
    <w:rsid w:val="00D12303"/>
    <w:rsid w:val="00D12D32"/>
    <w:rsid w:val="00D143EC"/>
    <w:rsid w:val="00D15A50"/>
    <w:rsid w:val="00D1741D"/>
    <w:rsid w:val="00D174C3"/>
    <w:rsid w:val="00D17D15"/>
    <w:rsid w:val="00D17E55"/>
    <w:rsid w:val="00D2179B"/>
    <w:rsid w:val="00D22699"/>
    <w:rsid w:val="00D2316C"/>
    <w:rsid w:val="00D23D16"/>
    <w:rsid w:val="00D23F08"/>
    <w:rsid w:val="00D2444F"/>
    <w:rsid w:val="00D24FF4"/>
    <w:rsid w:val="00D250AB"/>
    <w:rsid w:val="00D272A8"/>
    <w:rsid w:val="00D27502"/>
    <w:rsid w:val="00D27839"/>
    <w:rsid w:val="00D303B7"/>
    <w:rsid w:val="00D30A84"/>
    <w:rsid w:val="00D30CBA"/>
    <w:rsid w:val="00D32116"/>
    <w:rsid w:val="00D323B5"/>
    <w:rsid w:val="00D327B7"/>
    <w:rsid w:val="00D339A5"/>
    <w:rsid w:val="00D3487B"/>
    <w:rsid w:val="00D36333"/>
    <w:rsid w:val="00D378B4"/>
    <w:rsid w:val="00D37C36"/>
    <w:rsid w:val="00D40590"/>
    <w:rsid w:val="00D4187B"/>
    <w:rsid w:val="00D428B3"/>
    <w:rsid w:val="00D43E58"/>
    <w:rsid w:val="00D44D21"/>
    <w:rsid w:val="00D456C4"/>
    <w:rsid w:val="00D459CF"/>
    <w:rsid w:val="00D46A7B"/>
    <w:rsid w:val="00D46F71"/>
    <w:rsid w:val="00D50755"/>
    <w:rsid w:val="00D50C9B"/>
    <w:rsid w:val="00D51331"/>
    <w:rsid w:val="00D52493"/>
    <w:rsid w:val="00D53F56"/>
    <w:rsid w:val="00D549BF"/>
    <w:rsid w:val="00D54B63"/>
    <w:rsid w:val="00D551E1"/>
    <w:rsid w:val="00D55693"/>
    <w:rsid w:val="00D55763"/>
    <w:rsid w:val="00D56EA2"/>
    <w:rsid w:val="00D5708A"/>
    <w:rsid w:val="00D576B5"/>
    <w:rsid w:val="00D57849"/>
    <w:rsid w:val="00D579C5"/>
    <w:rsid w:val="00D60439"/>
    <w:rsid w:val="00D6070D"/>
    <w:rsid w:val="00D6119D"/>
    <w:rsid w:val="00D6199A"/>
    <w:rsid w:val="00D62AB4"/>
    <w:rsid w:val="00D634BA"/>
    <w:rsid w:val="00D64114"/>
    <w:rsid w:val="00D65203"/>
    <w:rsid w:val="00D6661E"/>
    <w:rsid w:val="00D677D2"/>
    <w:rsid w:val="00D678C7"/>
    <w:rsid w:val="00D70909"/>
    <w:rsid w:val="00D70BF5"/>
    <w:rsid w:val="00D70EB2"/>
    <w:rsid w:val="00D715EF"/>
    <w:rsid w:val="00D720BB"/>
    <w:rsid w:val="00D724E0"/>
    <w:rsid w:val="00D72CE1"/>
    <w:rsid w:val="00D7374C"/>
    <w:rsid w:val="00D7406E"/>
    <w:rsid w:val="00D748AE"/>
    <w:rsid w:val="00D74CA6"/>
    <w:rsid w:val="00D75924"/>
    <w:rsid w:val="00D75DD0"/>
    <w:rsid w:val="00D7602E"/>
    <w:rsid w:val="00D76996"/>
    <w:rsid w:val="00D77711"/>
    <w:rsid w:val="00D80872"/>
    <w:rsid w:val="00D81071"/>
    <w:rsid w:val="00D819DB"/>
    <w:rsid w:val="00D825B8"/>
    <w:rsid w:val="00D82879"/>
    <w:rsid w:val="00D82CDB"/>
    <w:rsid w:val="00D83B82"/>
    <w:rsid w:val="00D84B3E"/>
    <w:rsid w:val="00D85D3F"/>
    <w:rsid w:val="00D8626F"/>
    <w:rsid w:val="00D87479"/>
    <w:rsid w:val="00D87DF3"/>
    <w:rsid w:val="00D90403"/>
    <w:rsid w:val="00D90585"/>
    <w:rsid w:val="00D90695"/>
    <w:rsid w:val="00D907B4"/>
    <w:rsid w:val="00D90BBA"/>
    <w:rsid w:val="00D9150D"/>
    <w:rsid w:val="00D92B42"/>
    <w:rsid w:val="00D9553D"/>
    <w:rsid w:val="00D961F2"/>
    <w:rsid w:val="00D9729A"/>
    <w:rsid w:val="00D97687"/>
    <w:rsid w:val="00D9775E"/>
    <w:rsid w:val="00DA1610"/>
    <w:rsid w:val="00DA17B2"/>
    <w:rsid w:val="00DA1A11"/>
    <w:rsid w:val="00DA1BEF"/>
    <w:rsid w:val="00DA28A8"/>
    <w:rsid w:val="00DA3143"/>
    <w:rsid w:val="00DA3875"/>
    <w:rsid w:val="00DA4794"/>
    <w:rsid w:val="00DA4EAE"/>
    <w:rsid w:val="00DA6854"/>
    <w:rsid w:val="00DA6B89"/>
    <w:rsid w:val="00DA6D4F"/>
    <w:rsid w:val="00DA6FB4"/>
    <w:rsid w:val="00DA7558"/>
    <w:rsid w:val="00DA7AC3"/>
    <w:rsid w:val="00DB10A8"/>
    <w:rsid w:val="00DB4C98"/>
    <w:rsid w:val="00DB584E"/>
    <w:rsid w:val="00DB68F4"/>
    <w:rsid w:val="00DB69D9"/>
    <w:rsid w:val="00DC32EC"/>
    <w:rsid w:val="00DC37CC"/>
    <w:rsid w:val="00DC4099"/>
    <w:rsid w:val="00DC4790"/>
    <w:rsid w:val="00DC6737"/>
    <w:rsid w:val="00DC6D42"/>
    <w:rsid w:val="00DD051E"/>
    <w:rsid w:val="00DD0BA0"/>
    <w:rsid w:val="00DD105A"/>
    <w:rsid w:val="00DD1172"/>
    <w:rsid w:val="00DD1688"/>
    <w:rsid w:val="00DD314A"/>
    <w:rsid w:val="00DD3E55"/>
    <w:rsid w:val="00DD472E"/>
    <w:rsid w:val="00DD4DF3"/>
    <w:rsid w:val="00DD4F6D"/>
    <w:rsid w:val="00DD7B40"/>
    <w:rsid w:val="00DE062B"/>
    <w:rsid w:val="00DE117E"/>
    <w:rsid w:val="00DE1987"/>
    <w:rsid w:val="00DE2A71"/>
    <w:rsid w:val="00DE32AD"/>
    <w:rsid w:val="00DE36CF"/>
    <w:rsid w:val="00DE3D40"/>
    <w:rsid w:val="00DE42BA"/>
    <w:rsid w:val="00DE50C2"/>
    <w:rsid w:val="00DE566F"/>
    <w:rsid w:val="00DE5DF9"/>
    <w:rsid w:val="00DE5E0C"/>
    <w:rsid w:val="00DF0056"/>
    <w:rsid w:val="00DF0728"/>
    <w:rsid w:val="00DF0B03"/>
    <w:rsid w:val="00DF1145"/>
    <w:rsid w:val="00DF1ADC"/>
    <w:rsid w:val="00DF2249"/>
    <w:rsid w:val="00DF2347"/>
    <w:rsid w:val="00DF30D5"/>
    <w:rsid w:val="00DF35BA"/>
    <w:rsid w:val="00DF363A"/>
    <w:rsid w:val="00DF4173"/>
    <w:rsid w:val="00DF4E57"/>
    <w:rsid w:val="00DF5B04"/>
    <w:rsid w:val="00DF5DBE"/>
    <w:rsid w:val="00DF61C8"/>
    <w:rsid w:val="00DF6323"/>
    <w:rsid w:val="00DF6B26"/>
    <w:rsid w:val="00DF744E"/>
    <w:rsid w:val="00E00258"/>
    <w:rsid w:val="00E0068F"/>
    <w:rsid w:val="00E01B7C"/>
    <w:rsid w:val="00E02425"/>
    <w:rsid w:val="00E02AC1"/>
    <w:rsid w:val="00E04F31"/>
    <w:rsid w:val="00E0522C"/>
    <w:rsid w:val="00E05452"/>
    <w:rsid w:val="00E054BA"/>
    <w:rsid w:val="00E05967"/>
    <w:rsid w:val="00E06F9F"/>
    <w:rsid w:val="00E074F9"/>
    <w:rsid w:val="00E07556"/>
    <w:rsid w:val="00E1099E"/>
    <w:rsid w:val="00E10D3F"/>
    <w:rsid w:val="00E1129E"/>
    <w:rsid w:val="00E121DD"/>
    <w:rsid w:val="00E1318C"/>
    <w:rsid w:val="00E13A4E"/>
    <w:rsid w:val="00E15A7E"/>
    <w:rsid w:val="00E16188"/>
    <w:rsid w:val="00E1675C"/>
    <w:rsid w:val="00E16977"/>
    <w:rsid w:val="00E16BE1"/>
    <w:rsid w:val="00E17DAB"/>
    <w:rsid w:val="00E20628"/>
    <w:rsid w:val="00E2103B"/>
    <w:rsid w:val="00E214BB"/>
    <w:rsid w:val="00E22A07"/>
    <w:rsid w:val="00E23888"/>
    <w:rsid w:val="00E253F7"/>
    <w:rsid w:val="00E26003"/>
    <w:rsid w:val="00E27231"/>
    <w:rsid w:val="00E273FF"/>
    <w:rsid w:val="00E27B91"/>
    <w:rsid w:val="00E30E1D"/>
    <w:rsid w:val="00E30FE2"/>
    <w:rsid w:val="00E3337B"/>
    <w:rsid w:val="00E335C8"/>
    <w:rsid w:val="00E34020"/>
    <w:rsid w:val="00E341B1"/>
    <w:rsid w:val="00E35264"/>
    <w:rsid w:val="00E35549"/>
    <w:rsid w:val="00E3652F"/>
    <w:rsid w:val="00E37BA9"/>
    <w:rsid w:val="00E37C28"/>
    <w:rsid w:val="00E37F9B"/>
    <w:rsid w:val="00E41AE7"/>
    <w:rsid w:val="00E421A2"/>
    <w:rsid w:val="00E42411"/>
    <w:rsid w:val="00E42C8A"/>
    <w:rsid w:val="00E43965"/>
    <w:rsid w:val="00E43E3B"/>
    <w:rsid w:val="00E4452C"/>
    <w:rsid w:val="00E4582E"/>
    <w:rsid w:val="00E4600F"/>
    <w:rsid w:val="00E461BB"/>
    <w:rsid w:val="00E46611"/>
    <w:rsid w:val="00E46AB8"/>
    <w:rsid w:val="00E46D63"/>
    <w:rsid w:val="00E473B3"/>
    <w:rsid w:val="00E512E4"/>
    <w:rsid w:val="00E51878"/>
    <w:rsid w:val="00E51F1C"/>
    <w:rsid w:val="00E52082"/>
    <w:rsid w:val="00E54185"/>
    <w:rsid w:val="00E542E5"/>
    <w:rsid w:val="00E55ABA"/>
    <w:rsid w:val="00E572D1"/>
    <w:rsid w:val="00E57451"/>
    <w:rsid w:val="00E57CA7"/>
    <w:rsid w:val="00E6086A"/>
    <w:rsid w:val="00E62415"/>
    <w:rsid w:val="00E62B36"/>
    <w:rsid w:val="00E62DF5"/>
    <w:rsid w:val="00E647C8"/>
    <w:rsid w:val="00E67C82"/>
    <w:rsid w:val="00E702CE"/>
    <w:rsid w:val="00E70F0A"/>
    <w:rsid w:val="00E71844"/>
    <w:rsid w:val="00E731D7"/>
    <w:rsid w:val="00E73765"/>
    <w:rsid w:val="00E74ACE"/>
    <w:rsid w:val="00E75C60"/>
    <w:rsid w:val="00E77072"/>
    <w:rsid w:val="00E77C06"/>
    <w:rsid w:val="00E8088C"/>
    <w:rsid w:val="00E815C7"/>
    <w:rsid w:val="00E82C92"/>
    <w:rsid w:val="00E831F7"/>
    <w:rsid w:val="00E835D7"/>
    <w:rsid w:val="00E84172"/>
    <w:rsid w:val="00E855E0"/>
    <w:rsid w:val="00E860B7"/>
    <w:rsid w:val="00E8656E"/>
    <w:rsid w:val="00E8780D"/>
    <w:rsid w:val="00E8785F"/>
    <w:rsid w:val="00E878FA"/>
    <w:rsid w:val="00E87B89"/>
    <w:rsid w:val="00E9004D"/>
    <w:rsid w:val="00E9226A"/>
    <w:rsid w:val="00E92B5A"/>
    <w:rsid w:val="00E92EF3"/>
    <w:rsid w:val="00E95596"/>
    <w:rsid w:val="00E95DB8"/>
    <w:rsid w:val="00E95E3B"/>
    <w:rsid w:val="00E97527"/>
    <w:rsid w:val="00E97A3D"/>
    <w:rsid w:val="00EA08C4"/>
    <w:rsid w:val="00EA186C"/>
    <w:rsid w:val="00EA2057"/>
    <w:rsid w:val="00EA53A3"/>
    <w:rsid w:val="00EA5A9E"/>
    <w:rsid w:val="00EA6556"/>
    <w:rsid w:val="00EA6842"/>
    <w:rsid w:val="00EB161A"/>
    <w:rsid w:val="00EB1A66"/>
    <w:rsid w:val="00EB1B80"/>
    <w:rsid w:val="00EB3442"/>
    <w:rsid w:val="00EB4A1B"/>
    <w:rsid w:val="00EB4C26"/>
    <w:rsid w:val="00EB5127"/>
    <w:rsid w:val="00EB53F2"/>
    <w:rsid w:val="00EB5826"/>
    <w:rsid w:val="00EB5F41"/>
    <w:rsid w:val="00EB6125"/>
    <w:rsid w:val="00EB7803"/>
    <w:rsid w:val="00EB787F"/>
    <w:rsid w:val="00EC0295"/>
    <w:rsid w:val="00EC0454"/>
    <w:rsid w:val="00EC19FA"/>
    <w:rsid w:val="00EC26A1"/>
    <w:rsid w:val="00EC3CA5"/>
    <w:rsid w:val="00EC3D04"/>
    <w:rsid w:val="00EC4346"/>
    <w:rsid w:val="00EC5F86"/>
    <w:rsid w:val="00EC7F39"/>
    <w:rsid w:val="00ED0940"/>
    <w:rsid w:val="00ED1190"/>
    <w:rsid w:val="00ED15DA"/>
    <w:rsid w:val="00ED25CE"/>
    <w:rsid w:val="00ED3A55"/>
    <w:rsid w:val="00ED3FE1"/>
    <w:rsid w:val="00ED402C"/>
    <w:rsid w:val="00ED511B"/>
    <w:rsid w:val="00ED5CE5"/>
    <w:rsid w:val="00ED71A4"/>
    <w:rsid w:val="00EE0ACF"/>
    <w:rsid w:val="00EE16BD"/>
    <w:rsid w:val="00EE2A28"/>
    <w:rsid w:val="00EE37DE"/>
    <w:rsid w:val="00EE4623"/>
    <w:rsid w:val="00EE67C5"/>
    <w:rsid w:val="00EF0051"/>
    <w:rsid w:val="00EF18EF"/>
    <w:rsid w:val="00EF1F08"/>
    <w:rsid w:val="00EF4031"/>
    <w:rsid w:val="00EF4D17"/>
    <w:rsid w:val="00EF5D9E"/>
    <w:rsid w:val="00EF61B1"/>
    <w:rsid w:val="00EF7A8D"/>
    <w:rsid w:val="00F01FF7"/>
    <w:rsid w:val="00F0279F"/>
    <w:rsid w:val="00F02EC1"/>
    <w:rsid w:val="00F034F1"/>
    <w:rsid w:val="00F05891"/>
    <w:rsid w:val="00F05908"/>
    <w:rsid w:val="00F06516"/>
    <w:rsid w:val="00F10081"/>
    <w:rsid w:val="00F10305"/>
    <w:rsid w:val="00F1076B"/>
    <w:rsid w:val="00F10AD7"/>
    <w:rsid w:val="00F10D71"/>
    <w:rsid w:val="00F10DF6"/>
    <w:rsid w:val="00F11B9B"/>
    <w:rsid w:val="00F11D20"/>
    <w:rsid w:val="00F120D0"/>
    <w:rsid w:val="00F13E0D"/>
    <w:rsid w:val="00F1421D"/>
    <w:rsid w:val="00F17AB4"/>
    <w:rsid w:val="00F20B6E"/>
    <w:rsid w:val="00F20FF5"/>
    <w:rsid w:val="00F248EC"/>
    <w:rsid w:val="00F24BCF"/>
    <w:rsid w:val="00F24C64"/>
    <w:rsid w:val="00F25ABC"/>
    <w:rsid w:val="00F2639B"/>
    <w:rsid w:val="00F26B48"/>
    <w:rsid w:val="00F276EE"/>
    <w:rsid w:val="00F3042A"/>
    <w:rsid w:val="00F30CF5"/>
    <w:rsid w:val="00F3255F"/>
    <w:rsid w:val="00F33271"/>
    <w:rsid w:val="00F3510E"/>
    <w:rsid w:val="00F35B8D"/>
    <w:rsid w:val="00F373DC"/>
    <w:rsid w:val="00F37EF3"/>
    <w:rsid w:val="00F400A3"/>
    <w:rsid w:val="00F403D6"/>
    <w:rsid w:val="00F4062A"/>
    <w:rsid w:val="00F40782"/>
    <w:rsid w:val="00F422EF"/>
    <w:rsid w:val="00F42894"/>
    <w:rsid w:val="00F4597E"/>
    <w:rsid w:val="00F45CF2"/>
    <w:rsid w:val="00F47B25"/>
    <w:rsid w:val="00F47B5C"/>
    <w:rsid w:val="00F506AE"/>
    <w:rsid w:val="00F509C3"/>
    <w:rsid w:val="00F51346"/>
    <w:rsid w:val="00F5235B"/>
    <w:rsid w:val="00F52A5E"/>
    <w:rsid w:val="00F53A98"/>
    <w:rsid w:val="00F54947"/>
    <w:rsid w:val="00F54AD8"/>
    <w:rsid w:val="00F54B9C"/>
    <w:rsid w:val="00F54F7B"/>
    <w:rsid w:val="00F55A7E"/>
    <w:rsid w:val="00F55CD7"/>
    <w:rsid w:val="00F560DC"/>
    <w:rsid w:val="00F56863"/>
    <w:rsid w:val="00F56916"/>
    <w:rsid w:val="00F56AD0"/>
    <w:rsid w:val="00F56CB1"/>
    <w:rsid w:val="00F56D24"/>
    <w:rsid w:val="00F626C2"/>
    <w:rsid w:val="00F63F85"/>
    <w:rsid w:val="00F6520B"/>
    <w:rsid w:val="00F65819"/>
    <w:rsid w:val="00F67804"/>
    <w:rsid w:val="00F67A6B"/>
    <w:rsid w:val="00F67E91"/>
    <w:rsid w:val="00F72C27"/>
    <w:rsid w:val="00F72D23"/>
    <w:rsid w:val="00F73CFD"/>
    <w:rsid w:val="00F7423B"/>
    <w:rsid w:val="00F74CB0"/>
    <w:rsid w:val="00F75495"/>
    <w:rsid w:val="00F75A08"/>
    <w:rsid w:val="00F765EB"/>
    <w:rsid w:val="00F773A0"/>
    <w:rsid w:val="00F81C9E"/>
    <w:rsid w:val="00F81CE4"/>
    <w:rsid w:val="00F83602"/>
    <w:rsid w:val="00F83935"/>
    <w:rsid w:val="00F8471E"/>
    <w:rsid w:val="00F84CE8"/>
    <w:rsid w:val="00F8673B"/>
    <w:rsid w:val="00F86989"/>
    <w:rsid w:val="00F908F8"/>
    <w:rsid w:val="00F92442"/>
    <w:rsid w:val="00F9247A"/>
    <w:rsid w:val="00F9267D"/>
    <w:rsid w:val="00F926C8"/>
    <w:rsid w:val="00F937B0"/>
    <w:rsid w:val="00F93C2F"/>
    <w:rsid w:val="00F96350"/>
    <w:rsid w:val="00F96C05"/>
    <w:rsid w:val="00F97494"/>
    <w:rsid w:val="00F97D2D"/>
    <w:rsid w:val="00FA040D"/>
    <w:rsid w:val="00FA05A4"/>
    <w:rsid w:val="00FA1103"/>
    <w:rsid w:val="00FA172D"/>
    <w:rsid w:val="00FA1AF5"/>
    <w:rsid w:val="00FA2F87"/>
    <w:rsid w:val="00FA3020"/>
    <w:rsid w:val="00FA30C2"/>
    <w:rsid w:val="00FA372A"/>
    <w:rsid w:val="00FA4313"/>
    <w:rsid w:val="00FA63B6"/>
    <w:rsid w:val="00FA7135"/>
    <w:rsid w:val="00FA784C"/>
    <w:rsid w:val="00FB058F"/>
    <w:rsid w:val="00FB06E1"/>
    <w:rsid w:val="00FB0ADC"/>
    <w:rsid w:val="00FB0CA2"/>
    <w:rsid w:val="00FB471F"/>
    <w:rsid w:val="00FB481E"/>
    <w:rsid w:val="00FB6912"/>
    <w:rsid w:val="00FB703A"/>
    <w:rsid w:val="00FC00DD"/>
    <w:rsid w:val="00FC0A72"/>
    <w:rsid w:val="00FC1247"/>
    <w:rsid w:val="00FC13EC"/>
    <w:rsid w:val="00FC14D9"/>
    <w:rsid w:val="00FC1C66"/>
    <w:rsid w:val="00FC27D4"/>
    <w:rsid w:val="00FC2A79"/>
    <w:rsid w:val="00FC3CD4"/>
    <w:rsid w:val="00FC4E2A"/>
    <w:rsid w:val="00FC5020"/>
    <w:rsid w:val="00FC55BF"/>
    <w:rsid w:val="00FC5D80"/>
    <w:rsid w:val="00FC60FB"/>
    <w:rsid w:val="00FC6ACE"/>
    <w:rsid w:val="00FC6F4F"/>
    <w:rsid w:val="00FC785E"/>
    <w:rsid w:val="00FD1B30"/>
    <w:rsid w:val="00FD3D3E"/>
    <w:rsid w:val="00FD4E9B"/>
    <w:rsid w:val="00FD5051"/>
    <w:rsid w:val="00FD5958"/>
    <w:rsid w:val="00FD5A0F"/>
    <w:rsid w:val="00FD756D"/>
    <w:rsid w:val="00FD7972"/>
    <w:rsid w:val="00FE059A"/>
    <w:rsid w:val="00FE0781"/>
    <w:rsid w:val="00FE0FB2"/>
    <w:rsid w:val="00FE1692"/>
    <w:rsid w:val="00FE29AF"/>
    <w:rsid w:val="00FE3D65"/>
    <w:rsid w:val="00FE54AE"/>
    <w:rsid w:val="00FE7586"/>
    <w:rsid w:val="00FF0A6A"/>
    <w:rsid w:val="00FF19F0"/>
    <w:rsid w:val="00FF1A8D"/>
    <w:rsid w:val="00FF1E56"/>
    <w:rsid w:val="00FF2339"/>
    <w:rsid w:val="00FF2430"/>
    <w:rsid w:val="00FF26B9"/>
    <w:rsid w:val="00FF2DDB"/>
    <w:rsid w:val="00FF33AA"/>
    <w:rsid w:val="00FF371D"/>
    <w:rsid w:val="00FF4B33"/>
    <w:rsid w:val="00FF5F0D"/>
    <w:rsid w:val="00FF637D"/>
    <w:rsid w:val="00FF64CF"/>
    <w:rsid w:val="00FF6B5D"/>
    <w:rsid w:val="00FF75BA"/>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rules v:ext="edit">
        <o:r id="V:Rule8" type="connector" idref="#_x0000_s1332"/>
        <o:r id="V:Rule9" type="connector" idref="#_x0000_s1394"/>
        <o:r id="V:Rule10" type="connector" idref="#_x0000_s1328"/>
        <o:r id="V:Rule11" type="connector" idref="#_x0000_s1331"/>
        <o:r id="V:Rule12" type="connector" idref="#_x0000_s1333"/>
        <o:r id="V:Rule13" type="connector" idref="#_x0000_s1329"/>
        <o:r id="V:Rule14" type="connector" idref="#_x0000_s132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annotation text" w:uiPriority="99"/>
    <w:lsdException w:name="header" w:uiPriority="99"/>
    <w:lsdException w:name="footer" w:uiPriority="99"/>
    <w:lsdException w:name="caption" w:qFormat="1"/>
    <w:lsdException w:name="annotation reference" w:uiPriority="99"/>
    <w:lsdException w:name="Title" w:qFormat="1"/>
    <w:lsdException w:name="Body Text" w:uiPriority="99"/>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7EBC"/>
    <w:pPr>
      <w:spacing w:after="240" w:line="260" w:lineRule="exact"/>
      <w:jc w:val="center"/>
    </w:pPr>
    <w:rPr>
      <w:rFonts w:ascii="Arial Narrow" w:hAnsi="Arial Narrow"/>
      <w:sz w:val="16"/>
      <w:szCs w:val="16"/>
    </w:rPr>
  </w:style>
  <w:style w:type="paragraph" w:styleId="Heading1">
    <w:name w:val="heading 1"/>
    <w:basedOn w:val="HeadingBase"/>
    <w:next w:val="Normal"/>
    <w:qFormat/>
    <w:rsid w:val="00EC5F86"/>
    <w:pPr>
      <w:spacing w:after="240"/>
      <w:jc w:val="center"/>
      <w:outlineLvl w:val="0"/>
    </w:pPr>
    <w:rPr>
      <w:b/>
      <w:smallCaps/>
      <w:kern w:val="28"/>
      <w:sz w:val="34"/>
    </w:rPr>
  </w:style>
  <w:style w:type="paragraph" w:styleId="Heading2">
    <w:name w:val="heading 2"/>
    <w:basedOn w:val="HeadingBase"/>
    <w:next w:val="Normal"/>
    <w:link w:val="Heading2Char"/>
    <w:qFormat/>
    <w:rsid w:val="00EC5F86"/>
    <w:pPr>
      <w:spacing w:before="360" w:after="360"/>
      <w:outlineLvl w:val="1"/>
    </w:pPr>
    <w:rPr>
      <w:sz w:val="30"/>
    </w:rPr>
  </w:style>
  <w:style w:type="paragraph" w:styleId="Heading3">
    <w:name w:val="heading 3"/>
    <w:basedOn w:val="HeadingBase"/>
    <w:next w:val="Normal"/>
    <w:link w:val="Heading3Char"/>
    <w:qFormat/>
    <w:rsid w:val="00EC5F86"/>
    <w:pPr>
      <w:tabs>
        <w:tab w:val="left" w:pos="709"/>
      </w:tabs>
      <w:spacing w:before="240" w:after="240"/>
      <w:outlineLvl w:val="2"/>
    </w:pPr>
    <w:rPr>
      <w:b/>
      <w:smallCaps/>
      <w:sz w:val="26"/>
    </w:rPr>
  </w:style>
  <w:style w:type="paragraph" w:styleId="Heading4">
    <w:name w:val="heading 4"/>
    <w:basedOn w:val="HeadingBase"/>
    <w:next w:val="Normal"/>
    <w:qFormat/>
    <w:rsid w:val="00EC5F86"/>
    <w:pPr>
      <w:tabs>
        <w:tab w:val="left" w:pos="709"/>
      </w:tabs>
      <w:spacing w:before="120" w:after="120"/>
      <w:outlineLvl w:val="3"/>
    </w:pPr>
    <w:rPr>
      <w:b/>
      <w:sz w:val="22"/>
    </w:rPr>
  </w:style>
  <w:style w:type="paragraph" w:styleId="Heading5">
    <w:name w:val="heading 5"/>
    <w:basedOn w:val="HeadingBase"/>
    <w:next w:val="Normal"/>
    <w:qFormat/>
    <w:rsid w:val="00EC5F86"/>
    <w:pPr>
      <w:spacing w:after="120"/>
      <w:outlineLvl w:val="4"/>
    </w:pPr>
    <w:rPr>
      <w:b/>
      <w:bCs/>
      <w:iCs/>
      <w:sz w:val="20"/>
      <w:szCs w:val="26"/>
    </w:rPr>
  </w:style>
  <w:style w:type="paragraph" w:styleId="Heading6">
    <w:name w:val="heading 6"/>
    <w:basedOn w:val="HeadingBase"/>
    <w:next w:val="Normal"/>
    <w:qFormat/>
    <w:rsid w:val="00EC5F86"/>
    <w:pPr>
      <w:spacing w:after="120"/>
      <w:outlineLvl w:val="5"/>
    </w:pPr>
    <w:rPr>
      <w:bCs/>
      <w:sz w:val="20"/>
      <w:szCs w:val="22"/>
    </w:rPr>
  </w:style>
  <w:style w:type="paragraph" w:styleId="Heading7">
    <w:name w:val="heading 7"/>
    <w:basedOn w:val="HeadingBase"/>
    <w:next w:val="Normal"/>
    <w:qFormat/>
    <w:rsid w:val="00EC5F86"/>
    <w:pPr>
      <w:spacing w:after="100"/>
      <w:outlineLvl w:val="6"/>
    </w:pPr>
    <w:rPr>
      <w:sz w:val="18"/>
      <w:szCs w:val="24"/>
    </w:rPr>
  </w:style>
  <w:style w:type="paragraph" w:styleId="Heading8">
    <w:name w:val="heading 8"/>
    <w:basedOn w:val="HeadingBase"/>
    <w:next w:val="Normal"/>
    <w:qFormat/>
    <w:rsid w:val="00EC5F86"/>
    <w:pPr>
      <w:spacing w:before="240" w:after="60"/>
      <w:outlineLvl w:val="7"/>
    </w:pPr>
    <w:rPr>
      <w:rFonts w:ascii="Times New Roman" w:hAnsi="Times New Roman"/>
      <w:i/>
      <w:iCs/>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rsid w:val="00EC5F86"/>
    <w:rPr>
      <w:i/>
      <w:color w:val="FF0000"/>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rsid w:val="00EC5F86"/>
    <w:pPr>
      <w:spacing w:before="120" w:after="20"/>
    </w:pPr>
    <w:rPr>
      <w:b/>
    </w:rPr>
  </w:style>
  <w:style w:type="paragraph" w:customStyle="1" w:styleId="HeadingBase">
    <w:name w:val="Heading Base"/>
    <w:link w:val="HeadingBaseChar"/>
    <w:rsid w:val="00EC5F86"/>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rsid w:val="00EC5F86"/>
    <w:pPr>
      <w:numPr>
        <w:numId w:val="2"/>
      </w:numPr>
    </w:pPr>
  </w:style>
  <w:style w:type="paragraph" w:customStyle="1" w:styleId="Dash">
    <w:name w:val="Dash"/>
    <w:basedOn w:val="Normal"/>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EC5F86"/>
    <w:pPr>
      <w:numPr>
        <w:numId w:val="19"/>
      </w:numPr>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EC5F86"/>
    <w:pPr>
      <w:tabs>
        <w:tab w:val="left" w:pos="284"/>
      </w:tabs>
      <w:ind w:left="284" w:hanging="284"/>
      <w:jc w:val="both"/>
    </w:pPr>
    <w:rPr>
      <w:sz w:val="16"/>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6"/>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EC5F86"/>
    <w:pPr>
      <w:spacing w:after="360"/>
      <w:jc w:val="center"/>
    </w:pPr>
    <w:rPr>
      <w:b/>
      <w:smallCaps/>
      <w:sz w:val="34"/>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semiHidden/>
    <w:rsid w:val="00EC5F86"/>
    <w:rPr>
      <w:rFonts w:ascii="Times New Roman" w:hAnsi="Times New Roman"/>
      <w:vanish/>
      <w:sz w:val="16"/>
    </w:rPr>
  </w:style>
  <w:style w:type="paragraph" w:customStyle="1" w:styleId="OverviewParagraph">
    <w:name w:val="Overview Paragraph"/>
    <w:basedOn w:val="Normal"/>
    <w:semiHidden/>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semiHidden/>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rPr>
  </w:style>
  <w:style w:type="paragraph" w:customStyle="1" w:styleId="TableTextBase">
    <w:name w:val="Table Text Base"/>
    <w:basedOn w:val="Normal"/>
    <w:link w:val="TableTextBaseChar"/>
    <w:rsid w:val="00EC5F86"/>
    <w:pPr>
      <w:spacing w:before="60" w:after="60" w:line="240" w:lineRule="auto"/>
      <w:jc w:val="left"/>
    </w:pPr>
    <w:rPr>
      <w:rFonts w:ascii="Arial" w:hAnsi="Arial"/>
      <w:sz w:val="18"/>
    </w:rPr>
  </w:style>
  <w:style w:type="paragraph" w:customStyle="1" w:styleId="TableColumnHeadingBase">
    <w:name w:val="Table Column Heading Base"/>
    <w:basedOn w:val="Normal"/>
    <w:rsid w:val="00EC5F86"/>
    <w:pPr>
      <w:spacing w:before="60" w:after="60" w:line="240" w:lineRule="auto"/>
      <w:jc w:val="left"/>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rsid w:val="00EC5F86"/>
    <w:pPr>
      <w:numPr>
        <w:numId w:val="4"/>
      </w:numPr>
    </w:pPr>
  </w:style>
  <w:style w:type="paragraph" w:styleId="Title">
    <w:name w:val="Title"/>
    <w:basedOn w:val="Normal"/>
    <w:qFormat/>
    <w:rsid w:val="004B0B19"/>
    <w:pPr>
      <w:spacing w:after="0" w:line="240" w:lineRule="auto"/>
      <w:outlineLvl w:val="0"/>
    </w:pPr>
    <w:rPr>
      <w:rFonts w:ascii="Arial" w:hAnsi="Arial" w:cs="Arial"/>
      <w:b/>
      <w:bCs/>
      <w:caps/>
      <w:kern w:val="28"/>
      <w:sz w:val="52"/>
      <w:szCs w:val="32"/>
    </w:rPr>
  </w:style>
  <w:style w:type="paragraph" w:customStyle="1" w:styleId="TableHeadingcontinued">
    <w:name w:val="Table Heading continued"/>
    <w:basedOn w:val="HeadingBase"/>
    <w:next w:val="TableGraphic"/>
    <w:rsid w:val="00EC5F86"/>
    <w:pPr>
      <w:spacing w:before="120" w:after="20"/>
    </w:pPr>
    <w:rPr>
      <w:rFonts w:ascii="Arial Bold" w:hAnsi="Arial Bold"/>
      <w:b/>
      <w:sz w:val="20"/>
    </w:rPr>
  </w:style>
  <w:style w:type="paragraph" w:customStyle="1" w:styleId="TPHeading1">
    <w:name w:val="TP Heading 1"/>
    <w:basedOn w:val="HeadingBase"/>
    <w:rsid w:val="00EC5F86"/>
    <w:rPr>
      <w:b/>
      <w:caps/>
      <w:sz w:val="52"/>
    </w:rPr>
  </w:style>
  <w:style w:type="paragraph" w:customStyle="1" w:styleId="TPHeading2">
    <w:name w:val="TP Heading 2"/>
    <w:basedOn w:val="HeadingBase"/>
    <w:rsid w:val="0032738E"/>
    <w:pPr>
      <w:jc w:val="center"/>
    </w:pPr>
    <w:rPr>
      <w:rFonts w:ascii="Georgia" w:hAnsi="Georgia"/>
      <w:caps/>
    </w:rPr>
  </w:style>
  <w:style w:type="paragraph" w:customStyle="1" w:styleId="TPHeading3">
    <w:name w:val="TP Heading 3"/>
    <w:basedOn w:val="HeadingBase"/>
    <w:rsid w:val="0032738E"/>
    <w:rPr>
      <w:rFonts w:ascii="Georgia" w:hAnsi="Georgia"/>
      <w:caps/>
    </w:rPr>
  </w:style>
  <w:style w:type="paragraph" w:customStyle="1" w:styleId="HeaderBase">
    <w:name w:val="Header Base"/>
    <w:rsid w:val="00EC5F86"/>
    <w:rPr>
      <w:rFonts w:ascii="Book Antiqua" w:hAnsi="Book Antiqua"/>
      <w:i/>
    </w:rPr>
  </w:style>
  <w:style w:type="paragraph" w:customStyle="1" w:styleId="HeaderEven">
    <w:name w:val="Header Even"/>
    <w:basedOn w:val="HeaderBase"/>
    <w:rsid w:val="00EC5F86"/>
  </w:style>
  <w:style w:type="paragraph" w:customStyle="1" w:styleId="HeaderOdd">
    <w:name w:val="Header Odd"/>
    <w:basedOn w:val="HeaderBase"/>
    <w:rsid w:val="00EC5F86"/>
    <w:pPr>
      <w:jc w:val="right"/>
    </w:pPr>
  </w:style>
  <w:style w:type="paragraph" w:styleId="Header">
    <w:name w:val="header"/>
    <w:basedOn w:val="HeaderBase"/>
    <w:link w:val="HeaderChar"/>
    <w:uiPriority w:val="99"/>
    <w:rsid w:val="00EC5F86"/>
    <w:pPr>
      <w:tabs>
        <w:tab w:val="center" w:pos="4153"/>
        <w:tab w:val="right" w:pos="8306"/>
      </w:tabs>
    </w:p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uiPriority w:val="99"/>
    <w:rsid w:val="00EC5F86"/>
    <w:pPr>
      <w:tabs>
        <w:tab w:val="center" w:pos="4153"/>
        <w:tab w:val="right" w:pos="8306"/>
      </w:tabs>
    </w:pPr>
  </w:style>
  <w:style w:type="paragraph" w:styleId="BalloonText">
    <w:name w:val="Balloon Text"/>
    <w:basedOn w:val="Normal"/>
    <w:semiHidden/>
    <w:rsid w:val="00EC5F86"/>
    <w:rPr>
      <w:rFonts w:ascii="Tahoma" w:hAnsi="Tahoma" w:cs="Tahoma"/>
    </w:rPr>
  </w:style>
  <w:style w:type="paragraph" w:styleId="Caption">
    <w:name w:val="caption"/>
    <w:basedOn w:val="Normal"/>
    <w:next w:val="Normal"/>
    <w:qFormat/>
    <w:rsid w:val="00EC5F86"/>
    <w:rPr>
      <w:b/>
      <w:bCs/>
    </w:rPr>
  </w:style>
  <w:style w:type="character" w:styleId="CommentReference">
    <w:name w:val="annotation reference"/>
    <w:uiPriority w:val="99"/>
    <w:semiHidden/>
    <w:rsid w:val="00EC5F86"/>
    <w:rPr>
      <w:sz w:val="16"/>
      <w:szCs w:val="16"/>
    </w:rPr>
  </w:style>
  <w:style w:type="paragraph" w:styleId="CommentText">
    <w:name w:val="annotation text"/>
    <w:basedOn w:val="Normal"/>
    <w:link w:val="CommentTextChar"/>
    <w:uiPriority w:val="99"/>
    <w:semiHidden/>
    <w:rsid w:val="00EC5F86"/>
  </w:style>
  <w:style w:type="paragraph" w:styleId="CommentSubject">
    <w:name w:val="annotation subject"/>
    <w:basedOn w:val="CommentText"/>
    <w:next w:val="CommentText"/>
    <w:semiHidden/>
    <w:rsid w:val="00EC5F86"/>
    <w:rPr>
      <w:b/>
      <w:bCs/>
    </w:rPr>
  </w:style>
  <w:style w:type="paragraph" w:styleId="DocumentMap">
    <w:name w:val="Document Map"/>
    <w:basedOn w:val="Normal"/>
    <w:semiHidden/>
    <w:rsid w:val="00EC5F86"/>
    <w:pPr>
      <w:shd w:val="clear" w:color="auto" w:fill="000080"/>
    </w:pPr>
    <w:rPr>
      <w:rFonts w:ascii="Tahoma" w:hAnsi="Tahoma" w:cs="Tahoma"/>
    </w:rPr>
  </w:style>
  <w:style w:type="character" w:styleId="EndnoteReference">
    <w:name w:val="endnote reference"/>
    <w:semiHidden/>
    <w:rsid w:val="00EC5F86"/>
    <w:rPr>
      <w:vertAlign w:val="superscript"/>
    </w:rPr>
  </w:style>
  <w:style w:type="paragraph" w:styleId="EndnoteText">
    <w:name w:val="endnote text"/>
    <w:basedOn w:val="Normal"/>
    <w:semiHidden/>
    <w:rsid w:val="00EC5F86"/>
  </w:style>
  <w:style w:type="character" w:styleId="FootnoteReference">
    <w:name w:val="footnote reference"/>
    <w:rsid w:val="00EC5F86"/>
    <w:rPr>
      <w:vertAlign w:val="superscript"/>
    </w:rPr>
  </w:style>
  <w:style w:type="paragraph" w:styleId="FootnoteText">
    <w:name w:val="footnote text"/>
    <w:basedOn w:val="Normal"/>
    <w:rsid w:val="00EC5F86"/>
    <w:pPr>
      <w:tabs>
        <w:tab w:val="left" w:pos="284"/>
      </w:tabs>
      <w:spacing w:after="0" w:line="240" w:lineRule="auto"/>
      <w:ind w:left="284" w:hanging="284"/>
    </w:pPr>
    <w:rPr>
      <w:sz w:val="18"/>
    </w:rPr>
  </w:style>
  <w:style w:type="paragraph" w:styleId="Index1">
    <w:name w:val="index 1"/>
    <w:basedOn w:val="Normal"/>
    <w:next w:val="Normal"/>
    <w:autoRedefine/>
    <w:semiHidden/>
    <w:rsid w:val="00EC5F86"/>
    <w:pPr>
      <w:ind w:left="200" w:hanging="200"/>
    </w:pPr>
  </w:style>
  <w:style w:type="paragraph" w:styleId="Index2">
    <w:name w:val="index 2"/>
    <w:basedOn w:val="Normal"/>
    <w:next w:val="Normal"/>
    <w:autoRedefine/>
    <w:semiHidden/>
    <w:rsid w:val="00EC5F86"/>
    <w:pPr>
      <w:ind w:left="400" w:hanging="200"/>
    </w:pPr>
  </w:style>
  <w:style w:type="paragraph" w:styleId="Index3">
    <w:name w:val="index 3"/>
    <w:basedOn w:val="Normal"/>
    <w:next w:val="Normal"/>
    <w:autoRedefine/>
    <w:semiHidden/>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semiHidden/>
    <w:rsid w:val="00EC5F86"/>
    <w:rPr>
      <w:rFonts w:ascii="Arial" w:hAnsi="Arial" w:cs="Arial"/>
      <w:b/>
      <w:bCs/>
    </w:rPr>
  </w:style>
  <w:style w:type="paragraph" w:styleId="MacroText">
    <w:name w:val="macro"/>
    <w:semiHidden/>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semiHidden/>
    <w:rsid w:val="00EC5F86"/>
    <w:pPr>
      <w:ind w:left="200" w:hanging="200"/>
    </w:pPr>
  </w:style>
  <w:style w:type="paragraph" w:styleId="TableofFigures">
    <w:name w:val="table of figures"/>
    <w:basedOn w:val="Normal"/>
    <w:next w:val="Normal"/>
    <w:semiHidden/>
    <w:rsid w:val="00EC5F86"/>
  </w:style>
  <w:style w:type="paragraph" w:styleId="TOAHeading">
    <w:name w:val="toa heading"/>
    <w:basedOn w:val="Normal"/>
    <w:next w:val="Normal"/>
    <w:semiHidden/>
    <w:rsid w:val="00EC5F86"/>
    <w:pPr>
      <w:spacing w:before="120"/>
    </w:pPr>
    <w:rPr>
      <w:rFonts w:ascii="Arial" w:hAnsi="Arial" w:cs="Arial"/>
      <w:b/>
      <w:bCs/>
      <w:sz w:val="24"/>
      <w:szCs w:val="24"/>
    </w:rPr>
  </w:style>
  <w:style w:type="paragraph" w:styleId="TOC1">
    <w:name w:val="toc 1"/>
    <w:basedOn w:val="HeaderBase"/>
    <w:next w:val="Normal"/>
    <w:uiPriority w:val="39"/>
    <w:rsid w:val="00EC5F86"/>
    <w:pPr>
      <w:tabs>
        <w:tab w:val="right" w:leader="dot" w:pos="7700"/>
      </w:tabs>
      <w:spacing w:before="240"/>
      <w:ind w:right="851"/>
    </w:pPr>
    <w:rPr>
      <w:rFonts w:ascii="Arial" w:hAnsi="Arial"/>
      <w:b/>
      <w:i w:val="0"/>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rsid w:val="00EC5F86"/>
    <w:pPr>
      <w:tabs>
        <w:tab w:val="right" w:leader="dot" w:pos="7700"/>
      </w:tabs>
      <w:spacing w:before="120"/>
      <w:ind w:right="851"/>
    </w:pPr>
    <w:rPr>
      <w:b/>
      <w:sz w:val="20"/>
    </w:rPr>
  </w:style>
  <w:style w:type="paragraph" w:styleId="TOC4">
    <w:name w:val="toc 4"/>
    <w:basedOn w:val="HeadingBase"/>
    <w:next w:val="Normal"/>
    <w:rsid w:val="00EC5F86"/>
    <w:pPr>
      <w:tabs>
        <w:tab w:val="right" w:leader="dot" w:pos="7700"/>
      </w:tabs>
      <w:spacing w:before="40"/>
      <w:ind w:right="851"/>
    </w:pPr>
    <w:rPr>
      <w:sz w:val="20"/>
    </w:rPr>
  </w:style>
  <w:style w:type="paragraph" w:styleId="TOC5">
    <w:name w:val="toc 5"/>
    <w:basedOn w:val="Normal"/>
    <w:next w:val="Normal"/>
    <w:autoRedefine/>
    <w:semiHidden/>
    <w:rsid w:val="00EC5F86"/>
    <w:pPr>
      <w:ind w:left="800"/>
    </w:pPr>
  </w:style>
  <w:style w:type="paragraph" w:styleId="TOC6">
    <w:name w:val="toc 6"/>
    <w:basedOn w:val="Normal"/>
    <w:next w:val="Normal"/>
    <w:autoRedefine/>
    <w:semiHidden/>
    <w:rsid w:val="00EC5F86"/>
    <w:pPr>
      <w:ind w:left="1000"/>
    </w:pPr>
  </w:style>
  <w:style w:type="paragraph" w:styleId="TOC7">
    <w:name w:val="toc 7"/>
    <w:basedOn w:val="Normal"/>
    <w:next w:val="Normal"/>
    <w:autoRedefine/>
    <w:semiHidden/>
    <w:rsid w:val="00EC5F86"/>
    <w:pPr>
      <w:ind w:left="1200"/>
    </w:pPr>
  </w:style>
  <w:style w:type="paragraph" w:styleId="TOC8">
    <w:name w:val="toc 8"/>
    <w:basedOn w:val="Normal"/>
    <w:next w:val="Normal"/>
    <w:autoRedefine/>
    <w:semiHidden/>
    <w:rsid w:val="00EC5F86"/>
    <w:pPr>
      <w:ind w:left="1400"/>
    </w:pPr>
  </w:style>
  <w:style w:type="paragraph" w:styleId="TOC9">
    <w:name w:val="toc 9"/>
    <w:basedOn w:val="Normal"/>
    <w:next w:val="Normal"/>
    <w:autoRedefine/>
    <w:semiHidden/>
    <w:rsid w:val="00EC5F86"/>
    <w:pPr>
      <w:ind w:left="1600"/>
    </w:pPr>
  </w:style>
  <w:style w:type="paragraph" w:customStyle="1" w:styleId="FileProperties">
    <w:name w:val="File Properties"/>
    <w:basedOn w:val="Normal"/>
    <w:semiHidden/>
    <w:rsid w:val="00EC5F86"/>
    <w:rPr>
      <w:i/>
    </w:rPr>
  </w:style>
  <w:style w:type="character" w:styleId="PageNumber">
    <w:name w:val="page number"/>
    <w:rsid w:val="00EC5F86"/>
    <w:rPr>
      <w:rFonts w:ascii="Arial" w:hAnsi="Arial" w:cs="Arial"/>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pPr>
    <w:rPr>
      <w:rFonts w:ascii="Arial" w:hAnsi="Arial"/>
      <w:b/>
    </w:rPr>
  </w:style>
  <w:style w:type="table" w:styleId="TableGrid">
    <w:name w:val="Table Grid"/>
    <w:basedOn w:val="TableNormal"/>
    <w:rsid w:val="00EC5F86"/>
    <w:pPr>
      <w:spacing w:after="240" w:line="260" w:lineRule="exac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rPr>
      <w:rFonts w:ascii="Arial" w:hAnsi="Arial"/>
      <w:caps/>
    </w:rPr>
  </w:style>
  <w:style w:type="paragraph" w:customStyle="1" w:styleId="Part">
    <w:name w:val="Part"/>
    <w:basedOn w:val="Title"/>
    <w:next w:val="Normal"/>
    <w:rsid w:val="00EC5F86"/>
    <w:rPr>
      <w:caps w:val="0"/>
      <w:smallCaps/>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rsid w:val="00D50C9B"/>
    <w:rPr>
      <w:rFonts w:ascii="Book Antiqua" w:hAnsi="Book Antiqua"/>
      <w:i/>
      <w:color w:val="FF0000"/>
      <w:lang w:val="en-AU" w:eastAsia="en-AU" w:bidi="ar-SA"/>
    </w:rPr>
  </w:style>
  <w:style w:type="paragraph" w:customStyle="1" w:styleId="Crest">
    <w:name w:val="Crest"/>
    <w:basedOn w:val="Normal"/>
    <w:next w:val="TransmittalStyle1"/>
    <w:rsid w:val="00021DA6"/>
    <w:pPr>
      <w:spacing w:after="0" w:line="240" w:lineRule="auto"/>
    </w:pPr>
  </w:style>
  <w:style w:type="character" w:styleId="Hyperlink">
    <w:name w:val="Hyperlink"/>
    <w:uiPriority w:val="99"/>
    <w:rsid w:val="00AA27AA"/>
    <w:rPr>
      <w:color w:val="0000FF"/>
      <w:u w:val="singl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jc w:val="left"/>
    </w:pPr>
    <w:rPr>
      <w:b/>
      <w:sz w:val="22"/>
    </w:rPr>
  </w:style>
  <w:style w:type="paragraph" w:customStyle="1" w:styleId="TableColumnOutgroupSubheading">
    <w:name w:val="Table Column Outgroup Subheading"/>
    <w:basedOn w:val="Normal"/>
    <w:rsid w:val="00EC5F86"/>
    <w:pPr>
      <w:spacing w:before="60" w:after="120" w:line="240" w:lineRule="auto"/>
    </w:pPr>
  </w:style>
  <w:style w:type="paragraph" w:customStyle="1" w:styleId="TableTextBullet">
    <w:name w:val="Table Text Bullet"/>
    <w:basedOn w:val="TableTextBase"/>
    <w:link w:val="TableTextBulletChar"/>
    <w:rsid w:val="00EC5F86"/>
    <w:pPr>
      <w:numPr>
        <w:numId w:val="5"/>
      </w:numPr>
    </w:pPr>
  </w:style>
  <w:style w:type="paragraph" w:customStyle="1" w:styleId="Exampletextdash">
    <w:name w:val="Example text dash"/>
    <w:basedOn w:val="Exampletextbullet"/>
    <w:rsid w:val="00EC5F86"/>
    <w:pPr>
      <w:numPr>
        <w:ilvl w:val="1"/>
      </w:numPr>
    </w:pPr>
  </w:style>
  <w:style w:type="character" w:customStyle="1" w:styleId="HeadingBaseChar">
    <w:name w:val="Heading Base Char"/>
    <w:link w:val="HeadingBase"/>
    <w:rsid w:val="00574E9E"/>
    <w:rPr>
      <w:rFonts w:ascii="Arial" w:hAnsi="Arial"/>
      <w:sz w:val="24"/>
      <w:lang w:val="en-AU" w:eastAsia="en-AU" w:bidi="ar-SA"/>
    </w:rPr>
  </w:style>
  <w:style w:type="character" w:customStyle="1" w:styleId="TableHeadingChar">
    <w:name w:val="Table Heading Char"/>
    <w:link w:val="TableHeading"/>
    <w:rsid w:val="00574E9E"/>
    <w:rPr>
      <w:rFonts w:ascii="Arial" w:hAnsi="Arial"/>
      <w:b/>
      <w:sz w:val="24"/>
      <w:lang w:val="en-AU" w:eastAsia="en-AU" w:bidi="ar-SA"/>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aliases w:val="NFP GP Bulleted List,List Paragraph1,Recommendation,NAST Quote,List Paragraph11,Bullet point,L,bullet point list,1 heading,Bulleted Para,Bullet points,Content descriptions,Bullet Point,FooterText,numbered,Paragraphe de liste1,列出段落,列出段落1"/>
    <w:basedOn w:val="Normal"/>
    <w:link w:val="ListParagraphChar"/>
    <w:qFormat/>
    <w:rsid w:val="000A345B"/>
    <w:pPr>
      <w:spacing w:after="200" w:line="276" w:lineRule="auto"/>
      <w:ind w:left="720"/>
      <w:contextualSpacing/>
      <w:jc w:val="left"/>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5"/>
      </w:numPr>
    </w:pPr>
  </w:style>
  <w:style w:type="character" w:customStyle="1" w:styleId="ChartandTableFootnoteChar">
    <w:name w:val="Chart and Table Footnote Char"/>
    <w:link w:val="ChartandTableFootnote"/>
    <w:rsid w:val="005606B5"/>
    <w:rPr>
      <w:rFonts w:ascii="Arial" w:hAnsi="Arial"/>
      <w:sz w:val="16"/>
      <w:lang w:val="en-AU" w:eastAsia="en-AU" w:bidi="ar-SA"/>
    </w:rPr>
  </w:style>
  <w:style w:type="paragraph" w:customStyle="1" w:styleId="PartHeading">
    <w:name w:val="Part Heading"/>
    <w:basedOn w:val="Part"/>
    <w:next w:val="Normal"/>
    <w:rsid w:val="00EC5F86"/>
  </w:style>
  <w:style w:type="character" w:customStyle="1" w:styleId="BulletChar">
    <w:name w:val="Bullet Char"/>
    <w:link w:val="Bullet"/>
    <w:rsid w:val="00FD5958"/>
    <w:rPr>
      <w:rFonts w:ascii="Arial Narrow" w:hAnsi="Arial Narrow"/>
      <w:sz w:val="16"/>
      <w:szCs w:val="16"/>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6"/>
      </w:numPr>
    </w:pPr>
    <w:rPr>
      <w:color w:val="000000"/>
    </w:rPr>
  </w:style>
  <w:style w:type="paragraph" w:customStyle="1" w:styleId="BoxDoubleDot">
    <w:name w:val="Box Double Dot"/>
    <w:basedOn w:val="BoxTextBase"/>
    <w:rsid w:val="00EC5F86"/>
    <w:pPr>
      <w:numPr>
        <w:ilvl w:val="2"/>
        <w:numId w:val="6"/>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C7638D"/>
    <w:rPr>
      <w:rFonts w:ascii="Arial" w:hAnsi="Arial"/>
      <w:b/>
      <w:smallCaps/>
      <w:sz w:val="26"/>
      <w:lang w:val="en-AU" w:eastAsia="en-AU" w:bidi="ar-SA"/>
    </w:rPr>
  </w:style>
  <w:style w:type="character" w:customStyle="1" w:styleId="CommentTextChar">
    <w:name w:val="Comment Text Char"/>
    <w:link w:val="CommentText"/>
    <w:uiPriority w:val="99"/>
    <w:semiHidden/>
    <w:rsid w:val="001B0C75"/>
    <w:rPr>
      <w:rFonts w:ascii="Book Antiqua" w:hAnsi="Book Antiqua"/>
    </w:rPr>
  </w:style>
  <w:style w:type="paragraph" w:customStyle="1" w:styleId="ExampleText0">
    <w:name w:val="Example Text"/>
    <w:basedOn w:val="Normal"/>
    <w:rsid w:val="00C11F05"/>
    <w:pPr>
      <w:jc w:val="left"/>
    </w:pPr>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uiPriority w:val="99"/>
    <w:rsid w:val="00C42D37"/>
    <w:rPr>
      <w:rFonts w:ascii="Book Antiqua" w:hAnsi="Book Antiqua"/>
      <w:i/>
    </w:rPr>
  </w:style>
  <w:style w:type="character" w:styleId="FollowedHyperlink">
    <w:name w:val="FollowedHyperlink"/>
    <w:rsid w:val="00F10D71"/>
    <w:rPr>
      <w:color w:val="800080"/>
      <w:u w:val="single"/>
    </w:rPr>
  </w:style>
  <w:style w:type="character" w:customStyle="1" w:styleId="FooterChar">
    <w:name w:val="Footer Char"/>
    <w:link w:val="Footer"/>
    <w:uiPriority w:val="99"/>
    <w:rsid w:val="00605163"/>
    <w:rPr>
      <w:rFonts w:ascii="Arial" w:hAnsi="Arial"/>
    </w:rPr>
  </w:style>
  <w:style w:type="character" w:styleId="Strong">
    <w:name w:val="Strong"/>
    <w:qFormat/>
    <w:rsid w:val="00B2691D"/>
    <w:rPr>
      <w:b/>
      <w:bCs/>
    </w:rPr>
  </w:style>
  <w:style w:type="paragraph" w:styleId="BodyText">
    <w:name w:val="Body Text"/>
    <w:basedOn w:val="Normal"/>
    <w:link w:val="BodyTextChar"/>
    <w:uiPriority w:val="99"/>
    <w:rsid w:val="002A55B5"/>
    <w:pPr>
      <w:spacing w:after="120"/>
    </w:pPr>
  </w:style>
  <w:style w:type="character" w:customStyle="1" w:styleId="BodyTextChar">
    <w:name w:val="Body Text Char"/>
    <w:basedOn w:val="DefaultParagraphFont"/>
    <w:link w:val="BodyText"/>
    <w:rsid w:val="002A55B5"/>
    <w:rPr>
      <w:rFonts w:ascii="Book Antiqua" w:hAnsi="Book Antiqua"/>
    </w:rPr>
  </w:style>
  <w:style w:type="paragraph" w:customStyle="1" w:styleId="Default">
    <w:name w:val="Default"/>
    <w:rsid w:val="00487304"/>
    <w:pPr>
      <w:autoSpaceDE w:val="0"/>
      <w:autoSpaceDN w:val="0"/>
      <w:adjustRightInd w:val="0"/>
    </w:pPr>
    <w:rPr>
      <w:rFonts w:ascii="Book Antiqua" w:hAnsi="Book Antiqua" w:cs="Book Antiqua"/>
      <w:color w:val="000000"/>
      <w:sz w:val="24"/>
      <w:szCs w:val="24"/>
    </w:rPr>
  </w:style>
  <w:style w:type="character" w:customStyle="1" w:styleId="Heading2Char">
    <w:name w:val="Heading 2 Char"/>
    <w:basedOn w:val="DefaultParagraphFont"/>
    <w:link w:val="Heading2"/>
    <w:rsid w:val="00B01F19"/>
    <w:rPr>
      <w:rFonts w:ascii="Arial" w:hAnsi="Arial"/>
      <w:sz w:val="30"/>
    </w:rPr>
  </w:style>
  <w:style w:type="character" w:customStyle="1" w:styleId="ListParagraphChar">
    <w:name w:val="List Paragraph Char"/>
    <w:aliases w:val="NFP GP Bulleted List Char,List Paragraph1 Char,Recommendation Char,NAST Quote Char,List Paragraph11 Char,Bullet point Char,L Char,bullet point list Char,1 heading Char,Bulleted Para Char,Bullet points Char,Content descriptions Char"/>
    <w:basedOn w:val="DefaultParagraphFont"/>
    <w:link w:val="ListParagraph"/>
    <w:uiPriority w:val="34"/>
    <w:locked/>
    <w:rsid w:val="000217A0"/>
    <w:rPr>
      <w:rFonts w:ascii="Calibri" w:eastAsia="Calibri" w:hAnsi="Calibri"/>
      <w:sz w:val="22"/>
      <w:szCs w:val="22"/>
      <w:lang w:val="en-US" w:eastAsia="en-US"/>
    </w:rPr>
  </w:style>
  <w:style w:type="paragraph" w:customStyle="1" w:styleId="HeadingMin">
    <w:name w:val="HeadingMin"/>
    <w:basedOn w:val="Normal"/>
    <w:rsid w:val="00F4062A"/>
    <w:pPr>
      <w:spacing w:after="0" w:line="240" w:lineRule="auto"/>
    </w:pPr>
    <w:rPr>
      <w:rFonts w:ascii="Arial" w:hAnsi="Arial"/>
      <w:caps/>
      <w:spacing w:val="20"/>
      <w:sz w:val="40"/>
      <w:szCs w:val="24"/>
    </w:rPr>
  </w:style>
  <w:style w:type="paragraph" w:customStyle="1" w:styleId="HeadingOffice">
    <w:name w:val="HeadingOffice"/>
    <w:basedOn w:val="Normal"/>
    <w:rsid w:val="00F4062A"/>
    <w:pPr>
      <w:spacing w:after="0" w:line="240" w:lineRule="auto"/>
    </w:pPr>
    <w:rPr>
      <w:rFonts w:ascii="Arial" w:hAnsi="Arial"/>
      <w:spacing w:val="10"/>
      <w:sz w:val="28"/>
      <w:szCs w:val="24"/>
    </w:rPr>
  </w:style>
  <w:style w:type="character" w:styleId="PlaceholderText">
    <w:name w:val="Placeholder Text"/>
    <w:basedOn w:val="DefaultParagraphFont"/>
    <w:uiPriority w:val="99"/>
    <w:semiHidden/>
    <w:rsid w:val="00F4062A"/>
    <w:rPr>
      <w:color w:val="808080"/>
    </w:rPr>
  </w:style>
  <w:style w:type="character" w:styleId="Emphasis">
    <w:name w:val="Emphasis"/>
    <w:basedOn w:val="DefaultParagraphFont"/>
    <w:uiPriority w:val="20"/>
    <w:qFormat/>
    <w:rsid w:val="00A77614"/>
    <w:rPr>
      <w:i/>
      <w:iCs/>
    </w:rPr>
  </w:style>
  <w:style w:type="paragraph" w:styleId="NormalWeb">
    <w:name w:val="Normal (Web)"/>
    <w:basedOn w:val="Normal"/>
    <w:uiPriority w:val="99"/>
    <w:unhideWhenUsed/>
    <w:rsid w:val="00EB5F41"/>
    <w:pPr>
      <w:spacing w:before="100" w:beforeAutospacing="1" w:after="100" w:afterAutospacing="1" w:line="240" w:lineRule="auto"/>
      <w:jc w:val="left"/>
    </w:pPr>
    <w:rPr>
      <w:rFonts w:ascii="Times New Roman" w:hAnsi="Times New Roman"/>
      <w:sz w:val="24"/>
      <w:szCs w:val="24"/>
    </w:rPr>
  </w:style>
  <w:style w:type="character" w:customStyle="1" w:styleId="TableTextBulletChar">
    <w:name w:val="Table Text Bullet Char"/>
    <w:link w:val="TableTextBullet"/>
    <w:rsid w:val="00B2394E"/>
    <w:rPr>
      <w:rFonts w:ascii="Arial" w:hAnsi="Arial"/>
      <w:sz w:val="18"/>
      <w:szCs w:val="16"/>
    </w:rPr>
  </w:style>
</w:styles>
</file>

<file path=word/webSettings.xml><?xml version="1.0" encoding="utf-8"?>
<w:webSettings xmlns:r="http://schemas.openxmlformats.org/officeDocument/2006/relationships" xmlns:w="http://schemas.openxmlformats.org/wordprocessingml/2006/main">
  <w:divs>
    <w:div w:id="7028163">
      <w:bodyDiv w:val="1"/>
      <w:marLeft w:val="0"/>
      <w:marRight w:val="0"/>
      <w:marTop w:val="0"/>
      <w:marBottom w:val="0"/>
      <w:divBdr>
        <w:top w:val="none" w:sz="0" w:space="0" w:color="auto"/>
        <w:left w:val="none" w:sz="0" w:space="0" w:color="auto"/>
        <w:bottom w:val="none" w:sz="0" w:space="0" w:color="auto"/>
        <w:right w:val="none" w:sz="0" w:space="0" w:color="auto"/>
      </w:divBdr>
    </w:div>
    <w:div w:id="16663730">
      <w:bodyDiv w:val="1"/>
      <w:marLeft w:val="0"/>
      <w:marRight w:val="0"/>
      <w:marTop w:val="0"/>
      <w:marBottom w:val="0"/>
      <w:divBdr>
        <w:top w:val="none" w:sz="0" w:space="0" w:color="auto"/>
        <w:left w:val="none" w:sz="0" w:space="0" w:color="auto"/>
        <w:bottom w:val="none" w:sz="0" w:space="0" w:color="auto"/>
        <w:right w:val="none" w:sz="0" w:space="0" w:color="auto"/>
      </w:divBdr>
    </w:div>
    <w:div w:id="21446347">
      <w:bodyDiv w:val="1"/>
      <w:marLeft w:val="0"/>
      <w:marRight w:val="0"/>
      <w:marTop w:val="0"/>
      <w:marBottom w:val="0"/>
      <w:divBdr>
        <w:top w:val="none" w:sz="0" w:space="0" w:color="auto"/>
        <w:left w:val="none" w:sz="0" w:space="0" w:color="auto"/>
        <w:bottom w:val="none" w:sz="0" w:space="0" w:color="auto"/>
        <w:right w:val="none" w:sz="0" w:space="0" w:color="auto"/>
      </w:divBdr>
    </w:div>
    <w:div w:id="25568745">
      <w:bodyDiv w:val="1"/>
      <w:marLeft w:val="0"/>
      <w:marRight w:val="0"/>
      <w:marTop w:val="0"/>
      <w:marBottom w:val="0"/>
      <w:divBdr>
        <w:top w:val="none" w:sz="0" w:space="0" w:color="auto"/>
        <w:left w:val="none" w:sz="0" w:space="0" w:color="auto"/>
        <w:bottom w:val="none" w:sz="0" w:space="0" w:color="auto"/>
        <w:right w:val="none" w:sz="0" w:space="0" w:color="auto"/>
      </w:divBdr>
    </w:div>
    <w:div w:id="69162172">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109399748">
      <w:bodyDiv w:val="1"/>
      <w:marLeft w:val="0"/>
      <w:marRight w:val="0"/>
      <w:marTop w:val="0"/>
      <w:marBottom w:val="0"/>
      <w:divBdr>
        <w:top w:val="none" w:sz="0" w:space="0" w:color="auto"/>
        <w:left w:val="none" w:sz="0" w:space="0" w:color="auto"/>
        <w:bottom w:val="none" w:sz="0" w:space="0" w:color="auto"/>
        <w:right w:val="none" w:sz="0" w:space="0" w:color="auto"/>
      </w:divBdr>
    </w:div>
    <w:div w:id="116679048">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75047508">
      <w:bodyDiv w:val="1"/>
      <w:marLeft w:val="0"/>
      <w:marRight w:val="0"/>
      <w:marTop w:val="0"/>
      <w:marBottom w:val="0"/>
      <w:divBdr>
        <w:top w:val="none" w:sz="0" w:space="0" w:color="auto"/>
        <w:left w:val="none" w:sz="0" w:space="0" w:color="auto"/>
        <w:bottom w:val="none" w:sz="0" w:space="0" w:color="auto"/>
        <w:right w:val="none" w:sz="0" w:space="0" w:color="auto"/>
      </w:divBdr>
    </w:div>
    <w:div w:id="193620055">
      <w:bodyDiv w:val="1"/>
      <w:marLeft w:val="0"/>
      <w:marRight w:val="0"/>
      <w:marTop w:val="0"/>
      <w:marBottom w:val="0"/>
      <w:divBdr>
        <w:top w:val="none" w:sz="0" w:space="0" w:color="auto"/>
        <w:left w:val="none" w:sz="0" w:space="0" w:color="auto"/>
        <w:bottom w:val="none" w:sz="0" w:space="0" w:color="auto"/>
        <w:right w:val="none" w:sz="0" w:space="0" w:color="auto"/>
      </w:divBdr>
    </w:div>
    <w:div w:id="225648232">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39560816">
      <w:bodyDiv w:val="1"/>
      <w:marLeft w:val="0"/>
      <w:marRight w:val="0"/>
      <w:marTop w:val="0"/>
      <w:marBottom w:val="0"/>
      <w:divBdr>
        <w:top w:val="none" w:sz="0" w:space="0" w:color="auto"/>
        <w:left w:val="none" w:sz="0" w:space="0" w:color="auto"/>
        <w:bottom w:val="none" w:sz="0" w:space="0" w:color="auto"/>
        <w:right w:val="none" w:sz="0" w:space="0" w:color="auto"/>
      </w:divBdr>
    </w:div>
    <w:div w:id="260837839">
      <w:bodyDiv w:val="1"/>
      <w:marLeft w:val="0"/>
      <w:marRight w:val="0"/>
      <w:marTop w:val="0"/>
      <w:marBottom w:val="0"/>
      <w:divBdr>
        <w:top w:val="none" w:sz="0" w:space="0" w:color="auto"/>
        <w:left w:val="none" w:sz="0" w:space="0" w:color="auto"/>
        <w:bottom w:val="none" w:sz="0" w:space="0" w:color="auto"/>
        <w:right w:val="none" w:sz="0" w:space="0" w:color="auto"/>
      </w:divBdr>
    </w:div>
    <w:div w:id="262959491">
      <w:bodyDiv w:val="1"/>
      <w:marLeft w:val="0"/>
      <w:marRight w:val="0"/>
      <w:marTop w:val="0"/>
      <w:marBottom w:val="0"/>
      <w:divBdr>
        <w:top w:val="none" w:sz="0" w:space="0" w:color="auto"/>
        <w:left w:val="none" w:sz="0" w:space="0" w:color="auto"/>
        <w:bottom w:val="none" w:sz="0" w:space="0" w:color="auto"/>
        <w:right w:val="none" w:sz="0" w:space="0" w:color="auto"/>
      </w:divBdr>
    </w:div>
    <w:div w:id="264269688">
      <w:bodyDiv w:val="1"/>
      <w:marLeft w:val="0"/>
      <w:marRight w:val="0"/>
      <w:marTop w:val="0"/>
      <w:marBottom w:val="0"/>
      <w:divBdr>
        <w:top w:val="none" w:sz="0" w:space="0" w:color="auto"/>
        <w:left w:val="none" w:sz="0" w:space="0" w:color="auto"/>
        <w:bottom w:val="none" w:sz="0" w:space="0" w:color="auto"/>
        <w:right w:val="none" w:sz="0" w:space="0" w:color="auto"/>
      </w:divBdr>
    </w:div>
    <w:div w:id="267859145">
      <w:bodyDiv w:val="1"/>
      <w:marLeft w:val="0"/>
      <w:marRight w:val="0"/>
      <w:marTop w:val="0"/>
      <w:marBottom w:val="0"/>
      <w:divBdr>
        <w:top w:val="none" w:sz="0" w:space="0" w:color="auto"/>
        <w:left w:val="none" w:sz="0" w:space="0" w:color="auto"/>
        <w:bottom w:val="none" w:sz="0" w:space="0" w:color="auto"/>
        <w:right w:val="none" w:sz="0" w:space="0" w:color="auto"/>
      </w:divBdr>
    </w:div>
    <w:div w:id="287205784">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9024744">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36150256">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56781055">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389615222">
      <w:bodyDiv w:val="1"/>
      <w:marLeft w:val="0"/>
      <w:marRight w:val="0"/>
      <w:marTop w:val="0"/>
      <w:marBottom w:val="0"/>
      <w:divBdr>
        <w:top w:val="none" w:sz="0" w:space="0" w:color="auto"/>
        <w:left w:val="none" w:sz="0" w:space="0" w:color="auto"/>
        <w:bottom w:val="none" w:sz="0" w:space="0" w:color="auto"/>
        <w:right w:val="none" w:sz="0" w:space="0" w:color="auto"/>
      </w:divBdr>
      <w:divsChild>
        <w:div w:id="2072389081">
          <w:marLeft w:val="0"/>
          <w:marRight w:val="0"/>
          <w:marTop w:val="0"/>
          <w:marBottom w:val="0"/>
          <w:divBdr>
            <w:top w:val="none" w:sz="0" w:space="0" w:color="auto"/>
            <w:left w:val="none" w:sz="0" w:space="0" w:color="auto"/>
            <w:bottom w:val="none" w:sz="0" w:space="0" w:color="auto"/>
            <w:right w:val="none" w:sz="0" w:space="0" w:color="auto"/>
          </w:divBdr>
          <w:divsChild>
            <w:div w:id="1117480423">
              <w:marLeft w:val="0"/>
              <w:marRight w:val="0"/>
              <w:marTop w:val="0"/>
              <w:marBottom w:val="0"/>
              <w:divBdr>
                <w:top w:val="none" w:sz="0" w:space="0" w:color="auto"/>
                <w:left w:val="none" w:sz="0" w:space="0" w:color="auto"/>
                <w:bottom w:val="none" w:sz="0" w:space="0" w:color="auto"/>
                <w:right w:val="none" w:sz="0" w:space="0" w:color="auto"/>
              </w:divBdr>
              <w:divsChild>
                <w:div w:id="993534433">
                  <w:marLeft w:val="107"/>
                  <w:marRight w:val="107"/>
                  <w:marTop w:val="0"/>
                  <w:marBottom w:val="0"/>
                  <w:divBdr>
                    <w:top w:val="none" w:sz="0" w:space="0" w:color="auto"/>
                    <w:left w:val="none" w:sz="0" w:space="0" w:color="auto"/>
                    <w:bottom w:val="none" w:sz="0" w:space="0" w:color="auto"/>
                    <w:right w:val="none" w:sz="0" w:space="0" w:color="auto"/>
                  </w:divBdr>
                  <w:divsChild>
                    <w:div w:id="162013758">
                      <w:marLeft w:val="0"/>
                      <w:marRight w:val="0"/>
                      <w:marTop w:val="0"/>
                      <w:marBottom w:val="0"/>
                      <w:divBdr>
                        <w:top w:val="none" w:sz="0" w:space="0" w:color="auto"/>
                        <w:left w:val="none" w:sz="0" w:space="0" w:color="auto"/>
                        <w:bottom w:val="none" w:sz="0" w:space="0" w:color="auto"/>
                        <w:right w:val="none" w:sz="0" w:space="0" w:color="auto"/>
                      </w:divBdr>
                      <w:divsChild>
                        <w:div w:id="864560875">
                          <w:marLeft w:val="0"/>
                          <w:marRight w:val="0"/>
                          <w:marTop w:val="0"/>
                          <w:marBottom w:val="0"/>
                          <w:divBdr>
                            <w:top w:val="none" w:sz="0" w:space="0" w:color="auto"/>
                            <w:left w:val="none" w:sz="0" w:space="0" w:color="auto"/>
                            <w:bottom w:val="none" w:sz="0" w:space="0" w:color="auto"/>
                            <w:right w:val="none" w:sz="0" w:space="0" w:color="auto"/>
                          </w:divBdr>
                          <w:divsChild>
                            <w:div w:id="560602706">
                              <w:marLeft w:val="0"/>
                              <w:marRight w:val="0"/>
                              <w:marTop w:val="0"/>
                              <w:marBottom w:val="0"/>
                              <w:divBdr>
                                <w:top w:val="none" w:sz="0" w:space="0" w:color="auto"/>
                                <w:left w:val="none" w:sz="0" w:space="0" w:color="auto"/>
                                <w:bottom w:val="none" w:sz="0" w:space="0" w:color="auto"/>
                                <w:right w:val="none" w:sz="0" w:space="0" w:color="auto"/>
                              </w:divBdr>
                              <w:divsChild>
                                <w:div w:id="128014463">
                                  <w:marLeft w:val="0"/>
                                  <w:marRight w:val="0"/>
                                  <w:marTop w:val="0"/>
                                  <w:marBottom w:val="0"/>
                                  <w:divBdr>
                                    <w:top w:val="none" w:sz="0" w:space="0" w:color="auto"/>
                                    <w:left w:val="none" w:sz="0" w:space="0" w:color="auto"/>
                                    <w:bottom w:val="none" w:sz="0" w:space="0" w:color="auto"/>
                                    <w:right w:val="none" w:sz="0" w:space="0" w:color="auto"/>
                                  </w:divBdr>
                                  <w:divsChild>
                                    <w:div w:id="491141161">
                                      <w:marLeft w:val="0"/>
                                      <w:marRight w:val="0"/>
                                      <w:marTop w:val="0"/>
                                      <w:marBottom w:val="0"/>
                                      <w:divBdr>
                                        <w:top w:val="none" w:sz="0" w:space="0" w:color="auto"/>
                                        <w:left w:val="none" w:sz="0" w:space="0" w:color="auto"/>
                                        <w:bottom w:val="none" w:sz="0" w:space="0" w:color="auto"/>
                                        <w:right w:val="none" w:sz="0" w:space="0" w:color="auto"/>
                                      </w:divBdr>
                                      <w:divsChild>
                                        <w:div w:id="314603609">
                                          <w:marLeft w:val="0"/>
                                          <w:marRight w:val="0"/>
                                          <w:marTop w:val="0"/>
                                          <w:marBottom w:val="0"/>
                                          <w:divBdr>
                                            <w:top w:val="none" w:sz="0" w:space="0" w:color="auto"/>
                                            <w:left w:val="none" w:sz="0" w:space="0" w:color="auto"/>
                                            <w:bottom w:val="none" w:sz="0" w:space="0" w:color="auto"/>
                                            <w:right w:val="none" w:sz="0" w:space="0" w:color="auto"/>
                                          </w:divBdr>
                                          <w:divsChild>
                                            <w:div w:id="327170516">
                                              <w:marLeft w:val="0"/>
                                              <w:marRight w:val="0"/>
                                              <w:marTop w:val="0"/>
                                              <w:marBottom w:val="0"/>
                                              <w:divBdr>
                                                <w:top w:val="none" w:sz="0" w:space="0" w:color="auto"/>
                                                <w:left w:val="none" w:sz="0" w:space="0" w:color="auto"/>
                                                <w:bottom w:val="none" w:sz="0" w:space="0" w:color="auto"/>
                                                <w:right w:val="none" w:sz="0" w:space="0" w:color="auto"/>
                                              </w:divBdr>
                                              <w:divsChild>
                                                <w:div w:id="1884440631">
                                                  <w:marLeft w:val="0"/>
                                                  <w:marRight w:val="0"/>
                                                  <w:marTop w:val="0"/>
                                                  <w:marBottom w:val="0"/>
                                                  <w:divBdr>
                                                    <w:top w:val="none" w:sz="0" w:space="0" w:color="auto"/>
                                                    <w:left w:val="none" w:sz="0" w:space="0" w:color="auto"/>
                                                    <w:bottom w:val="none" w:sz="0" w:space="0" w:color="auto"/>
                                                    <w:right w:val="none" w:sz="0" w:space="0" w:color="auto"/>
                                                  </w:divBdr>
                                                  <w:divsChild>
                                                    <w:div w:id="1094594796">
                                                      <w:marLeft w:val="0"/>
                                                      <w:marRight w:val="0"/>
                                                      <w:marTop w:val="0"/>
                                                      <w:marBottom w:val="0"/>
                                                      <w:divBdr>
                                                        <w:top w:val="none" w:sz="0" w:space="0" w:color="auto"/>
                                                        <w:left w:val="none" w:sz="0" w:space="0" w:color="auto"/>
                                                        <w:bottom w:val="none" w:sz="0" w:space="0" w:color="auto"/>
                                                        <w:right w:val="none" w:sz="0" w:space="0" w:color="auto"/>
                                                      </w:divBdr>
                                                      <w:divsChild>
                                                        <w:div w:id="5506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09159277">
      <w:bodyDiv w:val="1"/>
      <w:marLeft w:val="0"/>
      <w:marRight w:val="0"/>
      <w:marTop w:val="0"/>
      <w:marBottom w:val="0"/>
      <w:divBdr>
        <w:top w:val="none" w:sz="0" w:space="0" w:color="auto"/>
        <w:left w:val="none" w:sz="0" w:space="0" w:color="auto"/>
        <w:bottom w:val="none" w:sz="0" w:space="0" w:color="auto"/>
        <w:right w:val="none" w:sz="0" w:space="0" w:color="auto"/>
      </w:divBdr>
    </w:div>
    <w:div w:id="411972345">
      <w:bodyDiv w:val="1"/>
      <w:marLeft w:val="0"/>
      <w:marRight w:val="0"/>
      <w:marTop w:val="0"/>
      <w:marBottom w:val="0"/>
      <w:divBdr>
        <w:top w:val="none" w:sz="0" w:space="0" w:color="auto"/>
        <w:left w:val="none" w:sz="0" w:space="0" w:color="auto"/>
        <w:bottom w:val="none" w:sz="0" w:space="0" w:color="auto"/>
        <w:right w:val="none" w:sz="0" w:space="0" w:color="auto"/>
      </w:divBdr>
    </w:div>
    <w:div w:id="438257794">
      <w:bodyDiv w:val="1"/>
      <w:marLeft w:val="0"/>
      <w:marRight w:val="0"/>
      <w:marTop w:val="0"/>
      <w:marBottom w:val="0"/>
      <w:divBdr>
        <w:top w:val="none" w:sz="0" w:space="0" w:color="auto"/>
        <w:left w:val="none" w:sz="0" w:space="0" w:color="auto"/>
        <w:bottom w:val="none" w:sz="0" w:space="0" w:color="auto"/>
        <w:right w:val="none" w:sz="0" w:space="0" w:color="auto"/>
      </w:divBdr>
    </w:div>
    <w:div w:id="450781602">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513881330">
      <w:bodyDiv w:val="1"/>
      <w:marLeft w:val="0"/>
      <w:marRight w:val="0"/>
      <w:marTop w:val="0"/>
      <w:marBottom w:val="0"/>
      <w:divBdr>
        <w:top w:val="none" w:sz="0" w:space="0" w:color="auto"/>
        <w:left w:val="none" w:sz="0" w:space="0" w:color="auto"/>
        <w:bottom w:val="none" w:sz="0" w:space="0" w:color="auto"/>
        <w:right w:val="none" w:sz="0" w:space="0" w:color="auto"/>
      </w:divBdr>
    </w:div>
    <w:div w:id="520239193">
      <w:bodyDiv w:val="1"/>
      <w:marLeft w:val="0"/>
      <w:marRight w:val="0"/>
      <w:marTop w:val="0"/>
      <w:marBottom w:val="0"/>
      <w:divBdr>
        <w:top w:val="none" w:sz="0" w:space="0" w:color="auto"/>
        <w:left w:val="none" w:sz="0" w:space="0" w:color="auto"/>
        <w:bottom w:val="none" w:sz="0" w:space="0" w:color="auto"/>
        <w:right w:val="none" w:sz="0" w:space="0" w:color="auto"/>
      </w:divBdr>
    </w:div>
    <w:div w:id="579097585">
      <w:bodyDiv w:val="1"/>
      <w:marLeft w:val="0"/>
      <w:marRight w:val="0"/>
      <w:marTop w:val="0"/>
      <w:marBottom w:val="0"/>
      <w:divBdr>
        <w:top w:val="none" w:sz="0" w:space="0" w:color="auto"/>
        <w:left w:val="none" w:sz="0" w:space="0" w:color="auto"/>
        <w:bottom w:val="none" w:sz="0" w:space="0" w:color="auto"/>
        <w:right w:val="none" w:sz="0" w:space="0" w:color="auto"/>
      </w:divBdr>
    </w:div>
    <w:div w:id="590433672">
      <w:bodyDiv w:val="1"/>
      <w:marLeft w:val="0"/>
      <w:marRight w:val="0"/>
      <w:marTop w:val="0"/>
      <w:marBottom w:val="0"/>
      <w:divBdr>
        <w:top w:val="none" w:sz="0" w:space="0" w:color="auto"/>
        <w:left w:val="none" w:sz="0" w:space="0" w:color="auto"/>
        <w:bottom w:val="none" w:sz="0" w:space="0" w:color="auto"/>
        <w:right w:val="none" w:sz="0" w:space="0" w:color="auto"/>
      </w:divBdr>
    </w:div>
    <w:div w:id="591939012">
      <w:bodyDiv w:val="1"/>
      <w:marLeft w:val="0"/>
      <w:marRight w:val="0"/>
      <w:marTop w:val="0"/>
      <w:marBottom w:val="0"/>
      <w:divBdr>
        <w:top w:val="none" w:sz="0" w:space="0" w:color="auto"/>
        <w:left w:val="none" w:sz="0" w:space="0" w:color="auto"/>
        <w:bottom w:val="none" w:sz="0" w:space="0" w:color="auto"/>
        <w:right w:val="none" w:sz="0" w:space="0" w:color="auto"/>
      </w:divBdr>
    </w:div>
    <w:div w:id="592058023">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01305977">
      <w:bodyDiv w:val="1"/>
      <w:marLeft w:val="0"/>
      <w:marRight w:val="0"/>
      <w:marTop w:val="0"/>
      <w:marBottom w:val="0"/>
      <w:divBdr>
        <w:top w:val="none" w:sz="0" w:space="0" w:color="auto"/>
        <w:left w:val="none" w:sz="0" w:space="0" w:color="auto"/>
        <w:bottom w:val="none" w:sz="0" w:space="0" w:color="auto"/>
        <w:right w:val="none" w:sz="0" w:space="0" w:color="auto"/>
      </w:divBdr>
      <w:divsChild>
        <w:div w:id="2043358796">
          <w:marLeft w:val="0"/>
          <w:marRight w:val="0"/>
          <w:marTop w:val="0"/>
          <w:marBottom w:val="0"/>
          <w:divBdr>
            <w:top w:val="none" w:sz="0" w:space="0" w:color="auto"/>
            <w:left w:val="none" w:sz="0" w:space="0" w:color="auto"/>
            <w:bottom w:val="none" w:sz="0" w:space="0" w:color="auto"/>
            <w:right w:val="none" w:sz="0" w:space="0" w:color="auto"/>
          </w:divBdr>
          <w:divsChild>
            <w:div w:id="979920066">
              <w:marLeft w:val="0"/>
              <w:marRight w:val="0"/>
              <w:marTop w:val="0"/>
              <w:marBottom w:val="0"/>
              <w:divBdr>
                <w:top w:val="none" w:sz="0" w:space="0" w:color="auto"/>
                <w:left w:val="none" w:sz="0" w:space="0" w:color="auto"/>
                <w:bottom w:val="none" w:sz="0" w:space="0" w:color="auto"/>
                <w:right w:val="none" w:sz="0" w:space="0" w:color="auto"/>
              </w:divBdr>
              <w:divsChild>
                <w:div w:id="1730225433">
                  <w:marLeft w:val="107"/>
                  <w:marRight w:val="107"/>
                  <w:marTop w:val="0"/>
                  <w:marBottom w:val="0"/>
                  <w:divBdr>
                    <w:top w:val="none" w:sz="0" w:space="0" w:color="auto"/>
                    <w:left w:val="none" w:sz="0" w:space="0" w:color="auto"/>
                    <w:bottom w:val="none" w:sz="0" w:space="0" w:color="auto"/>
                    <w:right w:val="none" w:sz="0" w:space="0" w:color="auto"/>
                  </w:divBdr>
                  <w:divsChild>
                    <w:div w:id="707409646">
                      <w:marLeft w:val="0"/>
                      <w:marRight w:val="0"/>
                      <w:marTop w:val="0"/>
                      <w:marBottom w:val="0"/>
                      <w:divBdr>
                        <w:top w:val="none" w:sz="0" w:space="0" w:color="auto"/>
                        <w:left w:val="none" w:sz="0" w:space="0" w:color="auto"/>
                        <w:bottom w:val="none" w:sz="0" w:space="0" w:color="auto"/>
                        <w:right w:val="none" w:sz="0" w:space="0" w:color="auto"/>
                      </w:divBdr>
                      <w:divsChild>
                        <w:div w:id="1218055747">
                          <w:marLeft w:val="0"/>
                          <w:marRight w:val="0"/>
                          <w:marTop w:val="0"/>
                          <w:marBottom w:val="0"/>
                          <w:divBdr>
                            <w:top w:val="none" w:sz="0" w:space="0" w:color="auto"/>
                            <w:left w:val="none" w:sz="0" w:space="0" w:color="auto"/>
                            <w:bottom w:val="none" w:sz="0" w:space="0" w:color="auto"/>
                            <w:right w:val="none" w:sz="0" w:space="0" w:color="auto"/>
                          </w:divBdr>
                          <w:divsChild>
                            <w:div w:id="1254512011">
                              <w:marLeft w:val="0"/>
                              <w:marRight w:val="0"/>
                              <w:marTop w:val="0"/>
                              <w:marBottom w:val="0"/>
                              <w:divBdr>
                                <w:top w:val="none" w:sz="0" w:space="0" w:color="auto"/>
                                <w:left w:val="none" w:sz="0" w:space="0" w:color="auto"/>
                                <w:bottom w:val="none" w:sz="0" w:space="0" w:color="auto"/>
                                <w:right w:val="none" w:sz="0" w:space="0" w:color="auto"/>
                              </w:divBdr>
                              <w:divsChild>
                                <w:div w:id="1581867694">
                                  <w:marLeft w:val="0"/>
                                  <w:marRight w:val="0"/>
                                  <w:marTop w:val="0"/>
                                  <w:marBottom w:val="0"/>
                                  <w:divBdr>
                                    <w:top w:val="none" w:sz="0" w:space="0" w:color="auto"/>
                                    <w:left w:val="none" w:sz="0" w:space="0" w:color="auto"/>
                                    <w:bottom w:val="none" w:sz="0" w:space="0" w:color="auto"/>
                                    <w:right w:val="none" w:sz="0" w:space="0" w:color="auto"/>
                                  </w:divBdr>
                                  <w:divsChild>
                                    <w:div w:id="1011226171">
                                      <w:marLeft w:val="0"/>
                                      <w:marRight w:val="0"/>
                                      <w:marTop w:val="0"/>
                                      <w:marBottom w:val="0"/>
                                      <w:divBdr>
                                        <w:top w:val="none" w:sz="0" w:space="0" w:color="auto"/>
                                        <w:left w:val="none" w:sz="0" w:space="0" w:color="auto"/>
                                        <w:bottom w:val="none" w:sz="0" w:space="0" w:color="auto"/>
                                        <w:right w:val="none" w:sz="0" w:space="0" w:color="auto"/>
                                      </w:divBdr>
                                      <w:divsChild>
                                        <w:div w:id="272909635">
                                          <w:marLeft w:val="0"/>
                                          <w:marRight w:val="0"/>
                                          <w:marTop w:val="0"/>
                                          <w:marBottom w:val="0"/>
                                          <w:divBdr>
                                            <w:top w:val="none" w:sz="0" w:space="0" w:color="auto"/>
                                            <w:left w:val="none" w:sz="0" w:space="0" w:color="auto"/>
                                            <w:bottom w:val="none" w:sz="0" w:space="0" w:color="auto"/>
                                            <w:right w:val="none" w:sz="0" w:space="0" w:color="auto"/>
                                          </w:divBdr>
                                          <w:divsChild>
                                            <w:div w:id="2003850523">
                                              <w:marLeft w:val="0"/>
                                              <w:marRight w:val="0"/>
                                              <w:marTop w:val="0"/>
                                              <w:marBottom w:val="0"/>
                                              <w:divBdr>
                                                <w:top w:val="none" w:sz="0" w:space="0" w:color="auto"/>
                                                <w:left w:val="none" w:sz="0" w:space="0" w:color="auto"/>
                                                <w:bottom w:val="none" w:sz="0" w:space="0" w:color="auto"/>
                                                <w:right w:val="none" w:sz="0" w:space="0" w:color="auto"/>
                                              </w:divBdr>
                                              <w:divsChild>
                                                <w:div w:id="318113989">
                                                  <w:marLeft w:val="0"/>
                                                  <w:marRight w:val="0"/>
                                                  <w:marTop w:val="0"/>
                                                  <w:marBottom w:val="0"/>
                                                  <w:divBdr>
                                                    <w:top w:val="none" w:sz="0" w:space="0" w:color="auto"/>
                                                    <w:left w:val="none" w:sz="0" w:space="0" w:color="auto"/>
                                                    <w:bottom w:val="none" w:sz="0" w:space="0" w:color="auto"/>
                                                    <w:right w:val="none" w:sz="0" w:space="0" w:color="auto"/>
                                                  </w:divBdr>
                                                  <w:divsChild>
                                                    <w:div w:id="550338269">
                                                      <w:marLeft w:val="0"/>
                                                      <w:marRight w:val="0"/>
                                                      <w:marTop w:val="0"/>
                                                      <w:marBottom w:val="0"/>
                                                      <w:divBdr>
                                                        <w:top w:val="none" w:sz="0" w:space="0" w:color="auto"/>
                                                        <w:left w:val="none" w:sz="0" w:space="0" w:color="auto"/>
                                                        <w:bottom w:val="none" w:sz="0" w:space="0" w:color="auto"/>
                                                        <w:right w:val="none" w:sz="0" w:space="0" w:color="auto"/>
                                                      </w:divBdr>
                                                      <w:divsChild>
                                                        <w:div w:id="16378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40577124">
      <w:bodyDiv w:val="1"/>
      <w:marLeft w:val="0"/>
      <w:marRight w:val="0"/>
      <w:marTop w:val="0"/>
      <w:marBottom w:val="0"/>
      <w:divBdr>
        <w:top w:val="none" w:sz="0" w:space="0" w:color="auto"/>
        <w:left w:val="none" w:sz="0" w:space="0" w:color="auto"/>
        <w:bottom w:val="none" w:sz="0" w:space="0" w:color="auto"/>
        <w:right w:val="none" w:sz="0" w:space="0" w:color="auto"/>
      </w:divBdr>
    </w:div>
    <w:div w:id="659845856">
      <w:bodyDiv w:val="1"/>
      <w:marLeft w:val="0"/>
      <w:marRight w:val="0"/>
      <w:marTop w:val="0"/>
      <w:marBottom w:val="0"/>
      <w:divBdr>
        <w:top w:val="none" w:sz="0" w:space="0" w:color="auto"/>
        <w:left w:val="none" w:sz="0" w:space="0" w:color="auto"/>
        <w:bottom w:val="none" w:sz="0" w:space="0" w:color="auto"/>
        <w:right w:val="none" w:sz="0" w:space="0" w:color="auto"/>
      </w:divBdr>
      <w:divsChild>
        <w:div w:id="1458455404">
          <w:marLeft w:val="0"/>
          <w:marRight w:val="0"/>
          <w:marTop w:val="0"/>
          <w:marBottom w:val="0"/>
          <w:divBdr>
            <w:top w:val="none" w:sz="0" w:space="0" w:color="auto"/>
            <w:left w:val="none" w:sz="0" w:space="0" w:color="auto"/>
            <w:bottom w:val="none" w:sz="0" w:space="0" w:color="auto"/>
            <w:right w:val="none" w:sz="0" w:space="0" w:color="auto"/>
          </w:divBdr>
          <w:divsChild>
            <w:div w:id="853954147">
              <w:marLeft w:val="0"/>
              <w:marRight w:val="0"/>
              <w:marTop w:val="0"/>
              <w:marBottom w:val="0"/>
              <w:divBdr>
                <w:top w:val="none" w:sz="0" w:space="0" w:color="auto"/>
                <w:left w:val="none" w:sz="0" w:space="0" w:color="auto"/>
                <w:bottom w:val="none" w:sz="0" w:space="0" w:color="auto"/>
                <w:right w:val="none" w:sz="0" w:space="0" w:color="auto"/>
              </w:divBdr>
              <w:divsChild>
                <w:div w:id="1593735291">
                  <w:marLeft w:val="107"/>
                  <w:marRight w:val="107"/>
                  <w:marTop w:val="0"/>
                  <w:marBottom w:val="0"/>
                  <w:divBdr>
                    <w:top w:val="none" w:sz="0" w:space="0" w:color="auto"/>
                    <w:left w:val="none" w:sz="0" w:space="0" w:color="auto"/>
                    <w:bottom w:val="none" w:sz="0" w:space="0" w:color="auto"/>
                    <w:right w:val="none" w:sz="0" w:space="0" w:color="auto"/>
                  </w:divBdr>
                  <w:divsChild>
                    <w:div w:id="102263941">
                      <w:marLeft w:val="0"/>
                      <w:marRight w:val="0"/>
                      <w:marTop w:val="0"/>
                      <w:marBottom w:val="0"/>
                      <w:divBdr>
                        <w:top w:val="none" w:sz="0" w:space="0" w:color="auto"/>
                        <w:left w:val="none" w:sz="0" w:space="0" w:color="auto"/>
                        <w:bottom w:val="none" w:sz="0" w:space="0" w:color="auto"/>
                        <w:right w:val="none" w:sz="0" w:space="0" w:color="auto"/>
                      </w:divBdr>
                      <w:divsChild>
                        <w:div w:id="230624861">
                          <w:marLeft w:val="0"/>
                          <w:marRight w:val="0"/>
                          <w:marTop w:val="0"/>
                          <w:marBottom w:val="0"/>
                          <w:divBdr>
                            <w:top w:val="none" w:sz="0" w:space="0" w:color="auto"/>
                            <w:left w:val="none" w:sz="0" w:space="0" w:color="auto"/>
                            <w:bottom w:val="none" w:sz="0" w:space="0" w:color="auto"/>
                            <w:right w:val="none" w:sz="0" w:space="0" w:color="auto"/>
                          </w:divBdr>
                          <w:divsChild>
                            <w:div w:id="1560746243">
                              <w:marLeft w:val="0"/>
                              <w:marRight w:val="0"/>
                              <w:marTop w:val="0"/>
                              <w:marBottom w:val="0"/>
                              <w:divBdr>
                                <w:top w:val="none" w:sz="0" w:space="0" w:color="auto"/>
                                <w:left w:val="none" w:sz="0" w:space="0" w:color="auto"/>
                                <w:bottom w:val="none" w:sz="0" w:space="0" w:color="auto"/>
                                <w:right w:val="none" w:sz="0" w:space="0" w:color="auto"/>
                              </w:divBdr>
                              <w:divsChild>
                                <w:div w:id="186875128">
                                  <w:marLeft w:val="0"/>
                                  <w:marRight w:val="0"/>
                                  <w:marTop w:val="0"/>
                                  <w:marBottom w:val="0"/>
                                  <w:divBdr>
                                    <w:top w:val="none" w:sz="0" w:space="0" w:color="auto"/>
                                    <w:left w:val="none" w:sz="0" w:space="0" w:color="auto"/>
                                    <w:bottom w:val="none" w:sz="0" w:space="0" w:color="auto"/>
                                    <w:right w:val="none" w:sz="0" w:space="0" w:color="auto"/>
                                  </w:divBdr>
                                  <w:divsChild>
                                    <w:div w:id="922689238">
                                      <w:marLeft w:val="0"/>
                                      <w:marRight w:val="0"/>
                                      <w:marTop w:val="0"/>
                                      <w:marBottom w:val="0"/>
                                      <w:divBdr>
                                        <w:top w:val="none" w:sz="0" w:space="0" w:color="auto"/>
                                        <w:left w:val="none" w:sz="0" w:space="0" w:color="auto"/>
                                        <w:bottom w:val="none" w:sz="0" w:space="0" w:color="auto"/>
                                        <w:right w:val="none" w:sz="0" w:space="0" w:color="auto"/>
                                      </w:divBdr>
                                      <w:divsChild>
                                        <w:div w:id="162934342">
                                          <w:marLeft w:val="0"/>
                                          <w:marRight w:val="0"/>
                                          <w:marTop w:val="0"/>
                                          <w:marBottom w:val="0"/>
                                          <w:divBdr>
                                            <w:top w:val="none" w:sz="0" w:space="0" w:color="auto"/>
                                            <w:left w:val="none" w:sz="0" w:space="0" w:color="auto"/>
                                            <w:bottom w:val="none" w:sz="0" w:space="0" w:color="auto"/>
                                            <w:right w:val="none" w:sz="0" w:space="0" w:color="auto"/>
                                          </w:divBdr>
                                          <w:divsChild>
                                            <w:div w:id="1183394542">
                                              <w:marLeft w:val="0"/>
                                              <w:marRight w:val="0"/>
                                              <w:marTop w:val="0"/>
                                              <w:marBottom w:val="0"/>
                                              <w:divBdr>
                                                <w:top w:val="none" w:sz="0" w:space="0" w:color="auto"/>
                                                <w:left w:val="none" w:sz="0" w:space="0" w:color="auto"/>
                                                <w:bottom w:val="none" w:sz="0" w:space="0" w:color="auto"/>
                                                <w:right w:val="none" w:sz="0" w:space="0" w:color="auto"/>
                                              </w:divBdr>
                                              <w:divsChild>
                                                <w:div w:id="1097675454">
                                                  <w:marLeft w:val="0"/>
                                                  <w:marRight w:val="0"/>
                                                  <w:marTop w:val="0"/>
                                                  <w:marBottom w:val="0"/>
                                                  <w:divBdr>
                                                    <w:top w:val="none" w:sz="0" w:space="0" w:color="auto"/>
                                                    <w:left w:val="none" w:sz="0" w:space="0" w:color="auto"/>
                                                    <w:bottom w:val="none" w:sz="0" w:space="0" w:color="auto"/>
                                                    <w:right w:val="none" w:sz="0" w:space="0" w:color="auto"/>
                                                  </w:divBdr>
                                                  <w:divsChild>
                                                    <w:div w:id="854684371">
                                                      <w:marLeft w:val="0"/>
                                                      <w:marRight w:val="0"/>
                                                      <w:marTop w:val="0"/>
                                                      <w:marBottom w:val="0"/>
                                                      <w:divBdr>
                                                        <w:top w:val="none" w:sz="0" w:space="0" w:color="auto"/>
                                                        <w:left w:val="none" w:sz="0" w:space="0" w:color="auto"/>
                                                        <w:bottom w:val="none" w:sz="0" w:space="0" w:color="auto"/>
                                                        <w:right w:val="none" w:sz="0" w:space="0" w:color="auto"/>
                                                      </w:divBdr>
                                                      <w:divsChild>
                                                        <w:div w:id="148373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76349116">
      <w:bodyDiv w:val="1"/>
      <w:marLeft w:val="0"/>
      <w:marRight w:val="0"/>
      <w:marTop w:val="0"/>
      <w:marBottom w:val="0"/>
      <w:divBdr>
        <w:top w:val="none" w:sz="0" w:space="0" w:color="auto"/>
        <w:left w:val="none" w:sz="0" w:space="0" w:color="auto"/>
        <w:bottom w:val="none" w:sz="0" w:space="0" w:color="auto"/>
        <w:right w:val="none" w:sz="0" w:space="0" w:color="auto"/>
      </w:divBdr>
    </w:div>
    <w:div w:id="684794929">
      <w:bodyDiv w:val="1"/>
      <w:marLeft w:val="0"/>
      <w:marRight w:val="0"/>
      <w:marTop w:val="0"/>
      <w:marBottom w:val="0"/>
      <w:divBdr>
        <w:top w:val="none" w:sz="0" w:space="0" w:color="auto"/>
        <w:left w:val="none" w:sz="0" w:space="0" w:color="auto"/>
        <w:bottom w:val="none" w:sz="0" w:space="0" w:color="auto"/>
        <w:right w:val="none" w:sz="0" w:space="0" w:color="auto"/>
      </w:divBdr>
    </w:div>
    <w:div w:id="744032436">
      <w:bodyDiv w:val="1"/>
      <w:marLeft w:val="0"/>
      <w:marRight w:val="0"/>
      <w:marTop w:val="0"/>
      <w:marBottom w:val="0"/>
      <w:divBdr>
        <w:top w:val="none" w:sz="0" w:space="0" w:color="auto"/>
        <w:left w:val="none" w:sz="0" w:space="0" w:color="auto"/>
        <w:bottom w:val="none" w:sz="0" w:space="0" w:color="auto"/>
        <w:right w:val="none" w:sz="0" w:space="0" w:color="auto"/>
      </w:divBdr>
    </w:div>
    <w:div w:id="750662747">
      <w:bodyDiv w:val="1"/>
      <w:marLeft w:val="0"/>
      <w:marRight w:val="0"/>
      <w:marTop w:val="0"/>
      <w:marBottom w:val="0"/>
      <w:divBdr>
        <w:top w:val="none" w:sz="0" w:space="0" w:color="auto"/>
        <w:left w:val="none" w:sz="0" w:space="0" w:color="auto"/>
        <w:bottom w:val="none" w:sz="0" w:space="0" w:color="auto"/>
        <w:right w:val="none" w:sz="0" w:space="0" w:color="auto"/>
      </w:divBdr>
    </w:div>
    <w:div w:id="754127549">
      <w:bodyDiv w:val="1"/>
      <w:marLeft w:val="0"/>
      <w:marRight w:val="0"/>
      <w:marTop w:val="0"/>
      <w:marBottom w:val="0"/>
      <w:divBdr>
        <w:top w:val="none" w:sz="0" w:space="0" w:color="auto"/>
        <w:left w:val="none" w:sz="0" w:space="0" w:color="auto"/>
        <w:bottom w:val="none" w:sz="0" w:space="0" w:color="auto"/>
        <w:right w:val="none" w:sz="0" w:space="0" w:color="auto"/>
      </w:divBdr>
    </w:div>
    <w:div w:id="782501583">
      <w:bodyDiv w:val="1"/>
      <w:marLeft w:val="0"/>
      <w:marRight w:val="0"/>
      <w:marTop w:val="0"/>
      <w:marBottom w:val="0"/>
      <w:divBdr>
        <w:top w:val="none" w:sz="0" w:space="0" w:color="auto"/>
        <w:left w:val="none" w:sz="0" w:space="0" w:color="auto"/>
        <w:bottom w:val="none" w:sz="0" w:space="0" w:color="auto"/>
        <w:right w:val="none" w:sz="0" w:space="0" w:color="auto"/>
      </w:divBdr>
    </w:div>
    <w:div w:id="788742222">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52643857">
      <w:bodyDiv w:val="1"/>
      <w:marLeft w:val="0"/>
      <w:marRight w:val="0"/>
      <w:marTop w:val="0"/>
      <w:marBottom w:val="0"/>
      <w:divBdr>
        <w:top w:val="none" w:sz="0" w:space="0" w:color="auto"/>
        <w:left w:val="none" w:sz="0" w:space="0" w:color="auto"/>
        <w:bottom w:val="none" w:sz="0" w:space="0" w:color="auto"/>
        <w:right w:val="none" w:sz="0" w:space="0" w:color="auto"/>
      </w:divBdr>
    </w:div>
    <w:div w:id="861435130">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865947731">
      <w:bodyDiv w:val="1"/>
      <w:marLeft w:val="0"/>
      <w:marRight w:val="0"/>
      <w:marTop w:val="0"/>
      <w:marBottom w:val="0"/>
      <w:divBdr>
        <w:top w:val="none" w:sz="0" w:space="0" w:color="auto"/>
        <w:left w:val="none" w:sz="0" w:space="0" w:color="auto"/>
        <w:bottom w:val="none" w:sz="0" w:space="0" w:color="auto"/>
        <w:right w:val="none" w:sz="0" w:space="0" w:color="auto"/>
      </w:divBdr>
    </w:div>
    <w:div w:id="866212374">
      <w:bodyDiv w:val="1"/>
      <w:marLeft w:val="0"/>
      <w:marRight w:val="0"/>
      <w:marTop w:val="0"/>
      <w:marBottom w:val="0"/>
      <w:divBdr>
        <w:top w:val="none" w:sz="0" w:space="0" w:color="auto"/>
        <w:left w:val="none" w:sz="0" w:space="0" w:color="auto"/>
        <w:bottom w:val="none" w:sz="0" w:space="0" w:color="auto"/>
        <w:right w:val="none" w:sz="0" w:space="0" w:color="auto"/>
      </w:divBdr>
    </w:div>
    <w:div w:id="888807871">
      <w:bodyDiv w:val="1"/>
      <w:marLeft w:val="0"/>
      <w:marRight w:val="0"/>
      <w:marTop w:val="0"/>
      <w:marBottom w:val="0"/>
      <w:divBdr>
        <w:top w:val="none" w:sz="0" w:space="0" w:color="auto"/>
        <w:left w:val="none" w:sz="0" w:space="0" w:color="auto"/>
        <w:bottom w:val="none" w:sz="0" w:space="0" w:color="auto"/>
        <w:right w:val="none" w:sz="0" w:space="0" w:color="auto"/>
      </w:divBdr>
    </w:div>
    <w:div w:id="899243466">
      <w:bodyDiv w:val="1"/>
      <w:marLeft w:val="0"/>
      <w:marRight w:val="0"/>
      <w:marTop w:val="0"/>
      <w:marBottom w:val="0"/>
      <w:divBdr>
        <w:top w:val="none" w:sz="0" w:space="0" w:color="auto"/>
        <w:left w:val="none" w:sz="0" w:space="0" w:color="auto"/>
        <w:bottom w:val="none" w:sz="0" w:space="0" w:color="auto"/>
        <w:right w:val="none" w:sz="0" w:space="0" w:color="auto"/>
      </w:divBdr>
      <w:divsChild>
        <w:div w:id="786125858">
          <w:marLeft w:val="0"/>
          <w:marRight w:val="0"/>
          <w:marTop w:val="0"/>
          <w:marBottom w:val="0"/>
          <w:divBdr>
            <w:top w:val="none" w:sz="0" w:space="0" w:color="auto"/>
            <w:left w:val="none" w:sz="0" w:space="0" w:color="auto"/>
            <w:bottom w:val="none" w:sz="0" w:space="0" w:color="auto"/>
            <w:right w:val="none" w:sz="0" w:space="0" w:color="auto"/>
          </w:divBdr>
          <w:divsChild>
            <w:div w:id="1599942527">
              <w:marLeft w:val="0"/>
              <w:marRight w:val="0"/>
              <w:marTop w:val="0"/>
              <w:marBottom w:val="0"/>
              <w:divBdr>
                <w:top w:val="none" w:sz="0" w:space="0" w:color="auto"/>
                <w:left w:val="none" w:sz="0" w:space="0" w:color="auto"/>
                <w:bottom w:val="none" w:sz="0" w:space="0" w:color="auto"/>
                <w:right w:val="none" w:sz="0" w:space="0" w:color="auto"/>
              </w:divBdr>
              <w:divsChild>
                <w:div w:id="1702169703">
                  <w:marLeft w:val="107"/>
                  <w:marRight w:val="107"/>
                  <w:marTop w:val="0"/>
                  <w:marBottom w:val="0"/>
                  <w:divBdr>
                    <w:top w:val="none" w:sz="0" w:space="0" w:color="auto"/>
                    <w:left w:val="none" w:sz="0" w:space="0" w:color="auto"/>
                    <w:bottom w:val="none" w:sz="0" w:space="0" w:color="auto"/>
                    <w:right w:val="none" w:sz="0" w:space="0" w:color="auto"/>
                  </w:divBdr>
                  <w:divsChild>
                    <w:div w:id="670762410">
                      <w:marLeft w:val="0"/>
                      <w:marRight w:val="0"/>
                      <w:marTop w:val="0"/>
                      <w:marBottom w:val="0"/>
                      <w:divBdr>
                        <w:top w:val="none" w:sz="0" w:space="0" w:color="auto"/>
                        <w:left w:val="none" w:sz="0" w:space="0" w:color="auto"/>
                        <w:bottom w:val="none" w:sz="0" w:space="0" w:color="auto"/>
                        <w:right w:val="none" w:sz="0" w:space="0" w:color="auto"/>
                      </w:divBdr>
                      <w:divsChild>
                        <w:div w:id="1604872787">
                          <w:marLeft w:val="0"/>
                          <w:marRight w:val="0"/>
                          <w:marTop w:val="0"/>
                          <w:marBottom w:val="0"/>
                          <w:divBdr>
                            <w:top w:val="none" w:sz="0" w:space="0" w:color="auto"/>
                            <w:left w:val="none" w:sz="0" w:space="0" w:color="auto"/>
                            <w:bottom w:val="none" w:sz="0" w:space="0" w:color="auto"/>
                            <w:right w:val="none" w:sz="0" w:space="0" w:color="auto"/>
                          </w:divBdr>
                          <w:divsChild>
                            <w:div w:id="1595094339">
                              <w:marLeft w:val="0"/>
                              <w:marRight w:val="0"/>
                              <w:marTop w:val="0"/>
                              <w:marBottom w:val="0"/>
                              <w:divBdr>
                                <w:top w:val="none" w:sz="0" w:space="0" w:color="auto"/>
                                <w:left w:val="none" w:sz="0" w:space="0" w:color="auto"/>
                                <w:bottom w:val="none" w:sz="0" w:space="0" w:color="auto"/>
                                <w:right w:val="none" w:sz="0" w:space="0" w:color="auto"/>
                              </w:divBdr>
                              <w:divsChild>
                                <w:div w:id="1211453098">
                                  <w:marLeft w:val="0"/>
                                  <w:marRight w:val="0"/>
                                  <w:marTop w:val="0"/>
                                  <w:marBottom w:val="0"/>
                                  <w:divBdr>
                                    <w:top w:val="none" w:sz="0" w:space="0" w:color="auto"/>
                                    <w:left w:val="none" w:sz="0" w:space="0" w:color="auto"/>
                                    <w:bottom w:val="none" w:sz="0" w:space="0" w:color="auto"/>
                                    <w:right w:val="none" w:sz="0" w:space="0" w:color="auto"/>
                                  </w:divBdr>
                                  <w:divsChild>
                                    <w:div w:id="842209066">
                                      <w:marLeft w:val="0"/>
                                      <w:marRight w:val="0"/>
                                      <w:marTop w:val="0"/>
                                      <w:marBottom w:val="0"/>
                                      <w:divBdr>
                                        <w:top w:val="none" w:sz="0" w:space="0" w:color="auto"/>
                                        <w:left w:val="none" w:sz="0" w:space="0" w:color="auto"/>
                                        <w:bottom w:val="none" w:sz="0" w:space="0" w:color="auto"/>
                                        <w:right w:val="none" w:sz="0" w:space="0" w:color="auto"/>
                                      </w:divBdr>
                                      <w:divsChild>
                                        <w:div w:id="362901506">
                                          <w:marLeft w:val="0"/>
                                          <w:marRight w:val="0"/>
                                          <w:marTop w:val="0"/>
                                          <w:marBottom w:val="0"/>
                                          <w:divBdr>
                                            <w:top w:val="none" w:sz="0" w:space="0" w:color="auto"/>
                                            <w:left w:val="none" w:sz="0" w:space="0" w:color="auto"/>
                                            <w:bottom w:val="none" w:sz="0" w:space="0" w:color="auto"/>
                                            <w:right w:val="none" w:sz="0" w:space="0" w:color="auto"/>
                                          </w:divBdr>
                                          <w:divsChild>
                                            <w:div w:id="633289035">
                                              <w:marLeft w:val="0"/>
                                              <w:marRight w:val="0"/>
                                              <w:marTop w:val="0"/>
                                              <w:marBottom w:val="0"/>
                                              <w:divBdr>
                                                <w:top w:val="none" w:sz="0" w:space="0" w:color="auto"/>
                                                <w:left w:val="none" w:sz="0" w:space="0" w:color="auto"/>
                                                <w:bottom w:val="none" w:sz="0" w:space="0" w:color="auto"/>
                                                <w:right w:val="none" w:sz="0" w:space="0" w:color="auto"/>
                                              </w:divBdr>
                                              <w:divsChild>
                                                <w:div w:id="1142969474">
                                                  <w:marLeft w:val="0"/>
                                                  <w:marRight w:val="0"/>
                                                  <w:marTop w:val="0"/>
                                                  <w:marBottom w:val="0"/>
                                                  <w:divBdr>
                                                    <w:top w:val="none" w:sz="0" w:space="0" w:color="auto"/>
                                                    <w:left w:val="none" w:sz="0" w:space="0" w:color="auto"/>
                                                    <w:bottom w:val="none" w:sz="0" w:space="0" w:color="auto"/>
                                                    <w:right w:val="none" w:sz="0" w:space="0" w:color="auto"/>
                                                  </w:divBdr>
                                                  <w:divsChild>
                                                    <w:div w:id="1944994706">
                                                      <w:marLeft w:val="0"/>
                                                      <w:marRight w:val="0"/>
                                                      <w:marTop w:val="0"/>
                                                      <w:marBottom w:val="0"/>
                                                      <w:divBdr>
                                                        <w:top w:val="none" w:sz="0" w:space="0" w:color="auto"/>
                                                        <w:left w:val="none" w:sz="0" w:space="0" w:color="auto"/>
                                                        <w:bottom w:val="none" w:sz="0" w:space="0" w:color="auto"/>
                                                        <w:right w:val="none" w:sz="0" w:space="0" w:color="auto"/>
                                                      </w:divBdr>
                                                      <w:divsChild>
                                                        <w:div w:id="213012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18641610">
      <w:bodyDiv w:val="1"/>
      <w:marLeft w:val="0"/>
      <w:marRight w:val="0"/>
      <w:marTop w:val="0"/>
      <w:marBottom w:val="0"/>
      <w:divBdr>
        <w:top w:val="none" w:sz="0" w:space="0" w:color="auto"/>
        <w:left w:val="none" w:sz="0" w:space="0" w:color="auto"/>
        <w:bottom w:val="none" w:sz="0" w:space="0" w:color="auto"/>
        <w:right w:val="none" w:sz="0" w:space="0" w:color="auto"/>
      </w:divBdr>
    </w:div>
    <w:div w:id="932661661">
      <w:bodyDiv w:val="1"/>
      <w:marLeft w:val="0"/>
      <w:marRight w:val="0"/>
      <w:marTop w:val="0"/>
      <w:marBottom w:val="0"/>
      <w:divBdr>
        <w:top w:val="none" w:sz="0" w:space="0" w:color="auto"/>
        <w:left w:val="none" w:sz="0" w:space="0" w:color="auto"/>
        <w:bottom w:val="none" w:sz="0" w:space="0" w:color="auto"/>
        <w:right w:val="none" w:sz="0" w:space="0" w:color="auto"/>
      </w:divBdr>
    </w:div>
    <w:div w:id="969894624">
      <w:bodyDiv w:val="1"/>
      <w:marLeft w:val="0"/>
      <w:marRight w:val="0"/>
      <w:marTop w:val="0"/>
      <w:marBottom w:val="0"/>
      <w:divBdr>
        <w:top w:val="none" w:sz="0" w:space="0" w:color="auto"/>
        <w:left w:val="none" w:sz="0" w:space="0" w:color="auto"/>
        <w:bottom w:val="none" w:sz="0" w:space="0" w:color="auto"/>
        <w:right w:val="none" w:sz="0" w:space="0" w:color="auto"/>
      </w:divBdr>
    </w:div>
    <w:div w:id="970020691">
      <w:bodyDiv w:val="1"/>
      <w:marLeft w:val="0"/>
      <w:marRight w:val="0"/>
      <w:marTop w:val="0"/>
      <w:marBottom w:val="0"/>
      <w:divBdr>
        <w:top w:val="none" w:sz="0" w:space="0" w:color="auto"/>
        <w:left w:val="none" w:sz="0" w:space="0" w:color="auto"/>
        <w:bottom w:val="none" w:sz="0" w:space="0" w:color="auto"/>
        <w:right w:val="none" w:sz="0" w:space="0" w:color="auto"/>
      </w:divBdr>
    </w:div>
    <w:div w:id="970286134">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14653020">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85759839">
      <w:bodyDiv w:val="1"/>
      <w:marLeft w:val="0"/>
      <w:marRight w:val="0"/>
      <w:marTop w:val="0"/>
      <w:marBottom w:val="0"/>
      <w:divBdr>
        <w:top w:val="none" w:sz="0" w:space="0" w:color="auto"/>
        <w:left w:val="none" w:sz="0" w:space="0" w:color="auto"/>
        <w:bottom w:val="none" w:sz="0" w:space="0" w:color="auto"/>
        <w:right w:val="none" w:sz="0" w:space="0" w:color="auto"/>
      </w:divBdr>
    </w:div>
    <w:div w:id="1088648205">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09080562">
      <w:bodyDiv w:val="1"/>
      <w:marLeft w:val="0"/>
      <w:marRight w:val="0"/>
      <w:marTop w:val="0"/>
      <w:marBottom w:val="0"/>
      <w:divBdr>
        <w:top w:val="none" w:sz="0" w:space="0" w:color="auto"/>
        <w:left w:val="none" w:sz="0" w:space="0" w:color="auto"/>
        <w:bottom w:val="none" w:sz="0" w:space="0" w:color="auto"/>
        <w:right w:val="none" w:sz="0" w:space="0" w:color="auto"/>
      </w:divBdr>
    </w:div>
    <w:div w:id="1121653561">
      <w:bodyDiv w:val="1"/>
      <w:marLeft w:val="0"/>
      <w:marRight w:val="0"/>
      <w:marTop w:val="0"/>
      <w:marBottom w:val="0"/>
      <w:divBdr>
        <w:top w:val="none" w:sz="0" w:space="0" w:color="auto"/>
        <w:left w:val="none" w:sz="0" w:space="0" w:color="auto"/>
        <w:bottom w:val="none" w:sz="0" w:space="0" w:color="auto"/>
        <w:right w:val="none" w:sz="0" w:space="0" w:color="auto"/>
      </w:divBdr>
    </w:div>
    <w:div w:id="1122647562">
      <w:bodyDiv w:val="1"/>
      <w:marLeft w:val="0"/>
      <w:marRight w:val="0"/>
      <w:marTop w:val="0"/>
      <w:marBottom w:val="0"/>
      <w:divBdr>
        <w:top w:val="none" w:sz="0" w:space="0" w:color="auto"/>
        <w:left w:val="none" w:sz="0" w:space="0" w:color="auto"/>
        <w:bottom w:val="none" w:sz="0" w:space="0" w:color="auto"/>
        <w:right w:val="none" w:sz="0" w:space="0" w:color="auto"/>
      </w:divBdr>
    </w:div>
    <w:div w:id="1132746119">
      <w:bodyDiv w:val="1"/>
      <w:marLeft w:val="0"/>
      <w:marRight w:val="0"/>
      <w:marTop w:val="0"/>
      <w:marBottom w:val="0"/>
      <w:divBdr>
        <w:top w:val="none" w:sz="0" w:space="0" w:color="auto"/>
        <w:left w:val="none" w:sz="0" w:space="0" w:color="auto"/>
        <w:bottom w:val="none" w:sz="0" w:space="0" w:color="auto"/>
        <w:right w:val="none" w:sz="0" w:space="0" w:color="auto"/>
      </w:divBdr>
    </w:div>
    <w:div w:id="1152059482">
      <w:bodyDiv w:val="1"/>
      <w:marLeft w:val="0"/>
      <w:marRight w:val="0"/>
      <w:marTop w:val="0"/>
      <w:marBottom w:val="0"/>
      <w:divBdr>
        <w:top w:val="none" w:sz="0" w:space="0" w:color="auto"/>
        <w:left w:val="none" w:sz="0" w:space="0" w:color="auto"/>
        <w:bottom w:val="none" w:sz="0" w:space="0" w:color="auto"/>
        <w:right w:val="none" w:sz="0" w:space="0" w:color="auto"/>
      </w:divBdr>
    </w:div>
    <w:div w:id="1164977712">
      <w:bodyDiv w:val="1"/>
      <w:marLeft w:val="0"/>
      <w:marRight w:val="0"/>
      <w:marTop w:val="0"/>
      <w:marBottom w:val="0"/>
      <w:divBdr>
        <w:top w:val="none" w:sz="0" w:space="0" w:color="auto"/>
        <w:left w:val="none" w:sz="0" w:space="0" w:color="auto"/>
        <w:bottom w:val="none" w:sz="0" w:space="0" w:color="auto"/>
        <w:right w:val="none" w:sz="0" w:space="0" w:color="auto"/>
      </w:divBdr>
    </w:div>
    <w:div w:id="1198010602">
      <w:bodyDiv w:val="1"/>
      <w:marLeft w:val="0"/>
      <w:marRight w:val="0"/>
      <w:marTop w:val="0"/>
      <w:marBottom w:val="0"/>
      <w:divBdr>
        <w:top w:val="none" w:sz="0" w:space="0" w:color="auto"/>
        <w:left w:val="none" w:sz="0" w:space="0" w:color="auto"/>
        <w:bottom w:val="none" w:sz="0" w:space="0" w:color="auto"/>
        <w:right w:val="none" w:sz="0" w:space="0" w:color="auto"/>
      </w:divBdr>
    </w:div>
    <w:div w:id="1250886858">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62686252">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293441953">
      <w:bodyDiv w:val="1"/>
      <w:marLeft w:val="0"/>
      <w:marRight w:val="0"/>
      <w:marTop w:val="0"/>
      <w:marBottom w:val="0"/>
      <w:divBdr>
        <w:top w:val="none" w:sz="0" w:space="0" w:color="auto"/>
        <w:left w:val="none" w:sz="0" w:space="0" w:color="auto"/>
        <w:bottom w:val="none" w:sz="0" w:space="0" w:color="auto"/>
        <w:right w:val="none" w:sz="0" w:space="0" w:color="auto"/>
      </w:divBdr>
    </w:div>
    <w:div w:id="1298414687">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27397119">
      <w:bodyDiv w:val="1"/>
      <w:marLeft w:val="0"/>
      <w:marRight w:val="0"/>
      <w:marTop w:val="0"/>
      <w:marBottom w:val="0"/>
      <w:divBdr>
        <w:top w:val="none" w:sz="0" w:space="0" w:color="auto"/>
        <w:left w:val="none" w:sz="0" w:space="0" w:color="auto"/>
        <w:bottom w:val="none" w:sz="0" w:space="0" w:color="auto"/>
        <w:right w:val="none" w:sz="0" w:space="0" w:color="auto"/>
      </w:divBdr>
    </w:div>
    <w:div w:id="1339045046">
      <w:bodyDiv w:val="1"/>
      <w:marLeft w:val="0"/>
      <w:marRight w:val="0"/>
      <w:marTop w:val="0"/>
      <w:marBottom w:val="0"/>
      <w:divBdr>
        <w:top w:val="none" w:sz="0" w:space="0" w:color="auto"/>
        <w:left w:val="none" w:sz="0" w:space="0" w:color="auto"/>
        <w:bottom w:val="none" w:sz="0" w:space="0" w:color="auto"/>
        <w:right w:val="none" w:sz="0" w:space="0" w:color="auto"/>
      </w:divBdr>
    </w:div>
    <w:div w:id="1378747588">
      <w:bodyDiv w:val="1"/>
      <w:marLeft w:val="0"/>
      <w:marRight w:val="0"/>
      <w:marTop w:val="0"/>
      <w:marBottom w:val="0"/>
      <w:divBdr>
        <w:top w:val="none" w:sz="0" w:space="0" w:color="auto"/>
        <w:left w:val="none" w:sz="0" w:space="0" w:color="auto"/>
        <w:bottom w:val="none" w:sz="0" w:space="0" w:color="auto"/>
        <w:right w:val="none" w:sz="0" w:space="0" w:color="auto"/>
      </w:divBdr>
    </w:div>
    <w:div w:id="1393776732">
      <w:bodyDiv w:val="1"/>
      <w:marLeft w:val="0"/>
      <w:marRight w:val="0"/>
      <w:marTop w:val="0"/>
      <w:marBottom w:val="0"/>
      <w:divBdr>
        <w:top w:val="none" w:sz="0" w:space="0" w:color="auto"/>
        <w:left w:val="none" w:sz="0" w:space="0" w:color="auto"/>
        <w:bottom w:val="none" w:sz="0" w:space="0" w:color="auto"/>
        <w:right w:val="none" w:sz="0" w:space="0" w:color="auto"/>
      </w:divBdr>
    </w:div>
    <w:div w:id="1394623008">
      <w:bodyDiv w:val="1"/>
      <w:marLeft w:val="0"/>
      <w:marRight w:val="0"/>
      <w:marTop w:val="0"/>
      <w:marBottom w:val="0"/>
      <w:divBdr>
        <w:top w:val="none" w:sz="0" w:space="0" w:color="auto"/>
        <w:left w:val="none" w:sz="0" w:space="0" w:color="auto"/>
        <w:bottom w:val="none" w:sz="0" w:space="0" w:color="auto"/>
        <w:right w:val="none" w:sz="0" w:space="0" w:color="auto"/>
      </w:divBdr>
    </w:div>
    <w:div w:id="1411973693">
      <w:bodyDiv w:val="1"/>
      <w:marLeft w:val="0"/>
      <w:marRight w:val="0"/>
      <w:marTop w:val="0"/>
      <w:marBottom w:val="0"/>
      <w:divBdr>
        <w:top w:val="none" w:sz="0" w:space="0" w:color="auto"/>
        <w:left w:val="none" w:sz="0" w:space="0" w:color="auto"/>
        <w:bottom w:val="none" w:sz="0" w:space="0" w:color="auto"/>
        <w:right w:val="none" w:sz="0" w:space="0" w:color="auto"/>
      </w:divBdr>
    </w:div>
    <w:div w:id="1412044052">
      <w:bodyDiv w:val="1"/>
      <w:marLeft w:val="0"/>
      <w:marRight w:val="0"/>
      <w:marTop w:val="0"/>
      <w:marBottom w:val="0"/>
      <w:divBdr>
        <w:top w:val="none" w:sz="0" w:space="0" w:color="auto"/>
        <w:left w:val="none" w:sz="0" w:space="0" w:color="auto"/>
        <w:bottom w:val="none" w:sz="0" w:space="0" w:color="auto"/>
        <w:right w:val="none" w:sz="0" w:space="0" w:color="auto"/>
      </w:divBdr>
    </w:div>
    <w:div w:id="1413700735">
      <w:bodyDiv w:val="1"/>
      <w:marLeft w:val="0"/>
      <w:marRight w:val="0"/>
      <w:marTop w:val="0"/>
      <w:marBottom w:val="0"/>
      <w:divBdr>
        <w:top w:val="none" w:sz="0" w:space="0" w:color="auto"/>
        <w:left w:val="none" w:sz="0" w:space="0" w:color="auto"/>
        <w:bottom w:val="none" w:sz="0" w:space="0" w:color="auto"/>
        <w:right w:val="none" w:sz="0" w:space="0" w:color="auto"/>
      </w:divBdr>
    </w:div>
    <w:div w:id="1432555247">
      <w:bodyDiv w:val="1"/>
      <w:marLeft w:val="0"/>
      <w:marRight w:val="0"/>
      <w:marTop w:val="0"/>
      <w:marBottom w:val="0"/>
      <w:divBdr>
        <w:top w:val="none" w:sz="0" w:space="0" w:color="auto"/>
        <w:left w:val="none" w:sz="0" w:space="0" w:color="auto"/>
        <w:bottom w:val="none" w:sz="0" w:space="0" w:color="auto"/>
        <w:right w:val="none" w:sz="0" w:space="0" w:color="auto"/>
      </w:divBdr>
    </w:div>
    <w:div w:id="1452162021">
      <w:bodyDiv w:val="1"/>
      <w:marLeft w:val="0"/>
      <w:marRight w:val="0"/>
      <w:marTop w:val="0"/>
      <w:marBottom w:val="0"/>
      <w:divBdr>
        <w:top w:val="none" w:sz="0" w:space="0" w:color="auto"/>
        <w:left w:val="none" w:sz="0" w:space="0" w:color="auto"/>
        <w:bottom w:val="none" w:sz="0" w:space="0" w:color="auto"/>
        <w:right w:val="none" w:sz="0" w:space="0" w:color="auto"/>
      </w:divBdr>
    </w:div>
    <w:div w:id="1454058228">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370456">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499924402">
      <w:bodyDiv w:val="1"/>
      <w:marLeft w:val="0"/>
      <w:marRight w:val="0"/>
      <w:marTop w:val="0"/>
      <w:marBottom w:val="0"/>
      <w:divBdr>
        <w:top w:val="none" w:sz="0" w:space="0" w:color="auto"/>
        <w:left w:val="none" w:sz="0" w:space="0" w:color="auto"/>
        <w:bottom w:val="none" w:sz="0" w:space="0" w:color="auto"/>
        <w:right w:val="none" w:sz="0" w:space="0" w:color="auto"/>
      </w:divBdr>
    </w:div>
    <w:div w:id="1514685313">
      <w:bodyDiv w:val="1"/>
      <w:marLeft w:val="0"/>
      <w:marRight w:val="0"/>
      <w:marTop w:val="0"/>
      <w:marBottom w:val="0"/>
      <w:divBdr>
        <w:top w:val="none" w:sz="0" w:space="0" w:color="auto"/>
        <w:left w:val="none" w:sz="0" w:space="0" w:color="auto"/>
        <w:bottom w:val="none" w:sz="0" w:space="0" w:color="auto"/>
        <w:right w:val="none" w:sz="0" w:space="0" w:color="auto"/>
      </w:divBdr>
    </w:div>
    <w:div w:id="1526869823">
      <w:bodyDiv w:val="1"/>
      <w:marLeft w:val="0"/>
      <w:marRight w:val="0"/>
      <w:marTop w:val="0"/>
      <w:marBottom w:val="0"/>
      <w:divBdr>
        <w:top w:val="none" w:sz="0" w:space="0" w:color="auto"/>
        <w:left w:val="none" w:sz="0" w:space="0" w:color="auto"/>
        <w:bottom w:val="none" w:sz="0" w:space="0" w:color="auto"/>
        <w:right w:val="none" w:sz="0" w:space="0" w:color="auto"/>
      </w:divBdr>
    </w:div>
    <w:div w:id="1543326612">
      <w:bodyDiv w:val="1"/>
      <w:marLeft w:val="0"/>
      <w:marRight w:val="0"/>
      <w:marTop w:val="0"/>
      <w:marBottom w:val="0"/>
      <w:divBdr>
        <w:top w:val="none" w:sz="0" w:space="0" w:color="auto"/>
        <w:left w:val="none" w:sz="0" w:space="0" w:color="auto"/>
        <w:bottom w:val="none" w:sz="0" w:space="0" w:color="auto"/>
        <w:right w:val="none" w:sz="0" w:space="0" w:color="auto"/>
      </w:divBdr>
    </w:div>
    <w:div w:id="1546015992">
      <w:bodyDiv w:val="1"/>
      <w:marLeft w:val="0"/>
      <w:marRight w:val="0"/>
      <w:marTop w:val="0"/>
      <w:marBottom w:val="0"/>
      <w:divBdr>
        <w:top w:val="none" w:sz="0" w:space="0" w:color="auto"/>
        <w:left w:val="none" w:sz="0" w:space="0" w:color="auto"/>
        <w:bottom w:val="none" w:sz="0" w:space="0" w:color="auto"/>
        <w:right w:val="none" w:sz="0" w:space="0" w:color="auto"/>
      </w:divBdr>
    </w:div>
    <w:div w:id="1567303905">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78977563">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07419160">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45160152">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13111901">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38239081">
      <w:bodyDiv w:val="1"/>
      <w:marLeft w:val="0"/>
      <w:marRight w:val="0"/>
      <w:marTop w:val="0"/>
      <w:marBottom w:val="0"/>
      <w:divBdr>
        <w:top w:val="none" w:sz="0" w:space="0" w:color="auto"/>
        <w:left w:val="none" w:sz="0" w:space="0" w:color="auto"/>
        <w:bottom w:val="none" w:sz="0" w:space="0" w:color="auto"/>
        <w:right w:val="none" w:sz="0" w:space="0" w:color="auto"/>
      </w:divBdr>
    </w:div>
    <w:div w:id="1743406536">
      <w:bodyDiv w:val="1"/>
      <w:marLeft w:val="0"/>
      <w:marRight w:val="0"/>
      <w:marTop w:val="0"/>
      <w:marBottom w:val="0"/>
      <w:divBdr>
        <w:top w:val="none" w:sz="0" w:space="0" w:color="auto"/>
        <w:left w:val="none" w:sz="0" w:space="0" w:color="auto"/>
        <w:bottom w:val="none" w:sz="0" w:space="0" w:color="auto"/>
        <w:right w:val="none" w:sz="0" w:space="0" w:color="auto"/>
      </w:divBdr>
    </w:div>
    <w:div w:id="1743942081">
      <w:bodyDiv w:val="1"/>
      <w:marLeft w:val="0"/>
      <w:marRight w:val="0"/>
      <w:marTop w:val="0"/>
      <w:marBottom w:val="0"/>
      <w:divBdr>
        <w:top w:val="none" w:sz="0" w:space="0" w:color="auto"/>
        <w:left w:val="none" w:sz="0" w:space="0" w:color="auto"/>
        <w:bottom w:val="none" w:sz="0" w:space="0" w:color="auto"/>
        <w:right w:val="none" w:sz="0" w:space="0" w:color="auto"/>
      </w:divBdr>
    </w:div>
    <w:div w:id="1757480104">
      <w:bodyDiv w:val="1"/>
      <w:marLeft w:val="0"/>
      <w:marRight w:val="0"/>
      <w:marTop w:val="0"/>
      <w:marBottom w:val="0"/>
      <w:divBdr>
        <w:top w:val="none" w:sz="0" w:space="0" w:color="auto"/>
        <w:left w:val="none" w:sz="0" w:space="0" w:color="auto"/>
        <w:bottom w:val="none" w:sz="0" w:space="0" w:color="auto"/>
        <w:right w:val="none" w:sz="0" w:space="0" w:color="auto"/>
      </w:divBdr>
    </w:div>
    <w:div w:id="1760325643">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796828326">
      <w:bodyDiv w:val="1"/>
      <w:marLeft w:val="0"/>
      <w:marRight w:val="0"/>
      <w:marTop w:val="0"/>
      <w:marBottom w:val="0"/>
      <w:divBdr>
        <w:top w:val="none" w:sz="0" w:space="0" w:color="auto"/>
        <w:left w:val="none" w:sz="0" w:space="0" w:color="auto"/>
        <w:bottom w:val="none" w:sz="0" w:space="0" w:color="auto"/>
        <w:right w:val="none" w:sz="0" w:space="0" w:color="auto"/>
      </w:divBdr>
    </w:div>
    <w:div w:id="1824588416">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32258318">
      <w:bodyDiv w:val="1"/>
      <w:marLeft w:val="0"/>
      <w:marRight w:val="0"/>
      <w:marTop w:val="0"/>
      <w:marBottom w:val="0"/>
      <w:divBdr>
        <w:top w:val="none" w:sz="0" w:space="0" w:color="auto"/>
        <w:left w:val="none" w:sz="0" w:space="0" w:color="auto"/>
        <w:bottom w:val="none" w:sz="0" w:space="0" w:color="auto"/>
        <w:right w:val="none" w:sz="0" w:space="0" w:color="auto"/>
      </w:divBdr>
    </w:div>
    <w:div w:id="1864905682">
      <w:bodyDiv w:val="1"/>
      <w:marLeft w:val="0"/>
      <w:marRight w:val="0"/>
      <w:marTop w:val="0"/>
      <w:marBottom w:val="0"/>
      <w:divBdr>
        <w:top w:val="none" w:sz="0" w:space="0" w:color="auto"/>
        <w:left w:val="none" w:sz="0" w:space="0" w:color="auto"/>
        <w:bottom w:val="none" w:sz="0" w:space="0" w:color="auto"/>
        <w:right w:val="none" w:sz="0" w:space="0" w:color="auto"/>
      </w:divBdr>
    </w:div>
    <w:div w:id="1867787136">
      <w:bodyDiv w:val="1"/>
      <w:marLeft w:val="0"/>
      <w:marRight w:val="0"/>
      <w:marTop w:val="0"/>
      <w:marBottom w:val="0"/>
      <w:divBdr>
        <w:top w:val="none" w:sz="0" w:space="0" w:color="auto"/>
        <w:left w:val="none" w:sz="0" w:space="0" w:color="auto"/>
        <w:bottom w:val="none" w:sz="0" w:space="0" w:color="auto"/>
        <w:right w:val="none" w:sz="0" w:space="0" w:color="auto"/>
      </w:divBdr>
    </w:div>
    <w:div w:id="1916622657">
      <w:bodyDiv w:val="1"/>
      <w:marLeft w:val="0"/>
      <w:marRight w:val="0"/>
      <w:marTop w:val="0"/>
      <w:marBottom w:val="0"/>
      <w:divBdr>
        <w:top w:val="none" w:sz="0" w:space="0" w:color="auto"/>
        <w:left w:val="none" w:sz="0" w:space="0" w:color="auto"/>
        <w:bottom w:val="none" w:sz="0" w:space="0" w:color="auto"/>
        <w:right w:val="none" w:sz="0" w:space="0" w:color="auto"/>
      </w:divBdr>
    </w:div>
    <w:div w:id="1921021289">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0306671">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1987346221">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0253563">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068718468">
      <w:bodyDiv w:val="1"/>
      <w:marLeft w:val="0"/>
      <w:marRight w:val="0"/>
      <w:marTop w:val="0"/>
      <w:marBottom w:val="0"/>
      <w:divBdr>
        <w:top w:val="none" w:sz="0" w:space="0" w:color="auto"/>
        <w:left w:val="none" w:sz="0" w:space="0" w:color="auto"/>
        <w:bottom w:val="none" w:sz="0" w:space="0" w:color="auto"/>
        <w:right w:val="none" w:sz="0" w:space="0" w:color="auto"/>
      </w:divBdr>
    </w:div>
    <w:div w:id="2114981891">
      <w:bodyDiv w:val="1"/>
      <w:marLeft w:val="0"/>
      <w:marRight w:val="0"/>
      <w:marTop w:val="0"/>
      <w:marBottom w:val="0"/>
      <w:divBdr>
        <w:top w:val="none" w:sz="0" w:space="0" w:color="auto"/>
        <w:left w:val="none" w:sz="0" w:space="0" w:color="auto"/>
        <w:bottom w:val="none" w:sz="0" w:space="0" w:color="auto"/>
        <w:right w:val="none" w:sz="0" w:space="0" w:color="auto"/>
      </w:divBdr>
    </w:div>
    <w:div w:id="2126657627">
      <w:bodyDiv w:val="1"/>
      <w:marLeft w:val="0"/>
      <w:marRight w:val="0"/>
      <w:marTop w:val="0"/>
      <w:marBottom w:val="0"/>
      <w:divBdr>
        <w:top w:val="none" w:sz="0" w:space="0" w:color="auto"/>
        <w:left w:val="none" w:sz="0" w:space="0" w:color="auto"/>
        <w:bottom w:val="none" w:sz="0" w:space="0" w:color="auto"/>
        <w:right w:val="none" w:sz="0" w:space="0" w:color="auto"/>
      </w:divBdr>
    </w:div>
    <w:div w:id="2134403879">
      <w:bodyDiv w:val="1"/>
      <w:marLeft w:val="0"/>
      <w:marRight w:val="0"/>
      <w:marTop w:val="0"/>
      <w:marBottom w:val="0"/>
      <w:divBdr>
        <w:top w:val="none" w:sz="0" w:space="0" w:color="auto"/>
        <w:left w:val="none" w:sz="0" w:space="0" w:color="auto"/>
        <w:bottom w:val="none" w:sz="0" w:space="0" w:color="auto"/>
        <w:right w:val="none" w:sz="0" w:space="0" w:color="auto"/>
      </w:divBdr>
    </w:div>
    <w:div w:id="2136413160">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8.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futurefund.gov.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header" Target="head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Publications\Portfolio%20Budget%20Stateme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lb508a4dc5e84436a0fe496b536466aa xmlns="eb47d8b7-fefc-4923-b53c-9685ba6b7210">AE-20337-Destroy 7 years after action completed668ae28e-5138-4c7c-82db-1c8c6afc81a6</lb508a4dc5e84436a0fe496b536466aa>
    <TaxCatchAll xmlns="eb47d8b7-fefc-4923-b53c-9685ba6b7210">
      <Value xmlns="eb47d8b7-fefc-4923-b53c-9685ba6b7210">75</Value>
    </TaxCatchAl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3.xml><?xml version="1.0" encoding="utf-8"?>
<?mso-contentType ?>
<p:Policy xmlns:p="office.server.policy" id="" local="true">
  <p:Name>Treasury Document Audit Policy</p:Name>
  <p:Description/>
  <p:Statement/>
  <p:PolicyItems>
    <p:PolicyItem featureId="Microsoft.Office.RecordsManagement.PolicyFeatures.PolicyAudit" staticId="0x010100605AAC981168BE40A9BD548B81A50DF6|1757814118" UniqueId="dfcffb86-ae69-48ff-b02e-2c46fcd97350">
      <p:Name>Auditing</p:Name>
      <p:Description>Audits user actions on documents and list items to the Audit Log.</p:Description>
      <p:CustomData>
        <Audit>
          <Update/>
          <CheckInOut/>
          <MoveCopy/>
          <DeleteRestore/>
        </Audit>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Treasury Document" ma:contentTypeID="0x010100605AAC981168BE40A9BD548B81A50DF6005354E2C1A1800A409D686EE5B476D455" ma:contentTypeVersion="11" ma:contentTypeDescription="" ma:contentTypeScope="" ma:versionID="6a8e13556158ed0b49c7399d91712fdb">
  <xsd:schema xmlns:xsd="http://www.w3.org/2001/XMLSchema" xmlns:xs="http://www.w3.org/2001/XMLSchema" xmlns:p="http://schemas.microsoft.com/office/2006/metadata/properties" xmlns:ns1="http://schemas.microsoft.com/sharepoint/v3" xmlns:ns2="eb47d8b7-fefc-4923-b53c-9685ba6b7210" targetNamespace="http://schemas.microsoft.com/office/2006/metadata/properties" ma:root="true" ma:fieldsID="825bfe1b75efa0a7f08aa0a0f7cea6a6" ns1:_="" ns2:_="">
    <xsd:import namespace="http://schemas.microsoft.com/sharepoint/v3"/>
    <xsd:import namespace="eb47d8b7-fefc-4923-b53c-9685ba6b7210"/>
    <xsd:element name="properties">
      <xsd:complexType>
        <xsd:sequence>
          <xsd:element name="documentManagement">
            <xsd:complexType>
              <xsd:all>
                <xsd:element ref="ns2:_dlc_DocId" minOccurs="0"/>
                <xsd:element ref="ns2:_dlc_DocIdUrl" minOccurs="0"/>
                <xsd:element ref="ns2:_dlc_DocIdPersistId" minOccurs="0"/>
                <xsd:element ref="ns2:lb508a4dc5e84436a0fe496b536466aa" minOccurs="0"/>
                <xsd:element ref="ns2:TaxCatchAll" minOccurs="0"/>
                <xsd:element ref="ns2:TaxCatchAllLabel"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b47d8b7-fefc-4923-b53c-9685ba6b721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1" nillable="true" ma:taxonomy="true" ma:internalName="lb508a4dc5e84436a0fe496b536466aa" ma:taxonomyFieldName="TSYRecordClass" ma:displayName="Record Class" ma:readOnly="false" ma:default="75;#AE-20337-Destroy 7 years after action completed|668ae28e-5138-4c7c-82db-1c8c6afc81a6"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b587f53-e282-4719-ab13-46559658bd12}" ma:internalName="TaxCatchAll" ma:showField="CatchAllData" ma:web="eb47d8b7-fefc-4923-b53c-9685ba6b721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587f53-e282-4719-ab13-46559658bd12}" ma:internalName="TaxCatchAllLabel" ma:readOnly="true" ma:showField="CatchAllDataLabel" ma:web="eb47d8b7-fefc-4923-b53c-9685ba6b72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780A0-34CA-4454-8573-C76234108929}">
  <ds:schemaRefs>
    <ds:schemaRef ds:uri="http://schemas.microsoft.com/office/2006/metadata/properties"/>
    <ds:schemaRef ds:uri="eb47d8b7-fefc-4923-b53c-9685ba6b7210"/>
  </ds:schemaRefs>
</ds:datastoreItem>
</file>

<file path=customXml/itemProps2.xml><?xml version="1.0" encoding="utf-8"?>
<ds:datastoreItem xmlns:ds="http://schemas.openxmlformats.org/officeDocument/2006/customXml" ds:itemID="{855133F8-EFF4-4823-BD43-293BB1C3CD60}">
  <ds:schemaRefs>
    <ds:schemaRef ds:uri="http://schemas.microsoft.com/sharepoint/events"/>
  </ds:schemaRefs>
</ds:datastoreItem>
</file>

<file path=customXml/itemProps3.xml><?xml version="1.0" encoding="utf-8"?>
<ds:datastoreItem xmlns:ds="http://schemas.openxmlformats.org/officeDocument/2006/customXml" ds:itemID="{3783EF23-FDE9-4BC4-9D0E-C386C25B28C2}">
  <ds:schemaRefs>
    <ds:schemaRef ds:uri="office.server.policy"/>
  </ds:schemaRefs>
</ds:datastoreItem>
</file>

<file path=customXml/itemProps4.xml><?xml version="1.0" encoding="utf-8"?>
<ds:datastoreItem xmlns:ds="http://schemas.openxmlformats.org/officeDocument/2006/customXml" ds:itemID="{1E0E1FFA-4035-472C-9EAE-D6E0B316A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b47d8b7-fefc-4923-b53c-9685ba6b72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B1A982B-6B2C-43FC-A1C9-BD2FE7FBE2F0}">
  <ds:schemaRefs>
    <ds:schemaRef ds:uri="http://schemas.microsoft.com/sharepoint/v3/contenttype/forms"/>
  </ds:schemaRefs>
</ds:datastoreItem>
</file>

<file path=customXml/itemProps6.xml><?xml version="1.0" encoding="utf-8"?>
<ds:datastoreItem xmlns:ds="http://schemas.openxmlformats.org/officeDocument/2006/customXml" ds:itemID="{D357E167-E9DF-4B0B-8D8A-11F81F975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Portfolio Budget Statements.dot</Template>
  <TotalTime>2</TotalTime>
  <Pages>23</Pages>
  <Words>3796</Words>
  <Characters>23706</Characters>
  <Application>Microsoft Office Word</Application>
  <DocSecurity>0</DocSecurity>
  <Lines>197</Lines>
  <Paragraphs>54</Paragraphs>
  <ScaleCrop>false</ScaleCrop>
  <HeadingPairs>
    <vt:vector size="2" baseType="variant">
      <vt:variant>
        <vt:lpstr>Title</vt:lpstr>
      </vt:variant>
      <vt:variant>
        <vt:i4>1</vt:i4>
      </vt:variant>
    </vt:vector>
  </HeadingPairs>
  <TitlesOfParts>
    <vt:vector size="1" baseType="lpstr">
      <vt:lpstr>PORTFOLIO</vt:lpstr>
    </vt:vector>
  </TitlesOfParts>
  <Company>The Treasury</Company>
  <LinksUpToDate>false</LinksUpToDate>
  <CharactersWithSpaces>27448</CharactersWithSpaces>
  <SharedDoc>false</SharedDoc>
  <HLinks>
    <vt:vector size="24" baseType="variant">
      <vt:variant>
        <vt:i4>7471148</vt:i4>
      </vt:variant>
      <vt:variant>
        <vt:i4>29</vt:i4>
      </vt:variant>
      <vt:variant>
        <vt:i4>0</vt:i4>
      </vt:variant>
      <vt:variant>
        <vt:i4>5</vt:i4>
      </vt:variant>
      <vt:variant>
        <vt:lpwstr>http://www.itsanhonour.gov.au/</vt:lpwstr>
      </vt:variant>
      <vt:variant>
        <vt:lpwstr/>
      </vt:variant>
      <vt:variant>
        <vt:i4>5111827</vt:i4>
      </vt:variant>
      <vt:variant>
        <vt:i4>14</vt:i4>
      </vt:variant>
      <vt:variant>
        <vt:i4>0</vt:i4>
      </vt:variant>
      <vt:variant>
        <vt:i4>5</vt:i4>
      </vt:variant>
      <vt:variant>
        <vt:lpwstr>http://creativecommons.org/licenses/by/3.0/au/deed.en</vt:lpwstr>
      </vt:variant>
      <vt:variant>
        <vt:lpwstr/>
      </vt:variant>
      <vt:variant>
        <vt:i4>2687028</vt:i4>
      </vt:variant>
      <vt:variant>
        <vt:i4>9</vt:i4>
      </vt:variant>
      <vt:variant>
        <vt:i4>0</vt:i4>
      </vt:variant>
      <vt:variant>
        <vt:i4>5</vt:i4>
      </vt:variant>
      <vt:variant>
        <vt:lpwstr>http://creativecommons.org/licenses/by/3.0/au/legalcode</vt:lpwstr>
      </vt:variant>
      <vt:variant>
        <vt:lpwstr/>
      </vt:variant>
      <vt:variant>
        <vt:i4>5111827</vt:i4>
      </vt:variant>
      <vt:variant>
        <vt:i4>4</vt:i4>
      </vt:variant>
      <vt:variant>
        <vt:i4>0</vt:i4>
      </vt:variant>
      <vt:variant>
        <vt:i4>5</vt:i4>
      </vt:variant>
      <vt:variant>
        <vt:lpwstr>http://creativecommons.org/licenses/by/3.0/au/deed.en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Future Fund Management Agency</dc:title>
  <dc:creator>Department of Finance</dc:creator>
  <cp:lastModifiedBy>LOUISE MCNAUGHTON</cp:lastModifiedBy>
  <cp:revision>3</cp:revision>
  <cp:lastPrinted>2016-04-30T23:35:00Z</cp:lastPrinted>
  <dcterms:created xsi:type="dcterms:W3CDTF">2016-05-02T05:27:00Z</dcterms:created>
  <dcterms:modified xsi:type="dcterms:W3CDTF">2016-05-02T05:28:00Z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ContentTypeId">
    <vt:lpwstr>0x010100605AAC981168BE40A9BD548B81A50DF6005354E2C1A1800A409D686EE5B476D455</vt:lpwstr>
  </property>
  <property fmtid="{D5CDD505-2E9C-101B-9397-08002B2CF9AE}" pid="5" name="TSYRecordClass">
    <vt:lpwstr>75;#AE-20337-Destroy 7 years after action completed|668ae28e-5138-4c7c-82db-1c8c6afc81a6</vt:lpwstr>
  </property>
  <property fmtid="{D5CDD505-2E9C-101B-9397-08002B2CF9AE}" pid="6" name="_dlc_DocIdItemGuid">
    <vt:lpwstr>f2062dbe-9663-4abe-8923-d8e886ea0b01</vt:lpwstr>
  </property>
  <property fmtid="{D5CDD505-2E9C-101B-9397-08002B2CF9AE}" pid="7" name="_dlc_DocId">
    <vt:lpwstr>2014CSSG-727-287</vt:lpwstr>
  </property>
  <property fmtid="{D5CDD505-2E9C-101B-9397-08002B2CF9AE}" pid="8" name="_dlc_DocIdUrl">
    <vt:lpwstr>http://tweb/sites/cssg/mcd/pubs/pt/_layouts/15/DocIdRedir.aspx?ID=2014CSSG-727-287, 2014CSSG-727-287</vt:lpwstr>
  </property>
</Properties>
</file>