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4C" w:rsidRPr="004F7A4C" w:rsidRDefault="004F7A4C" w:rsidP="004F7A4C">
      <w:pPr>
        <w:spacing w:after="0" w:line="240" w:lineRule="auto"/>
        <w:jc w:val="left"/>
        <w:rPr>
          <w:rFonts w:ascii="Book Antiqua" w:hAnsi="Book Antiqua"/>
          <w:i/>
          <w:color w:val="FF0000"/>
          <w:sz w:val="20"/>
          <w:szCs w:val="20"/>
        </w:rPr>
      </w:pPr>
      <w:bookmarkStart w:id="0" w:name="_Toc190766151"/>
    </w:p>
    <w:p w:rsidR="004F7A4C" w:rsidRDefault="004F7A4C" w:rsidP="004F7A4C">
      <w:pPr>
        <w:spacing w:after="0" w:line="240" w:lineRule="auto"/>
        <w:jc w:val="both"/>
        <w:rPr>
          <w:rFonts w:ascii="Arial" w:hAnsi="Arial"/>
          <w:b/>
          <w:smallCaps/>
          <w:kern w:val="28"/>
          <w:sz w:val="34"/>
          <w:szCs w:val="20"/>
        </w:rPr>
      </w:pPr>
    </w:p>
    <w:p w:rsidR="005736DA" w:rsidRPr="005736DA" w:rsidRDefault="005736DA" w:rsidP="005736DA">
      <w:pPr>
        <w:spacing w:before="1320" w:after="0" w:line="240" w:lineRule="auto"/>
        <w:rPr>
          <w:rFonts w:ascii="Arial" w:hAnsi="Arial"/>
          <w:b/>
          <w:sz w:val="52"/>
          <w:szCs w:val="20"/>
        </w:rPr>
      </w:pPr>
      <w:r w:rsidRPr="005736DA">
        <w:rPr>
          <w:rFonts w:ascii="Arial" w:hAnsi="Arial"/>
          <w:b/>
          <w:sz w:val="52"/>
          <w:szCs w:val="20"/>
        </w:rPr>
        <w:t>Commonwealth Superannuation Corporation</w:t>
      </w:r>
    </w:p>
    <w:p w:rsidR="005736DA" w:rsidRPr="005736DA" w:rsidRDefault="005736DA" w:rsidP="005736DA">
      <w:pPr>
        <w:spacing w:before="2080" w:after="0" w:line="240" w:lineRule="auto"/>
        <w:rPr>
          <w:rFonts w:ascii="Arial" w:hAnsi="Arial"/>
          <w:b/>
          <w:sz w:val="44"/>
          <w:szCs w:val="20"/>
        </w:rPr>
      </w:pPr>
      <w:r w:rsidRPr="005736DA">
        <w:rPr>
          <w:rFonts w:ascii="Arial" w:hAnsi="Arial"/>
          <w:b/>
          <w:sz w:val="44"/>
          <w:szCs w:val="20"/>
        </w:rPr>
        <w:t>Entity Resources and Planned Performance</w:t>
      </w:r>
    </w:p>
    <w:p w:rsidR="005736DA" w:rsidRPr="005736DA" w:rsidRDefault="005736DA" w:rsidP="005736DA">
      <w:pPr>
        <w:jc w:val="both"/>
        <w:rPr>
          <w:rFonts w:ascii="Book Antiqua" w:hAnsi="Book Antiqua"/>
          <w:sz w:val="20"/>
          <w:szCs w:val="20"/>
        </w:rPr>
        <w:sectPr w:rsidR="005736DA" w:rsidRPr="005736DA" w:rsidSect="00F509C3">
          <w:headerReference w:type="even" r:id="rId13"/>
          <w:headerReference w:type="default" r:id="rId14"/>
          <w:type w:val="oddPage"/>
          <w:pgSz w:w="11906" w:h="16838" w:code="9"/>
          <w:pgMar w:top="2466" w:right="2098" w:bottom="2466" w:left="2098" w:header="1899" w:footer="1899" w:gutter="0"/>
          <w:cols w:space="708"/>
          <w:titlePg/>
          <w:docGrid w:linePitch="360"/>
        </w:sectPr>
      </w:pPr>
    </w:p>
    <w:p w:rsidR="005736DA" w:rsidRPr="005736DA" w:rsidRDefault="005736DA" w:rsidP="005736DA">
      <w:pPr>
        <w:keepNext/>
        <w:spacing w:line="240" w:lineRule="auto"/>
        <w:outlineLvl w:val="0"/>
        <w:rPr>
          <w:rFonts w:ascii="Arial" w:hAnsi="Arial"/>
          <w:b/>
          <w:smallCaps/>
          <w:kern w:val="28"/>
          <w:sz w:val="34"/>
          <w:szCs w:val="20"/>
        </w:rPr>
      </w:pPr>
      <w:r w:rsidRPr="005736DA">
        <w:rPr>
          <w:rFonts w:ascii="Arial" w:hAnsi="Arial"/>
          <w:b/>
          <w:smallCaps/>
          <w:kern w:val="28"/>
          <w:sz w:val="34"/>
          <w:szCs w:val="20"/>
        </w:rPr>
        <w:lastRenderedPageBreak/>
        <w:t>Commonwealth Superannuation Corporation</w:t>
      </w:r>
    </w:p>
    <w:p w:rsidR="005736DA" w:rsidRPr="005736DA" w:rsidRDefault="000942F9" w:rsidP="005736DA">
      <w:pPr>
        <w:keepNext/>
        <w:tabs>
          <w:tab w:val="left" w:pos="800"/>
          <w:tab w:val="right" w:leader="dot" w:pos="7700"/>
        </w:tabs>
        <w:spacing w:before="80" w:after="0" w:line="240" w:lineRule="auto"/>
        <w:ind w:right="851"/>
        <w:jc w:val="left"/>
        <w:rPr>
          <w:rFonts w:ascii="Arial" w:hAnsi="Arial"/>
          <w:b/>
          <w:noProof/>
          <w:sz w:val="20"/>
          <w:szCs w:val="20"/>
        </w:rPr>
      </w:pPr>
      <w:r w:rsidRPr="005736DA">
        <w:rPr>
          <w:rFonts w:ascii="Arial" w:hAnsi="Arial"/>
          <w:b/>
          <w:sz w:val="20"/>
          <w:szCs w:val="20"/>
          <w:highlight w:val="yellow"/>
        </w:rPr>
        <w:fldChar w:fldCharType="begin"/>
      </w:r>
      <w:r w:rsidR="005736DA" w:rsidRPr="005736DA">
        <w:rPr>
          <w:rFonts w:ascii="Arial" w:hAnsi="Arial"/>
          <w:b/>
          <w:sz w:val="20"/>
          <w:szCs w:val="20"/>
          <w:highlight w:val="yellow"/>
        </w:rPr>
        <w:instrText xml:space="preserve"> TOC \h \z \t "Heading 2,1,Heading 3,2" </w:instrText>
      </w:r>
      <w:r w:rsidRPr="005736DA">
        <w:rPr>
          <w:rFonts w:ascii="Arial" w:hAnsi="Arial"/>
          <w:b/>
          <w:sz w:val="20"/>
          <w:szCs w:val="20"/>
          <w:highlight w:val="yellow"/>
        </w:rPr>
        <w:fldChar w:fldCharType="separate"/>
      </w:r>
      <w:hyperlink w:anchor="_Toc448316220" w:history="1">
        <w:r w:rsidR="005736DA" w:rsidRPr="005736DA">
          <w:rPr>
            <w:rFonts w:ascii="Arial" w:hAnsi="Arial"/>
            <w:b/>
            <w:noProof/>
            <w:sz w:val="20"/>
            <w:szCs w:val="20"/>
          </w:rPr>
          <w:t>Section 1: Entity Overview and Resources</w:t>
        </w:r>
        <w:r w:rsidR="005736DA" w:rsidRPr="005736DA">
          <w:rPr>
            <w:rFonts w:ascii="Arial" w:hAnsi="Arial"/>
            <w:b/>
            <w:noProof/>
            <w:webHidden/>
            <w:sz w:val="20"/>
            <w:szCs w:val="20"/>
          </w:rPr>
          <w:tab/>
        </w:r>
        <w:r w:rsidRPr="005736DA">
          <w:rPr>
            <w:rFonts w:ascii="Arial" w:hAnsi="Arial"/>
            <w:b/>
            <w:noProof/>
            <w:webHidden/>
            <w:sz w:val="20"/>
            <w:szCs w:val="20"/>
          </w:rPr>
          <w:fldChar w:fldCharType="begin"/>
        </w:r>
        <w:r w:rsidR="005736DA" w:rsidRPr="005736DA">
          <w:rPr>
            <w:rFonts w:ascii="Arial" w:hAnsi="Arial"/>
            <w:b/>
            <w:noProof/>
            <w:webHidden/>
            <w:sz w:val="20"/>
            <w:szCs w:val="20"/>
          </w:rPr>
          <w:instrText xml:space="preserve"> PAGEREF _Toc448316220 \h </w:instrText>
        </w:r>
        <w:r w:rsidRPr="005736DA">
          <w:rPr>
            <w:rFonts w:ascii="Arial" w:hAnsi="Arial"/>
            <w:b/>
            <w:noProof/>
            <w:webHidden/>
            <w:sz w:val="20"/>
            <w:szCs w:val="20"/>
          </w:rPr>
        </w:r>
        <w:r w:rsidRPr="005736DA">
          <w:rPr>
            <w:rFonts w:ascii="Arial" w:hAnsi="Arial"/>
            <w:b/>
            <w:noProof/>
            <w:webHidden/>
            <w:sz w:val="20"/>
            <w:szCs w:val="20"/>
          </w:rPr>
          <w:fldChar w:fldCharType="separate"/>
        </w:r>
        <w:r w:rsidR="00E341B1">
          <w:rPr>
            <w:rFonts w:ascii="Arial" w:hAnsi="Arial"/>
            <w:b/>
            <w:noProof/>
            <w:webHidden/>
            <w:sz w:val="20"/>
            <w:szCs w:val="20"/>
          </w:rPr>
          <w:t>99</w:t>
        </w:r>
        <w:r w:rsidRPr="005736DA">
          <w:rPr>
            <w:rFonts w:ascii="Arial" w:hAnsi="Arial"/>
            <w:b/>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noProof/>
          <w:sz w:val="20"/>
          <w:szCs w:val="20"/>
        </w:rPr>
      </w:pPr>
      <w:hyperlink w:anchor="_Toc448316221" w:history="1">
        <w:r w:rsidR="005736DA" w:rsidRPr="005736DA">
          <w:rPr>
            <w:rFonts w:ascii="Arial" w:hAnsi="Arial"/>
            <w:noProof/>
            <w:sz w:val="20"/>
            <w:szCs w:val="20"/>
          </w:rPr>
          <w:t>1.1</w:t>
        </w:r>
        <w:r w:rsidR="005736DA" w:rsidRPr="005736DA">
          <w:rPr>
            <w:rFonts w:ascii="Arial" w:hAnsi="Arial"/>
            <w:noProof/>
            <w:sz w:val="20"/>
            <w:szCs w:val="20"/>
          </w:rPr>
          <w:tab/>
          <w:t>Strategic Direction Statement</w:t>
        </w:r>
        <w:r w:rsidR="005736DA" w:rsidRPr="005736DA">
          <w:rPr>
            <w:rFonts w:ascii="Arial" w:hAnsi="Arial"/>
            <w:noProof/>
            <w:webHidden/>
            <w:sz w:val="20"/>
            <w:szCs w:val="20"/>
          </w:rPr>
          <w:tab/>
        </w:r>
        <w:r w:rsidRPr="005736DA">
          <w:rPr>
            <w:rFonts w:ascii="Arial" w:hAnsi="Arial"/>
            <w:noProof/>
            <w:webHidden/>
            <w:sz w:val="20"/>
            <w:szCs w:val="20"/>
          </w:rPr>
          <w:fldChar w:fldCharType="begin"/>
        </w:r>
        <w:r w:rsidR="005736DA" w:rsidRPr="005736DA">
          <w:rPr>
            <w:rFonts w:ascii="Arial" w:hAnsi="Arial"/>
            <w:noProof/>
            <w:webHidden/>
            <w:sz w:val="20"/>
            <w:szCs w:val="20"/>
          </w:rPr>
          <w:instrText xml:space="preserve"> PAGEREF _Toc448316221 \h </w:instrText>
        </w:r>
        <w:r w:rsidRPr="005736DA">
          <w:rPr>
            <w:rFonts w:ascii="Arial" w:hAnsi="Arial"/>
            <w:noProof/>
            <w:webHidden/>
            <w:sz w:val="20"/>
            <w:szCs w:val="20"/>
          </w:rPr>
        </w:r>
        <w:r w:rsidRPr="005736DA">
          <w:rPr>
            <w:rFonts w:ascii="Arial" w:hAnsi="Arial"/>
            <w:noProof/>
            <w:webHidden/>
            <w:sz w:val="20"/>
            <w:szCs w:val="20"/>
          </w:rPr>
          <w:fldChar w:fldCharType="separate"/>
        </w:r>
        <w:r w:rsidR="00E341B1">
          <w:rPr>
            <w:rFonts w:ascii="Arial" w:hAnsi="Arial"/>
            <w:noProof/>
            <w:webHidden/>
            <w:sz w:val="20"/>
            <w:szCs w:val="20"/>
          </w:rPr>
          <w:t>99</w:t>
        </w:r>
        <w:r w:rsidRPr="005736DA">
          <w:rPr>
            <w:rFonts w:ascii="Arial" w:hAnsi="Arial"/>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noProof/>
          <w:sz w:val="20"/>
          <w:szCs w:val="20"/>
        </w:rPr>
      </w:pPr>
      <w:hyperlink w:anchor="_Toc448316222" w:history="1">
        <w:r w:rsidR="005736DA" w:rsidRPr="005736DA">
          <w:rPr>
            <w:rFonts w:ascii="Arial" w:hAnsi="Arial"/>
            <w:noProof/>
            <w:sz w:val="20"/>
            <w:szCs w:val="20"/>
          </w:rPr>
          <w:t>1.2</w:t>
        </w:r>
        <w:r w:rsidR="005736DA" w:rsidRPr="005736DA">
          <w:rPr>
            <w:rFonts w:ascii="Arial" w:hAnsi="Arial"/>
            <w:noProof/>
            <w:sz w:val="20"/>
            <w:szCs w:val="20"/>
          </w:rPr>
          <w:tab/>
          <w:t>Entity Resource Statement</w:t>
        </w:r>
        <w:r w:rsidR="005736DA" w:rsidRPr="005736DA">
          <w:rPr>
            <w:rFonts w:ascii="Arial" w:hAnsi="Arial"/>
            <w:noProof/>
            <w:webHidden/>
            <w:sz w:val="20"/>
            <w:szCs w:val="20"/>
          </w:rPr>
          <w:tab/>
        </w:r>
        <w:r w:rsidRPr="005736DA">
          <w:rPr>
            <w:rFonts w:ascii="Arial" w:hAnsi="Arial"/>
            <w:noProof/>
            <w:webHidden/>
            <w:sz w:val="20"/>
            <w:szCs w:val="20"/>
          </w:rPr>
          <w:fldChar w:fldCharType="begin"/>
        </w:r>
        <w:r w:rsidR="005736DA" w:rsidRPr="005736DA">
          <w:rPr>
            <w:rFonts w:ascii="Arial" w:hAnsi="Arial"/>
            <w:noProof/>
            <w:webHidden/>
            <w:sz w:val="20"/>
            <w:szCs w:val="20"/>
          </w:rPr>
          <w:instrText xml:space="preserve"> PAGEREF _Toc448316222 \h </w:instrText>
        </w:r>
        <w:r w:rsidRPr="005736DA">
          <w:rPr>
            <w:rFonts w:ascii="Arial" w:hAnsi="Arial"/>
            <w:noProof/>
            <w:webHidden/>
            <w:sz w:val="20"/>
            <w:szCs w:val="20"/>
          </w:rPr>
        </w:r>
        <w:r w:rsidRPr="005736DA">
          <w:rPr>
            <w:rFonts w:ascii="Arial" w:hAnsi="Arial"/>
            <w:noProof/>
            <w:webHidden/>
            <w:sz w:val="20"/>
            <w:szCs w:val="20"/>
          </w:rPr>
          <w:fldChar w:fldCharType="separate"/>
        </w:r>
        <w:r w:rsidR="00E341B1">
          <w:rPr>
            <w:rFonts w:ascii="Arial" w:hAnsi="Arial"/>
            <w:noProof/>
            <w:webHidden/>
            <w:sz w:val="20"/>
            <w:szCs w:val="20"/>
          </w:rPr>
          <w:t>100</w:t>
        </w:r>
        <w:r w:rsidRPr="005736DA">
          <w:rPr>
            <w:rFonts w:ascii="Arial" w:hAnsi="Arial"/>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noProof/>
          <w:sz w:val="20"/>
          <w:szCs w:val="20"/>
        </w:rPr>
      </w:pPr>
      <w:hyperlink w:anchor="_Toc448316223" w:history="1">
        <w:r w:rsidR="005736DA" w:rsidRPr="005736DA">
          <w:rPr>
            <w:rFonts w:ascii="Arial" w:hAnsi="Arial"/>
            <w:noProof/>
            <w:sz w:val="20"/>
            <w:szCs w:val="20"/>
          </w:rPr>
          <w:t>1.3</w:t>
        </w:r>
        <w:r w:rsidR="005736DA" w:rsidRPr="005736DA">
          <w:rPr>
            <w:rFonts w:ascii="Arial" w:hAnsi="Arial"/>
            <w:noProof/>
            <w:sz w:val="20"/>
            <w:szCs w:val="20"/>
          </w:rPr>
          <w:tab/>
          <w:t>Budget Measures</w:t>
        </w:r>
        <w:r w:rsidR="005736DA" w:rsidRPr="005736DA">
          <w:rPr>
            <w:rFonts w:ascii="Arial" w:hAnsi="Arial"/>
            <w:noProof/>
            <w:webHidden/>
            <w:sz w:val="20"/>
            <w:szCs w:val="20"/>
          </w:rPr>
          <w:tab/>
        </w:r>
        <w:r w:rsidRPr="005736DA">
          <w:rPr>
            <w:rFonts w:ascii="Arial" w:hAnsi="Arial"/>
            <w:noProof/>
            <w:webHidden/>
            <w:sz w:val="20"/>
            <w:szCs w:val="20"/>
          </w:rPr>
          <w:fldChar w:fldCharType="begin"/>
        </w:r>
        <w:r w:rsidR="005736DA" w:rsidRPr="005736DA">
          <w:rPr>
            <w:rFonts w:ascii="Arial" w:hAnsi="Arial"/>
            <w:noProof/>
            <w:webHidden/>
            <w:sz w:val="20"/>
            <w:szCs w:val="20"/>
          </w:rPr>
          <w:instrText xml:space="preserve"> PAGEREF _Toc448316223 \h </w:instrText>
        </w:r>
        <w:r w:rsidRPr="005736DA">
          <w:rPr>
            <w:rFonts w:ascii="Arial" w:hAnsi="Arial"/>
            <w:noProof/>
            <w:webHidden/>
            <w:sz w:val="20"/>
            <w:szCs w:val="20"/>
          </w:rPr>
        </w:r>
        <w:r w:rsidRPr="005736DA">
          <w:rPr>
            <w:rFonts w:ascii="Arial" w:hAnsi="Arial"/>
            <w:noProof/>
            <w:webHidden/>
            <w:sz w:val="20"/>
            <w:szCs w:val="20"/>
          </w:rPr>
          <w:fldChar w:fldCharType="separate"/>
        </w:r>
        <w:r w:rsidR="00E341B1">
          <w:rPr>
            <w:rFonts w:ascii="Arial" w:hAnsi="Arial"/>
            <w:noProof/>
            <w:webHidden/>
            <w:sz w:val="20"/>
            <w:szCs w:val="20"/>
          </w:rPr>
          <w:t>101</w:t>
        </w:r>
        <w:r w:rsidRPr="005736DA">
          <w:rPr>
            <w:rFonts w:ascii="Arial" w:hAnsi="Arial"/>
            <w:noProof/>
            <w:webHidden/>
            <w:sz w:val="20"/>
            <w:szCs w:val="20"/>
          </w:rPr>
          <w:fldChar w:fldCharType="end"/>
        </w:r>
      </w:hyperlink>
    </w:p>
    <w:p w:rsidR="005736DA" w:rsidRPr="005736DA" w:rsidRDefault="005736DA" w:rsidP="005736DA">
      <w:pPr>
        <w:spacing w:after="0"/>
        <w:jc w:val="both"/>
        <w:rPr>
          <w:rFonts w:ascii="Book Antiqua" w:eastAsiaTheme="minorEastAsia" w:hAnsi="Book Antiqua"/>
          <w:noProof/>
          <w:sz w:val="20"/>
          <w:szCs w:val="20"/>
        </w:rPr>
      </w:pPr>
    </w:p>
    <w:p w:rsidR="005736DA" w:rsidRPr="005736DA" w:rsidRDefault="000942F9" w:rsidP="005736DA">
      <w:pPr>
        <w:keepNext/>
        <w:tabs>
          <w:tab w:val="left" w:pos="800"/>
          <w:tab w:val="right" w:leader="dot" w:pos="7700"/>
        </w:tabs>
        <w:spacing w:before="80" w:after="0" w:line="240" w:lineRule="auto"/>
        <w:ind w:right="851"/>
        <w:jc w:val="left"/>
        <w:rPr>
          <w:rFonts w:ascii="Arial" w:hAnsi="Arial"/>
          <w:b/>
          <w:noProof/>
          <w:sz w:val="20"/>
          <w:szCs w:val="20"/>
        </w:rPr>
      </w:pPr>
      <w:hyperlink w:anchor="_Toc448316224" w:history="1">
        <w:r w:rsidR="005736DA" w:rsidRPr="005736DA">
          <w:rPr>
            <w:rFonts w:ascii="Arial" w:hAnsi="Arial"/>
            <w:b/>
            <w:noProof/>
            <w:sz w:val="20"/>
            <w:szCs w:val="20"/>
          </w:rPr>
          <w:t>Section 2: Outcomes and Planned Performance</w:t>
        </w:r>
        <w:r w:rsidR="005736DA" w:rsidRPr="005736DA">
          <w:rPr>
            <w:rFonts w:ascii="Arial" w:hAnsi="Arial"/>
            <w:b/>
            <w:noProof/>
            <w:webHidden/>
            <w:sz w:val="20"/>
            <w:szCs w:val="20"/>
          </w:rPr>
          <w:tab/>
        </w:r>
        <w:r w:rsidRPr="005736DA">
          <w:rPr>
            <w:rFonts w:ascii="Arial" w:hAnsi="Arial"/>
            <w:b/>
            <w:noProof/>
            <w:webHidden/>
            <w:sz w:val="20"/>
            <w:szCs w:val="20"/>
          </w:rPr>
          <w:fldChar w:fldCharType="begin"/>
        </w:r>
        <w:r w:rsidR="005736DA" w:rsidRPr="005736DA">
          <w:rPr>
            <w:rFonts w:ascii="Arial" w:hAnsi="Arial"/>
            <w:b/>
            <w:noProof/>
            <w:webHidden/>
            <w:sz w:val="20"/>
            <w:szCs w:val="20"/>
          </w:rPr>
          <w:instrText xml:space="preserve"> PAGEREF _Toc448316224 \h </w:instrText>
        </w:r>
        <w:r w:rsidRPr="005736DA">
          <w:rPr>
            <w:rFonts w:ascii="Arial" w:hAnsi="Arial"/>
            <w:b/>
            <w:noProof/>
            <w:webHidden/>
            <w:sz w:val="20"/>
            <w:szCs w:val="20"/>
          </w:rPr>
        </w:r>
        <w:r w:rsidRPr="005736DA">
          <w:rPr>
            <w:rFonts w:ascii="Arial" w:hAnsi="Arial"/>
            <w:b/>
            <w:noProof/>
            <w:webHidden/>
            <w:sz w:val="20"/>
            <w:szCs w:val="20"/>
          </w:rPr>
          <w:fldChar w:fldCharType="separate"/>
        </w:r>
        <w:r w:rsidR="00E341B1">
          <w:rPr>
            <w:rFonts w:ascii="Arial" w:hAnsi="Arial"/>
            <w:b/>
            <w:noProof/>
            <w:webHidden/>
            <w:sz w:val="20"/>
            <w:szCs w:val="20"/>
          </w:rPr>
          <w:t>102</w:t>
        </w:r>
        <w:r w:rsidRPr="005736DA">
          <w:rPr>
            <w:rFonts w:ascii="Arial" w:hAnsi="Arial"/>
            <w:b/>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noProof/>
          <w:sz w:val="20"/>
          <w:szCs w:val="20"/>
        </w:rPr>
      </w:pPr>
      <w:hyperlink w:anchor="_Toc448316225" w:history="1">
        <w:r w:rsidR="005736DA" w:rsidRPr="005736DA">
          <w:rPr>
            <w:rFonts w:ascii="Arial" w:hAnsi="Arial"/>
            <w:noProof/>
            <w:sz w:val="20"/>
            <w:szCs w:val="20"/>
          </w:rPr>
          <w:t xml:space="preserve">2.1 </w:t>
        </w:r>
        <w:r w:rsidR="005736DA" w:rsidRPr="005736DA">
          <w:rPr>
            <w:rFonts w:ascii="Arial" w:hAnsi="Arial"/>
            <w:noProof/>
            <w:sz w:val="20"/>
            <w:szCs w:val="20"/>
          </w:rPr>
          <w:tab/>
          <w:t>Budgeted Expenses and Performance for Outcome 1</w:t>
        </w:r>
        <w:r w:rsidR="005736DA" w:rsidRPr="005736DA">
          <w:rPr>
            <w:rFonts w:ascii="Arial" w:hAnsi="Arial"/>
            <w:noProof/>
            <w:webHidden/>
            <w:sz w:val="20"/>
            <w:szCs w:val="20"/>
          </w:rPr>
          <w:tab/>
        </w:r>
        <w:r w:rsidRPr="005736DA">
          <w:rPr>
            <w:rFonts w:ascii="Arial" w:hAnsi="Arial"/>
            <w:noProof/>
            <w:webHidden/>
            <w:sz w:val="20"/>
            <w:szCs w:val="20"/>
          </w:rPr>
          <w:fldChar w:fldCharType="begin"/>
        </w:r>
        <w:r w:rsidR="005736DA" w:rsidRPr="005736DA">
          <w:rPr>
            <w:rFonts w:ascii="Arial" w:hAnsi="Arial"/>
            <w:noProof/>
            <w:webHidden/>
            <w:sz w:val="20"/>
            <w:szCs w:val="20"/>
          </w:rPr>
          <w:instrText xml:space="preserve"> PAGEREF _Toc448316225 \h </w:instrText>
        </w:r>
        <w:r w:rsidRPr="005736DA">
          <w:rPr>
            <w:rFonts w:ascii="Arial" w:hAnsi="Arial"/>
            <w:noProof/>
            <w:webHidden/>
            <w:sz w:val="20"/>
            <w:szCs w:val="20"/>
          </w:rPr>
        </w:r>
        <w:r w:rsidRPr="005736DA">
          <w:rPr>
            <w:rFonts w:ascii="Arial" w:hAnsi="Arial"/>
            <w:noProof/>
            <w:webHidden/>
            <w:sz w:val="20"/>
            <w:szCs w:val="20"/>
          </w:rPr>
          <w:fldChar w:fldCharType="separate"/>
        </w:r>
        <w:r w:rsidR="00E341B1">
          <w:rPr>
            <w:rFonts w:ascii="Arial" w:hAnsi="Arial"/>
            <w:noProof/>
            <w:webHidden/>
            <w:sz w:val="20"/>
            <w:szCs w:val="20"/>
          </w:rPr>
          <w:t>103</w:t>
        </w:r>
        <w:r w:rsidRPr="005736DA">
          <w:rPr>
            <w:rFonts w:ascii="Arial" w:hAnsi="Arial"/>
            <w:noProof/>
            <w:webHidden/>
            <w:sz w:val="20"/>
            <w:szCs w:val="20"/>
          </w:rPr>
          <w:fldChar w:fldCharType="end"/>
        </w:r>
      </w:hyperlink>
    </w:p>
    <w:p w:rsidR="005736DA" w:rsidRPr="005736DA" w:rsidRDefault="005736DA" w:rsidP="005736DA">
      <w:pPr>
        <w:spacing w:after="0"/>
        <w:jc w:val="both"/>
        <w:rPr>
          <w:rFonts w:ascii="Book Antiqua" w:eastAsiaTheme="minorEastAsia" w:hAnsi="Book Antiqua"/>
          <w:noProof/>
          <w:sz w:val="20"/>
          <w:szCs w:val="20"/>
        </w:rPr>
      </w:pPr>
    </w:p>
    <w:p w:rsidR="005736DA" w:rsidRPr="005736DA" w:rsidRDefault="000942F9" w:rsidP="005736DA">
      <w:pPr>
        <w:keepNext/>
        <w:tabs>
          <w:tab w:val="left" w:pos="800"/>
          <w:tab w:val="right" w:leader="dot" w:pos="7700"/>
        </w:tabs>
        <w:spacing w:before="80" w:after="0" w:line="240" w:lineRule="auto"/>
        <w:ind w:right="851"/>
        <w:jc w:val="left"/>
        <w:rPr>
          <w:rFonts w:asciiTheme="minorHAnsi" w:eastAsiaTheme="minorEastAsia" w:hAnsiTheme="minorHAnsi" w:cstheme="minorBidi"/>
          <w:b/>
          <w:noProof/>
          <w:sz w:val="22"/>
          <w:szCs w:val="22"/>
        </w:rPr>
      </w:pPr>
      <w:hyperlink w:anchor="_Toc448316226" w:history="1">
        <w:r w:rsidR="005736DA" w:rsidRPr="005736DA">
          <w:rPr>
            <w:rFonts w:ascii="Arial" w:hAnsi="Arial"/>
            <w:b/>
            <w:noProof/>
            <w:sz w:val="20"/>
            <w:szCs w:val="20"/>
          </w:rPr>
          <w:t>Section 3: Budgeted Financial Statements</w:t>
        </w:r>
        <w:r w:rsidR="005736DA" w:rsidRPr="005736DA">
          <w:rPr>
            <w:rFonts w:ascii="Arial" w:hAnsi="Arial"/>
            <w:b/>
            <w:noProof/>
            <w:webHidden/>
            <w:sz w:val="20"/>
            <w:szCs w:val="20"/>
          </w:rPr>
          <w:tab/>
        </w:r>
        <w:r w:rsidRPr="005736DA">
          <w:rPr>
            <w:rFonts w:ascii="Arial" w:hAnsi="Arial"/>
            <w:b/>
            <w:noProof/>
            <w:webHidden/>
            <w:sz w:val="20"/>
            <w:szCs w:val="20"/>
          </w:rPr>
          <w:fldChar w:fldCharType="begin"/>
        </w:r>
        <w:r w:rsidR="005736DA" w:rsidRPr="005736DA">
          <w:rPr>
            <w:rFonts w:ascii="Arial" w:hAnsi="Arial"/>
            <w:b/>
            <w:noProof/>
            <w:webHidden/>
            <w:sz w:val="20"/>
            <w:szCs w:val="20"/>
          </w:rPr>
          <w:instrText xml:space="preserve"> PAGEREF _Toc448316226 \h </w:instrText>
        </w:r>
        <w:r w:rsidRPr="005736DA">
          <w:rPr>
            <w:rFonts w:ascii="Arial" w:hAnsi="Arial"/>
            <w:b/>
            <w:noProof/>
            <w:webHidden/>
            <w:sz w:val="20"/>
            <w:szCs w:val="20"/>
          </w:rPr>
        </w:r>
        <w:r w:rsidRPr="005736DA">
          <w:rPr>
            <w:rFonts w:ascii="Arial" w:hAnsi="Arial"/>
            <w:b/>
            <w:noProof/>
            <w:webHidden/>
            <w:sz w:val="20"/>
            <w:szCs w:val="20"/>
          </w:rPr>
          <w:fldChar w:fldCharType="separate"/>
        </w:r>
        <w:r w:rsidR="00E341B1">
          <w:rPr>
            <w:rFonts w:ascii="Arial" w:hAnsi="Arial"/>
            <w:b/>
            <w:noProof/>
            <w:webHidden/>
            <w:sz w:val="20"/>
            <w:szCs w:val="20"/>
          </w:rPr>
          <w:t>107</w:t>
        </w:r>
        <w:r w:rsidRPr="005736DA">
          <w:rPr>
            <w:rFonts w:ascii="Arial" w:hAnsi="Arial"/>
            <w:b/>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noProof/>
          <w:sz w:val="20"/>
          <w:szCs w:val="20"/>
        </w:rPr>
      </w:pPr>
      <w:hyperlink w:anchor="_Toc448316227" w:history="1">
        <w:r w:rsidR="005736DA" w:rsidRPr="005736DA">
          <w:rPr>
            <w:rFonts w:ascii="Arial" w:hAnsi="Arial"/>
            <w:noProof/>
            <w:sz w:val="20"/>
            <w:szCs w:val="20"/>
          </w:rPr>
          <w:t>3.1</w:t>
        </w:r>
        <w:r w:rsidR="005736DA" w:rsidRPr="005736DA">
          <w:rPr>
            <w:rFonts w:ascii="Arial" w:hAnsi="Arial"/>
            <w:noProof/>
            <w:sz w:val="20"/>
            <w:szCs w:val="20"/>
          </w:rPr>
          <w:tab/>
          <w:t>Budgeted Financial Statements</w:t>
        </w:r>
        <w:r w:rsidR="005736DA" w:rsidRPr="005736DA">
          <w:rPr>
            <w:rFonts w:ascii="Arial" w:hAnsi="Arial"/>
            <w:noProof/>
            <w:webHidden/>
            <w:sz w:val="20"/>
            <w:szCs w:val="20"/>
          </w:rPr>
          <w:tab/>
        </w:r>
        <w:r w:rsidRPr="005736DA">
          <w:rPr>
            <w:rFonts w:ascii="Arial" w:hAnsi="Arial"/>
            <w:noProof/>
            <w:webHidden/>
            <w:sz w:val="20"/>
            <w:szCs w:val="20"/>
          </w:rPr>
          <w:fldChar w:fldCharType="begin"/>
        </w:r>
        <w:r w:rsidR="005736DA" w:rsidRPr="005736DA">
          <w:rPr>
            <w:rFonts w:ascii="Arial" w:hAnsi="Arial"/>
            <w:noProof/>
            <w:webHidden/>
            <w:sz w:val="20"/>
            <w:szCs w:val="20"/>
          </w:rPr>
          <w:instrText xml:space="preserve"> PAGEREF _Toc448316227 \h </w:instrText>
        </w:r>
        <w:r w:rsidRPr="005736DA">
          <w:rPr>
            <w:rFonts w:ascii="Arial" w:hAnsi="Arial"/>
            <w:noProof/>
            <w:webHidden/>
            <w:sz w:val="20"/>
            <w:szCs w:val="20"/>
          </w:rPr>
        </w:r>
        <w:r w:rsidRPr="005736DA">
          <w:rPr>
            <w:rFonts w:ascii="Arial" w:hAnsi="Arial"/>
            <w:noProof/>
            <w:webHidden/>
            <w:sz w:val="20"/>
            <w:szCs w:val="20"/>
          </w:rPr>
          <w:fldChar w:fldCharType="separate"/>
        </w:r>
        <w:r w:rsidR="00E341B1">
          <w:rPr>
            <w:rFonts w:ascii="Arial" w:hAnsi="Arial"/>
            <w:noProof/>
            <w:webHidden/>
            <w:sz w:val="20"/>
            <w:szCs w:val="20"/>
          </w:rPr>
          <w:t>107</w:t>
        </w:r>
        <w:r w:rsidRPr="005736DA">
          <w:rPr>
            <w:rFonts w:ascii="Arial" w:hAnsi="Arial"/>
            <w:noProof/>
            <w:webHidden/>
            <w:sz w:val="20"/>
            <w:szCs w:val="20"/>
          </w:rPr>
          <w:fldChar w:fldCharType="end"/>
        </w:r>
      </w:hyperlink>
    </w:p>
    <w:p w:rsidR="005736DA" w:rsidRPr="005736DA" w:rsidRDefault="000942F9" w:rsidP="005736DA">
      <w:pPr>
        <w:keepNext/>
        <w:tabs>
          <w:tab w:val="left" w:pos="800"/>
          <w:tab w:val="right" w:leader="dot" w:pos="7700"/>
        </w:tabs>
        <w:spacing w:before="80" w:after="0" w:line="240" w:lineRule="auto"/>
        <w:ind w:right="851"/>
        <w:jc w:val="left"/>
        <w:rPr>
          <w:rFonts w:ascii="Arial" w:hAnsi="Arial"/>
          <w:sz w:val="20"/>
          <w:szCs w:val="20"/>
        </w:rPr>
        <w:sectPr w:rsidR="005736DA" w:rsidRPr="005736DA" w:rsidSect="005736DA">
          <w:type w:val="oddPage"/>
          <w:pgSz w:w="11906" w:h="16838" w:code="9"/>
          <w:pgMar w:top="2466" w:right="2098" w:bottom="2466" w:left="2098" w:header="1899" w:footer="1899" w:gutter="0"/>
          <w:cols w:space="708"/>
          <w:titlePg/>
          <w:docGrid w:linePitch="360"/>
        </w:sectPr>
      </w:pPr>
      <w:hyperlink w:anchor="_Toc448316228" w:history="1">
        <w:r w:rsidR="005736DA" w:rsidRPr="005736DA">
          <w:rPr>
            <w:rFonts w:ascii="Arial" w:hAnsi="Arial"/>
            <w:noProof/>
            <w:sz w:val="20"/>
            <w:szCs w:val="20"/>
          </w:rPr>
          <w:tab/>
        </w:r>
      </w:hyperlink>
      <w:r w:rsidRPr="005736DA">
        <w:rPr>
          <w:rFonts w:ascii="Arial" w:hAnsi="Arial"/>
          <w:b/>
          <w:sz w:val="20"/>
          <w:szCs w:val="20"/>
          <w:highlight w:val="yellow"/>
        </w:rPr>
        <w:fldChar w:fldCharType="end"/>
      </w:r>
    </w:p>
    <w:p w:rsidR="005736DA" w:rsidRPr="005736DA" w:rsidRDefault="005736DA" w:rsidP="005736DA">
      <w:pPr>
        <w:keepNext/>
        <w:spacing w:line="240" w:lineRule="auto"/>
        <w:outlineLvl w:val="0"/>
        <w:rPr>
          <w:rFonts w:ascii="Arial" w:hAnsi="Arial"/>
          <w:b/>
          <w:smallCaps/>
          <w:kern w:val="28"/>
          <w:sz w:val="34"/>
          <w:szCs w:val="20"/>
        </w:rPr>
      </w:pPr>
      <w:r w:rsidRPr="005736DA">
        <w:rPr>
          <w:rFonts w:ascii="Arial" w:hAnsi="Arial"/>
          <w:b/>
          <w:smallCaps/>
          <w:kern w:val="28"/>
          <w:sz w:val="34"/>
          <w:szCs w:val="20"/>
        </w:rPr>
        <w:lastRenderedPageBreak/>
        <w:t>Commonwealth Superannuation Corporation</w:t>
      </w:r>
    </w:p>
    <w:p w:rsidR="005736DA" w:rsidRPr="005736DA" w:rsidRDefault="005736DA" w:rsidP="005736DA">
      <w:pPr>
        <w:keepNext/>
        <w:spacing w:before="360" w:after="360" w:line="240" w:lineRule="auto"/>
        <w:jc w:val="left"/>
        <w:outlineLvl w:val="1"/>
        <w:rPr>
          <w:rFonts w:ascii="Arial" w:hAnsi="Arial"/>
          <w:sz w:val="30"/>
          <w:szCs w:val="20"/>
        </w:rPr>
      </w:pPr>
      <w:bookmarkStart w:id="1" w:name="_Toc448316220"/>
      <w:r w:rsidRPr="005736DA">
        <w:rPr>
          <w:rFonts w:ascii="Arial" w:hAnsi="Arial"/>
          <w:sz w:val="30"/>
          <w:szCs w:val="20"/>
        </w:rPr>
        <w:t>Section 1: Entity Overview and Resources</w:t>
      </w:r>
      <w:bookmarkEnd w:id="1"/>
    </w:p>
    <w:p w:rsidR="005736DA" w:rsidRPr="005736DA" w:rsidRDefault="005736DA" w:rsidP="005736DA">
      <w:pPr>
        <w:keepNext/>
        <w:tabs>
          <w:tab w:val="left" w:pos="709"/>
        </w:tabs>
        <w:spacing w:before="240" w:line="240" w:lineRule="auto"/>
        <w:jc w:val="left"/>
        <w:outlineLvl w:val="2"/>
        <w:rPr>
          <w:rFonts w:ascii="Arial" w:hAnsi="Arial"/>
          <w:b/>
          <w:smallCaps/>
          <w:sz w:val="26"/>
          <w:szCs w:val="20"/>
        </w:rPr>
      </w:pPr>
      <w:bookmarkStart w:id="2" w:name="_Toc448316221"/>
      <w:r w:rsidRPr="005736DA">
        <w:rPr>
          <w:rFonts w:ascii="Arial" w:hAnsi="Arial"/>
          <w:b/>
          <w:smallCaps/>
          <w:sz w:val="26"/>
          <w:szCs w:val="20"/>
        </w:rPr>
        <w:t>1.1</w:t>
      </w:r>
      <w:r w:rsidRPr="005736DA">
        <w:rPr>
          <w:rFonts w:ascii="Arial" w:hAnsi="Arial"/>
          <w:b/>
          <w:smallCaps/>
          <w:sz w:val="26"/>
          <w:szCs w:val="20"/>
        </w:rPr>
        <w:tab/>
        <w:t>Strategic Direction Statement</w:t>
      </w:r>
      <w:bookmarkEnd w:id="2"/>
    </w:p>
    <w:p w:rsidR="005736DA" w:rsidRPr="005736DA" w:rsidRDefault="005736DA" w:rsidP="0051401E">
      <w:pPr>
        <w:spacing w:after="0"/>
        <w:jc w:val="left"/>
        <w:rPr>
          <w:rFonts w:ascii="Book Antiqua" w:hAnsi="Book Antiqua" w:cs="Arial"/>
          <w:color w:val="000000"/>
          <w:sz w:val="20"/>
          <w:szCs w:val="20"/>
        </w:rPr>
      </w:pPr>
      <w:r w:rsidRPr="005736DA">
        <w:rPr>
          <w:rFonts w:ascii="Book Antiqua" w:hAnsi="Book Antiqua" w:cs="Arial"/>
          <w:color w:val="000000"/>
          <w:sz w:val="20"/>
          <w:szCs w:val="20"/>
        </w:rPr>
        <w:t>Commonwealth Superannuation Corporation (CSC) is responsible for the management of funds and administration of the Public Superannuation Scheme Accumulation Plan (</w:t>
      </w:r>
      <w:proofErr w:type="spellStart"/>
      <w:r w:rsidRPr="005736DA">
        <w:rPr>
          <w:rFonts w:ascii="Book Antiqua" w:hAnsi="Book Antiqua" w:cs="Arial"/>
          <w:color w:val="000000"/>
          <w:sz w:val="20"/>
          <w:szCs w:val="20"/>
        </w:rPr>
        <w:t>PSSap</w:t>
      </w:r>
      <w:proofErr w:type="spellEnd"/>
      <w:r w:rsidRPr="005736DA">
        <w:rPr>
          <w:rFonts w:ascii="Book Antiqua" w:hAnsi="Book Antiqua" w:cs="Arial"/>
          <w:color w:val="000000"/>
          <w:sz w:val="20"/>
          <w:szCs w:val="20"/>
        </w:rPr>
        <w:t>); the Public Sector Superannuation Scheme (PSS); the Commonwealth Superannuation Scheme (CSS); the Military Superannuation and Benefits Scheme (MSBS); and the new accumulation plan Australian Defence Force (ADF) Super from 1 July 2016.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new Australian Defence Force (ADF) Cover invalidity scheme from 1 July 2016.</w:t>
      </w:r>
    </w:p>
    <w:p w:rsidR="005736DA" w:rsidRPr="005736DA" w:rsidRDefault="005736DA" w:rsidP="0051401E">
      <w:pPr>
        <w:spacing w:after="0"/>
        <w:jc w:val="left"/>
        <w:rPr>
          <w:rFonts w:ascii="Book Antiqua" w:hAnsi="Book Antiqua" w:cs="Arial"/>
          <w:color w:val="000000"/>
          <w:sz w:val="20"/>
          <w:szCs w:val="20"/>
        </w:rPr>
      </w:pPr>
    </w:p>
    <w:p w:rsidR="005736DA" w:rsidRPr="005736DA" w:rsidRDefault="005736DA" w:rsidP="0051401E">
      <w:pPr>
        <w:jc w:val="left"/>
        <w:rPr>
          <w:rFonts w:ascii="Book Antiqua" w:hAnsi="Book Antiqua" w:cs="Arial"/>
          <w:color w:val="000000"/>
          <w:sz w:val="20"/>
          <w:szCs w:val="20"/>
        </w:rPr>
      </w:pPr>
      <w:r w:rsidRPr="005736DA">
        <w:rPr>
          <w:rFonts w:ascii="Book Antiqua" w:hAnsi="Book Antiqua" w:cs="Arial"/>
          <w:color w:val="000000"/>
          <w:sz w:val="20"/>
          <w:szCs w:val="20"/>
        </w:rPr>
        <w:t>CSC seeks to achieve its outcome agreed with the government by delivering consistently competitive and risk-managed investment performance, efficient scheme administration for contributors and beneficiaries, and effective interaction with its other stakeholders.</w:t>
      </w:r>
    </w:p>
    <w:p w:rsidR="005736DA" w:rsidRPr="005736DA" w:rsidRDefault="005736DA" w:rsidP="0051401E">
      <w:pPr>
        <w:jc w:val="left"/>
        <w:rPr>
          <w:rFonts w:ascii="Book Antiqua" w:hAnsi="Book Antiqua" w:cs="Arial"/>
          <w:color w:val="000000"/>
          <w:sz w:val="20"/>
          <w:szCs w:val="20"/>
        </w:rPr>
      </w:pPr>
      <w:r w:rsidRPr="005736DA">
        <w:rPr>
          <w:rFonts w:ascii="Book Antiqua" w:hAnsi="Book Antiqua" w:cs="Arial"/>
          <w:color w:val="000000"/>
          <w:sz w:val="20"/>
          <w:szCs w:val="20"/>
        </w:rPr>
        <w:t xml:space="preserve">CSC aspires to maintain its leadership position as a superannuation provider of choice in the Commonwealth sector. CSC will work with the government to improve or modernise scheme design and will work to improve service to members. </w:t>
      </w:r>
    </w:p>
    <w:p w:rsidR="005736DA" w:rsidRPr="005736DA" w:rsidRDefault="005736DA" w:rsidP="0051401E">
      <w:pPr>
        <w:jc w:val="left"/>
        <w:rPr>
          <w:rFonts w:ascii="Book Antiqua" w:hAnsi="Book Antiqua" w:cs="Arial"/>
          <w:color w:val="000000"/>
          <w:sz w:val="20"/>
          <w:szCs w:val="20"/>
        </w:rPr>
      </w:pPr>
      <w:r w:rsidRPr="005736DA">
        <w:rPr>
          <w:rFonts w:ascii="Book Antiqua" w:hAnsi="Book Antiqua" w:cs="Arial"/>
          <w:color w:val="000000"/>
          <w:sz w:val="20"/>
          <w:szCs w:val="20"/>
        </w:rPr>
        <w:t xml:space="preserve">As a holder of licences from both Australian Prudential Regulation Authority (APRA) and Australian Securities and Investments Commission (ASIC), CSC will continue to ensure the highest standards are maintained and will seek to meet all compliance obligations. </w:t>
      </w:r>
    </w:p>
    <w:p w:rsidR="005736DA" w:rsidRPr="005736DA" w:rsidRDefault="005736DA" w:rsidP="0051401E">
      <w:pPr>
        <w:jc w:val="left"/>
        <w:rPr>
          <w:rFonts w:ascii="Book Antiqua" w:hAnsi="Book Antiqua" w:cs="Arial"/>
          <w:color w:val="000000"/>
          <w:sz w:val="20"/>
          <w:szCs w:val="20"/>
        </w:rPr>
      </w:pPr>
      <w:r w:rsidRPr="005736DA">
        <w:rPr>
          <w:rFonts w:ascii="Book Antiqua" w:hAnsi="Book Antiqua" w:cs="Arial"/>
          <w:color w:val="000000"/>
          <w:sz w:val="20"/>
          <w:szCs w:val="20"/>
        </w:rPr>
        <w:t xml:space="preserve">CSC became solely responsible for all superannuation functions with the merger of </w:t>
      </w:r>
      <w:proofErr w:type="spellStart"/>
      <w:r w:rsidRPr="005736DA">
        <w:rPr>
          <w:rFonts w:ascii="Book Antiqua" w:hAnsi="Book Antiqua" w:cs="Arial"/>
          <w:color w:val="000000"/>
          <w:sz w:val="20"/>
          <w:szCs w:val="20"/>
        </w:rPr>
        <w:t>ComSuper</w:t>
      </w:r>
      <w:proofErr w:type="spellEnd"/>
      <w:r w:rsidRPr="005736DA">
        <w:rPr>
          <w:rFonts w:ascii="Book Antiqua" w:hAnsi="Book Antiqua" w:cs="Arial"/>
          <w:color w:val="000000"/>
          <w:sz w:val="20"/>
          <w:szCs w:val="20"/>
        </w:rPr>
        <w:t xml:space="preserve"> into CSC on 1 July 2015 and the assumption of its functions by CSC. This means there is a revised single outcome statement.</w:t>
      </w:r>
    </w:p>
    <w:p w:rsidR="005736DA" w:rsidRPr="005736DA" w:rsidRDefault="005736DA" w:rsidP="0051401E">
      <w:pPr>
        <w:jc w:val="left"/>
        <w:rPr>
          <w:rFonts w:ascii="Book Antiqua" w:hAnsi="Book Antiqua" w:cs="Arial"/>
          <w:color w:val="000000"/>
          <w:sz w:val="20"/>
          <w:szCs w:val="20"/>
        </w:rPr>
      </w:pPr>
      <w:r w:rsidRPr="005736DA">
        <w:rPr>
          <w:rFonts w:ascii="Book Antiqua" w:hAnsi="Book Antiqua" w:cs="Arial"/>
          <w:color w:val="000000"/>
          <w:sz w:val="20"/>
          <w:szCs w:val="20"/>
        </w:rPr>
        <w:t xml:space="preserve">On 13 May 2014 the government announced its intention to close MSBS to new members from 1 July 2016. Following the passing of the relevant legislation on </w:t>
      </w:r>
      <w:r w:rsidRPr="005736DA">
        <w:rPr>
          <w:rFonts w:ascii="Book Antiqua" w:hAnsi="Book Antiqua" w:cs="Arial"/>
          <w:color w:val="000000"/>
          <w:sz w:val="20"/>
          <w:szCs w:val="20"/>
        </w:rPr>
        <w:lastRenderedPageBreak/>
        <w:t xml:space="preserve">10 September 2015, a new accumulation plan ADF Super and a new </w:t>
      </w:r>
      <w:proofErr w:type="gramStart"/>
      <w:r w:rsidRPr="005736DA">
        <w:rPr>
          <w:rFonts w:ascii="Book Antiqua" w:hAnsi="Book Antiqua" w:cs="Arial"/>
          <w:color w:val="000000"/>
          <w:sz w:val="20"/>
          <w:szCs w:val="20"/>
        </w:rPr>
        <w:t>invalidity  scheme</w:t>
      </w:r>
      <w:proofErr w:type="gramEnd"/>
      <w:r w:rsidRPr="005736DA">
        <w:rPr>
          <w:rFonts w:ascii="Book Antiqua" w:hAnsi="Book Antiqua" w:cs="Arial"/>
          <w:color w:val="000000"/>
          <w:sz w:val="20"/>
          <w:szCs w:val="20"/>
        </w:rPr>
        <w:t xml:space="preserve"> ADF Cover will commence on 1 July 2016. Administration fees for the new ADF Super scheme will be deducted from member accounts in a similar way to the new </w:t>
      </w:r>
      <w:proofErr w:type="spellStart"/>
      <w:r w:rsidRPr="005736DA">
        <w:rPr>
          <w:rFonts w:ascii="Book Antiqua" w:hAnsi="Book Antiqua" w:cs="Arial"/>
          <w:color w:val="000000"/>
          <w:sz w:val="20"/>
          <w:szCs w:val="20"/>
        </w:rPr>
        <w:t>PSSap</w:t>
      </w:r>
      <w:proofErr w:type="spellEnd"/>
      <w:r w:rsidRPr="005736DA">
        <w:rPr>
          <w:rFonts w:ascii="Book Antiqua" w:hAnsi="Book Antiqua" w:cs="Arial"/>
          <w:color w:val="000000"/>
          <w:sz w:val="20"/>
          <w:szCs w:val="20"/>
        </w:rPr>
        <w:t xml:space="preserve"> arrangements that were introduced on 1 July 2015.</w:t>
      </w:r>
    </w:p>
    <w:p w:rsidR="005736DA" w:rsidRPr="005736DA" w:rsidRDefault="005736DA" w:rsidP="005736DA">
      <w:pPr>
        <w:jc w:val="both"/>
        <w:rPr>
          <w:rFonts w:ascii="Arial" w:hAnsi="Arial" w:cs="Arial"/>
          <w:color w:val="000000"/>
          <w:sz w:val="20"/>
          <w:szCs w:val="20"/>
        </w:rPr>
      </w:pPr>
    </w:p>
    <w:p w:rsidR="005736DA" w:rsidRPr="005736DA" w:rsidRDefault="005736DA" w:rsidP="004A060A">
      <w:pPr>
        <w:pStyle w:val="Heading3"/>
      </w:pPr>
      <w:bookmarkStart w:id="3" w:name="_Toc444523874"/>
      <w:bookmarkStart w:id="4" w:name="_Toc448316222"/>
      <w:r w:rsidRPr="005736DA">
        <w:t>1.2</w:t>
      </w:r>
      <w:r w:rsidRPr="005736DA">
        <w:tab/>
        <w:t>Entity Resource Statement</w:t>
      </w:r>
      <w:bookmarkEnd w:id="3"/>
      <w:bookmarkEnd w:id="4"/>
      <w:r w:rsidRPr="005736DA">
        <w:t xml:space="preserve"> </w:t>
      </w:r>
    </w:p>
    <w:p w:rsidR="005736DA" w:rsidRPr="005736DA" w:rsidRDefault="005736DA" w:rsidP="0051401E">
      <w:pPr>
        <w:jc w:val="left"/>
        <w:rPr>
          <w:rFonts w:ascii="Book Antiqua" w:hAnsi="Book Antiqua" w:cs="Arial"/>
          <w:sz w:val="20"/>
          <w:szCs w:val="20"/>
        </w:rPr>
      </w:pPr>
      <w:r w:rsidRPr="005736DA">
        <w:rPr>
          <w:rFonts w:ascii="Book Antiqua" w:hAnsi="Book Antiqua" w:cs="Arial"/>
          <w:sz w:val="20"/>
          <w:szCs w:val="20"/>
        </w:rPr>
        <w:t xml:space="preserve">Table 1.1 shows the total funding from all sources available to CSC for its operations and to deliver programs and services on behalf of the government. </w:t>
      </w:r>
    </w:p>
    <w:p w:rsidR="005736DA" w:rsidRPr="005736DA" w:rsidRDefault="005736DA" w:rsidP="0051401E">
      <w:pPr>
        <w:jc w:val="left"/>
        <w:rPr>
          <w:rFonts w:ascii="Book Antiqua" w:hAnsi="Book Antiqua" w:cs="Arial"/>
          <w:sz w:val="20"/>
          <w:szCs w:val="20"/>
        </w:rPr>
      </w:pPr>
      <w:r w:rsidRPr="005736DA">
        <w:rPr>
          <w:rFonts w:ascii="Book Antiqua" w:hAnsi="Book Antiqua" w:cs="Arial"/>
          <w:sz w:val="20"/>
          <w:szCs w:val="20"/>
        </w:rPr>
        <w:t xml:space="preserve">The table summarises how resources will be applied by outcome (government strategic policy objectives) and by administered (on behalf of the government or the public) and departmental (for </w:t>
      </w:r>
      <w:r w:rsidR="0051401E">
        <w:rPr>
          <w:rFonts w:ascii="Book Antiqua" w:hAnsi="Book Antiqua" w:cs="Arial"/>
          <w:sz w:val="20"/>
          <w:szCs w:val="20"/>
        </w:rPr>
        <w:t xml:space="preserve">CSC’s </w:t>
      </w:r>
      <w:r w:rsidRPr="005736DA">
        <w:rPr>
          <w:rFonts w:ascii="Book Antiqua" w:hAnsi="Book Antiqua" w:cs="Arial"/>
          <w:sz w:val="20"/>
          <w:szCs w:val="20"/>
        </w:rPr>
        <w:t>operations) classification.</w:t>
      </w:r>
    </w:p>
    <w:p w:rsidR="005736DA" w:rsidRPr="005736DA" w:rsidRDefault="005736DA" w:rsidP="0051401E">
      <w:pPr>
        <w:jc w:val="left"/>
        <w:rPr>
          <w:rFonts w:ascii="Book Antiqua" w:hAnsi="Book Antiqua" w:cs="Arial"/>
          <w:sz w:val="20"/>
          <w:szCs w:val="20"/>
        </w:rPr>
      </w:pPr>
      <w:r w:rsidRPr="005736DA">
        <w:rPr>
          <w:rFonts w:ascii="Book Antiqua" w:hAnsi="Book Antiqua" w:cs="Arial"/>
          <w:sz w:val="20"/>
          <w:szCs w:val="20"/>
        </w:rPr>
        <w:t xml:space="preserve">For more detailed information on special accounts and special appropriations, please refer to </w:t>
      </w:r>
      <w:r w:rsidRPr="005736DA">
        <w:rPr>
          <w:rFonts w:ascii="Book Antiqua" w:hAnsi="Book Antiqua" w:cs="Arial"/>
          <w:i/>
          <w:sz w:val="20"/>
          <w:szCs w:val="20"/>
        </w:rPr>
        <w:t>Budget Paper No. 4 – Agency Resourcing</w:t>
      </w:r>
      <w:r w:rsidRPr="005736DA">
        <w:rPr>
          <w:rFonts w:ascii="Book Antiqua" w:hAnsi="Book Antiqua" w:cs="Arial"/>
          <w:sz w:val="20"/>
          <w:szCs w:val="20"/>
        </w:rPr>
        <w:t>.</w:t>
      </w:r>
    </w:p>
    <w:p w:rsidR="005736DA" w:rsidRPr="005736DA" w:rsidRDefault="005736DA" w:rsidP="0051401E">
      <w:pPr>
        <w:jc w:val="left"/>
        <w:rPr>
          <w:rFonts w:ascii="Arial" w:hAnsi="Arial" w:cs="Arial"/>
          <w:sz w:val="20"/>
          <w:szCs w:val="20"/>
        </w:rPr>
      </w:pPr>
      <w:r w:rsidRPr="005736DA">
        <w:rPr>
          <w:rFonts w:ascii="Book Antiqua" w:hAnsi="Book Antiqua" w:cs="Arial"/>
          <w:sz w:val="20"/>
          <w:szCs w:val="20"/>
        </w:rPr>
        <w:t xml:space="preserve">Information in this table is presented on a resourcing (i.e. appropriations/cash available) basis, whilst the ‘Budgeted </w:t>
      </w:r>
      <w:r w:rsidRPr="005736DA">
        <w:rPr>
          <w:rFonts w:ascii="Book Antiqua" w:hAnsi="Book Antiqua" w:cs="Arial"/>
          <w:sz w:val="20"/>
          <w:szCs w:val="20"/>
        </w:rPr>
        <w:tab/>
        <w:t>Expenses by Outcome 1’ tables in Section 2 and the financial statements in Section 3 are presented on an accrual basis</w:t>
      </w:r>
      <w:r w:rsidRPr="005736DA">
        <w:rPr>
          <w:rFonts w:ascii="Arial" w:hAnsi="Arial" w:cs="Arial"/>
          <w:sz w:val="20"/>
          <w:szCs w:val="20"/>
        </w:rPr>
        <w:t xml:space="preserve">. </w:t>
      </w:r>
    </w:p>
    <w:p w:rsidR="005736DA" w:rsidRPr="005736DA" w:rsidRDefault="005736DA" w:rsidP="004A060A">
      <w:pPr>
        <w:pStyle w:val="Heading5"/>
        <w:spacing w:after="0"/>
      </w:pPr>
      <w:r w:rsidRPr="005736DA">
        <w:t>Table 1.1: Commonwealth Superannuation Corporation Resource Statement — Budget Estimates for 2016-17 as at Budget May 2016</w:t>
      </w:r>
    </w:p>
    <w:tbl>
      <w:tblPr>
        <w:tblW w:w="7120" w:type="dxa"/>
        <w:tblInd w:w="96" w:type="dxa"/>
        <w:tblLook w:val="04A0"/>
      </w:tblPr>
      <w:tblGrid>
        <w:gridCol w:w="5000"/>
        <w:gridCol w:w="1060"/>
        <w:gridCol w:w="1060"/>
      </w:tblGrid>
      <w:tr w:rsidR="00C2082C" w:rsidRPr="00C2082C" w:rsidTr="00C2082C">
        <w:trPr>
          <w:trHeight w:val="225"/>
        </w:trPr>
        <w:tc>
          <w:tcPr>
            <w:tcW w:w="5000" w:type="dxa"/>
            <w:tcBorders>
              <w:top w:val="single" w:sz="4" w:space="0" w:color="auto"/>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single" w:sz="4" w:space="0" w:color="auto"/>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2015-16</w:t>
            </w:r>
          </w:p>
        </w:tc>
        <w:tc>
          <w:tcPr>
            <w:tcW w:w="1060" w:type="dxa"/>
            <w:tcBorders>
              <w:top w:val="single" w:sz="4" w:space="0" w:color="auto"/>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2016-17</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nil"/>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estimated</w:t>
            </w:r>
          </w:p>
        </w:tc>
        <w:tc>
          <w:tcPr>
            <w:tcW w:w="1060" w:type="dxa"/>
            <w:tcBorders>
              <w:top w:val="nil"/>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estimate</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nil"/>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actual</w:t>
            </w:r>
          </w:p>
        </w:tc>
        <w:tc>
          <w:tcPr>
            <w:tcW w:w="1060" w:type="dxa"/>
            <w:tcBorders>
              <w:top w:val="nil"/>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 </w:t>
            </w:r>
          </w:p>
        </w:tc>
        <w:tc>
          <w:tcPr>
            <w:tcW w:w="106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rPr>
            </w:pPr>
            <w:r w:rsidRPr="00C2082C">
              <w:rPr>
                <w:rFonts w:ascii="Arial" w:hAnsi="Arial" w:cs="Arial"/>
                <w:i/>
                <w:iCs/>
              </w:rPr>
              <w:t>$'000</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Funds from Government</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xml:space="preserve">Special accounts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color w:val="000000"/>
              </w:rPr>
            </w:pPr>
            <w:r w:rsidRPr="00C2082C">
              <w:rPr>
                <w:rFonts w:ascii="Arial" w:hAnsi="Arial" w:cs="Arial"/>
                <w:color w:val="000000"/>
              </w:rPr>
              <w:t>Opening balance Administered</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6,501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6,928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color w:val="000000"/>
              </w:rPr>
            </w:pPr>
            <w:r w:rsidRPr="00C2082C">
              <w:rPr>
                <w:rFonts w:ascii="Arial" w:hAnsi="Arial" w:cs="Arial"/>
                <w:color w:val="000000"/>
              </w:rPr>
              <w:t>Opening balance Departmental</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26,701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ind w:firstLineChars="100" w:firstLine="160"/>
              <w:jc w:val="left"/>
              <w:rPr>
                <w:rFonts w:ascii="Arial" w:hAnsi="Arial" w:cs="Arial"/>
                <w:color w:val="000000"/>
              </w:rPr>
            </w:pPr>
            <w:r w:rsidRPr="00C2082C">
              <w:rPr>
                <w:rFonts w:ascii="Arial" w:hAnsi="Arial" w:cs="Arial"/>
                <w:color w:val="000000"/>
              </w:rPr>
              <w:t>Receipts Administered</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1,871,921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1,871,921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ind w:firstLineChars="100" w:firstLine="160"/>
              <w:jc w:val="left"/>
              <w:rPr>
                <w:rFonts w:ascii="Arial" w:hAnsi="Arial" w:cs="Arial"/>
                <w:color w:val="000000"/>
              </w:rPr>
            </w:pPr>
            <w:r w:rsidRPr="00C2082C">
              <w:rPr>
                <w:rFonts w:ascii="Arial" w:hAnsi="Arial" w:cs="Arial"/>
                <w:color w:val="000000"/>
              </w:rPr>
              <w:t>Receipts Departmental</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99,224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70,870 </w:t>
            </w:r>
          </w:p>
        </w:tc>
      </w:tr>
      <w:tr w:rsidR="00C2082C" w:rsidRPr="00C2082C" w:rsidTr="00C2082C">
        <w:trPr>
          <w:trHeight w:val="225"/>
        </w:trPr>
        <w:tc>
          <w:tcPr>
            <w:tcW w:w="500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Total special accounts</w:t>
            </w:r>
          </w:p>
        </w:tc>
        <w:tc>
          <w:tcPr>
            <w:tcW w:w="1060" w:type="dxa"/>
            <w:tcBorders>
              <w:top w:val="single" w:sz="4" w:space="0" w:color="auto"/>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1,977,646 </w:t>
            </w:r>
          </w:p>
        </w:tc>
        <w:tc>
          <w:tcPr>
            <w:tcW w:w="1060" w:type="dxa"/>
            <w:tcBorders>
              <w:top w:val="single" w:sz="4" w:space="0" w:color="auto"/>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1,976,420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lastRenderedPageBreak/>
              <w:t>Total funds from Government</w:t>
            </w:r>
          </w:p>
        </w:tc>
        <w:tc>
          <w:tcPr>
            <w:tcW w:w="106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b/>
                <w:bCs/>
                <w:i/>
                <w:iCs/>
                <w:color w:val="000000"/>
              </w:rPr>
            </w:pPr>
            <w:r w:rsidRPr="00C2082C">
              <w:rPr>
                <w:rFonts w:ascii="Arial" w:hAnsi="Arial" w:cs="Arial"/>
                <w:b/>
                <w:bCs/>
                <w:i/>
                <w:iCs/>
                <w:color w:val="000000"/>
              </w:rPr>
              <w:t xml:space="preserve">1,977,646 </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1,976,420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Funds from other sources</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ind w:firstLineChars="100" w:firstLine="160"/>
              <w:jc w:val="left"/>
              <w:rPr>
                <w:rFonts w:ascii="Arial" w:hAnsi="Arial" w:cs="Arial"/>
                <w:color w:val="000000"/>
              </w:rPr>
            </w:pPr>
            <w:r w:rsidRPr="00C2082C">
              <w:rPr>
                <w:rFonts w:ascii="Arial" w:hAnsi="Arial" w:cs="Arial"/>
                <w:color w:val="000000"/>
              </w:rPr>
              <w:t>Interest</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67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Total funds from other sources</w:t>
            </w:r>
          </w:p>
        </w:tc>
        <w:tc>
          <w:tcPr>
            <w:tcW w:w="1060" w:type="dxa"/>
            <w:tcBorders>
              <w:top w:val="single" w:sz="4" w:space="0" w:color="auto"/>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b/>
                <w:bCs/>
                <w:i/>
                <w:iCs/>
                <w:color w:val="000000"/>
              </w:rPr>
            </w:pPr>
            <w:r w:rsidRPr="00C2082C">
              <w:rPr>
                <w:rFonts w:ascii="Arial" w:hAnsi="Arial" w:cs="Arial"/>
                <w:b/>
                <w:bCs/>
                <w:i/>
                <w:iCs/>
                <w:color w:val="000000"/>
              </w:rPr>
              <w:t xml:space="preserve">67 </w:t>
            </w:r>
          </w:p>
        </w:tc>
        <w:tc>
          <w:tcPr>
            <w:tcW w:w="1060" w:type="dxa"/>
            <w:tcBorders>
              <w:top w:val="single" w:sz="4" w:space="0" w:color="auto"/>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80 </w:t>
            </w:r>
          </w:p>
        </w:tc>
      </w:tr>
      <w:tr w:rsidR="00C2082C" w:rsidRPr="00C2082C" w:rsidTr="00C2082C">
        <w:trPr>
          <w:trHeight w:val="225"/>
        </w:trPr>
        <w:tc>
          <w:tcPr>
            <w:tcW w:w="500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Total net resourcing for CSC</w:t>
            </w:r>
          </w:p>
        </w:tc>
        <w:tc>
          <w:tcPr>
            <w:tcW w:w="1060" w:type="dxa"/>
            <w:tcBorders>
              <w:top w:val="nil"/>
              <w:left w:val="nil"/>
              <w:bottom w:val="single" w:sz="4" w:space="0" w:color="auto"/>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b/>
                <w:bCs/>
                <w:i/>
                <w:iCs/>
                <w:color w:val="000000"/>
              </w:rPr>
            </w:pPr>
            <w:r w:rsidRPr="00C2082C">
              <w:rPr>
                <w:rFonts w:ascii="Arial" w:hAnsi="Arial" w:cs="Arial"/>
                <w:b/>
                <w:bCs/>
                <w:i/>
                <w:iCs/>
                <w:color w:val="000000"/>
              </w:rPr>
              <w:t xml:space="preserve">1,977,713 </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1,976,500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single" w:sz="4" w:space="0" w:color="auto"/>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single" w:sz="4" w:space="0" w:color="auto"/>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2015-16</w:t>
            </w:r>
          </w:p>
        </w:tc>
        <w:tc>
          <w:tcPr>
            <w:tcW w:w="1060" w:type="dxa"/>
            <w:tcBorders>
              <w:top w:val="single" w:sz="4" w:space="0" w:color="auto"/>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2016-17</w:t>
            </w:r>
          </w:p>
        </w:tc>
      </w:tr>
      <w:tr w:rsidR="00C2082C" w:rsidRPr="00C2082C" w:rsidTr="00C2082C">
        <w:trPr>
          <w:trHeight w:val="240"/>
        </w:trPr>
        <w:tc>
          <w:tcPr>
            <w:tcW w:w="500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 xml:space="preserve">Average staffing level (number) </w:t>
            </w:r>
            <w:r w:rsidRPr="00C2082C">
              <w:rPr>
                <w:rFonts w:ascii="Arial" w:hAnsi="Arial" w:cs="Arial"/>
                <w:b/>
                <w:bCs/>
                <w:color w:val="000000"/>
                <w:vertAlign w:val="superscript"/>
              </w:rPr>
              <w:t>(a)</w:t>
            </w:r>
          </w:p>
        </w:tc>
        <w:tc>
          <w:tcPr>
            <w:tcW w:w="106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rPr>
            </w:pPr>
            <w:r w:rsidRPr="00C2082C">
              <w:rPr>
                <w:rFonts w:ascii="Arial" w:hAnsi="Arial" w:cs="Arial"/>
                <w:i/>
                <w:iCs/>
              </w:rPr>
              <w:t xml:space="preserve">455 </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476 </w:t>
            </w:r>
          </w:p>
        </w:tc>
      </w:tr>
    </w:tbl>
    <w:p w:rsidR="005736DA" w:rsidRPr="005736DA" w:rsidRDefault="005736DA" w:rsidP="005736DA">
      <w:pPr>
        <w:tabs>
          <w:tab w:val="left" w:pos="284"/>
        </w:tabs>
        <w:spacing w:after="0" w:line="240" w:lineRule="auto"/>
        <w:jc w:val="both"/>
        <w:rPr>
          <w:rFonts w:ascii="Arial" w:hAnsi="Arial"/>
          <w:color w:val="000000"/>
          <w:szCs w:val="20"/>
        </w:rPr>
      </w:pPr>
      <w:r w:rsidRPr="005736DA">
        <w:rPr>
          <w:rFonts w:ascii="Arial" w:hAnsi="Arial"/>
          <w:color w:val="000000"/>
          <w:szCs w:val="20"/>
        </w:rPr>
        <w:t>Prepared on a resourcing (i.e. appropriations available) basis.</w:t>
      </w:r>
    </w:p>
    <w:p w:rsidR="005736DA" w:rsidRPr="005736DA" w:rsidRDefault="005736DA" w:rsidP="0051401E">
      <w:pPr>
        <w:numPr>
          <w:ilvl w:val="0"/>
          <w:numId w:val="49"/>
        </w:numPr>
        <w:spacing w:after="0" w:line="240" w:lineRule="auto"/>
        <w:ind w:left="284" w:hanging="284"/>
        <w:contextualSpacing/>
        <w:jc w:val="left"/>
        <w:rPr>
          <w:rFonts w:ascii="Arial" w:eastAsia="Calibri" w:hAnsi="Arial" w:cs="Arial"/>
          <w:color w:val="000000"/>
          <w:lang w:val="en-US" w:eastAsia="en-US"/>
        </w:rPr>
      </w:pPr>
      <w:r w:rsidRPr="005736DA">
        <w:rPr>
          <w:rFonts w:ascii="Arial" w:eastAsia="Calibri" w:hAnsi="Arial" w:cs="Arial"/>
          <w:color w:val="000000"/>
          <w:lang w:val="en-US" w:eastAsia="en-US"/>
        </w:rPr>
        <w:t xml:space="preserve">Average staffing level reflects all staff involved in the administration and management of the schemes. All employee expenses are paid by CSC and CSC on charges the schemes for the portion of expenses that are </w:t>
      </w:r>
      <w:proofErr w:type="spellStart"/>
      <w:r w:rsidRPr="005736DA">
        <w:rPr>
          <w:rFonts w:ascii="Arial" w:eastAsia="Calibri" w:hAnsi="Arial" w:cs="Arial"/>
          <w:color w:val="000000"/>
          <w:lang w:val="en-US" w:eastAsia="en-US"/>
        </w:rPr>
        <w:t>referable</w:t>
      </w:r>
      <w:proofErr w:type="spellEnd"/>
      <w:r w:rsidRPr="005736DA">
        <w:rPr>
          <w:rFonts w:ascii="Arial" w:eastAsia="Calibri" w:hAnsi="Arial" w:cs="Arial"/>
          <w:color w:val="000000"/>
          <w:lang w:val="en-US" w:eastAsia="en-US"/>
        </w:rPr>
        <w:t xml:space="preserve"> to the management of the scheme funds.</w:t>
      </w:r>
    </w:p>
    <w:p w:rsidR="005736DA" w:rsidRPr="005736DA" w:rsidRDefault="005736DA" w:rsidP="005736DA">
      <w:pPr>
        <w:tabs>
          <w:tab w:val="left" w:pos="284"/>
        </w:tabs>
        <w:spacing w:after="0" w:line="240" w:lineRule="auto"/>
        <w:jc w:val="both"/>
        <w:rPr>
          <w:rFonts w:ascii="Arial" w:hAnsi="Arial"/>
          <w:color w:val="000000"/>
          <w:szCs w:val="20"/>
          <w:u w:val="single"/>
        </w:rPr>
      </w:pPr>
    </w:p>
    <w:p w:rsidR="005736DA" w:rsidRPr="005736DA" w:rsidRDefault="005736DA" w:rsidP="005736DA">
      <w:pPr>
        <w:tabs>
          <w:tab w:val="left" w:pos="284"/>
        </w:tabs>
        <w:spacing w:after="0" w:line="240" w:lineRule="auto"/>
        <w:jc w:val="both"/>
        <w:rPr>
          <w:rFonts w:ascii="Arial" w:hAnsi="Arial"/>
          <w:color w:val="000000"/>
          <w:szCs w:val="20"/>
        </w:rPr>
      </w:pPr>
      <w:r w:rsidRPr="005736DA">
        <w:rPr>
          <w:rFonts w:ascii="Arial" w:hAnsi="Arial"/>
          <w:color w:val="000000"/>
          <w:szCs w:val="20"/>
          <w:u w:val="single"/>
        </w:rPr>
        <w:t>Please note</w:t>
      </w:r>
      <w:r w:rsidRPr="005736DA">
        <w:rPr>
          <w:rFonts w:ascii="Arial" w:hAnsi="Arial"/>
          <w:color w:val="000000"/>
          <w:szCs w:val="20"/>
        </w:rPr>
        <w:t xml:space="preserve">: All figures shown above are GST exclusive – these may not match figures in the cash flow statement. </w:t>
      </w:r>
    </w:p>
    <w:p w:rsidR="005736DA" w:rsidRPr="005736DA" w:rsidRDefault="005736DA" w:rsidP="005736DA">
      <w:pPr>
        <w:spacing w:after="0" w:line="240" w:lineRule="auto"/>
        <w:jc w:val="both"/>
        <w:rPr>
          <w:rFonts w:ascii="Arial" w:hAnsi="Arial" w:cs="Arial"/>
          <w:color w:val="000000"/>
        </w:rPr>
      </w:pPr>
    </w:p>
    <w:p w:rsidR="005736DA" w:rsidRPr="005736DA" w:rsidRDefault="005736DA" w:rsidP="004A060A">
      <w:pPr>
        <w:pStyle w:val="Heading5"/>
        <w:spacing w:after="0"/>
      </w:pPr>
      <w:r w:rsidRPr="005736DA">
        <w:br w:type="page"/>
      </w:r>
      <w:r w:rsidRPr="005736DA">
        <w:lastRenderedPageBreak/>
        <w:t>Table 1.1: Commonwealth Superannuation Corporation Resource Statement — Budget Estimates for 2016-17 as at Budget May 2016 (continued)</w:t>
      </w:r>
    </w:p>
    <w:p w:rsidR="005736DA" w:rsidRPr="005736DA" w:rsidRDefault="005736DA" w:rsidP="004A060A">
      <w:pPr>
        <w:pStyle w:val="Heading5"/>
        <w:spacing w:after="0"/>
        <w:rPr>
          <w:color w:val="000000"/>
        </w:rPr>
      </w:pPr>
      <w:r w:rsidRPr="005736DA">
        <w:rPr>
          <w:color w:val="000000"/>
        </w:rPr>
        <w:t>Third Party Payments from and on Behalf of Other Entities</w:t>
      </w:r>
    </w:p>
    <w:tbl>
      <w:tblPr>
        <w:tblW w:w="7120" w:type="dxa"/>
        <w:tblInd w:w="96" w:type="dxa"/>
        <w:tblLook w:val="04A0"/>
      </w:tblPr>
      <w:tblGrid>
        <w:gridCol w:w="5000"/>
        <w:gridCol w:w="1060"/>
        <w:gridCol w:w="1060"/>
      </w:tblGrid>
      <w:tr w:rsidR="00C2082C" w:rsidRPr="00C2082C" w:rsidTr="00C2082C">
        <w:trPr>
          <w:trHeight w:val="225"/>
        </w:trPr>
        <w:tc>
          <w:tcPr>
            <w:tcW w:w="5000" w:type="dxa"/>
            <w:tcBorders>
              <w:top w:val="single" w:sz="4" w:space="0" w:color="auto"/>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single" w:sz="4" w:space="0" w:color="auto"/>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2015-16</w:t>
            </w:r>
          </w:p>
        </w:tc>
        <w:tc>
          <w:tcPr>
            <w:tcW w:w="1060" w:type="dxa"/>
            <w:tcBorders>
              <w:top w:val="single" w:sz="4" w:space="0" w:color="auto"/>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2016-17</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nil"/>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estimated</w:t>
            </w:r>
          </w:p>
        </w:tc>
        <w:tc>
          <w:tcPr>
            <w:tcW w:w="1060" w:type="dxa"/>
            <w:tcBorders>
              <w:top w:val="nil"/>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estimate</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1060" w:type="dxa"/>
            <w:tcBorders>
              <w:top w:val="nil"/>
              <w:left w:val="nil"/>
              <w:bottom w:val="nil"/>
              <w:right w:val="nil"/>
            </w:tcBorders>
            <w:shd w:val="clear" w:color="000000" w:fill="FFFFFF"/>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actual</w:t>
            </w:r>
          </w:p>
        </w:tc>
        <w:tc>
          <w:tcPr>
            <w:tcW w:w="1060" w:type="dxa"/>
            <w:tcBorders>
              <w:top w:val="nil"/>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 </w:t>
            </w:r>
          </w:p>
        </w:tc>
        <w:tc>
          <w:tcPr>
            <w:tcW w:w="106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rPr>
            </w:pPr>
            <w:r w:rsidRPr="00C2082C">
              <w:rPr>
                <w:rFonts w:ascii="Arial" w:hAnsi="Arial" w:cs="Arial"/>
                <w:i/>
                <w:iCs/>
              </w:rPr>
              <w:t>$'000</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rPr>
            </w:pPr>
            <w:r w:rsidRPr="00C2082C">
              <w:rPr>
                <w:rFonts w:ascii="Arial" w:hAnsi="Arial" w:cs="Arial"/>
              </w:rPr>
              <w:t xml:space="preserve">Payments made on behalf of another entity (as disclosed in the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rPr>
            </w:pPr>
            <w:r w:rsidRPr="00C2082C">
              <w:rPr>
                <w:rFonts w:ascii="Arial" w:hAnsi="Arial" w:cs="Arial"/>
                <w:i/>
                <w:iCs/>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respective entity's resource statement)</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Finance Superannuation Special Appropriations:</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i/>
                <w:iCs/>
              </w:rPr>
            </w:pPr>
            <w:r w:rsidRPr="00C2082C">
              <w:rPr>
                <w:rFonts w:ascii="Arial" w:hAnsi="Arial" w:cs="Arial"/>
                <w:i/>
                <w:iCs/>
              </w:rPr>
              <w:t>Superannuation Act 1922</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90,277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83,429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i/>
                <w:iCs/>
              </w:rPr>
            </w:pPr>
            <w:r w:rsidRPr="00C2082C">
              <w:rPr>
                <w:rFonts w:ascii="Arial" w:hAnsi="Arial" w:cs="Arial"/>
                <w:i/>
                <w:iCs/>
              </w:rPr>
              <w:t>Superannuation Act 1976</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4,372,098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4,357,276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i/>
                <w:iCs/>
              </w:rPr>
            </w:pPr>
            <w:r w:rsidRPr="00C2082C">
              <w:rPr>
                <w:rFonts w:ascii="Arial" w:hAnsi="Arial" w:cs="Arial"/>
                <w:i/>
                <w:iCs/>
              </w:rPr>
              <w:t>Superannuation Act 1990</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1,634,586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1,796,559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i/>
                <w:iCs/>
              </w:rPr>
            </w:pPr>
            <w:r w:rsidRPr="00C2082C">
              <w:rPr>
                <w:rFonts w:ascii="Arial" w:hAnsi="Arial" w:cs="Arial"/>
                <w:i/>
                <w:iCs/>
              </w:rPr>
              <w:t xml:space="preserve">Same-Sex Relationships Act (Equal Treatment in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200" w:firstLine="320"/>
              <w:jc w:val="left"/>
              <w:rPr>
                <w:rFonts w:ascii="Arial" w:hAnsi="Arial" w:cs="Arial"/>
                <w:i/>
                <w:iCs/>
              </w:rPr>
            </w:pPr>
            <w:r w:rsidRPr="00C2082C">
              <w:rPr>
                <w:rFonts w:ascii="Arial" w:hAnsi="Arial" w:cs="Arial"/>
                <w:i/>
                <w:iCs/>
              </w:rPr>
              <w:t xml:space="preserve">Commonwealth Laws - Superannuation) 2008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54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55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i/>
                <w:iCs/>
              </w:rPr>
            </w:pPr>
            <w:r w:rsidRPr="00C2082C">
              <w:rPr>
                <w:rFonts w:ascii="Arial" w:hAnsi="Arial" w:cs="Arial"/>
                <w:i/>
                <w:iCs/>
              </w:rPr>
              <w:t xml:space="preserve">Governance of Australian Government Superannuation </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ind w:firstLineChars="200" w:firstLine="320"/>
              <w:jc w:val="left"/>
              <w:rPr>
                <w:rFonts w:ascii="Arial" w:hAnsi="Arial" w:cs="Arial"/>
                <w:i/>
                <w:iCs/>
              </w:rPr>
            </w:pPr>
            <w:r w:rsidRPr="00C2082C">
              <w:rPr>
                <w:rFonts w:ascii="Arial" w:hAnsi="Arial" w:cs="Arial"/>
                <w:i/>
                <w:iCs/>
              </w:rPr>
              <w:t>Schemes Act 2011</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1,000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1,000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Defence Superannuation Special Appropriations:</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i/>
                <w:iCs/>
              </w:rPr>
            </w:pPr>
            <w:r w:rsidRPr="00C2082C">
              <w:rPr>
                <w:rFonts w:ascii="Arial" w:hAnsi="Arial" w:cs="Arial"/>
                <w:i/>
                <w:iCs/>
              </w:rPr>
              <w:t xml:space="preserve">   Defence Forces Retirement Benefits Act 1948</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50,049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44,818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i/>
                <w:iCs/>
              </w:rPr>
            </w:pPr>
            <w:r w:rsidRPr="00C2082C">
              <w:rPr>
                <w:rFonts w:ascii="Arial" w:hAnsi="Arial" w:cs="Arial"/>
                <w:i/>
                <w:iCs/>
              </w:rPr>
              <w:t xml:space="preserve">   Defence Force Retirement and Death Benefits Act 1973</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1,513,367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1,578,185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i/>
                <w:iCs/>
              </w:rPr>
            </w:pPr>
            <w:r w:rsidRPr="00C2082C">
              <w:rPr>
                <w:rFonts w:ascii="Arial" w:hAnsi="Arial" w:cs="Arial"/>
                <w:i/>
                <w:iCs/>
              </w:rPr>
              <w:t xml:space="preserve">   Military Superannuation and Benefits Act 1991</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512,722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590,604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rPr>
            </w:pPr>
            <w:r w:rsidRPr="00C2082C">
              <w:rPr>
                <w:rFonts w:ascii="Arial" w:hAnsi="Arial" w:cs="Arial"/>
              </w:rPr>
              <w:t xml:space="preserve">   ADF Cover</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771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87216E">
            <w:pPr>
              <w:spacing w:after="0" w:line="240" w:lineRule="auto"/>
              <w:jc w:val="left"/>
              <w:rPr>
                <w:rFonts w:ascii="Arial" w:hAnsi="Arial" w:cs="Arial"/>
                <w:b/>
                <w:bCs/>
              </w:rPr>
            </w:pPr>
            <w:r w:rsidRPr="00C2082C">
              <w:rPr>
                <w:rFonts w:ascii="Arial" w:hAnsi="Arial" w:cs="Arial"/>
                <w:b/>
                <w:bCs/>
              </w:rPr>
              <w:t>CS</w:t>
            </w:r>
            <w:r w:rsidR="0087216E">
              <w:rPr>
                <w:rFonts w:ascii="Arial" w:hAnsi="Arial" w:cs="Arial"/>
                <w:b/>
                <w:bCs/>
              </w:rPr>
              <w:t>C</w:t>
            </w:r>
            <w:r w:rsidRPr="00C2082C">
              <w:rPr>
                <w:rFonts w:ascii="Arial" w:hAnsi="Arial" w:cs="Arial"/>
                <w:b/>
                <w:bCs/>
              </w:rPr>
              <w:t xml:space="preserve"> draws on the following Finance Annual</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Appropriations</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40"/>
        </w:trPr>
        <w:tc>
          <w:tcPr>
            <w:tcW w:w="5000" w:type="dxa"/>
            <w:tcBorders>
              <w:top w:val="nil"/>
              <w:left w:val="nil"/>
              <w:bottom w:val="nil"/>
              <w:right w:val="nil"/>
            </w:tcBorders>
            <w:shd w:val="clear" w:color="000000" w:fill="FFFFFF"/>
            <w:hideMark/>
          </w:tcPr>
          <w:p w:rsidR="00C2082C" w:rsidRPr="00C2082C" w:rsidRDefault="00C2082C" w:rsidP="00C2082C">
            <w:pPr>
              <w:spacing w:after="0" w:line="240" w:lineRule="auto"/>
              <w:jc w:val="left"/>
              <w:rPr>
                <w:rFonts w:ascii="Arial" w:hAnsi="Arial" w:cs="Arial"/>
              </w:rPr>
            </w:pPr>
            <w:r w:rsidRPr="00C2082C">
              <w:rPr>
                <w:rFonts w:ascii="Arial" w:hAnsi="Arial" w:cs="Arial"/>
              </w:rPr>
              <w:t xml:space="preserve">   Appropriation Act (No.1) </w:t>
            </w:r>
            <w:r w:rsidRPr="00C2082C">
              <w:rPr>
                <w:rFonts w:ascii="Arial" w:hAnsi="Arial" w:cs="Arial"/>
                <w:vertAlign w:val="superscript"/>
              </w:rPr>
              <w:t>(a)</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500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500 </w:t>
            </w:r>
          </w:p>
        </w:tc>
      </w:tr>
      <w:tr w:rsidR="00C2082C" w:rsidRPr="00C2082C" w:rsidTr="00C2082C">
        <w:trPr>
          <w:trHeight w:val="240"/>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rPr>
            </w:pPr>
            <w:r w:rsidRPr="00C2082C">
              <w:rPr>
                <w:rFonts w:ascii="Arial" w:hAnsi="Arial" w:cs="Arial"/>
              </w:rPr>
              <w:t xml:space="preserve">   Appropriation Act (No.1) </w:t>
            </w:r>
            <w:r w:rsidRPr="00C2082C">
              <w:rPr>
                <w:rFonts w:ascii="Arial" w:hAnsi="Arial" w:cs="Arial"/>
                <w:vertAlign w:val="superscript"/>
              </w:rPr>
              <w:t>(b)</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2,393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5,012 </w:t>
            </w:r>
          </w:p>
        </w:tc>
      </w:tr>
      <w:tr w:rsidR="00C2082C" w:rsidRPr="00C2082C" w:rsidTr="00C2082C">
        <w:trPr>
          <w:trHeight w:val="240"/>
        </w:trPr>
        <w:tc>
          <w:tcPr>
            <w:tcW w:w="5000" w:type="dxa"/>
            <w:tcBorders>
              <w:top w:val="nil"/>
              <w:left w:val="nil"/>
              <w:bottom w:val="nil"/>
              <w:right w:val="nil"/>
            </w:tcBorders>
            <w:shd w:val="clear" w:color="000000" w:fill="FFFFFF"/>
            <w:vAlign w:val="bottom"/>
            <w:hideMark/>
          </w:tcPr>
          <w:p w:rsidR="00C2082C" w:rsidRPr="00C2082C" w:rsidRDefault="00C2082C" w:rsidP="00C2082C">
            <w:pPr>
              <w:spacing w:after="0" w:line="240" w:lineRule="auto"/>
              <w:jc w:val="left"/>
              <w:rPr>
                <w:rFonts w:ascii="Arial" w:hAnsi="Arial" w:cs="Arial"/>
              </w:rPr>
            </w:pPr>
            <w:r w:rsidRPr="00C2082C">
              <w:rPr>
                <w:rFonts w:ascii="Arial" w:hAnsi="Arial" w:cs="Arial"/>
              </w:rPr>
              <w:t xml:space="preserve">   Appropriation Act (No.2) </w:t>
            </w:r>
            <w:r w:rsidRPr="00C2082C">
              <w:rPr>
                <w:rFonts w:ascii="Arial" w:hAnsi="Arial" w:cs="Arial"/>
                <w:vertAlign w:val="superscript"/>
              </w:rPr>
              <w:t>(b)</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684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597 </w:t>
            </w:r>
          </w:p>
        </w:tc>
      </w:tr>
      <w:tr w:rsidR="00C2082C" w:rsidRPr="00C2082C" w:rsidTr="00C2082C">
        <w:trPr>
          <w:trHeight w:val="225"/>
        </w:trPr>
        <w:tc>
          <w:tcPr>
            <w:tcW w:w="500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PNG Scheme</w:t>
            </w:r>
          </w:p>
        </w:tc>
        <w:tc>
          <w:tcPr>
            <w:tcW w:w="1060" w:type="dxa"/>
            <w:tcBorders>
              <w:top w:val="nil"/>
              <w:left w:val="nil"/>
              <w:bottom w:val="nil"/>
              <w:right w:val="nil"/>
            </w:tcBorders>
            <w:shd w:val="clear" w:color="000000" w:fill="FFFFFF"/>
            <w:noWrap/>
            <w:vAlign w:val="bottom"/>
            <w:hideMark/>
          </w:tcPr>
          <w:p w:rsidR="00C2082C" w:rsidRPr="00C2082C" w:rsidRDefault="00C2082C" w:rsidP="00C2082C">
            <w:pPr>
              <w:spacing w:after="0" w:line="240" w:lineRule="auto"/>
              <w:jc w:val="left"/>
              <w:rPr>
                <w:rFonts w:ascii="Arial" w:hAnsi="Arial" w:cs="Arial"/>
                <w:i/>
                <w:iCs/>
                <w:color w:val="000000"/>
              </w:rPr>
            </w:pPr>
            <w:r w:rsidRPr="00C2082C">
              <w:rPr>
                <w:rFonts w:ascii="Arial" w:hAnsi="Arial" w:cs="Arial"/>
                <w:i/>
                <w:iCs/>
                <w:color w:val="000000"/>
              </w:rPr>
              <w:t> </w:t>
            </w:r>
          </w:p>
        </w:tc>
        <w:tc>
          <w:tcPr>
            <w:tcW w:w="106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r>
      <w:tr w:rsidR="00C2082C" w:rsidRPr="00C2082C" w:rsidTr="00C2082C">
        <w:trPr>
          <w:trHeight w:val="225"/>
        </w:trPr>
        <w:tc>
          <w:tcPr>
            <w:tcW w:w="5000" w:type="dxa"/>
            <w:tcBorders>
              <w:top w:val="nil"/>
              <w:left w:val="nil"/>
              <w:bottom w:val="single" w:sz="4" w:space="0" w:color="auto"/>
              <w:right w:val="nil"/>
            </w:tcBorders>
            <w:shd w:val="clear" w:color="000000" w:fill="FFFFFF"/>
            <w:vAlign w:val="bottom"/>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Administered Appropriation Act</w:t>
            </w:r>
          </w:p>
        </w:tc>
        <w:tc>
          <w:tcPr>
            <w:tcW w:w="1060" w:type="dxa"/>
            <w:tcBorders>
              <w:top w:val="nil"/>
              <w:left w:val="nil"/>
              <w:bottom w:val="single" w:sz="4" w:space="0" w:color="auto"/>
              <w:right w:val="nil"/>
            </w:tcBorders>
            <w:shd w:val="clear" w:color="000000" w:fill="FFFFFF"/>
            <w:noWrap/>
            <w:vAlign w:val="bottom"/>
            <w:hideMark/>
          </w:tcPr>
          <w:p w:rsidR="00C2082C" w:rsidRPr="00C2082C" w:rsidRDefault="00C2082C" w:rsidP="00C2082C">
            <w:pPr>
              <w:spacing w:after="0" w:line="240" w:lineRule="auto"/>
              <w:jc w:val="right"/>
              <w:rPr>
                <w:rFonts w:ascii="Arial" w:hAnsi="Arial" w:cs="Arial"/>
                <w:i/>
                <w:iCs/>
                <w:color w:val="000000"/>
              </w:rPr>
            </w:pPr>
            <w:r w:rsidRPr="00C2082C">
              <w:rPr>
                <w:rFonts w:ascii="Arial" w:hAnsi="Arial" w:cs="Arial"/>
                <w:i/>
                <w:iCs/>
                <w:color w:val="000000"/>
              </w:rPr>
              <w:t xml:space="preserve">6,929 </w:t>
            </w:r>
          </w:p>
        </w:tc>
        <w:tc>
          <w:tcPr>
            <w:tcW w:w="106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6,823 </w:t>
            </w:r>
          </w:p>
        </w:tc>
      </w:tr>
    </w:tbl>
    <w:p w:rsidR="005736DA" w:rsidRPr="005736DA" w:rsidRDefault="005736DA" w:rsidP="0051401E">
      <w:pPr>
        <w:numPr>
          <w:ilvl w:val="0"/>
          <w:numId w:val="50"/>
        </w:numPr>
        <w:spacing w:after="0" w:line="240" w:lineRule="auto"/>
        <w:ind w:left="284" w:hanging="284"/>
        <w:contextualSpacing/>
        <w:jc w:val="left"/>
        <w:rPr>
          <w:rFonts w:ascii="Arial" w:eastAsia="Calibri" w:hAnsi="Arial" w:cs="Arial"/>
          <w:lang w:val="en-US" w:eastAsia="en-US"/>
        </w:rPr>
      </w:pPr>
      <w:r w:rsidRPr="005736DA">
        <w:rPr>
          <w:rFonts w:ascii="Arial" w:eastAsia="Calibri" w:hAnsi="Arial" w:cs="Arial"/>
          <w:lang w:val="en-US" w:eastAsia="en-US"/>
        </w:rPr>
        <w:t>Compensation and Legal Payments</w:t>
      </w:r>
    </w:p>
    <w:p w:rsidR="005736DA" w:rsidRPr="005736DA" w:rsidRDefault="005736DA" w:rsidP="0051401E">
      <w:pPr>
        <w:numPr>
          <w:ilvl w:val="0"/>
          <w:numId w:val="50"/>
        </w:numPr>
        <w:spacing w:after="0" w:line="240" w:lineRule="auto"/>
        <w:ind w:left="284" w:hanging="284"/>
        <w:contextualSpacing/>
        <w:jc w:val="left"/>
        <w:rPr>
          <w:rFonts w:ascii="Arial" w:eastAsia="Calibri" w:hAnsi="Arial" w:cs="Arial"/>
          <w:lang w:val="en-US" w:eastAsia="en-US"/>
        </w:rPr>
      </w:pPr>
      <w:r w:rsidRPr="005736DA">
        <w:rPr>
          <w:rFonts w:ascii="Arial" w:eastAsia="Calibri" w:hAnsi="Arial" w:cs="Arial"/>
          <w:lang w:val="en-US" w:eastAsia="en-US"/>
        </w:rPr>
        <w:t>Act of Grace Payments</w:t>
      </w:r>
    </w:p>
    <w:p w:rsidR="005736DA" w:rsidRPr="005736DA" w:rsidRDefault="005736DA" w:rsidP="005736DA">
      <w:pPr>
        <w:keepNext/>
        <w:tabs>
          <w:tab w:val="left" w:pos="709"/>
        </w:tabs>
        <w:spacing w:before="240" w:line="240" w:lineRule="auto"/>
        <w:jc w:val="left"/>
        <w:outlineLvl w:val="2"/>
        <w:rPr>
          <w:rFonts w:ascii="Arial" w:hAnsi="Arial"/>
          <w:b/>
          <w:smallCaps/>
          <w:sz w:val="26"/>
          <w:szCs w:val="20"/>
        </w:rPr>
      </w:pPr>
      <w:bookmarkStart w:id="5" w:name="_Toc448316223"/>
    </w:p>
    <w:p w:rsidR="005736DA" w:rsidRPr="005736DA" w:rsidRDefault="005736DA" w:rsidP="005736DA">
      <w:pPr>
        <w:keepNext/>
        <w:tabs>
          <w:tab w:val="left" w:pos="709"/>
        </w:tabs>
        <w:spacing w:before="240" w:line="240" w:lineRule="auto"/>
        <w:jc w:val="left"/>
        <w:outlineLvl w:val="2"/>
        <w:rPr>
          <w:rFonts w:ascii="Arial" w:hAnsi="Arial"/>
          <w:b/>
          <w:smallCaps/>
          <w:sz w:val="26"/>
          <w:szCs w:val="20"/>
        </w:rPr>
      </w:pPr>
      <w:r w:rsidRPr="005736DA">
        <w:rPr>
          <w:rFonts w:ascii="Arial" w:hAnsi="Arial"/>
          <w:b/>
          <w:smallCaps/>
          <w:sz w:val="26"/>
          <w:szCs w:val="20"/>
        </w:rPr>
        <w:t>1.3</w:t>
      </w:r>
      <w:r w:rsidRPr="005736DA">
        <w:rPr>
          <w:rFonts w:ascii="Arial" w:hAnsi="Arial"/>
          <w:b/>
          <w:smallCaps/>
          <w:sz w:val="26"/>
          <w:szCs w:val="20"/>
        </w:rPr>
        <w:tab/>
        <w:t>Budget Measures</w:t>
      </w:r>
      <w:bookmarkEnd w:id="5"/>
    </w:p>
    <w:p w:rsidR="005736DA" w:rsidRPr="005736DA" w:rsidRDefault="005736DA" w:rsidP="0051401E">
      <w:pPr>
        <w:jc w:val="left"/>
        <w:rPr>
          <w:rFonts w:ascii="Book Antiqua" w:hAnsi="Book Antiqua"/>
          <w:sz w:val="20"/>
          <w:szCs w:val="20"/>
        </w:rPr>
      </w:pPr>
      <w:r w:rsidRPr="005736DA">
        <w:rPr>
          <w:rFonts w:ascii="Book Antiqua" w:hAnsi="Book Antiqua"/>
          <w:sz w:val="20"/>
          <w:szCs w:val="20"/>
        </w:rPr>
        <w:t>No budget measures have been announced since 2015-16 Mid-Year Economic and Fiscal Outlook (MYEFO) that impact CSC.</w:t>
      </w:r>
    </w:p>
    <w:p w:rsidR="005736DA" w:rsidRPr="005736DA" w:rsidRDefault="005736DA" w:rsidP="005736DA">
      <w:pPr>
        <w:spacing w:after="0" w:line="240" w:lineRule="auto"/>
        <w:jc w:val="left"/>
        <w:rPr>
          <w:rFonts w:ascii="Arial" w:hAnsi="Arial" w:cs="Arial"/>
          <w:sz w:val="20"/>
          <w:szCs w:val="20"/>
        </w:rPr>
        <w:sectPr w:rsidR="005736DA" w:rsidRPr="005736DA" w:rsidSect="005736DA">
          <w:headerReference w:type="even" r:id="rId15"/>
          <w:headerReference w:type="default" r:id="rId16"/>
          <w:footerReference w:type="even" r:id="rId17"/>
          <w:footerReference w:type="default" r:id="rId18"/>
          <w:headerReference w:type="first" r:id="rId19"/>
          <w:type w:val="oddPage"/>
          <w:pgSz w:w="11906" w:h="16838" w:code="9"/>
          <w:pgMar w:top="2466" w:right="2098" w:bottom="2466" w:left="2098" w:header="1899" w:footer="1899" w:gutter="0"/>
          <w:cols w:space="708"/>
          <w:titlePg/>
          <w:docGrid w:linePitch="360"/>
        </w:sectPr>
      </w:pPr>
    </w:p>
    <w:p w:rsidR="005736DA" w:rsidRPr="005736DA" w:rsidRDefault="005736DA" w:rsidP="005736DA">
      <w:pPr>
        <w:keepNext/>
        <w:spacing w:before="360" w:after="360" w:line="240" w:lineRule="auto"/>
        <w:jc w:val="left"/>
        <w:outlineLvl w:val="1"/>
        <w:rPr>
          <w:rFonts w:ascii="Arial" w:hAnsi="Arial"/>
          <w:sz w:val="30"/>
          <w:szCs w:val="20"/>
        </w:rPr>
      </w:pPr>
      <w:bookmarkStart w:id="6" w:name="_Toc448316224"/>
      <w:r w:rsidRPr="005736DA">
        <w:rPr>
          <w:rFonts w:ascii="Arial" w:hAnsi="Arial"/>
          <w:sz w:val="30"/>
          <w:szCs w:val="20"/>
        </w:rPr>
        <w:lastRenderedPageBreak/>
        <w:t>Section 2: Outcomes and Planned Performance</w:t>
      </w:r>
      <w:bookmarkEnd w:id="6"/>
    </w:p>
    <w:p w:rsidR="005736DA" w:rsidRPr="005736DA" w:rsidRDefault="005736DA" w:rsidP="00447B6D">
      <w:pPr>
        <w:jc w:val="left"/>
        <w:rPr>
          <w:rFonts w:ascii="Book Antiqua" w:hAnsi="Book Antiqua" w:cs="Arial"/>
          <w:sz w:val="20"/>
          <w:szCs w:val="20"/>
        </w:rPr>
      </w:pPr>
      <w:r w:rsidRPr="005736DA">
        <w:rPr>
          <w:rFonts w:ascii="Book Antiqua" w:hAnsi="Book Antiqua" w:cs="Arial"/>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736DA" w:rsidRPr="005736DA" w:rsidRDefault="005736DA" w:rsidP="00447B6D">
      <w:pPr>
        <w:jc w:val="left"/>
        <w:rPr>
          <w:rFonts w:ascii="Book Antiqua" w:hAnsi="Book Antiqua" w:cs="Arial"/>
          <w:sz w:val="20"/>
          <w:szCs w:val="20"/>
        </w:rPr>
      </w:pPr>
      <w:r w:rsidRPr="005736DA">
        <w:rPr>
          <w:rFonts w:ascii="Book Antiqua" w:hAnsi="Book Antiqua" w:cs="Arial"/>
          <w:sz w:val="20"/>
          <w:szCs w:val="20"/>
        </w:rPr>
        <w:t xml:space="preserve">Each outcome is described below together with its related programs. The following provides detailed information on expenses for each outcome and program, further broken down by funding source. </w:t>
      </w:r>
    </w:p>
    <w:p w:rsidR="005736DA" w:rsidRPr="005736DA" w:rsidRDefault="005736DA" w:rsidP="005736DA">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cs="Arial"/>
          <w:b/>
          <w:sz w:val="20"/>
          <w:szCs w:val="20"/>
        </w:rPr>
      </w:pPr>
      <w:r w:rsidRPr="005736DA">
        <w:rPr>
          <w:rFonts w:ascii="Book Antiqua" w:hAnsi="Book Antiqua" w:cs="Arial"/>
          <w:b/>
          <w:sz w:val="20"/>
          <w:szCs w:val="20"/>
        </w:rPr>
        <w:t>Note:</w:t>
      </w:r>
    </w:p>
    <w:p w:rsidR="005736DA" w:rsidRPr="005736DA" w:rsidRDefault="005736DA" w:rsidP="00447B6D">
      <w:pPr>
        <w:pBdr>
          <w:top w:val="single" w:sz="2" w:space="6" w:color="auto"/>
          <w:left w:val="single" w:sz="2" w:space="4" w:color="auto"/>
          <w:bottom w:val="single" w:sz="2" w:space="6" w:color="auto"/>
          <w:right w:val="single" w:sz="2" w:space="4" w:color="auto"/>
        </w:pBdr>
        <w:jc w:val="left"/>
        <w:rPr>
          <w:rFonts w:ascii="Book Antiqua" w:hAnsi="Book Antiqua" w:cs="Arial"/>
          <w:sz w:val="20"/>
          <w:szCs w:val="20"/>
          <w:highlight w:val="yellow"/>
        </w:rPr>
      </w:pPr>
      <w:r w:rsidRPr="005736DA">
        <w:rPr>
          <w:rFonts w:ascii="Book Antiqua" w:hAnsi="Book Antiqua" w:cs="Arial"/>
          <w:sz w:val="20"/>
          <w:szCs w:val="20"/>
        </w:rP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 and annual performance statements – included in Annual Reports from October 2016 – to provide an entity’s complete performance story.</w:t>
      </w:r>
    </w:p>
    <w:p w:rsidR="005736DA" w:rsidRPr="005736DA" w:rsidRDefault="005736DA" w:rsidP="005736DA">
      <w:pPr>
        <w:keepNext/>
        <w:tabs>
          <w:tab w:val="left" w:pos="709"/>
        </w:tabs>
        <w:spacing w:before="240" w:line="240" w:lineRule="auto"/>
        <w:jc w:val="left"/>
        <w:outlineLvl w:val="2"/>
        <w:rPr>
          <w:rFonts w:ascii="Arial" w:hAnsi="Arial" w:cs="Arial"/>
          <w:smallCaps/>
          <w:sz w:val="26"/>
          <w:szCs w:val="20"/>
        </w:rPr>
        <w:sectPr w:rsidR="005736DA" w:rsidRPr="005736DA" w:rsidSect="005736DA">
          <w:headerReference w:type="first" r:id="rId20"/>
          <w:pgSz w:w="11906" w:h="16838" w:code="9"/>
          <w:pgMar w:top="2466" w:right="2098" w:bottom="2466" w:left="2098" w:header="1899" w:footer="1899" w:gutter="0"/>
          <w:cols w:space="708"/>
          <w:titlePg/>
          <w:docGrid w:linePitch="360"/>
        </w:sectPr>
      </w:pPr>
    </w:p>
    <w:p w:rsidR="005736DA" w:rsidRDefault="005736DA" w:rsidP="00E9004D">
      <w:pPr>
        <w:spacing w:after="0" w:line="240" w:lineRule="auto"/>
        <w:jc w:val="left"/>
        <w:rPr>
          <w:rFonts w:ascii="Arial" w:hAnsi="Arial"/>
          <w:b/>
          <w:smallCaps/>
          <w:sz w:val="26"/>
          <w:szCs w:val="20"/>
        </w:rPr>
      </w:pPr>
      <w:bookmarkStart w:id="7" w:name="_Toc448316225"/>
      <w:r w:rsidRPr="005736DA">
        <w:rPr>
          <w:rFonts w:ascii="Arial" w:hAnsi="Arial"/>
          <w:b/>
          <w:smallCaps/>
          <w:sz w:val="26"/>
          <w:szCs w:val="20"/>
        </w:rPr>
        <w:lastRenderedPageBreak/>
        <w:t xml:space="preserve">2.1 </w:t>
      </w:r>
      <w:r w:rsidRPr="005736DA">
        <w:rPr>
          <w:rFonts w:ascii="Arial" w:hAnsi="Arial"/>
          <w:b/>
          <w:smallCaps/>
          <w:sz w:val="26"/>
          <w:szCs w:val="20"/>
        </w:rPr>
        <w:tab/>
        <w:t>Budgeted Expenses and Performance for Outcome 1</w:t>
      </w:r>
      <w:bookmarkEnd w:id="7"/>
    </w:p>
    <w:p w:rsidR="005C6366" w:rsidRPr="005736DA" w:rsidRDefault="005C6366" w:rsidP="00E9004D">
      <w:pPr>
        <w:spacing w:after="0" w:line="240" w:lineRule="auto"/>
        <w:jc w:val="left"/>
        <w:rPr>
          <w:rFonts w:ascii="Arial" w:hAnsi="Arial"/>
          <w:b/>
          <w:smallCaps/>
          <w:sz w:val="26"/>
          <w:szCs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5736DA" w:rsidRPr="005736DA" w:rsidTr="005736DA">
        <w:tc>
          <w:tcPr>
            <w:tcW w:w="7713" w:type="dxa"/>
            <w:shd w:val="clear" w:color="auto" w:fill="E6E6E6"/>
          </w:tcPr>
          <w:p w:rsidR="005736DA" w:rsidRPr="005736DA" w:rsidRDefault="005736DA" w:rsidP="005736DA">
            <w:pPr>
              <w:spacing w:before="60" w:after="60" w:line="240" w:lineRule="auto"/>
              <w:jc w:val="left"/>
              <w:rPr>
                <w:rFonts w:ascii="Arial" w:hAnsi="Arial"/>
                <w:b/>
                <w:sz w:val="20"/>
                <w:szCs w:val="20"/>
              </w:rPr>
            </w:pPr>
            <w:r w:rsidRPr="005736DA">
              <w:rPr>
                <w:rFonts w:ascii="Arial" w:hAnsi="Arial"/>
                <w:b/>
                <w:sz w:val="20"/>
                <w:szCs w:val="20"/>
              </w:rPr>
              <w:t xml:space="preserve">Outcome 1: </w:t>
            </w:r>
            <w:r w:rsidRPr="005736DA">
              <w:rPr>
                <w:rFonts w:ascii="Arial" w:hAnsi="Arial"/>
                <w:sz w:val="20"/>
                <w:szCs w:val="2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r w:rsidRPr="005736DA">
              <w:rPr>
                <w:rFonts w:ascii="Arial" w:hAnsi="Arial"/>
                <w:b/>
                <w:sz w:val="20"/>
                <w:szCs w:val="20"/>
              </w:rPr>
              <w:t xml:space="preserve"> </w:t>
            </w:r>
          </w:p>
        </w:tc>
      </w:tr>
    </w:tbl>
    <w:p w:rsidR="005736DA" w:rsidRPr="005736DA" w:rsidRDefault="005736DA" w:rsidP="005736DA">
      <w:pPr>
        <w:autoSpaceDE w:val="0"/>
        <w:autoSpaceDN w:val="0"/>
        <w:jc w:val="both"/>
        <w:rPr>
          <w:rFonts w:ascii="Book Antiqua" w:hAnsi="Book Antiqua" w:cs="Arial"/>
          <w:sz w:val="20"/>
          <w:szCs w:val="20"/>
        </w:rPr>
      </w:pPr>
    </w:p>
    <w:p w:rsidR="005736DA" w:rsidRPr="005736DA" w:rsidRDefault="005736DA" w:rsidP="005736DA">
      <w:pPr>
        <w:autoSpaceDE w:val="0"/>
        <w:autoSpaceDN w:val="0"/>
        <w:spacing w:before="120" w:after="120" w:line="240" w:lineRule="auto"/>
        <w:jc w:val="both"/>
        <w:rPr>
          <w:rFonts w:ascii="Arial" w:hAnsi="Arial"/>
          <w:b/>
          <w:sz w:val="22"/>
          <w:szCs w:val="20"/>
        </w:rPr>
      </w:pPr>
      <w:r w:rsidRPr="005736DA">
        <w:rPr>
          <w:rFonts w:ascii="Arial" w:hAnsi="Arial"/>
          <w:b/>
          <w:sz w:val="22"/>
          <w:szCs w:val="20"/>
        </w:rPr>
        <w:t>Linked Programs</w:t>
      </w:r>
    </w:p>
    <w:tbl>
      <w:tblPr>
        <w:tblStyle w:val="TableGrid"/>
        <w:tblW w:w="0" w:type="auto"/>
        <w:tblInd w:w="108" w:type="dxa"/>
        <w:tblLook w:val="04A0"/>
      </w:tblPr>
      <w:tblGrid>
        <w:gridCol w:w="7727"/>
      </w:tblGrid>
      <w:tr w:rsidR="005736DA" w:rsidRPr="005736DA" w:rsidTr="005736DA">
        <w:trPr>
          <w:trHeight w:val="113"/>
        </w:trPr>
        <w:tc>
          <w:tcPr>
            <w:tcW w:w="7727" w:type="dxa"/>
          </w:tcPr>
          <w:p w:rsidR="005736DA" w:rsidRPr="005736DA" w:rsidRDefault="005736DA" w:rsidP="00447B6D">
            <w:pPr>
              <w:spacing w:before="60" w:after="60" w:line="240" w:lineRule="auto"/>
              <w:jc w:val="left"/>
              <w:rPr>
                <w:rFonts w:ascii="Book Antiqua" w:hAnsi="Book Antiqua"/>
                <w:i/>
                <w:color w:val="FF0000"/>
                <w:sz w:val="20"/>
                <w:szCs w:val="20"/>
              </w:rPr>
            </w:pPr>
            <w:r w:rsidRPr="005736DA">
              <w:rPr>
                <w:rFonts w:ascii="Book Antiqua" w:hAnsi="Book Antiqua"/>
                <w:b/>
                <w:sz w:val="20"/>
                <w:szCs w:val="20"/>
              </w:rPr>
              <w:t>Department of Finance</w:t>
            </w:r>
            <w:r w:rsidRPr="005736DA">
              <w:rPr>
                <w:rFonts w:ascii="Book Antiqua" w:hAnsi="Book Antiqua"/>
                <w:i/>
                <w:color w:val="FF0000"/>
                <w:sz w:val="20"/>
                <w:szCs w:val="20"/>
              </w:rPr>
              <w:t xml:space="preserve"> </w:t>
            </w:r>
          </w:p>
        </w:tc>
      </w:tr>
      <w:tr w:rsidR="005736DA" w:rsidRPr="005736DA" w:rsidTr="005736DA">
        <w:trPr>
          <w:trHeight w:val="113"/>
        </w:trPr>
        <w:tc>
          <w:tcPr>
            <w:tcW w:w="7727" w:type="dxa"/>
          </w:tcPr>
          <w:p w:rsidR="005736DA" w:rsidRPr="005736DA" w:rsidRDefault="005736DA" w:rsidP="00447B6D">
            <w:pPr>
              <w:spacing w:before="60" w:after="60" w:line="240" w:lineRule="auto"/>
              <w:jc w:val="left"/>
              <w:rPr>
                <w:rFonts w:ascii="Book Antiqua" w:hAnsi="Book Antiqua"/>
                <w:b/>
                <w:sz w:val="20"/>
                <w:szCs w:val="20"/>
              </w:rPr>
            </w:pPr>
            <w:r w:rsidRPr="005736DA">
              <w:rPr>
                <w:rFonts w:ascii="Book Antiqua" w:hAnsi="Book Antiqua"/>
                <w:b/>
                <w:sz w:val="20"/>
                <w:szCs w:val="20"/>
              </w:rPr>
              <w:t>Programs</w:t>
            </w:r>
          </w:p>
          <w:p w:rsidR="005736DA" w:rsidRPr="005736DA" w:rsidRDefault="005736DA" w:rsidP="00447B6D">
            <w:pPr>
              <w:numPr>
                <w:ilvl w:val="0"/>
                <w:numId w:val="44"/>
              </w:numPr>
              <w:spacing w:after="0" w:line="240" w:lineRule="auto"/>
              <w:ind w:left="714" w:hanging="357"/>
              <w:jc w:val="left"/>
              <w:rPr>
                <w:rFonts w:ascii="Book Antiqua" w:hAnsi="Book Antiqua" w:cs="Arial"/>
                <w:sz w:val="20"/>
                <w:szCs w:val="20"/>
              </w:rPr>
            </w:pPr>
            <w:r w:rsidRPr="005736DA">
              <w:rPr>
                <w:rFonts w:ascii="Book Antiqua" w:hAnsi="Book Antiqua" w:cs="Arial"/>
                <w:sz w:val="20"/>
                <w:szCs w:val="20"/>
              </w:rPr>
              <w:t xml:space="preserve">Program 2.6 – Public Sector </w:t>
            </w:r>
            <w:r w:rsidRPr="005736DA">
              <w:rPr>
                <w:rFonts w:ascii="Book Antiqua" w:hAnsi="Book Antiqua"/>
                <w:sz w:val="20"/>
                <w:szCs w:val="20"/>
              </w:rPr>
              <w:t>Superannuation</w:t>
            </w:r>
          </w:p>
        </w:tc>
      </w:tr>
      <w:tr w:rsidR="005736DA" w:rsidRPr="005736DA" w:rsidTr="005736DA">
        <w:trPr>
          <w:trHeight w:val="113"/>
        </w:trPr>
        <w:tc>
          <w:tcPr>
            <w:tcW w:w="7727" w:type="dxa"/>
          </w:tcPr>
          <w:p w:rsidR="005736DA" w:rsidRPr="005736DA" w:rsidRDefault="005736DA" w:rsidP="00447B6D">
            <w:pPr>
              <w:spacing w:before="60" w:after="60" w:line="240" w:lineRule="auto"/>
              <w:jc w:val="left"/>
              <w:rPr>
                <w:rFonts w:ascii="Book Antiqua" w:hAnsi="Book Antiqua"/>
                <w:i/>
                <w:color w:val="FF0000"/>
                <w:sz w:val="20"/>
                <w:szCs w:val="20"/>
              </w:rPr>
            </w:pPr>
            <w:r w:rsidRPr="005736DA">
              <w:rPr>
                <w:rFonts w:ascii="Book Antiqua" w:hAnsi="Book Antiqua"/>
                <w:b/>
                <w:sz w:val="20"/>
                <w:szCs w:val="20"/>
              </w:rPr>
              <w:t>Department of Defence</w:t>
            </w:r>
          </w:p>
        </w:tc>
      </w:tr>
      <w:tr w:rsidR="005736DA" w:rsidRPr="005736DA" w:rsidTr="005736DA">
        <w:trPr>
          <w:trHeight w:val="113"/>
        </w:trPr>
        <w:tc>
          <w:tcPr>
            <w:tcW w:w="7727" w:type="dxa"/>
          </w:tcPr>
          <w:p w:rsidR="005736DA" w:rsidRPr="005736DA" w:rsidRDefault="005736DA" w:rsidP="00447B6D">
            <w:pPr>
              <w:spacing w:before="60" w:after="60" w:line="240" w:lineRule="auto"/>
              <w:jc w:val="left"/>
              <w:rPr>
                <w:rFonts w:ascii="Book Antiqua" w:hAnsi="Book Antiqua"/>
                <w:b/>
                <w:sz w:val="20"/>
                <w:szCs w:val="20"/>
              </w:rPr>
            </w:pPr>
            <w:r w:rsidRPr="005736DA">
              <w:rPr>
                <w:rFonts w:ascii="Book Antiqua" w:hAnsi="Book Antiqua"/>
                <w:b/>
                <w:sz w:val="20"/>
                <w:szCs w:val="20"/>
              </w:rPr>
              <w:t>Programs</w:t>
            </w:r>
          </w:p>
          <w:p w:rsidR="005736DA" w:rsidRPr="005736DA" w:rsidRDefault="005736DA" w:rsidP="00447B6D">
            <w:pPr>
              <w:numPr>
                <w:ilvl w:val="0"/>
                <w:numId w:val="44"/>
              </w:numPr>
              <w:spacing w:after="0" w:line="240" w:lineRule="auto"/>
              <w:ind w:left="714" w:hanging="357"/>
              <w:jc w:val="left"/>
              <w:rPr>
                <w:rFonts w:ascii="Book Antiqua" w:hAnsi="Book Antiqua"/>
                <w:sz w:val="20"/>
                <w:szCs w:val="20"/>
              </w:rPr>
            </w:pPr>
            <w:r w:rsidRPr="005736DA">
              <w:rPr>
                <w:rFonts w:ascii="Book Antiqua" w:hAnsi="Book Antiqua"/>
                <w:sz w:val="20"/>
                <w:szCs w:val="20"/>
              </w:rPr>
              <w:t>Program 1.14 – Defence Force Superannuation Benefits</w:t>
            </w:r>
          </w:p>
          <w:p w:rsidR="005736DA" w:rsidRPr="005736DA" w:rsidRDefault="005736DA" w:rsidP="00447B6D">
            <w:pPr>
              <w:numPr>
                <w:ilvl w:val="0"/>
                <w:numId w:val="44"/>
              </w:numPr>
              <w:spacing w:after="0" w:line="240" w:lineRule="auto"/>
              <w:ind w:left="714" w:hanging="357"/>
              <w:jc w:val="left"/>
              <w:rPr>
                <w:rFonts w:ascii="Book Antiqua" w:hAnsi="Book Antiqua"/>
                <w:sz w:val="20"/>
                <w:szCs w:val="20"/>
              </w:rPr>
            </w:pPr>
            <w:r w:rsidRPr="005736DA">
              <w:rPr>
                <w:rFonts w:ascii="Book Antiqua" w:hAnsi="Book Antiqua"/>
                <w:sz w:val="20"/>
                <w:szCs w:val="20"/>
              </w:rPr>
              <w:t>Program 1.15 – Defence Force Superannuation Nominal Interest</w:t>
            </w:r>
          </w:p>
        </w:tc>
      </w:tr>
      <w:tr w:rsidR="005736DA" w:rsidRPr="005736DA" w:rsidTr="005736DA">
        <w:trPr>
          <w:trHeight w:val="113"/>
        </w:trPr>
        <w:tc>
          <w:tcPr>
            <w:tcW w:w="7727" w:type="dxa"/>
          </w:tcPr>
          <w:p w:rsidR="005736DA" w:rsidRPr="005736DA" w:rsidRDefault="005736DA" w:rsidP="00447B6D">
            <w:pPr>
              <w:spacing w:before="60" w:after="60" w:line="240" w:lineRule="auto"/>
              <w:jc w:val="left"/>
              <w:rPr>
                <w:rFonts w:ascii="Book Antiqua" w:hAnsi="Book Antiqua"/>
                <w:b/>
                <w:sz w:val="20"/>
                <w:szCs w:val="20"/>
              </w:rPr>
            </w:pPr>
            <w:r w:rsidRPr="005736DA">
              <w:rPr>
                <w:rFonts w:ascii="Book Antiqua" w:hAnsi="Book Antiqua"/>
                <w:b/>
                <w:sz w:val="20"/>
                <w:szCs w:val="20"/>
              </w:rPr>
              <w:t>Contribution to Outcome 1 made by linked programs</w:t>
            </w:r>
          </w:p>
          <w:p w:rsidR="005736DA" w:rsidRPr="005736DA" w:rsidRDefault="005736DA" w:rsidP="00447B6D">
            <w:pPr>
              <w:spacing w:before="60" w:after="60" w:line="240" w:lineRule="auto"/>
              <w:jc w:val="left"/>
              <w:rPr>
                <w:rFonts w:ascii="Book Antiqua" w:hAnsi="Book Antiqua"/>
                <w:i/>
                <w:color w:val="FF0000"/>
                <w:sz w:val="20"/>
                <w:szCs w:val="20"/>
              </w:rPr>
            </w:pPr>
            <w:r w:rsidRPr="005736DA">
              <w:rPr>
                <w:rFonts w:ascii="Book Antiqua" w:hAnsi="Book Antiqua"/>
                <w:spacing w:val="-6"/>
                <w:sz w:val="20"/>
              </w:rPr>
              <w:t>The Department of Finance and Department of Defence provide funding through third party access arrangements to  Commonwealth Superannuation Corporation for the propose of providing payments of retirement and insurance benefits for scheme members and beneficiaries, including past, present and future employees of the Australian Government and other eligible employers and members of the Australian Defence Force.</w:t>
            </w:r>
            <w:r w:rsidRPr="005736DA">
              <w:rPr>
                <w:rFonts w:ascii="Book Antiqua" w:hAnsi="Book Antiqua"/>
                <w:i/>
                <w:color w:val="FF0000"/>
                <w:sz w:val="20"/>
                <w:szCs w:val="20"/>
              </w:rPr>
              <w:t xml:space="preserve"> </w:t>
            </w:r>
          </w:p>
        </w:tc>
      </w:tr>
    </w:tbl>
    <w:p w:rsidR="005736DA" w:rsidRPr="005736DA" w:rsidRDefault="005736DA" w:rsidP="005736DA">
      <w:pPr>
        <w:autoSpaceDE w:val="0"/>
        <w:autoSpaceDN w:val="0"/>
        <w:jc w:val="both"/>
        <w:rPr>
          <w:rFonts w:ascii="Book Antiqua" w:hAnsi="Book Antiqua" w:cs="Arial"/>
          <w:sz w:val="20"/>
          <w:szCs w:val="20"/>
        </w:rPr>
      </w:pPr>
    </w:p>
    <w:p w:rsidR="005736DA" w:rsidRPr="005736DA" w:rsidRDefault="005736DA" w:rsidP="005736DA">
      <w:pPr>
        <w:spacing w:after="120" w:line="240" w:lineRule="auto"/>
        <w:jc w:val="both"/>
        <w:rPr>
          <w:rFonts w:ascii="Book Antiqua" w:hAnsi="Book Antiqua"/>
          <w:sz w:val="20"/>
          <w:szCs w:val="20"/>
        </w:rPr>
      </w:pPr>
    </w:p>
    <w:p w:rsidR="005736DA" w:rsidRPr="005736DA" w:rsidRDefault="005736DA" w:rsidP="005736DA">
      <w:pPr>
        <w:keepNext/>
        <w:spacing w:after="120" w:line="240" w:lineRule="auto"/>
        <w:jc w:val="left"/>
        <w:outlineLvl w:val="4"/>
        <w:rPr>
          <w:rFonts w:ascii="Arial" w:hAnsi="Arial"/>
          <w:bCs/>
          <w:iCs/>
          <w:sz w:val="20"/>
          <w:szCs w:val="26"/>
        </w:rPr>
      </w:pPr>
    </w:p>
    <w:p w:rsidR="005736DA" w:rsidRPr="005736DA" w:rsidRDefault="005736DA" w:rsidP="005736DA">
      <w:pPr>
        <w:jc w:val="both"/>
        <w:rPr>
          <w:rFonts w:ascii="Book Antiqua" w:hAnsi="Book Antiqua"/>
          <w:sz w:val="20"/>
          <w:szCs w:val="20"/>
        </w:rPr>
      </w:pPr>
    </w:p>
    <w:p w:rsidR="005736DA" w:rsidRPr="005736DA" w:rsidRDefault="005736DA" w:rsidP="005736DA">
      <w:pPr>
        <w:spacing w:after="0" w:line="240" w:lineRule="auto"/>
        <w:jc w:val="left"/>
        <w:rPr>
          <w:rFonts w:ascii="Arial" w:hAnsi="Arial"/>
          <w:b/>
          <w:bCs/>
          <w:iCs/>
          <w:sz w:val="20"/>
          <w:szCs w:val="26"/>
        </w:rPr>
      </w:pPr>
      <w:r w:rsidRPr="005736DA">
        <w:rPr>
          <w:rFonts w:ascii="Book Antiqua" w:hAnsi="Book Antiqua"/>
          <w:sz w:val="20"/>
          <w:szCs w:val="20"/>
        </w:rPr>
        <w:br w:type="page"/>
      </w:r>
    </w:p>
    <w:p w:rsidR="005736DA" w:rsidRPr="005736DA" w:rsidRDefault="005736DA" w:rsidP="005736DA">
      <w:pPr>
        <w:keepNext/>
        <w:spacing w:after="120" w:line="240" w:lineRule="auto"/>
        <w:jc w:val="left"/>
        <w:outlineLvl w:val="4"/>
        <w:rPr>
          <w:rFonts w:ascii="Arial" w:hAnsi="Arial"/>
          <w:b/>
          <w:bCs/>
          <w:iCs/>
          <w:sz w:val="20"/>
          <w:szCs w:val="26"/>
        </w:rPr>
      </w:pPr>
      <w:r w:rsidRPr="005736DA">
        <w:rPr>
          <w:rFonts w:ascii="Arial" w:hAnsi="Arial"/>
          <w:b/>
          <w:bCs/>
          <w:iCs/>
          <w:sz w:val="20"/>
          <w:szCs w:val="26"/>
        </w:rPr>
        <w:lastRenderedPageBreak/>
        <w:t>Budgeted Expenses for Outcome 1</w:t>
      </w:r>
    </w:p>
    <w:p w:rsidR="005736DA" w:rsidRPr="005736DA" w:rsidRDefault="005736DA" w:rsidP="00447B6D">
      <w:pPr>
        <w:jc w:val="left"/>
        <w:rPr>
          <w:rFonts w:ascii="Book Antiqua" w:hAnsi="Book Antiqua" w:cs="Arial"/>
          <w:sz w:val="20"/>
          <w:szCs w:val="20"/>
        </w:rPr>
      </w:pPr>
      <w:r w:rsidRPr="005736DA">
        <w:rPr>
          <w:rFonts w:ascii="Book Antiqua" w:hAnsi="Book Antiqua" w:cs="Arial"/>
          <w:sz w:val="20"/>
          <w:szCs w:val="20"/>
        </w:rPr>
        <w:t xml:space="preserve">This table shows how much CSC intends to spend (on an accrual basis) on achieving the outcome, broken </w:t>
      </w:r>
      <w:r w:rsidR="0051401E">
        <w:rPr>
          <w:rFonts w:ascii="Book Antiqua" w:hAnsi="Book Antiqua" w:cs="Arial"/>
          <w:sz w:val="20"/>
          <w:szCs w:val="20"/>
        </w:rPr>
        <w:t>down by program, as well as by a</w:t>
      </w:r>
      <w:r w:rsidRPr="005736DA">
        <w:rPr>
          <w:rFonts w:ascii="Book Antiqua" w:hAnsi="Book Antiqua" w:cs="Arial"/>
          <w:sz w:val="20"/>
          <w:szCs w:val="20"/>
        </w:rPr>
        <w:t xml:space="preserve">dministered and </w:t>
      </w:r>
      <w:r w:rsidR="0051401E">
        <w:rPr>
          <w:rFonts w:ascii="Book Antiqua" w:hAnsi="Book Antiqua" w:cs="Arial"/>
          <w:sz w:val="20"/>
          <w:szCs w:val="20"/>
        </w:rPr>
        <w:t>d</w:t>
      </w:r>
      <w:r w:rsidRPr="005736DA">
        <w:rPr>
          <w:rFonts w:ascii="Book Antiqua" w:hAnsi="Book Antiqua" w:cs="Arial"/>
          <w:sz w:val="20"/>
          <w:szCs w:val="20"/>
        </w:rPr>
        <w:t xml:space="preserve">epartmental funding sources. </w:t>
      </w:r>
    </w:p>
    <w:p w:rsidR="005736DA" w:rsidRDefault="005736DA" w:rsidP="004A060A">
      <w:pPr>
        <w:pStyle w:val="Heading5"/>
        <w:spacing w:after="0"/>
      </w:pPr>
      <w:r w:rsidRPr="005736DA">
        <w:t>Table 2.1.1: Budgeted Expenses for Outcome 1</w:t>
      </w:r>
    </w:p>
    <w:tbl>
      <w:tblPr>
        <w:tblW w:w="7600" w:type="dxa"/>
        <w:tblInd w:w="96" w:type="dxa"/>
        <w:tblLook w:val="04A0"/>
      </w:tblPr>
      <w:tblGrid>
        <w:gridCol w:w="2900"/>
        <w:gridCol w:w="940"/>
        <w:gridCol w:w="940"/>
        <w:gridCol w:w="940"/>
        <w:gridCol w:w="940"/>
        <w:gridCol w:w="940"/>
      </w:tblGrid>
      <w:tr w:rsidR="00C2082C" w:rsidRPr="00C2082C" w:rsidTr="00C2082C">
        <w:trPr>
          <w:trHeight w:val="225"/>
        </w:trPr>
        <w:tc>
          <w:tcPr>
            <w:tcW w:w="2900" w:type="dxa"/>
            <w:tcBorders>
              <w:top w:val="single" w:sz="4" w:space="0" w:color="auto"/>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Outcome 1: Retirement and</w:t>
            </w:r>
          </w:p>
        </w:tc>
        <w:tc>
          <w:tcPr>
            <w:tcW w:w="940" w:type="dxa"/>
            <w:tcBorders>
              <w:top w:val="single" w:sz="4" w:space="0" w:color="auto"/>
              <w:left w:val="nil"/>
              <w:bottom w:val="nil"/>
              <w:right w:val="nil"/>
            </w:tcBorders>
            <w:shd w:val="clear" w:color="auto" w:fill="auto"/>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2015-16</w:t>
            </w:r>
          </w:p>
        </w:tc>
        <w:tc>
          <w:tcPr>
            <w:tcW w:w="940" w:type="dxa"/>
            <w:tcBorders>
              <w:top w:val="single" w:sz="4" w:space="0" w:color="auto"/>
              <w:left w:val="nil"/>
              <w:bottom w:val="nil"/>
              <w:right w:val="nil"/>
            </w:tcBorders>
            <w:shd w:val="clear" w:color="000000" w:fill="E6E6E6"/>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2016-17</w:t>
            </w:r>
          </w:p>
        </w:tc>
        <w:tc>
          <w:tcPr>
            <w:tcW w:w="940" w:type="dxa"/>
            <w:tcBorders>
              <w:top w:val="single" w:sz="4" w:space="0" w:color="auto"/>
              <w:left w:val="nil"/>
              <w:bottom w:val="nil"/>
              <w:right w:val="nil"/>
            </w:tcBorders>
            <w:shd w:val="clear" w:color="auto" w:fill="auto"/>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2017-18</w:t>
            </w:r>
          </w:p>
        </w:tc>
        <w:tc>
          <w:tcPr>
            <w:tcW w:w="940" w:type="dxa"/>
            <w:tcBorders>
              <w:top w:val="single" w:sz="4" w:space="0" w:color="auto"/>
              <w:left w:val="nil"/>
              <w:bottom w:val="nil"/>
              <w:right w:val="nil"/>
            </w:tcBorders>
            <w:shd w:val="clear" w:color="auto" w:fill="auto"/>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2018-19</w:t>
            </w:r>
          </w:p>
        </w:tc>
        <w:tc>
          <w:tcPr>
            <w:tcW w:w="940" w:type="dxa"/>
            <w:tcBorders>
              <w:top w:val="single" w:sz="4" w:space="0" w:color="auto"/>
              <w:left w:val="nil"/>
              <w:bottom w:val="nil"/>
              <w:right w:val="nil"/>
            </w:tcBorders>
            <w:shd w:val="clear" w:color="auto" w:fill="auto"/>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2019-20</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insurance benefits for scheme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Estimated</w:t>
            </w: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Budget</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Forward</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Forward</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Forward</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members and beneficiaries,</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actual</w:t>
            </w: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estimate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estimate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estimate</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including past, present and future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$'000</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employees of the Australian</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Government and other eligible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employers and members of the</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Australian Defence Force, through</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investment and administration of</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r w:rsidRPr="00C2082C">
              <w:rPr>
                <w:rFonts w:ascii="Arial" w:hAnsi="Arial" w:cs="Arial"/>
                <w:b/>
                <w:bCs/>
                <w:color w:val="000000"/>
              </w:rPr>
              <w:t xml:space="preserve">their superannuation funds and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p>
        </w:tc>
      </w:tr>
      <w:tr w:rsidR="00C2082C" w:rsidRPr="00C2082C" w:rsidTr="00C2082C">
        <w:trPr>
          <w:trHeight w:val="225"/>
        </w:trPr>
        <w:tc>
          <w:tcPr>
            <w:tcW w:w="2900" w:type="dxa"/>
            <w:tcBorders>
              <w:top w:val="nil"/>
              <w:left w:val="nil"/>
              <w:bottom w:val="single" w:sz="4" w:space="0" w:color="auto"/>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color w:val="000000"/>
              </w:rPr>
            </w:pPr>
            <w:proofErr w:type="gramStart"/>
            <w:r w:rsidRPr="00C2082C">
              <w:rPr>
                <w:rFonts w:ascii="Arial" w:hAnsi="Arial" w:cs="Arial"/>
                <w:b/>
                <w:bCs/>
                <w:color w:val="000000"/>
              </w:rPr>
              <w:t>schemes</w:t>
            </w:r>
            <w:proofErr w:type="gramEnd"/>
            <w:r w:rsidRPr="00C2082C">
              <w:rPr>
                <w:rFonts w:ascii="Arial" w:hAnsi="Arial" w:cs="Arial"/>
                <w:b/>
                <w:bCs/>
                <w:color w:val="000000"/>
              </w:rPr>
              <w:t>.</w:t>
            </w:r>
          </w:p>
        </w:tc>
        <w:tc>
          <w:tcPr>
            <w:tcW w:w="940" w:type="dxa"/>
            <w:tcBorders>
              <w:top w:val="nil"/>
              <w:left w:val="nil"/>
              <w:bottom w:val="single" w:sz="4" w:space="0" w:color="auto"/>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single" w:sz="4" w:space="0" w:color="auto"/>
              <w:right w:val="nil"/>
            </w:tcBorders>
            <w:shd w:val="clear" w:color="000000" w:fill="E6E6E6"/>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single" w:sz="4" w:space="0" w:color="auto"/>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single" w:sz="4" w:space="0" w:color="auto"/>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single" w:sz="4" w:space="0" w:color="auto"/>
              <w:right w:val="nil"/>
            </w:tcBorders>
            <w:shd w:val="clear" w:color="auto" w:fill="auto"/>
            <w:noWrap/>
            <w:vAlign w:val="bottom"/>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r>
      <w:tr w:rsidR="00C2082C" w:rsidRPr="00C2082C" w:rsidTr="00C2082C">
        <w:trPr>
          <w:trHeight w:val="225"/>
        </w:trPr>
        <w:tc>
          <w:tcPr>
            <w:tcW w:w="7600" w:type="dxa"/>
            <w:gridSpan w:val="6"/>
            <w:tcBorders>
              <w:top w:val="single" w:sz="4" w:space="0" w:color="auto"/>
              <w:left w:val="nil"/>
              <w:bottom w:val="single" w:sz="4" w:space="0" w:color="auto"/>
              <w:right w:val="nil"/>
            </w:tcBorders>
            <w:shd w:val="clear" w:color="000000" w:fill="E6E6E6"/>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Program 1.1: Superannuation Scheme Governance</w:t>
            </w: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r w:rsidRPr="00C2082C">
              <w:rPr>
                <w:rFonts w:ascii="Arial" w:hAnsi="Arial" w:cs="Arial"/>
              </w:rPr>
              <w:t>Departmental expenses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Special accounts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noWrap/>
            <w:vAlign w:val="bottom"/>
            <w:hideMark/>
          </w:tcPr>
          <w:p w:rsidR="00C2082C" w:rsidRPr="00C2082C" w:rsidRDefault="00C2082C" w:rsidP="00C2082C">
            <w:pPr>
              <w:spacing w:after="0" w:line="240" w:lineRule="auto"/>
              <w:ind w:firstLineChars="200" w:firstLine="320"/>
              <w:jc w:val="left"/>
              <w:rPr>
                <w:rFonts w:ascii="Arial" w:hAnsi="Arial" w:cs="Arial"/>
              </w:rPr>
            </w:pPr>
            <w:r w:rsidRPr="00C2082C">
              <w:rPr>
                <w:rFonts w:ascii="Arial" w:hAnsi="Arial" w:cs="Arial"/>
              </w:rPr>
              <w:t xml:space="preserve">CSC Special Account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96,403 </w:t>
            </w: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104,676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97,072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96,926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96,762 </w:t>
            </w: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 xml:space="preserve">Funded by revenues from other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200" w:firstLine="320"/>
              <w:jc w:val="left"/>
              <w:rPr>
                <w:rFonts w:ascii="Arial" w:hAnsi="Arial" w:cs="Arial"/>
              </w:rPr>
            </w:pPr>
            <w:r w:rsidRPr="00C2082C">
              <w:rPr>
                <w:rFonts w:ascii="Arial" w:hAnsi="Arial" w:cs="Arial"/>
              </w:rPr>
              <w:t>independent sources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67 </w:t>
            </w: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Departmental Total</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96,470 </w:t>
            </w:r>
          </w:p>
        </w:tc>
        <w:tc>
          <w:tcPr>
            <w:tcW w:w="940" w:type="dxa"/>
            <w:tcBorders>
              <w:top w:val="single" w:sz="4" w:space="0" w:color="000000"/>
              <w:left w:val="nil"/>
              <w:bottom w:val="single" w:sz="4" w:space="0" w:color="000000"/>
              <w:right w:val="nil"/>
            </w:tcBorders>
            <w:shd w:val="clear" w:color="000000" w:fill="E2E2E2"/>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104,756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97,152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97,006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96,842 </w:t>
            </w:r>
          </w:p>
        </w:tc>
      </w:tr>
      <w:tr w:rsidR="00C2082C" w:rsidRPr="00C2082C" w:rsidTr="00C2082C">
        <w:trPr>
          <w:trHeight w:val="240"/>
        </w:trPr>
        <w:tc>
          <w:tcPr>
            <w:tcW w:w="2900" w:type="dxa"/>
            <w:tcBorders>
              <w:top w:val="nil"/>
              <w:left w:val="nil"/>
              <w:bottom w:val="single" w:sz="4" w:space="0" w:color="000000"/>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Total expenses for Program 1.1</w:t>
            </w:r>
            <w:r w:rsidRPr="00C2082C">
              <w:rPr>
                <w:rFonts w:ascii="Arial" w:hAnsi="Arial" w:cs="Arial"/>
                <w:b/>
                <w:bCs/>
                <w:vertAlign w:val="superscript"/>
              </w:rPr>
              <w:t>(a)</w:t>
            </w:r>
          </w:p>
        </w:tc>
        <w:tc>
          <w:tcPr>
            <w:tcW w:w="940" w:type="dxa"/>
            <w:tcBorders>
              <w:top w:val="nil"/>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96,470 </w:t>
            </w:r>
          </w:p>
        </w:tc>
        <w:tc>
          <w:tcPr>
            <w:tcW w:w="940" w:type="dxa"/>
            <w:tcBorders>
              <w:top w:val="nil"/>
              <w:left w:val="nil"/>
              <w:bottom w:val="single" w:sz="4" w:space="0" w:color="auto"/>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104,756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97,152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97,006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96,842 </w:t>
            </w:r>
          </w:p>
        </w:tc>
      </w:tr>
      <w:tr w:rsidR="00C2082C" w:rsidRPr="00C2082C" w:rsidTr="00C2082C">
        <w:trPr>
          <w:trHeight w:val="225"/>
        </w:trPr>
        <w:tc>
          <w:tcPr>
            <w:tcW w:w="7600" w:type="dxa"/>
            <w:gridSpan w:val="6"/>
            <w:tcBorders>
              <w:top w:val="single" w:sz="4" w:space="0" w:color="auto"/>
              <w:left w:val="nil"/>
              <w:bottom w:val="single" w:sz="4" w:space="0" w:color="auto"/>
              <w:right w:val="nil"/>
            </w:tcBorders>
            <w:shd w:val="clear" w:color="000000" w:fill="E6E6E6"/>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Outcome 1 Totals by appropriation type</w:t>
            </w: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r w:rsidRPr="00C2082C">
              <w:rPr>
                <w:rFonts w:ascii="Arial" w:hAnsi="Arial" w:cs="Arial"/>
              </w:rPr>
              <w:t>Departmental expenses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Special accounts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96,403 </w:t>
            </w: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104,676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97,072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96,926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96,762 </w:t>
            </w: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100" w:firstLine="160"/>
              <w:jc w:val="left"/>
              <w:rPr>
                <w:rFonts w:ascii="Arial" w:hAnsi="Arial" w:cs="Arial"/>
              </w:rPr>
            </w:pPr>
            <w:r w:rsidRPr="00C2082C">
              <w:rPr>
                <w:rFonts w:ascii="Arial" w:hAnsi="Arial" w:cs="Arial"/>
              </w:rPr>
              <w:t xml:space="preserve">Funded by revenues from other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ind w:firstLineChars="200" w:firstLine="320"/>
              <w:jc w:val="left"/>
              <w:rPr>
                <w:rFonts w:ascii="Arial" w:hAnsi="Arial" w:cs="Arial"/>
              </w:rPr>
            </w:pPr>
            <w:r w:rsidRPr="00C2082C">
              <w:rPr>
                <w:rFonts w:ascii="Arial" w:hAnsi="Arial" w:cs="Arial"/>
              </w:rPr>
              <w:t>independent sources</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67 </w:t>
            </w:r>
          </w:p>
        </w:tc>
        <w:tc>
          <w:tcPr>
            <w:tcW w:w="940" w:type="dxa"/>
            <w:tcBorders>
              <w:top w:val="nil"/>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80 </w:t>
            </w:r>
          </w:p>
        </w:tc>
      </w:tr>
      <w:tr w:rsidR="00C2082C" w:rsidRPr="00C2082C" w:rsidTr="00C2082C">
        <w:trPr>
          <w:trHeight w:val="225"/>
        </w:trPr>
        <w:tc>
          <w:tcPr>
            <w:tcW w:w="2900" w:type="dxa"/>
            <w:tcBorders>
              <w:top w:val="nil"/>
              <w:left w:val="nil"/>
              <w:bottom w:val="nil"/>
              <w:right w:val="nil"/>
            </w:tcBorders>
            <w:shd w:val="clear" w:color="auto" w:fill="auto"/>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Departmental Total</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96,470 </w:t>
            </w:r>
          </w:p>
        </w:tc>
        <w:tc>
          <w:tcPr>
            <w:tcW w:w="940" w:type="dxa"/>
            <w:tcBorders>
              <w:top w:val="single" w:sz="4" w:space="0" w:color="000000"/>
              <w:left w:val="nil"/>
              <w:bottom w:val="single" w:sz="4" w:space="0" w:color="000000"/>
              <w:right w:val="nil"/>
            </w:tcBorders>
            <w:shd w:val="clear" w:color="000000" w:fill="E2E2E2"/>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104,756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97,152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97,006 </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rPr>
            </w:pPr>
            <w:r w:rsidRPr="00C2082C">
              <w:rPr>
                <w:rFonts w:ascii="Arial" w:hAnsi="Arial" w:cs="Arial"/>
                <w:color w:val="000000"/>
              </w:rPr>
              <w:t xml:space="preserve">96,842 </w:t>
            </w:r>
          </w:p>
        </w:tc>
      </w:tr>
      <w:tr w:rsidR="00C2082C" w:rsidRPr="00C2082C" w:rsidTr="00C2082C">
        <w:trPr>
          <w:trHeight w:val="225"/>
        </w:trPr>
        <w:tc>
          <w:tcPr>
            <w:tcW w:w="290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Total expenses for Outcome 1</w:t>
            </w:r>
          </w:p>
        </w:tc>
        <w:tc>
          <w:tcPr>
            <w:tcW w:w="940" w:type="dxa"/>
            <w:tcBorders>
              <w:top w:val="nil"/>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96,470 </w:t>
            </w:r>
          </w:p>
        </w:tc>
        <w:tc>
          <w:tcPr>
            <w:tcW w:w="940" w:type="dxa"/>
            <w:tcBorders>
              <w:top w:val="nil"/>
              <w:left w:val="nil"/>
              <w:bottom w:val="single" w:sz="4" w:space="0" w:color="auto"/>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b/>
                <w:bCs/>
                <w:color w:val="000000"/>
              </w:rPr>
            </w:pPr>
            <w:r w:rsidRPr="00C2082C">
              <w:rPr>
                <w:rFonts w:ascii="Arial" w:hAnsi="Arial" w:cs="Arial"/>
                <w:b/>
                <w:bCs/>
                <w:color w:val="000000"/>
              </w:rPr>
              <w:t xml:space="preserve">104,756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97,152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97,006 </w:t>
            </w:r>
          </w:p>
        </w:tc>
        <w:tc>
          <w:tcPr>
            <w:tcW w:w="940" w:type="dxa"/>
            <w:tcBorders>
              <w:top w:val="single" w:sz="4" w:space="0" w:color="auto"/>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b/>
                <w:bCs/>
              </w:rPr>
            </w:pPr>
            <w:r w:rsidRPr="00C2082C">
              <w:rPr>
                <w:rFonts w:ascii="Arial" w:hAnsi="Arial" w:cs="Arial"/>
                <w:b/>
                <w:bCs/>
              </w:rPr>
              <w:t xml:space="preserve">96,842 </w:t>
            </w:r>
          </w:p>
        </w:tc>
      </w:tr>
      <w:tr w:rsidR="00C2082C" w:rsidRPr="00C2082C" w:rsidTr="00C2082C">
        <w:trPr>
          <w:trHeight w:val="225"/>
        </w:trPr>
        <w:tc>
          <w:tcPr>
            <w:tcW w:w="2900" w:type="dxa"/>
            <w:tcBorders>
              <w:top w:val="single" w:sz="4" w:space="0" w:color="000000"/>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color w:val="000000"/>
              </w:rPr>
            </w:pPr>
            <w:r w:rsidRPr="00C2082C">
              <w:rPr>
                <w:rFonts w:ascii="Arial" w:hAnsi="Arial" w:cs="Arial"/>
                <w:color w:val="000000"/>
              </w:rPr>
              <w:t>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color w:val="000000"/>
                <w:sz w:val="14"/>
                <w:szCs w:val="14"/>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40"/>
        </w:trPr>
        <w:tc>
          <w:tcPr>
            <w:tcW w:w="2900" w:type="dxa"/>
            <w:tcBorders>
              <w:top w:val="single" w:sz="4" w:space="0" w:color="auto"/>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r w:rsidRPr="00C2082C">
              <w:rPr>
                <w:rFonts w:ascii="Arial" w:hAnsi="Arial" w:cs="Arial"/>
              </w:rPr>
              <w:t> </w:t>
            </w:r>
          </w:p>
        </w:tc>
        <w:tc>
          <w:tcPr>
            <w:tcW w:w="940" w:type="dxa"/>
            <w:tcBorders>
              <w:top w:val="single" w:sz="4" w:space="0" w:color="auto"/>
              <w:left w:val="nil"/>
              <w:bottom w:val="nil"/>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2015-16</w:t>
            </w:r>
          </w:p>
        </w:tc>
        <w:tc>
          <w:tcPr>
            <w:tcW w:w="940" w:type="dxa"/>
            <w:tcBorders>
              <w:top w:val="single" w:sz="4" w:space="0" w:color="000000"/>
              <w:left w:val="nil"/>
              <w:bottom w:val="nil"/>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2016-17</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r w:rsidR="00C2082C" w:rsidRPr="00C2082C" w:rsidTr="00C2082C">
        <w:trPr>
          <w:trHeight w:val="225"/>
        </w:trPr>
        <w:tc>
          <w:tcPr>
            <w:tcW w:w="2900" w:type="dxa"/>
            <w:tcBorders>
              <w:top w:val="nil"/>
              <w:left w:val="nil"/>
              <w:bottom w:val="single" w:sz="4" w:space="0" w:color="auto"/>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b/>
                <w:bCs/>
              </w:rPr>
            </w:pPr>
            <w:r w:rsidRPr="00C2082C">
              <w:rPr>
                <w:rFonts w:ascii="Arial" w:hAnsi="Arial" w:cs="Arial"/>
                <w:b/>
                <w:bCs/>
              </w:rPr>
              <w:t>Average staffing level (number)</w:t>
            </w:r>
            <w:r w:rsidRPr="00C2082C">
              <w:rPr>
                <w:rFonts w:ascii="Arial" w:hAnsi="Arial" w:cs="Arial"/>
                <w:b/>
                <w:bCs/>
                <w:color w:val="000000"/>
                <w:vertAlign w:val="superscript"/>
              </w:rPr>
              <w:t>(b)</w:t>
            </w:r>
          </w:p>
        </w:tc>
        <w:tc>
          <w:tcPr>
            <w:tcW w:w="940" w:type="dxa"/>
            <w:tcBorders>
              <w:top w:val="single" w:sz="4" w:space="0" w:color="000000"/>
              <w:left w:val="nil"/>
              <w:bottom w:val="single" w:sz="4" w:space="0" w:color="000000"/>
              <w:right w:val="nil"/>
            </w:tcBorders>
            <w:shd w:val="clear" w:color="auto" w:fill="auto"/>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455 </w:t>
            </w:r>
          </w:p>
        </w:tc>
        <w:tc>
          <w:tcPr>
            <w:tcW w:w="940" w:type="dxa"/>
            <w:tcBorders>
              <w:top w:val="single" w:sz="4" w:space="0" w:color="000000"/>
              <w:left w:val="nil"/>
              <w:bottom w:val="single" w:sz="4" w:space="0" w:color="000000"/>
              <w:right w:val="nil"/>
            </w:tcBorders>
            <w:shd w:val="clear" w:color="000000" w:fill="E6E6E6"/>
            <w:noWrap/>
            <w:vAlign w:val="center"/>
            <w:hideMark/>
          </w:tcPr>
          <w:p w:rsidR="00C2082C" w:rsidRPr="00C2082C" w:rsidRDefault="00C2082C" w:rsidP="00C2082C">
            <w:pPr>
              <w:spacing w:after="0" w:line="240" w:lineRule="auto"/>
              <w:jc w:val="right"/>
              <w:rPr>
                <w:rFonts w:ascii="Arial" w:hAnsi="Arial" w:cs="Arial"/>
              </w:rPr>
            </w:pPr>
            <w:r w:rsidRPr="00C2082C">
              <w:rPr>
                <w:rFonts w:ascii="Arial" w:hAnsi="Arial" w:cs="Arial"/>
              </w:rPr>
              <w:t xml:space="preserve">476 </w:t>
            </w: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c>
          <w:tcPr>
            <w:tcW w:w="940" w:type="dxa"/>
            <w:tcBorders>
              <w:top w:val="nil"/>
              <w:left w:val="nil"/>
              <w:bottom w:val="nil"/>
              <w:right w:val="nil"/>
            </w:tcBorders>
            <w:shd w:val="clear" w:color="auto" w:fill="auto"/>
            <w:noWrap/>
            <w:vAlign w:val="center"/>
            <w:hideMark/>
          </w:tcPr>
          <w:p w:rsidR="00C2082C" w:rsidRPr="00C2082C" w:rsidRDefault="00C2082C" w:rsidP="00C2082C">
            <w:pPr>
              <w:spacing w:after="0" w:line="240" w:lineRule="auto"/>
              <w:jc w:val="left"/>
              <w:rPr>
                <w:rFonts w:ascii="Arial" w:hAnsi="Arial" w:cs="Arial"/>
              </w:rPr>
            </w:pPr>
          </w:p>
        </w:tc>
      </w:tr>
    </w:tbl>
    <w:p w:rsidR="005736DA" w:rsidRPr="005736DA" w:rsidRDefault="005736DA" w:rsidP="005736DA">
      <w:pPr>
        <w:spacing w:after="0" w:line="240" w:lineRule="auto"/>
        <w:jc w:val="left"/>
        <w:rPr>
          <w:rFonts w:ascii="Arial" w:hAnsi="Arial" w:cs="Arial"/>
          <w:sz w:val="2"/>
          <w:szCs w:val="2"/>
        </w:rPr>
      </w:pPr>
    </w:p>
    <w:p w:rsidR="005736DA" w:rsidRPr="00A837EF" w:rsidRDefault="005736DA" w:rsidP="0051401E">
      <w:pPr>
        <w:numPr>
          <w:ilvl w:val="0"/>
          <w:numId w:val="47"/>
        </w:numPr>
        <w:spacing w:after="0" w:line="240" w:lineRule="auto"/>
        <w:ind w:left="284" w:hanging="284"/>
        <w:contextualSpacing/>
        <w:jc w:val="left"/>
        <w:rPr>
          <w:rFonts w:ascii="Arial" w:eastAsia="Calibri" w:hAnsi="Arial" w:cs="Arial"/>
          <w:lang w:val="en-US" w:eastAsia="en-US"/>
        </w:rPr>
      </w:pPr>
      <w:r w:rsidRPr="00A837EF">
        <w:rPr>
          <w:rFonts w:ascii="Arial" w:eastAsia="Calibri" w:hAnsi="Arial" w:cs="Arial"/>
          <w:lang w:val="en-US" w:eastAsia="en-US"/>
        </w:rPr>
        <w:t>Expenses reflect only the cost paid by CSC and do not reflect the total cost involved in the administration and management of the schemes.</w:t>
      </w:r>
    </w:p>
    <w:p w:rsidR="005736DA" w:rsidRPr="00A837EF" w:rsidRDefault="005736DA" w:rsidP="0051401E">
      <w:pPr>
        <w:numPr>
          <w:ilvl w:val="0"/>
          <w:numId w:val="47"/>
        </w:numPr>
        <w:spacing w:after="0" w:line="240" w:lineRule="auto"/>
        <w:ind w:left="284" w:hanging="284"/>
        <w:contextualSpacing/>
        <w:jc w:val="left"/>
        <w:rPr>
          <w:rFonts w:ascii="Arial" w:eastAsia="Calibri" w:hAnsi="Arial" w:cs="Arial"/>
          <w:lang w:val="en-US" w:eastAsia="en-US"/>
        </w:rPr>
      </w:pPr>
      <w:r w:rsidRPr="00A837EF">
        <w:rPr>
          <w:rFonts w:ascii="Arial" w:eastAsia="Calibri" w:hAnsi="Arial" w:cs="Arial"/>
          <w:color w:val="000000"/>
          <w:lang w:val="en-US" w:eastAsia="en-US"/>
        </w:rPr>
        <w:lastRenderedPageBreak/>
        <w:t xml:space="preserve">Average staffing level reflects all staff involved in the administration and management of the schemes. All employee expenses are paid by CSC and CSC on charges the schemes for the portion of expenses that are </w:t>
      </w:r>
      <w:proofErr w:type="spellStart"/>
      <w:r w:rsidRPr="00A837EF">
        <w:rPr>
          <w:rFonts w:ascii="Arial" w:eastAsia="Calibri" w:hAnsi="Arial" w:cs="Arial"/>
          <w:color w:val="000000"/>
          <w:lang w:val="en-US" w:eastAsia="en-US"/>
        </w:rPr>
        <w:t>referable</w:t>
      </w:r>
      <w:proofErr w:type="spellEnd"/>
      <w:r w:rsidRPr="00A837EF">
        <w:rPr>
          <w:rFonts w:ascii="Arial" w:eastAsia="Calibri" w:hAnsi="Arial" w:cs="Arial"/>
          <w:color w:val="000000"/>
          <w:lang w:val="en-US" w:eastAsia="en-US"/>
        </w:rPr>
        <w:t xml:space="preserve"> to the management of the scheme funds</w:t>
      </w:r>
      <w:r w:rsidRPr="00A837EF">
        <w:rPr>
          <w:rFonts w:ascii="Arial" w:eastAsia="Calibri" w:hAnsi="Arial" w:cs="Arial"/>
          <w:lang w:val="en-US" w:eastAsia="en-US"/>
        </w:rPr>
        <w:t>.</w:t>
      </w:r>
    </w:p>
    <w:p w:rsidR="005736DA" w:rsidRPr="005736DA" w:rsidRDefault="005736DA" w:rsidP="005736DA">
      <w:pPr>
        <w:spacing w:after="0" w:line="240" w:lineRule="auto"/>
        <w:jc w:val="left"/>
        <w:rPr>
          <w:rFonts w:ascii="Arial" w:hAnsi="Arial"/>
          <w:sz w:val="20"/>
          <w:szCs w:val="26"/>
        </w:rPr>
      </w:pPr>
      <w:r w:rsidRPr="005736DA">
        <w:rPr>
          <w:rFonts w:ascii="Book Antiqua" w:hAnsi="Book Antiqua"/>
          <w:sz w:val="20"/>
          <w:szCs w:val="20"/>
        </w:rPr>
        <w:br w:type="page"/>
      </w:r>
    </w:p>
    <w:p w:rsidR="005736DA" w:rsidRPr="005736DA" w:rsidRDefault="005736DA" w:rsidP="004A060A">
      <w:pPr>
        <w:pStyle w:val="Heading5"/>
      </w:pPr>
      <w:r w:rsidRPr="005736DA">
        <w:lastRenderedPageBreak/>
        <w:t>Table 2.1.2: Performance Criteria for Outcome 1</w:t>
      </w:r>
    </w:p>
    <w:p w:rsidR="005736DA" w:rsidRPr="005736DA" w:rsidRDefault="005736DA" w:rsidP="005736DA">
      <w:pPr>
        <w:tabs>
          <w:tab w:val="left" w:pos="709"/>
        </w:tabs>
        <w:jc w:val="left"/>
        <w:rPr>
          <w:rFonts w:ascii="Book Antiqua" w:hAnsi="Book Antiqua"/>
          <w:i/>
          <w:sz w:val="20"/>
          <w:szCs w:val="20"/>
        </w:rPr>
      </w:pPr>
      <w:r w:rsidRPr="005736DA">
        <w:rPr>
          <w:rFonts w:ascii="Book Antiqua" w:hAnsi="Book Antiqua"/>
          <w:sz w:val="20"/>
          <w:szCs w:val="20"/>
        </w:rPr>
        <w:t>Table 2.1.2 below details the performance criteria for each program associated with Outcome 1. It also summarises how each program is delivered.</w:t>
      </w:r>
    </w:p>
    <w:tbl>
      <w:tblPr>
        <w:tblStyle w:val="TableGrid"/>
        <w:tblW w:w="0" w:type="auto"/>
        <w:tblLook w:val="04A0"/>
      </w:tblPr>
      <w:tblGrid>
        <w:gridCol w:w="1701"/>
        <w:gridCol w:w="3475"/>
        <w:gridCol w:w="2479"/>
      </w:tblGrid>
      <w:tr w:rsidR="005736DA" w:rsidRPr="005736DA" w:rsidTr="005736DA">
        <w:tc>
          <w:tcPr>
            <w:tcW w:w="7655" w:type="dxa"/>
            <w:gridSpan w:val="3"/>
            <w:shd w:val="clear" w:color="auto" w:fill="F2F2F2" w:themeFill="background1" w:themeFillShade="F2"/>
          </w:tcPr>
          <w:p w:rsidR="005736DA" w:rsidRPr="005736DA" w:rsidRDefault="005736DA" w:rsidP="005736DA">
            <w:pPr>
              <w:spacing w:after="0" w:line="240" w:lineRule="auto"/>
              <w:jc w:val="left"/>
              <w:rPr>
                <w:rFonts w:ascii="Arial" w:hAnsi="Arial"/>
                <w:sz w:val="20"/>
                <w:szCs w:val="20"/>
              </w:rPr>
            </w:pPr>
            <w:r w:rsidRPr="005736DA">
              <w:rPr>
                <w:rFonts w:ascii="Arial" w:hAnsi="Arial" w:cs="Arial"/>
                <w:b/>
                <w:sz w:val="20"/>
                <w:szCs w:val="20"/>
              </w:rPr>
              <w:t>Outcome 1</w:t>
            </w:r>
            <w:r w:rsidRPr="005736DA">
              <w:rPr>
                <w:rFonts w:ascii="Arial" w:hAnsi="Arial" w:cs="Arial"/>
                <w:sz w:val="20"/>
                <w:szCs w:val="20"/>
              </w:rPr>
              <w:t xml:space="preserve"> – 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5736DA" w:rsidRPr="005736DA" w:rsidTr="005736DA">
        <w:tc>
          <w:tcPr>
            <w:tcW w:w="7655" w:type="dxa"/>
            <w:gridSpan w:val="3"/>
            <w:shd w:val="clear" w:color="auto" w:fill="F2F2F2" w:themeFill="background1" w:themeFillShade="F2"/>
          </w:tcPr>
          <w:p w:rsidR="005736DA" w:rsidRPr="005736DA" w:rsidRDefault="005736DA" w:rsidP="005736DA">
            <w:pPr>
              <w:tabs>
                <w:tab w:val="left" w:pos="709"/>
              </w:tabs>
              <w:spacing w:after="0" w:line="240" w:lineRule="auto"/>
              <w:jc w:val="left"/>
              <w:rPr>
                <w:rFonts w:ascii="Arial" w:hAnsi="Arial" w:cs="Arial"/>
              </w:rPr>
            </w:pPr>
            <w:r w:rsidRPr="005736DA">
              <w:rPr>
                <w:rFonts w:ascii="Arial" w:hAnsi="Arial" w:cs="Arial"/>
                <w:b/>
              </w:rPr>
              <w:t>Program 1.1</w:t>
            </w:r>
            <w:r w:rsidRPr="005736DA">
              <w:rPr>
                <w:rFonts w:ascii="Arial" w:hAnsi="Arial" w:cs="Arial"/>
              </w:rPr>
              <w:t xml:space="preserve"> – </w:t>
            </w:r>
            <w:r w:rsidRPr="005736DA">
              <w:rPr>
                <w:rFonts w:ascii="Arial" w:hAnsi="Arial" w:cs="Arial"/>
                <w:b/>
              </w:rPr>
              <w:t>Superannuation Scheme Governance</w:t>
            </w:r>
            <w:r w:rsidRPr="005736DA">
              <w:rPr>
                <w:rFonts w:ascii="Arial" w:hAnsi="Arial" w:cs="Arial"/>
              </w:rPr>
              <w:t xml:space="preserve"> </w:t>
            </w:r>
          </w:p>
        </w:tc>
      </w:tr>
      <w:tr w:rsidR="005736DA" w:rsidRPr="005736DA" w:rsidTr="005736DA">
        <w:tc>
          <w:tcPr>
            <w:tcW w:w="1701" w:type="dxa"/>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Delivery</w:t>
            </w:r>
          </w:p>
        </w:tc>
        <w:tc>
          <w:tcPr>
            <w:tcW w:w="5954" w:type="dxa"/>
            <w:gridSpan w:val="2"/>
          </w:tcPr>
          <w:p w:rsidR="005736DA" w:rsidRPr="00A837EF" w:rsidRDefault="005736DA" w:rsidP="00A837EF">
            <w:pPr>
              <w:numPr>
                <w:ilvl w:val="0"/>
                <w:numId w:val="46"/>
              </w:numPr>
              <w:spacing w:after="0" w:line="240" w:lineRule="auto"/>
              <w:ind w:left="255" w:hanging="255"/>
              <w:jc w:val="left"/>
              <w:rPr>
                <w:rFonts w:ascii="Arial" w:eastAsia="Calibri" w:hAnsi="Arial" w:cs="Arial"/>
                <w:lang w:val="en-US" w:eastAsia="en-US"/>
              </w:rPr>
            </w:pPr>
            <w:r w:rsidRPr="00A837EF">
              <w:rPr>
                <w:rFonts w:ascii="Arial" w:eastAsia="Calibri" w:hAnsi="Arial" w:cs="Arial"/>
                <w:lang w:val="en-US" w:eastAsia="en-US"/>
              </w:rPr>
              <w:t xml:space="preserve">Risk managed investment of member’s superannuation balances. </w:t>
            </w:r>
          </w:p>
          <w:p w:rsidR="005736DA" w:rsidRPr="00A837EF" w:rsidRDefault="005736DA" w:rsidP="00A837EF">
            <w:pPr>
              <w:numPr>
                <w:ilvl w:val="0"/>
                <w:numId w:val="46"/>
              </w:numPr>
              <w:spacing w:after="0" w:line="240" w:lineRule="auto"/>
              <w:ind w:left="255" w:hanging="255"/>
              <w:jc w:val="left"/>
              <w:rPr>
                <w:rFonts w:ascii="Arial" w:eastAsia="Calibri" w:hAnsi="Arial" w:cs="Arial"/>
                <w:lang w:val="en-US" w:eastAsia="en-US"/>
              </w:rPr>
            </w:pPr>
            <w:r w:rsidRPr="00A837EF">
              <w:rPr>
                <w:rFonts w:ascii="Arial" w:eastAsia="Calibri" w:hAnsi="Arial" w:cs="Arial"/>
                <w:lang w:val="en-US" w:eastAsia="en-US"/>
              </w:rPr>
              <w:t xml:space="preserve">Meeting </w:t>
            </w:r>
            <w:proofErr w:type="spellStart"/>
            <w:r w:rsidRPr="00A837EF">
              <w:rPr>
                <w:rFonts w:ascii="Arial" w:eastAsia="Calibri" w:hAnsi="Arial" w:cs="Arial"/>
                <w:lang w:val="en-US" w:eastAsia="en-US"/>
              </w:rPr>
              <w:t>licence</w:t>
            </w:r>
            <w:proofErr w:type="spellEnd"/>
            <w:r w:rsidRPr="00A837EF">
              <w:rPr>
                <w:rFonts w:ascii="Arial" w:eastAsia="Calibri" w:hAnsi="Arial" w:cs="Arial"/>
                <w:lang w:val="en-US" w:eastAsia="en-US"/>
              </w:rPr>
              <w:t xml:space="preserve"> obligations set out by APRA and ASIC. </w:t>
            </w:r>
          </w:p>
          <w:p w:rsidR="005736DA" w:rsidRPr="00A837EF" w:rsidRDefault="005736DA" w:rsidP="00A837EF">
            <w:pPr>
              <w:numPr>
                <w:ilvl w:val="0"/>
                <w:numId w:val="46"/>
              </w:numPr>
              <w:spacing w:after="0" w:line="240" w:lineRule="auto"/>
              <w:ind w:left="255" w:hanging="255"/>
              <w:jc w:val="left"/>
              <w:rPr>
                <w:rFonts w:ascii="Arial" w:eastAsia="Calibri" w:hAnsi="Arial" w:cs="Arial"/>
                <w:lang w:val="en-US" w:eastAsia="en-US"/>
              </w:rPr>
            </w:pPr>
            <w:r w:rsidRPr="00A837EF">
              <w:rPr>
                <w:rFonts w:ascii="Arial" w:eastAsia="Calibri" w:hAnsi="Arial" w:cs="Arial"/>
                <w:lang w:val="en-US" w:eastAsia="en-US"/>
              </w:rPr>
              <w:t xml:space="preserve">Development and implementation of industry standard administration services. </w:t>
            </w:r>
          </w:p>
          <w:p w:rsidR="005736DA" w:rsidRPr="005736DA" w:rsidRDefault="005736DA" w:rsidP="00A837EF">
            <w:pPr>
              <w:numPr>
                <w:ilvl w:val="0"/>
                <w:numId w:val="46"/>
              </w:numPr>
              <w:spacing w:after="0" w:line="240" w:lineRule="auto"/>
              <w:ind w:left="255" w:hanging="255"/>
              <w:jc w:val="left"/>
              <w:rPr>
                <w:rFonts w:ascii="Arial" w:hAnsi="Arial" w:cs="Arial"/>
              </w:rPr>
            </w:pPr>
            <w:r w:rsidRPr="00A837EF">
              <w:rPr>
                <w:rFonts w:ascii="Arial" w:eastAsia="Calibri" w:hAnsi="Arial" w:cs="Arial"/>
                <w:lang w:val="en-US" w:eastAsia="en-US"/>
              </w:rPr>
              <w:t>Provision of information for scheme members including responding to member enquiries and publications, websites and seminars.</w:t>
            </w:r>
          </w:p>
        </w:tc>
      </w:tr>
      <w:tr w:rsidR="005736DA" w:rsidRPr="005736DA" w:rsidTr="005736DA">
        <w:tc>
          <w:tcPr>
            <w:tcW w:w="1701" w:type="dxa"/>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Purposes</w:t>
            </w:r>
          </w:p>
        </w:tc>
        <w:tc>
          <w:tcPr>
            <w:tcW w:w="5954" w:type="dxa"/>
            <w:gridSpan w:val="2"/>
          </w:tcPr>
          <w:p w:rsidR="005736DA" w:rsidRPr="005736DA" w:rsidRDefault="005736DA" w:rsidP="005736DA">
            <w:pPr>
              <w:tabs>
                <w:tab w:val="left" w:pos="709"/>
              </w:tabs>
              <w:spacing w:after="0" w:line="240" w:lineRule="auto"/>
              <w:jc w:val="left"/>
              <w:rPr>
                <w:rFonts w:ascii="Arial" w:hAnsi="Arial" w:cs="Arial"/>
              </w:rPr>
            </w:pPr>
            <w:r w:rsidRPr="005736DA">
              <w:rPr>
                <w:rFonts w:ascii="Arial" w:hAnsi="Arial" w:cs="Arial"/>
              </w:rPr>
              <w:t>To grow the wealth of Australian Government employees and members of the Australian Defence Force for their retirement as trustee of the Australian Government public sector and military superannuation schemes.</w:t>
            </w:r>
          </w:p>
        </w:tc>
      </w:tr>
      <w:tr w:rsidR="005736DA" w:rsidRPr="005736DA" w:rsidTr="005736DA">
        <w:tc>
          <w:tcPr>
            <w:tcW w:w="7655" w:type="dxa"/>
            <w:gridSpan w:val="3"/>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Performance information: Program 1.1 – Superannuation Scheme Governance</w:t>
            </w:r>
          </w:p>
        </w:tc>
      </w:tr>
      <w:tr w:rsidR="005736DA" w:rsidRPr="005736DA" w:rsidTr="005736DA">
        <w:tc>
          <w:tcPr>
            <w:tcW w:w="1701" w:type="dxa"/>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Year</w:t>
            </w:r>
          </w:p>
        </w:tc>
        <w:tc>
          <w:tcPr>
            <w:tcW w:w="3475" w:type="dxa"/>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Performance Criteria</w:t>
            </w:r>
          </w:p>
        </w:tc>
        <w:tc>
          <w:tcPr>
            <w:tcW w:w="2479" w:type="dxa"/>
          </w:tcPr>
          <w:p w:rsidR="005736DA" w:rsidRPr="005736DA" w:rsidRDefault="005736DA" w:rsidP="005736DA">
            <w:pPr>
              <w:tabs>
                <w:tab w:val="left" w:pos="709"/>
              </w:tabs>
              <w:spacing w:after="0" w:line="240" w:lineRule="auto"/>
              <w:jc w:val="left"/>
              <w:rPr>
                <w:rFonts w:ascii="Arial" w:hAnsi="Arial" w:cs="Arial"/>
                <w:b/>
              </w:rPr>
            </w:pPr>
            <w:r w:rsidRPr="005736DA">
              <w:rPr>
                <w:rFonts w:ascii="Arial" w:hAnsi="Arial" w:cs="Arial"/>
                <w:b/>
              </w:rPr>
              <w:t>Targets</w:t>
            </w:r>
          </w:p>
        </w:tc>
      </w:tr>
      <w:tr w:rsidR="005736DA" w:rsidRPr="005736DA" w:rsidTr="005736DA">
        <w:trPr>
          <w:trHeight w:val="60"/>
        </w:trPr>
        <w:tc>
          <w:tcPr>
            <w:tcW w:w="1701" w:type="dxa"/>
          </w:tcPr>
          <w:p w:rsidR="005736DA" w:rsidRPr="005736DA" w:rsidRDefault="005736DA" w:rsidP="005736DA">
            <w:pPr>
              <w:tabs>
                <w:tab w:val="left" w:pos="709"/>
              </w:tabs>
              <w:spacing w:after="0" w:line="240" w:lineRule="auto"/>
              <w:jc w:val="left"/>
              <w:rPr>
                <w:rFonts w:ascii="Arial" w:hAnsi="Arial" w:cs="Arial"/>
              </w:rPr>
            </w:pPr>
            <w:r w:rsidRPr="005736DA">
              <w:rPr>
                <w:rFonts w:ascii="Arial" w:hAnsi="Arial" w:cs="Arial"/>
              </w:rPr>
              <w:t>2015-16</w:t>
            </w:r>
          </w:p>
        </w:tc>
        <w:tc>
          <w:tcPr>
            <w:tcW w:w="3475" w:type="dxa"/>
          </w:tcPr>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 xml:space="preserve">Long term nominal investment performance target of a real return of 3.5% over a prospective rolling 3 year horizon, achieved within Board approved risk parameters. </w:t>
            </w: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 xml:space="preserve">Compliance with the relevant law. </w:t>
            </w: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 xml:space="preserve">Meet obligations as </w:t>
            </w:r>
            <w:proofErr w:type="spellStart"/>
            <w:r w:rsidRPr="005736DA">
              <w:rPr>
                <w:rFonts w:ascii="Arial" w:eastAsia="Calibri" w:hAnsi="Arial" w:cs="Arial"/>
                <w:lang w:val="en-US" w:eastAsia="en-US"/>
              </w:rPr>
              <w:t>Registrable</w:t>
            </w:r>
            <w:proofErr w:type="spellEnd"/>
            <w:r w:rsidRPr="005736DA">
              <w:rPr>
                <w:rFonts w:ascii="Arial" w:eastAsia="Calibri" w:hAnsi="Arial" w:cs="Arial"/>
                <w:lang w:val="en-US" w:eastAsia="en-US"/>
              </w:rPr>
              <w:t xml:space="preserve"> Superannuation Entity (RSE) licensee and Australian Financial Services (AFS) </w:t>
            </w:r>
            <w:proofErr w:type="spellStart"/>
            <w:r w:rsidRPr="005736DA">
              <w:rPr>
                <w:rFonts w:ascii="Arial" w:eastAsia="Calibri" w:hAnsi="Arial" w:cs="Arial"/>
                <w:lang w:val="en-US" w:eastAsia="en-US"/>
              </w:rPr>
              <w:t>Licence</w:t>
            </w:r>
            <w:proofErr w:type="spellEnd"/>
            <w:r w:rsidRPr="005736DA">
              <w:rPr>
                <w:rFonts w:ascii="Arial" w:eastAsia="Calibri" w:hAnsi="Arial" w:cs="Arial"/>
                <w:lang w:val="en-US" w:eastAsia="en-US"/>
              </w:rPr>
              <w:t xml:space="preserve"> holder. </w:t>
            </w: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 xml:space="preserve">Administration quality as reflected in the satisfaction level of members, beneficiaries and employers with the service provided through its scheme </w:t>
            </w:r>
            <w:r w:rsidRPr="005736DA">
              <w:rPr>
                <w:rFonts w:ascii="Arial" w:eastAsia="Calibri" w:hAnsi="Arial" w:cs="Arial"/>
                <w:lang w:val="en-US" w:eastAsia="en-US"/>
              </w:rPr>
              <w:lastRenderedPageBreak/>
              <w:t xml:space="preserve">administrators. </w:t>
            </w:r>
          </w:p>
          <w:p w:rsidR="005736DA" w:rsidRPr="005736DA" w:rsidRDefault="005736DA" w:rsidP="005736DA">
            <w:pPr>
              <w:spacing w:after="0" w:line="240" w:lineRule="auto"/>
              <w:ind w:left="255"/>
              <w:jc w:val="left"/>
              <w:rPr>
                <w:rFonts w:ascii="Arial" w:eastAsia="Calibri" w:hAnsi="Arial" w:cs="Arial"/>
                <w:lang w:val="en-US" w:eastAsia="en-US"/>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Achievement of service standards.</w:t>
            </w:r>
          </w:p>
          <w:p w:rsidR="005736DA" w:rsidRPr="005736DA" w:rsidRDefault="005736DA" w:rsidP="005736DA">
            <w:pPr>
              <w:spacing w:after="0" w:line="240" w:lineRule="auto"/>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Periodic member client satisfaction survey (Quality Service Index).</w:t>
            </w:r>
          </w:p>
          <w:p w:rsidR="005736DA" w:rsidRPr="005736DA" w:rsidRDefault="005736DA" w:rsidP="005736DA">
            <w:pPr>
              <w:spacing w:after="0" w:line="240" w:lineRule="auto"/>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Timeliness of member statements.</w:t>
            </w:r>
          </w:p>
          <w:p w:rsidR="005736DA" w:rsidRPr="005736DA" w:rsidRDefault="005736DA" w:rsidP="005736DA">
            <w:pPr>
              <w:autoSpaceDE w:val="0"/>
              <w:autoSpaceDN w:val="0"/>
              <w:adjustRightInd w:val="0"/>
              <w:spacing w:after="0" w:line="240" w:lineRule="auto"/>
              <w:ind w:left="176" w:hanging="142"/>
              <w:jc w:val="both"/>
              <w:rPr>
                <w:rFonts w:ascii="Arial" w:hAnsi="Arial" w:cs="Arial"/>
              </w:rPr>
            </w:pPr>
          </w:p>
          <w:p w:rsidR="005736DA" w:rsidRPr="005736DA" w:rsidRDefault="005736DA" w:rsidP="005736DA">
            <w:pPr>
              <w:autoSpaceDE w:val="0"/>
              <w:autoSpaceDN w:val="0"/>
              <w:adjustRightInd w:val="0"/>
              <w:spacing w:after="0" w:line="240" w:lineRule="auto"/>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 xml:space="preserve">Timeliness of new benefits processed. </w:t>
            </w:r>
          </w:p>
          <w:p w:rsidR="005736DA" w:rsidRPr="005736DA" w:rsidRDefault="005736DA" w:rsidP="005736DA">
            <w:pPr>
              <w:spacing w:after="0" w:line="240" w:lineRule="auto"/>
              <w:jc w:val="both"/>
              <w:rPr>
                <w:rFonts w:ascii="Arial" w:hAnsi="Arial" w:cs="Arial"/>
                <w:i/>
              </w:rPr>
            </w:pPr>
          </w:p>
        </w:tc>
        <w:tc>
          <w:tcPr>
            <w:tcW w:w="2479" w:type="dxa"/>
          </w:tcPr>
          <w:p w:rsidR="005736DA" w:rsidRPr="005736DA" w:rsidRDefault="005736DA" w:rsidP="0051401E">
            <w:pPr>
              <w:numPr>
                <w:ilvl w:val="0"/>
                <w:numId w:val="46"/>
              </w:numPr>
              <w:spacing w:after="0" w:line="240" w:lineRule="auto"/>
              <w:ind w:left="255" w:hanging="255"/>
              <w:jc w:val="left"/>
              <w:rPr>
                <w:rFonts w:ascii="Arial" w:hAnsi="Arial" w:cs="Arial"/>
              </w:rPr>
            </w:pPr>
            <w:r w:rsidRPr="005736DA">
              <w:rPr>
                <w:rFonts w:ascii="Arial" w:hAnsi="Arial" w:cs="Arial"/>
              </w:rPr>
              <w:lastRenderedPageBreak/>
              <w:t>Over the rolling three year period to June 2016, CSC’s default accumulation option is estimated to meet its annual real return target of 3.5% within Board approved risk parameters.</w:t>
            </w:r>
          </w:p>
          <w:p w:rsidR="005736DA" w:rsidRPr="005736DA" w:rsidRDefault="005736DA" w:rsidP="005736DA">
            <w:pPr>
              <w:spacing w:after="0" w:line="240" w:lineRule="auto"/>
              <w:ind w:left="255"/>
              <w:jc w:val="left"/>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All compliance issues were reported and actively managed in accordance with CSC policy.</w:t>
            </w:r>
          </w:p>
          <w:p w:rsidR="005736DA" w:rsidRPr="005736DA" w:rsidRDefault="005736DA" w:rsidP="005736DA">
            <w:pPr>
              <w:spacing w:after="0" w:line="240" w:lineRule="auto"/>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All RSE and AFS obligations were met.</w:t>
            </w: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See detailed targets below.</w:t>
            </w:r>
          </w:p>
          <w:p w:rsidR="005736DA" w:rsidRPr="005736DA" w:rsidRDefault="005736DA" w:rsidP="005736DA">
            <w:pPr>
              <w:autoSpaceDE w:val="0"/>
              <w:autoSpaceDN w:val="0"/>
              <w:adjustRightInd w:val="0"/>
              <w:spacing w:after="0" w:line="240" w:lineRule="auto"/>
              <w:jc w:val="both"/>
              <w:rPr>
                <w:rFonts w:ascii="Arial" w:hAnsi="Arial" w:cs="Arial"/>
              </w:rPr>
            </w:pPr>
          </w:p>
          <w:p w:rsidR="005736DA" w:rsidRPr="005736DA" w:rsidRDefault="005736DA" w:rsidP="005736DA">
            <w:pPr>
              <w:autoSpaceDE w:val="0"/>
              <w:autoSpaceDN w:val="0"/>
              <w:adjustRightInd w:val="0"/>
              <w:spacing w:after="0" w:line="240" w:lineRule="auto"/>
              <w:jc w:val="both"/>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80% of standards achieved.</w:t>
            </w:r>
          </w:p>
          <w:p w:rsidR="005736DA" w:rsidRPr="005736DA" w:rsidRDefault="005736DA" w:rsidP="005736DA">
            <w:pPr>
              <w:spacing w:after="0" w:line="240" w:lineRule="auto"/>
              <w:ind w:left="255"/>
              <w:jc w:val="left"/>
              <w:rPr>
                <w:rFonts w:ascii="Arial" w:eastAsia="Calibri" w:hAnsi="Arial" w:cs="Arial"/>
                <w:lang w:val="en-US" w:eastAsia="en-US"/>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Weighted score 85.1%.</w:t>
            </w: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736DA">
            <w:pPr>
              <w:tabs>
                <w:tab w:val="left" w:pos="709"/>
              </w:tabs>
              <w:spacing w:after="0" w:line="240" w:lineRule="auto"/>
              <w:jc w:val="left"/>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100% issued by the statutory deadline.</w:t>
            </w:r>
          </w:p>
          <w:p w:rsidR="005736DA" w:rsidRPr="005736DA" w:rsidRDefault="005736DA" w:rsidP="005736DA">
            <w:pPr>
              <w:spacing w:after="0" w:line="240" w:lineRule="auto"/>
              <w:jc w:val="both"/>
              <w:rPr>
                <w:rFonts w:ascii="Arial" w:hAnsi="Arial" w:cs="Arial"/>
              </w:rPr>
            </w:pPr>
          </w:p>
          <w:p w:rsidR="005736DA" w:rsidRPr="005736DA" w:rsidRDefault="005736DA" w:rsidP="0051401E">
            <w:pPr>
              <w:numPr>
                <w:ilvl w:val="0"/>
                <w:numId w:val="46"/>
              </w:numPr>
              <w:spacing w:after="0" w:line="240" w:lineRule="auto"/>
              <w:ind w:left="255" w:hanging="255"/>
              <w:jc w:val="left"/>
              <w:rPr>
                <w:rFonts w:ascii="Arial" w:eastAsia="Calibri" w:hAnsi="Arial" w:cs="Arial"/>
                <w:lang w:val="en-US" w:eastAsia="en-US"/>
              </w:rPr>
            </w:pPr>
            <w:r w:rsidRPr="005736DA">
              <w:rPr>
                <w:rFonts w:ascii="Arial" w:eastAsia="Calibri" w:hAnsi="Arial" w:cs="Arial"/>
                <w:lang w:val="en-US" w:eastAsia="en-US"/>
              </w:rPr>
              <w:t>85%</w:t>
            </w:r>
            <w:r w:rsidR="00A837EF">
              <w:rPr>
                <w:rFonts w:ascii="Arial" w:eastAsia="Calibri" w:hAnsi="Arial" w:cs="Arial"/>
                <w:lang w:val="en-US" w:eastAsia="en-US"/>
              </w:rPr>
              <w:t xml:space="preserve"> of</w:t>
            </w:r>
            <w:r w:rsidRPr="005736DA">
              <w:rPr>
                <w:rFonts w:ascii="Arial" w:eastAsia="Calibri" w:hAnsi="Arial" w:cs="Arial"/>
                <w:lang w:val="en-US" w:eastAsia="en-US"/>
              </w:rPr>
              <w:t xml:space="preserve"> routine benefit payments made within 5 working days.</w:t>
            </w:r>
          </w:p>
          <w:p w:rsidR="005736DA" w:rsidRPr="005736DA" w:rsidRDefault="005736DA" w:rsidP="005736DA">
            <w:pPr>
              <w:spacing w:after="0" w:line="240" w:lineRule="auto"/>
              <w:jc w:val="both"/>
              <w:rPr>
                <w:rFonts w:ascii="Arial" w:hAnsi="Arial" w:cs="Arial"/>
              </w:rPr>
            </w:pPr>
          </w:p>
        </w:tc>
      </w:tr>
    </w:tbl>
    <w:p w:rsidR="005736DA" w:rsidRPr="005736DA" w:rsidRDefault="005736DA" w:rsidP="005736DA">
      <w:pPr>
        <w:spacing w:after="0" w:line="240" w:lineRule="auto"/>
        <w:jc w:val="both"/>
        <w:rPr>
          <w:rFonts w:ascii="Arial" w:hAnsi="Arial" w:cs="Arial"/>
        </w:rPr>
      </w:pPr>
      <w:r w:rsidRPr="005736DA">
        <w:rPr>
          <w:rFonts w:ascii="Arial" w:hAnsi="Arial" w:cs="Arial"/>
        </w:rPr>
        <w:lastRenderedPageBreak/>
        <w:t>Table continues on next page</w:t>
      </w:r>
    </w:p>
    <w:p w:rsidR="005736DA" w:rsidRPr="005736DA" w:rsidRDefault="005736DA" w:rsidP="005736DA">
      <w:pPr>
        <w:spacing w:after="0" w:line="240" w:lineRule="auto"/>
        <w:jc w:val="left"/>
        <w:rPr>
          <w:rFonts w:ascii="Arial" w:hAnsi="Arial" w:cs="Arial"/>
        </w:rPr>
      </w:pPr>
      <w:r w:rsidRPr="005736DA">
        <w:rPr>
          <w:rFonts w:ascii="Arial" w:hAnsi="Arial" w:cs="Arial"/>
        </w:rPr>
        <w:br w:type="page"/>
      </w:r>
    </w:p>
    <w:p w:rsidR="005736DA" w:rsidRPr="005736DA" w:rsidRDefault="005736DA" w:rsidP="005736DA">
      <w:pPr>
        <w:keepNext/>
        <w:spacing w:after="0" w:line="240" w:lineRule="auto"/>
        <w:jc w:val="left"/>
        <w:outlineLvl w:val="4"/>
        <w:rPr>
          <w:rFonts w:ascii="Arial" w:hAnsi="Arial"/>
          <w:b/>
          <w:bCs/>
          <w:iCs/>
          <w:sz w:val="20"/>
          <w:szCs w:val="26"/>
        </w:rPr>
      </w:pPr>
      <w:r w:rsidRPr="005736DA">
        <w:rPr>
          <w:rFonts w:ascii="Arial" w:hAnsi="Arial"/>
          <w:b/>
          <w:bCs/>
          <w:iCs/>
          <w:sz w:val="20"/>
          <w:szCs w:val="26"/>
        </w:rPr>
        <w:lastRenderedPageBreak/>
        <w:t>Table 2.1.2: Performance criteria for Outcome 1 (Continued)</w:t>
      </w:r>
    </w:p>
    <w:tbl>
      <w:tblPr>
        <w:tblStyle w:val="TableGrid"/>
        <w:tblW w:w="0" w:type="auto"/>
        <w:tblLook w:val="04A0"/>
      </w:tblPr>
      <w:tblGrid>
        <w:gridCol w:w="1701"/>
        <w:gridCol w:w="3475"/>
        <w:gridCol w:w="2479"/>
      </w:tblGrid>
      <w:tr w:rsidR="005736DA" w:rsidRPr="005736DA" w:rsidTr="005736DA">
        <w:tc>
          <w:tcPr>
            <w:tcW w:w="7655" w:type="dxa"/>
            <w:gridSpan w:val="3"/>
          </w:tcPr>
          <w:p w:rsidR="005736DA" w:rsidRPr="005736DA" w:rsidRDefault="005736DA" w:rsidP="004A060A">
            <w:pPr>
              <w:keepNext/>
              <w:tabs>
                <w:tab w:val="left" w:pos="709"/>
              </w:tabs>
              <w:spacing w:after="0" w:line="240" w:lineRule="auto"/>
              <w:contextualSpacing/>
              <w:jc w:val="left"/>
              <w:rPr>
                <w:rFonts w:ascii="Arial" w:hAnsi="Arial" w:cs="Arial"/>
                <w:b/>
              </w:rPr>
            </w:pPr>
            <w:r w:rsidRPr="005736DA">
              <w:rPr>
                <w:rFonts w:ascii="Arial" w:hAnsi="Arial" w:cs="Arial"/>
                <w:b/>
              </w:rPr>
              <w:t>Performance information: Program 1.1 – Superannuation Scheme Governance</w:t>
            </w:r>
          </w:p>
        </w:tc>
      </w:tr>
      <w:tr w:rsidR="005736DA" w:rsidRPr="005736DA" w:rsidTr="005736DA">
        <w:tc>
          <w:tcPr>
            <w:tcW w:w="1701" w:type="dxa"/>
          </w:tcPr>
          <w:p w:rsidR="005736DA" w:rsidRPr="005736DA" w:rsidRDefault="005736DA" w:rsidP="004A060A">
            <w:pPr>
              <w:keepNext/>
              <w:tabs>
                <w:tab w:val="left" w:pos="709"/>
              </w:tabs>
              <w:spacing w:after="0" w:line="240" w:lineRule="auto"/>
              <w:contextualSpacing/>
              <w:jc w:val="left"/>
              <w:rPr>
                <w:rFonts w:ascii="Arial" w:hAnsi="Arial" w:cs="Arial"/>
                <w:b/>
              </w:rPr>
            </w:pPr>
            <w:r w:rsidRPr="005736DA">
              <w:rPr>
                <w:rFonts w:ascii="Arial" w:hAnsi="Arial" w:cs="Arial"/>
                <w:b/>
              </w:rPr>
              <w:t>Year</w:t>
            </w:r>
          </w:p>
        </w:tc>
        <w:tc>
          <w:tcPr>
            <w:tcW w:w="3475" w:type="dxa"/>
          </w:tcPr>
          <w:p w:rsidR="005736DA" w:rsidRPr="005736DA" w:rsidRDefault="005736DA" w:rsidP="004A060A">
            <w:pPr>
              <w:keepNext/>
              <w:tabs>
                <w:tab w:val="left" w:pos="709"/>
              </w:tabs>
              <w:spacing w:after="0" w:line="240" w:lineRule="auto"/>
              <w:contextualSpacing/>
              <w:jc w:val="left"/>
              <w:rPr>
                <w:rFonts w:ascii="Arial" w:hAnsi="Arial" w:cs="Arial"/>
                <w:b/>
              </w:rPr>
            </w:pPr>
            <w:r w:rsidRPr="005736DA">
              <w:rPr>
                <w:rFonts w:ascii="Arial" w:hAnsi="Arial" w:cs="Arial"/>
                <w:b/>
              </w:rPr>
              <w:t>Performance Criteria</w:t>
            </w:r>
          </w:p>
        </w:tc>
        <w:tc>
          <w:tcPr>
            <w:tcW w:w="2479" w:type="dxa"/>
          </w:tcPr>
          <w:p w:rsidR="005736DA" w:rsidRPr="005736DA" w:rsidRDefault="005736DA" w:rsidP="004A060A">
            <w:pPr>
              <w:keepNext/>
              <w:tabs>
                <w:tab w:val="left" w:pos="709"/>
              </w:tabs>
              <w:spacing w:after="0" w:line="240" w:lineRule="auto"/>
              <w:contextualSpacing/>
              <w:jc w:val="left"/>
              <w:rPr>
                <w:rFonts w:ascii="Arial" w:hAnsi="Arial" w:cs="Arial"/>
                <w:b/>
              </w:rPr>
            </w:pPr>
            <w:r w:rsidRPr="005736DA">
              <w:rPr>
                <w:rFonts w:ascii="Arial" w:hAnsi="Arial" w:cs="Arial"/>
                <w:b/>
              </w:rPr>
              <w:t>Targets</w:t>
            </w:r>
          </w:p>
        </w:tc>
      </w:tr>
      <w:tr w:rsidR="005736DA" w:rsidRPr="005736DA" w:rsidTr="005736DA">
        <w:trPr>
          <w:trHeight w:val="60"/>
        </w:trPr>
        <w:tc>
          <w:tcPr>
            <w:tcW w:w="1701" w:type="dxa"/>
          </w:tcPr>
          <w:p w:rsidR="005736DA" w:rsidRPr="005736DA" w:rsidRDefault="005736DA" w:rsidP="004A060A">
            <w:pPr>
              <w:tabs>
                <w:tab w:val="left" w:pos="709"/>
              </w:tabs>
              <w:spacing w:after="0" w:line="240" w:lineRule="auto"/>
              <w:contextualSpacing/>
              <w:jc w:val="left"/>
              <w:rPr>
                <w:rFonts w:ascii="Arial" w:hAnsi="Arial" w:cs="Arial"/>
              </w:rPr>
            </w:pPr>
            <w:r w:rsidRPr="005736DA">
              <w:rPr>
                <w:rFonts w:ascii="Arial" w:hAnsi="Arial" w:cs="Arial"/>
              </w:rPr>
              <w:t>2015-16 (continued)</w:t>
            </w:r>
          </w:p>
        </w:tc>
        <w:tc>
          <w:tcPr>
            <w:tcW w:w="3475" w:type="dxa"/>
          </w:tcPr>
          <w:p w:rsidR="005736DA" w:rsidRPr="005736DA" w:rsidRDefault="005736DA" w:rsidP="0051401E">
            <w:pPr>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Timeliness of fortnightly pension payroll.</w:t>
            </w:r>
          </w:p>
          <w:p w:rsidR="005736DA" w:rsidRPr="005736DA" w:rsidRDefault="005736DA" w:rsidP="004A060A">
            <w:pPr>
              <w:spacing w:after="0" w:line="240" w:lineRule="auto"/>
              <w:contextualSpacing/>
              <w:jc w:val="both"/>
              <w:rPr>
                <w:rFonts w:ascii="Arial" w:hAnsi="Arial" w:cs="Arial"/>
                <w:i/>
              </w:rPr>
            </w:pPr>
          </w:p>
          <w:p w:rsidR="005736DA" w:rsidRPr="005736DA" w:rsidRDefault="005736DA" w:rsidP="004A060A">
            <w:pPr>
              <w:spacing w:after="0" w:line="240" w:lineRule="auto"/>
              <w:contextualSpacing/>
              <w:jc w:val="both"/>
              <w:rPr>
                <w:rFonts w:ascii="Arial" w:hAnsi="Arial" w:cs="Arial"/>
                <w:i/>
              </w:rPr>
            </w:pPr>
          </w:p>
          <w:p w:rsidR="005736DA" w:rsidRPr="005736DA" w:rsidRDefault="005736DA" w:rsidP="0051401E">
            <w:pPr>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Compliance issues appropriately reported and actively</w:t>
            </w:r>
            <w:r w:rsidRPr="005736DA">
              <w:rPr>
                <w:rFonts w:ascii="Calibri" w:eastAsia="Calibri" w:hAnsi="Calibri"/>
                <w:lang w:val="en-US" w:eastAsia="en-US"/>
              </w:rPr>
              <w:t xml:space="preserve"> </w:t>
            </w:r>
            <w:r w:rsidRPr="005736DA">
              <w:rPr>
                <w:rFonts w:ascii="Arial" w:eastAsia="Calibri" w:hAnsi="Arial" w:cs="Arial"/>
                <w:lang w:val="en-US" w:eastAsia="en-US"/>
              </w:rPr>
              <w:t>managed (Issues reported and managed).</w:t>
            </w:r>
          </w:p>
          <w:p w:rsidR="005736DA" w:rsidRPr="005736DA" w:rsidRDefault="005736DA" w:rsidP="004A060A">
            <w:pPr>
              <w:spacing w:after="0" w:line="240" w:lineRule="auto"/>
              <w:ind w:left="255"/>
              <w:contextualSpacing/>
              <w:jc w:val="left"/>
              <w:rPr>
                <w:rFonts w:ascii="Arial" w:eastAsia="Calibri" w:hAnsi="Arial" w:cs="Arial"/>
                <w:lang w:val="en-US" w:eastAsia="en-US"/>
              </w:rPr>
            </w:pPr>
          </w:p>
        </w:tc>
        <w:tc>
          <w:tcPr>
            <w:tcW w:w="2479" w:type="dxa"/>
          </w:tcPr>
          <w:p w:rsidR="005736DA" w:rsidRPr="005736DA" w:rsidRDefault="005736DA" w:rsidP="0051401E">
            <w:pPr>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99.7% of pension payments in bank accounts on time.</w:t>
            </w:r>
          </w:p>
          <w:p w:rsidR="005736DA" w:rsidRPr="005736DA" w:rsidRDefault="005736DA" w:rsidP="004A060A">
            <w:pPr>
              <w:spacing w:after="0" w:line="240" w:lineRule="auto"/>
              <w:contextualSpacing/>
              <w:jc w:val="both"/>
              <w:rPr>
                <w:rFonts w:ascii="Arial" w:hAnsi="Arial" w:cs="Arial"/>
              </w:rPr>
            </w:pPr>
          </w:p>
          <w:p w:rsidR="005736DA" w:rsidRPr="005736DA" w:rsidRDefault="005736DA" w:rsidP="0051401E">
            <w:pPr>
              <w:numPr>
                <w:ilvl w:val="0"/>
                <w:numId w:val="46"/>
              </w:numPr>
              <w:spacing w:after="0" w:line="240" w:lineRule="auto"/>
              <w:ind w:left="255" w:hanging="255"/>
              <w:contextualSpacing/>
              <w:jc w:val="left"/>
              <w:rPr>
                <w:rFonts w:ascii="Arial" w:hAnsi="Arial" w:cs="Arial"/>
              </w:rPr>
            </w:pPr>
            <w:r w:rsidRPr="005736DA">
              <w:rPr>
                <w:rFonts w:ascii="Arial" w:eastAsia="Calibri" w:hAnsi="Arial" w:cs="Arial"/>
                <w:lang w:val="en-US" w:eastAsia="en-US"/>
              </w:rPr>
              <w:t>100% of issues reported and managed.</w:t>
            </w:r>
          </w:p>
        </w:tc>
      </w:tr>
      <w:tr w:rsidR="005736DA" w:rsidRPr="005736DA" w:rsidTr="005736DA">
        <w:tc>
          <w:tcPr>
            <w:tcW w:w="1701" w:type="dxa"/>
          </w:tcPr>
          <w:p w:rsidR="005736DA" w:rsidRPr="005736DA" w:rsidRDefault="005736DA" w:rsidP="004A060A">
            <w:pPr>
              <w:keepNext/>
              <w:tabs>
                <w:tab w:val="left" w:pos="709"/>
              </w:tabs>
              <w:spacing w:after="0" w:line="240" w:lineRule="auto"/>
              <w:contextualSpacing/>
              <w:jc w:val="left"/>
              <w:rPr>
                <w:rFonts w:ascii="Arial" w:hAnsi="Arial" w:cs="Arial"/>
              </w:rPr>
            </w:pPr>
            <w:r w:rsidRPr="005736DA">
              <w:rPr>
                <w:rFonts w:ascii="Arial" w:hAnsi="Arial" w:cs="Arial"/>
              </w:rPr>
              <w:t>2016-17</w:t>
            </w:r>
          </w:p>
        </w:tc>
        <w:tc>
          <w:tcPr>
            <w:tcW w:w="3475" w:type="dxa"/>
          </w:tcPr>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 xml:space="preserve">CSC’s investment performance for its default accumulation </w:t>
            </w:r>
            <w:r w:rsidR="00A837EF">
              <w:rPr>
                <w:rFonts w:ascii="Arial" w:eastAsia="Calibri" w:hAnsi="Arial" w:cs="Arial"/>
                <w:lang w:val="en-US" w:eastAsia="en-US"/>
              </w:rPr>
              <w:t xml:space="preserve">option </w:t>
            </w:r>
            <w:r w:rsidRPr="005736DA">
              <w:rPr>
                <w:rFonts w:ascii="Arial" w:eastAsia="Calibri" w:hAnsi="Arial" w:cs="Arial"/>
                <w:lang w:val="en-US" w:eastAsia="en-US"/>
              </w:rPr>
              <w:t>over a rolling three year period.</w:t>
            </w:r>
          </w:p>
          <w:p w:rsidR="005736DA" w:rsidRPr="005736DA" w:rsidRDefault="005736DA" w:rsidP="004A060A">
            <w:pPr>
              <w:keepNext/>
              <w:spacing w:after="0" w:line="240" w:lineRule="auto"/>
              <w:ind w:left="255"/>
              <w:contextualSpacing/>
              <w:jc w:val="left"/>
              <w:rPr>
                <w:rFonts w:ascii="Arial" w:eastAsia="Calibri" w:hAnsi="Arial" w:cs="Arial"/>
                <w:lang w:val="en-US" w:eastAsia="en-US"/>
              </w:rPr>
            </w:pPr>
          </w:p>
          <w:p w:rsidR="005736DA" w:rsidRPr="005736DA" w:rsidRDefault="005736DA" w:rsidP="004A060A">
            <w:pPr>
              <w:keepNext/>
              <w:spacing w:after="0" w:line="240" w:lineRule="auto"/>
              <w:contextualSpacing/>
              <w:jc w:val="left"/>
              <w:rPr>
                <w:rFonts w:ascii="Arial" w:eastAsia="Calibri" w:hAnsi="Arial" w:cs="Arial"/>
                <w:lang w:val="en-US" w:eastAsia="en-US"/>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CSC’s investment portfolio is maintained within Board approved risk parameters, such that negative returns are expected in no more than 4 out of every 20 years for the default accumulation option.</w:t>
            </w:r>
          </w:p>
          <w:p w:rsidR="005736DA" w:rsidRPr="005736DA" w:rsidRDefault="005736DA" w:rsidP="004A060A">
            <w:pPr>
              <w:keepNext/>
              <w:spacing w:after="0" w:line="240" w:lineRule="auto"/>
              <w:contextualSpacing/>
              <w:jc w:val="both"/>
              <w:rPr>
                <w:rFonts w:ascii="Arial" w:hAnsi="Arial" w:cs="Arial"/>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 xml:space="preserve">Achievement of operational objectives for benefit payments, pension and contributions processing and the </w:t>
            </w:r>
            <w:proofErr w:type="spellStart"/>
            <w:r w:rsidRPr="005736DA">
              <w:rPr>
                <w:rFonts w:ascii="Arial" w:eastAsia="Calibri" w:hAnsi="Arial" w:cs="Arial"/>
                <w:lang w:val="en-US" w:eastAsia="en-US"/>
              </w:rPr>
              <w:t>despatch</w:t>
            </w:r>
            <w:proofErr w:type="spellEnd"/>
            <w:r w:rsidRPr="005736DA">
              <w:rPr>
                <w:rFonts w:ascii="Arial" w:eastAsia="Calibri" w:hAnsi="Arial" w:cs="Arial"/>
                <w:lang w:val="en-US" w:eastAsia="en-US"/>
              </w:rPr>
              <w:t xml:space="preserve"> of members’ statements.</w:t>
            </w:r>
          </w:p>
          <w:p w:rsidR="005736DA" w:rsidRPr="005736DA" w:rsidRDefault="005736DA" w:rsidP="004A060A">
            <w:pPr>
              <w:keepNext/>
              <w:spacing w:after="0" w:line="240" w:lineRule="auto"/>
              <w:contextualSpacing/>
              <w:jc w:val="both"/>
              <w:rPr>
                <w:rFonts w:ascii="Arial" w:hAnsi="Arial" w:cs="Arial"/>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Adequate satisfaction level of members, beneficiaries and employers with the service provided.</w:t>
            </w:r>
          </w:p>
        </w:tc>
        <w:tc>
          <w:tcPr>
            <w:tcW w:w="2479" w:type="dxa"/>
          </w:tcPr>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Default accumulation option annual real return of 3.5% over a rolling three year period.</w:t>
            </w:r>
          </w:p>
          <w:p w:rsidR="005736DA" w:rsidRPr="005736DA" w:rsidRDefault="005736DA" w:rsidP="004A060A">
            <w:pPr>
              <w:keepNext/>
              <w:spacing w:after="0" w:line="240" w:lineRule="auto"/>
              <w:contextualSpacing/>
              <w:jc w:val="both"/>
              <w:rPr>
                <w:rFonts w:ascii="Arial" w:hAnsi="Arial" w:cs="Arial"/>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Negative returns in no more than 4 out of every 20 years for the default accumulation option.</w:t>
            </w:r>
          </w:p>
          <w:p w:rsidR="005736DA" w:rsidRPr="005736DA" w:rsidRDefault="005736DA" w:rsidP="004A060A">
            <w:pPr>
              <w:keepNext/>
              <w:tabs>
                <w:tab w:val="left" w:pos="709"/>
              </w:tabs>
              <w:spacing w:after="0" w:line="240" w:lineRule="auto"/>
              <w:contextualSpacing/>
              <w:jc w:val="left"/>
              <w:rPr>
                <w:rFonts w:ascii="Arial" w:eastAsia="Calibri" w:hAnsi="Arial" w:cs="Arial"/>
                <w:lang w:val="en-US" w:eastAsia="en-US"/>
              </w:rPr>
            </w:pPr>
          </w:p>
          <w:p w:rsidR="005736DA" w:rsidRPr="005736DA" w:rsidRDefault="005736DA" w:rsidP="004A060A">
            <w:pPr>
              <w:keepNext/>
              <w:tabs>
                <w:tab w:val="left" w:pos="709"/>
              </w:tabs>
              <w:spacing w:after="0" w:line="240" w:lineRule="auto"/>
              <w:contextualSpacing/>
              <w:jc w:val="left"/>
              <w:rPr>
                <w:rFonts w:ascii="Arial" w:eastAsia="Calibri" w:hAnsi="Arial" w:cs="Arial"/>
                <w:lang w:val="en-US" w:eastAsia="en-US"/>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90% of each operational objective achieved.</w:t>
            </w:r>
          </w:p>
          <w:p w:rsidR="005736DA" w:rsidRPr="005736DA" w:rsidRDefault="005736DA" w:rsidP="004A060A">
            <w:pPr>
              <w:keepNext/>
              <w:tabs>
                <w:tab w:val="left" w:pos="709"/>
              </w:tabs>
              <w:spacing w:after="0" w:line="240" w:lineRule="auto"/>
              <w:contextualSpacing/>
              <w:jc w:val="left"/>
              <w:rPr>
                <w:rFonts w:ascii="Arial" w:eastAsia="Calibri" w:hAnsi="Arial" w:cs="Arial"/>
                <w:lang w:val="en-US" w:eastAsia="en-US"/>
              </w:rPr>
            </w:pPr>
          </w:p>
          <w:p w:rsidR="005736DA" w:rsidRPr="005736DA" w:rsidRDefault="005736DA" w:rsidP="004A060A">
            <w:pPr>
              <w:keepNext/>
              <w:tabs>
                <w:tab w:val="left" w:pos="709"/>
              </w:tabs>
              <w:spacing w:after="0" w:line="240" w:lineRule="auto"/>
              <w:contextualSpacing/>
              <w:jc w:val="left"/>
              <w:rPr>
                <w:rFonts w:ascii="Arial" w:eastAsia="Calibri" w:hAnsi="Arial" w:cs="Arial"/>
                <w:lang w:val="en-US" w:eastAsia="en-US"/>
              </w:rPr>
            </w:pPr>
          </w:p>
          <w:p w:rsidR="005736DA" w:rsidRPr="005736DA" w:rsidRDefault="005736DA" w:rsidP="004A060A">
            <w:pPr>
              <w:keepNext/>
              <w:tabs>
                <w:tab w:val="left" w:pos="709"/>
              </w:tabs>
              <w:spacing w:after="0" w:line="240" w:lineRule="auto"/>
              <w:contextualSpacing/>
              <w:jc w:val="left"/>
              <w:rPr>
                <w:rFonts w:ascii="Arial" w:eastAsia="Calibri" w:hAnsi="Arial" w:cs="Arial"/>
                <w:lang w:val="en-US" w:eastAsia="en-US"/>
              </w:rPr>
            </w:pPr>
          </w:p>
          <w:p w:rsidR="005736DA" w:rsidRPr="005736DA" w:rsidRDefault="005736DA" w:rsidP="0051401E">
            <w:pPr>
              <w:keepNext/>
              <w:numPr>
                <w:ilvl w:val="0"/>
                <w:numId w:val="46"/>
              </w:numPr>
              <w:spacing w:after="0" w:line="240" w:lineRule="auto"/>
              <w:ind w:left="255" w:hanging="255"/>
              <w:contextualSpacing/>
              <w:jc w:val="left"/>
              <w:rPr>
                <w:rFonts w:ascii="Arial" w:eastAsia="Calibri" w:hAnsi="Arial" w:cs="Arial"/>
                <w:lang w:val="en-US" w:eastAsia="en-US"/>
              </w:rPr>
            </w:pPr>
            <w:r w:rsidRPr="005736DA">
              <w:rPr>
                <w:rFonts w:ascii="Arial" w:eastAsia="Calibri" w:hAnsi="Arial" w:cs="Arial"/>
                <w:lang w:val="en-US" w:eastAsia="en-US"/>
              </w:rPr>
              <w:t>Net Promoter Score (industry standard satisfaction measure) survey result of +15.</w:t>
            </w:r>
          </w:p>
          <w:p w:rsidR="005736DA" w:rsidRPr="005736DA" w:rsidRDefault="005736DA" w:rsidP="004A060A">
            <w:pPr>
              <w:keepNext/>
              <w:spacing w:after="0" w:line="240" w:lineRule="auto"/>
              <w:ind w:left="255"/>
              <w:contextualSpacing/>
              <w:jc w:val="left"/>
              <w:rPr>
                <w:rFonts w:ascii="Arial" w:eastAsia="Calibri" w:hAnsi="Arial" w:cs="Arial"/>
                <w:lang w:val="en-US" w:eastAsia="en-US"/>
              </w:rPr>
            </w:pPr>
          </w:p>
        </w:tc>
      </w:tr>
      <w:tr w:rsidR="005736DA" w:rsidRPr="005736DA" w:rsidTr="005736DA">
        <w:tc>
          <w:tcPr>
            <w:tcW w:w="1701" w:type="dxa"/>
          </w:tcPr>
          <w:p w:rsidR="005736DA" w:rsidRPr="005736DA" w:rsidRDefault="005736DA" w:rsidP="004A060A">
            <w:pPr>
              <w:tabs>
                <w:tab w:val="left" w:pos="709"/>
              </w:tabs>
              <w:spacing w:after="0" w:line="240" w:lineRule="auto"/>
              <w:contextualSpacing/>
              <w:jc w:val="left"/>
              <w:rPr>
                <w:rFonts w:ascii="Arial" w:hAnsi="Arial" w:cs="Arial"/>
              </w:rPr>
            </w:pPr>
            <w:r w:rsidRPr="005736DA">
              <w:rPr>
                <w:rFonts w:ascii="Arial" w:hAnsi="Arial" w:cs="Arial"/>
              </w:rPr>
              <w:t>2017-18 and beyond</w:t>
            </w:r>
          </w:p>
        </w:tc>
        <w:tc>
          <w:tcPr>
            <w:tcW w:w="3475" w:type="dxa"/>
          </w:tcPr>
          <w:p w:rsidR="005736DA" w:rsidRPr="005736DA" w:rsidRDefault="005736DA" w:rsidP="0051401E">
            <w:pPr>
              <w:keepNext/>
              <w:numPr>
                <w:ilvl w:val="0"/>
                <w:numId w:val="46"/>
              </w:numPr>
              <w:spacing w:after="0" w:line="240" w:lineRule="auto"/>
              <w:ind w:left="255" w:hanging="255"/>
              <w:contextualSpacing/>
              <w:jc w:val="left"/>
              <w:rPr>
                <w:rFonts w:ascii="Arial" w:hAnsi="Arial" w:cs="Arial"/>
              </w:rPr>
            </w:pPr>
            <w:r w:rsidRPr="005736DA">
              <w:rPr>
                <w:rFonts w:ascii="Arial" w:eastAsia="Calibri" w:hAnsi="Arial" w:cs="Arial"/>
                <w:lang w:val="en-US" w:eastAsia="en-US"/>
              </w:rPr>
              <w:t>As per 2016-17.</w:t>
            </w:r>
          </w:p>
          <w:p w:rsidR="005736DA" w:rsidRPr="005736DA" w:rsidRDefault="005736DA" w:rsidP="004A060A">
            <w:pPr>
              <w:keepNext/>
              <w:spacing w:after="0" w:line="240" w:lineRule="auto"/>
              <w:ind w:left="255"/>
              <w:contextualSpacing/>
              <w:jc w:val="left"/>
              <w:rPr>
                <w:rFonts w:ascii="Arial" w:hAnsi="Arial" w:cs="Arial"/>
              </w:rPr>
            </w:pPr>
          </w:p>
        </w:tc>
        <w:tc>
          <w:tcPr>
            <w:tcW w:w="2479" w:type="dxa"/>
          </w:tcPr>
          <w:p w:rsidR="005736DA" w:rsidRPr="005736DA" w:rsidRDefault="005736DA" w:rsidP="0051401E">
            <w:pPr>
              <w:keepNext/>
              <w:numPr>
                <w:ilvl w:val="0"/>
                <w:numId w:val="46"/>
              </w:numPr>
              <w:spacing w:after="0" w:line="240" w:lineRule="auto"/>
              <w:ind w:left="255" w:hanging="255"/>
              <w:contextualSpacing/>
              <w:jc w:val="left"/>
              <w:rPr>
                <w:rFonts w:ascii="Arial" w:hAnsi="Arial" w:cs="Arial"/>
              </w:rPr>
            </w:pPr>
            <w:r w:rsidRPr="005736DA">
              <w:rPr>
                <w:rFonts w:ascii="Arial" w:eastAsia="Calibri" w:hAnsi="Arial" w:cs="Arial"/>
                <w:lang w:val="en-US" w:eastAsia="en-US"/>
              </w:rPr>
              <w:t>As per 2016-17.</w:t>
            </w:r>
          </w:p>
        </w:tc>
      </w:tr>
    </w:tbl>
    <w:p w:rsidR="005736DA" w:rsidRPr="005736DA" w:rsidRDefault="005736DA" w:rsidP="005736DA">
      <w:pPr>
        <w:tabs>
          <w:tab w:val="left" w:pos="709"/>
        </w:tabs>
        <w:jc w:val="left"/>
        <w:rPr>
          <w:rFonts w:ascii="Book Antiqua" w:hAnsi="Book Antiqua" w:cs="Arial"/>
          <w:i/>
          <w:sz w:val="20"/>
          <w:szCs w:val="20"/>
        </w:rPr>
      </w:pPr>
    </w:p>
    <w:p w:rsidR="005736DA" w:rsidRPr="005736DA" w:rsidRDefault="005736DA" w:rsidP="005736DA">
      <w:pPr>
        <w:tabs>
          <w:tab w:val="left" w:pos="284"/>
        </w:tabs>
        <w:spacing w:after="0" w:line="240" w:lineRule="auto"/>
        <w:ind w:left="360"/>
        <w:jc w:val="both"/>
        <w:rPr>
          <w:rFonts w:ascii="Arial" w:hAnsi="Arial"/>
          <w:szCs w:val="20"/>
        </w:rPr>
      </w:pPr>
    </w:p>
    <w:p w:rsidR="005736DA" w:rsidRPr="005736DA" w:rsidRDefault="005736DA" w:rsidP="005736DA">
      <w:pPr>
        <w:spacing w:after="0" w:line="240" w:lineRule="auto"/>
        <w:jc w:val="left"/>
        <w:rPr>
          <w:rFonts w:ascii="Book Antiqua" w:hAnsi="Book Antiqua"/>
          <w:i/>
          <w:sz w:val="20"/>
          <w:szCs w:val="20"/>
        </w:rPr>
      </w:pPr>
      <w:r w:rsidRPr="005736DA">
        <w:rPr>
          <w:rFonts w:ascii="Book Antiqua" w:hAnsi="Book Antiqua"/>
          <w:i/>
          <w:sz w:val="20"/>
          <w:szCs w:val="20"/>
        </w:rPr>
        <w:br w:type="page"/>
      </w:r>
    </w:p>
    <w:p w:rsidR="005736DA" w:rsidRPr="005736DA" w:rsidRDefault="005736DA" w:rsidP="005736DA">
      <w:pPr>
        <w:keepNext/>
        <w:spacing w:before="360" w:after="360" w:line="240" w:lineRule="auto"/>
        <w:jc w:val="left"/>
        <w:outlineLvl w:val="1"/>
        <w:rPr>
          <w:rFonts w:ascii="Arial" w:hAnsi="Arial"/>
          <w:sz w:val="30"/>
          <w:szCs w:val="20"/>
        </w:rPr>
      </w:pPr>
      <w:bookmarkStart w:id="8" w:name="_Toc444523880"/>
      <w:bookmarkStart w:id="9" w:name="_Toc448316226"/>
      <w:r w:rsidRPr="005736DA">
        <w:rPr>
          <w:rFonts w:ascii="Arial" w:hAnsi="Arial"/>
          <w:sz w:val="30"/>
          <w:szCs w:val="20"/>
        </w:rPr>
        <w:lastRenderedPageBreak/>
        <w:t>Section 3: Budgeted Financial Statements</w:t>
      </w:r>
      <w:bookmarkEnd w:id="8"/>
      <w:bookmarkEnd w:id="9"/>
    </w:p>
    <w:p w:rsidR="005736DA" w:rsidRPr="005736DA" w:rsidRDefault="005736DA" w:rsidP="0051401E">
      <w:pPr>
        <w:jc w:val="left"/>
        <w:rPr>
          <w:rFonts w:ascii="Book Antiqua" w:hAnsi="Book Antiqua"/>
          <w:sz w:val="20"/>
          <w:szCs w:val="20"/>
        </w:rPr>
      </w:pPr>
      <w:r w:rsidRPr="005736DA">
        <w:rPr>
          <w:rFonts w:ascii="Book Antiqua" w:hAnsi="Book Antiqua"/>
          <w:sz w:val="20"/>
          <w:szCs w:val="20"/>
        </w:rPr>
        <w:t>Section 3 presents budgeted financial statements which provide a comprehensive snapshot of entity finances for the 2016-</w:t>
      </w:r>
      <w:r w:rsidRPr="0051401E">
        <w:rPr>
          <w:rFonts w:ascii="Book Antiqua" w:hAnsi="Book Antiqua"/>
          <w:sz w:val="20"/>
          <w:szCs w:val="20"/>
        </w:rPr>
        <w:t xml:space="preserve">17 </w:t>
      </w:r>
      <w:r w:rsidR="0051401E" w:rsidRPr="0051401E">
        <w:rPr>
          <w:rFonts w:ascii="Book Antiqua" w:hAnsi="Book Antiqua"/>
          <w:sz w:val="20"/>
          <w:szCs w:val="20"/>
        </w:rPr>
        <w:t>Bu</w:t>
      </w:r>
      <w:r w:rsidR="0051401E">
        <w:rPr>
          <w:rFonts w:ascii="Book Antiqua" w:hAnsi="Book Antiqua"/>
          <w:sz w:val="20"/>
          <w:szCs w:val="20"/>
        </w:rPr>
        <w:t>dget Y</w:t>
      </w:r>
      <w:r w:rsidRPr="005736DA">
        <w:rPr>
          <w:rFonts w:ascii="Book Antiqua" w:hAnsi="Book Antiqua"/>
          <w:sz w:val="20"/>
          <w:szCs w:val="20"/>
        </w:rPr>
        <w:t xml:space="preserve">ear, including the impact of </w:t>
      </w:r>
      <w:r w:rsidR="0051401E">
        <w:rPr>
          <w:rFonts w:ascii="Book Antiqua" w:hAnsi="Book Antiqua"/>
          <w:sz w:val="20"/>
          <w:szCs w:val="20"/>
        </w:rPr>
        <w:t>B</w:t>
      </w:r>
      <w:r w:rsidRPr="005736DA">
        <w:rPr>
          <w:rFonts w:ascii="Book Antiqua" w:hAnsi="Book Antiqua"/>
          <w:sz w:val="20"/>
          <w:szCs w:val="20"/>
        </w:rPr>
        <w:t>udg</w:t>
      </w:r>
      <w:r w:rsidR="0051401E">
        <w:rPr>
          <w:rFonts w:ascii="Book Antiqua" w:hAnsi="Book Antiqua"/>
          <w:sz w:val="20"/>
          <w:szCs w:val="20"/>
        </w:rPr>
        <w:t>et m</w:t>
      </w:r>
      <w:r w:rsidRPr="005736DA">
        <w:rPr>
          <w:rFonts w:ascii="Book Antiqua" w:hAnsi="Book Antiqua"/>
          <w:sz w:val="20"/>
          <w:szCs w:val="20"/>
        </w:rPr>
        <w:t>easures and resourcing on financial statements.</w:t>
      </w:r>
    </w:p>
    <w:p w:rsidR="005736DA" w:rsidRPr="005736DA" w:rsidRDefault="005736DA" w:rsidP="005736DA">
      <w:pPr>
        <w:keepNext/>
        <w:tabs>
          <w:tab w:val="left" w:pos="709"/>
        </w:tabs>
        <w:spacing w:before="240" w:line="240" w:lineRule="auto"/>
        <w:jc w:val="left"/>
        <w:outlineLvl w:val="2"/>
        <w:rPr>
          <w:rFonts w:ascii="Arial" w:hAnsi="Arial"/>
          <w:b/>
          <w:smallCaps/>
          <w:sz w:val="26"/>
          <w:szCs w:val="20"/>
        </w:rPr>
      </w:pPr>
      <w:bookmarkStart w:id="10" w:name="_Toc444523881"/>
      <w:bookmarkStart w:id="11" w:name="_Toc448316227"/>
      <w:r w:rsidRPr="005736DA">
        <w:rPr>
          <w:rFonts w:ascii="Arial" w:hAnsi="Arial"/>
          <w:b/>
          <w:smallCaps/>
          <w:sz w:val="26"/>
          <w:szCs w:val="20"/>
        </w:rPr>
        <w:t>3.1</w:t>
      </w:r>
      <w:r w:rsidRPr="005736DA">
        <w:rPr>
          <w:rFonts w:ascii="Arial" w:hAnsi="Arial"/>
          <w:b/>
          <w:smallCaps/>
          <w:sz w:val="26"/>
          <w:szCs w:val="20"/>
        </w:rPr>
        <w:tab/>
        <w:t>Budgeted Financial Statements</w:t>
      </w:r>
      <w:bookmarkEnd w:id="10"/>
      <w:bookmarkEnd w:id="11"/>
    </w:p>
    <w:p w:rsidR="005736DA" w:rsidRPr="005736DA" w:rsidRDefault="005736DA" w:rsidP="005736DA">
      <w:pPr>
        <w:keepNext/>
        <w:tabs>
          <w:tab w:val="left" w:pos="709"/>
        </w:tabs>
        <w:spacing w:before="120" w:after="120" w:line="240" w:lineRule="auto"/>
        <w:jc w:val="left"/>
        <w:outlineLvl w:val="3"/>
        <w:rPr>
          <w:rFonts w:ascii="Arial" w:hAnsi="Arial"/>
          <w:b/>
          <w:sz w:val="22"/>
          <w:szCs w:val="20"/>
        </w:rPr>
      </w:pPr>
      <w:r w:rsidRPr="005736DA">
        <w:rPr>
          <w:rFonts w:ascii="Arial" w:hAnsi="Arial"/>
          <w:b/>
          <w:sz w:val="22"/>
          <w:szCs w:val="20"/>
        </w:rPr>
        <w:t>3.1.1</w:t>
      </w:r>
      <w:r w:rsidRPr="005736DA">
        <w:rPr>
          <w:rFonts w:ascii="Arial" w:hAnsi="Arial"/>
          <w:b/>
          <w:sz w:val="22"/>
          <w:szCs w:val="20"/>
        </w:rPr>
        <w:tab/>
        <w:t xml:space="preserve">Differences </w:t>
      </w:r>
      <w:proofErr w:type="gramStart"/>
      <w:r w:rsidRPr="005736DA">
        <w:rPr>
          <w:rFonts w:ascii="Arial" w:hAnsi="Arial"/>
          <w:b/>
          <w:sz w:val="22"/>
          <w:szCs w:val="20"/>
        </w:rPr>
        <w:t>Between</w:t>
      </w:r>
      <w:proofErr w:type="gramEnd"/>
      <w:r w:rsidRPr="005736DA">
        <w:rPr>
          <w:rFonts w:ascii="Arial" w:hAnsi="Arial"/>
          <w:b/>
          <w:sz w:val="22"/>
          <w:szCs w:val="20"/>
        </w:rPr>
        <w:t xml:space="preserve"> Entity Resourcing and Financial Statements</w:t>
      </w:r>
    </w:p>
    <w:p w:rsidR="005736DA" w:rsidRPr="005736DA" w:rsidRDefault="005736DA" w:rsidP="005736DA">
      <w:pPr>
        <w:jc w:val="left"/>
        <w:rPr>
          <w:rFonts w:ascii="Arial" w:hAnsi="Arial" w:cs="Arial"/>
          <w:sz w:val="20"/>
          <w:szCs w:val="20"/>
        </w:rPr>
      </w:pPr>
      <w:r w:rsidRPr="005736DA">
        <w:rPr>
          <w:rFonts w:ascii="Book Antiqua" w:hAnsi="Book Antiqua" w:cs="Arial"/>
          <w:sz w:val="20"/>
          <w:szCs w:val="20"/>
        </w:rPr>
        <w:t>No material differences exist between entity resourcing and the financial statements</w:t>
      </w:r>
      <w:r w:rsidRPr="005736DA">
        <w:rPr>
          <w:rFonts w:ascii="Arial" w:hAnsi="Arial" w:cs="Arial"/>
          <w:sz w:val="20"/>
          <w:szCs w:val="20"/>
        </w:rPr>
        <w:t>.</w:t>
      </w:r>
    </w:p>
    <w:p w:rsidR="005736DA" w:rsidRPr="005736DA" w:rsidRDefault="005736DA" w:rsidP="005736DA">
      <w:pPr>
        <w:keepNext/>
        <w:tabs>
          <w:tab w:val="left" w:pos="709"/>
        </w:tabs>
        <w:spacing w:before="120" w:after="120" w:line="240" w:lineRule="auto"/>
        <w:jc w:val="left"/>
        <w:outlineLvl w:val="3"/>
        <w:rPr>
          <w:rFonts w:ascii="Arial" w:hAnsi="Arial"/>
          <w:b/>
          <w:sz w:val="22"/>
          <w:szCs w:val="20"/>
        </w:rPr>
      </w:pPr>
      <w:r w:rsidRPr="005736DA">
        <w:rPr>
          <w:rFonts w:ascii="Arial" w:hAnsi="Arial"/>
          <w:b/>
          <w:sz w:val="22"/>
          <w:szCs w:val="20"/>
        </w:rPr>
        <w:t>3.1.2</w:t>
      </w:r>
      <w:r w:rsidRPr="005736DA">
        <w:rPr>
          <w:rFonts w:ascii="Arial" w:hAnsi="Arial"/>
          <w:b/>
          <w:sz w:val="22"/>
          <w:szCs w:val="20"/>
        </w:rPr>
        <w:tab/>
        <w:t>Explanatory Notes and Analysis of Budgeted Financial Statements</w:t>
      </w:r>
    </w:p>
    <w:p w:rsidR="005736DA" w:rsidRPr="005736DA" w:rsidRDefault="005736DA" w:rsidP="005736DA">
      <w:pPr>
        <w:autoSpaceDE w:val="0"/>
        <w:autoSpaceDN w:val="0"/>
        <w:adjustRightInd w:val="0"/>
        <w:spacing w:line="240" w:lineRule="auto"/>
        <w:jc w:val="left"/>
        <w:rPr>
          <w:rFonts w:ascii="Book Antiqua" w:hAnsi="Book Antiqua" w:cs="Arial"/>
          <w:color w:val="000000"/>
          <w:sz w:val="20"/>
          <w:szCs w:val="20"/>
        </w:rPr>
      </w:pPr>
      <w:r w:rsidRPr="005736DA">
        <w:rPr>
          <w:rFonts w:ascii="Book Antiqua" w:hAnsi="Book Antiqua" w:cs="Arial"/>
          <w:color w:val="000000"/>
          <w:sz w:val="20"/>
          <w:szCs w:val="20"/>
        </w:rPr>
        <w:t xml:space="preserve">CSC is the trustee for the </w:t>
      </w:r>
      <w:proofErr w:type="spellStart"/>
      <w:r w:rsidRPr="005736DA">
        <w:rPr>
          <w:rFonts w:ascii="Book Antiqua" w:hAnsi="Book Antiqua" w:cs="Arial"/>
          <w:color w:val="000000"/>
          <w:sz w:val="20"/>
          <w:szCs w:val="20"/>
        </w:rPr>
        <w:t>PSSap</w:t>
      </w:r>
      <w:proofErr w:type="spellEnd"/>
      <w:r w:rsidRPr="005736DA">
        <w:rPr>
          <w:rFonts w:ascii="Book Antiqua" w:hAnsi="Book Antiqua" w:cs="Arial"/>
          <w:color w:val="000000"/>
          <w:sz w:val="20"/>
          <w:szCs w:val="20"/>
        </w:rPr>
        <w:t xml:space="preserve">, PSS, CSS and MSBS regulated superannuation </w:t>
      </w:r>
      <w:r w:rsidRPr="005736DA">
        <w:rPr>
          <w:rFonts w:ascii="Book Antiqua" w:hAnsi="Book Antiqua" w:cs="Arial"/>
          <w:sz w:val="20"/>
          <w:szCs w:val="20"/>
        </w:rPr>
        <w:t>schemes and the new regulated accumulation plan for ADF Super (from 1 July 2016) and six</w:t>
      </w:r>
      <w:r w:rsidRPr="005736DA">
        <w:rPr>
          <w:rFonts w:ascii="Book Antiqua" w:hAnsi="Book Antiqua" w:cs="Arial"/>
          <w:color w:val="000000"/>
          <w:sz w:val="20"/>
          <w:szCs w:val="20"/>
        </w:rPr>
        <w:t xml:space="preserve"> ‘unfunded’ superannuation schemes. The governance arrangements of these schemes are set out in the </w:t>
      </w:r>
      <w:r w:rsidRPr="005736DA">
        <w:rPr>
          <w:rFonts w:ascii="Book Antiqua" w:hAnsi="Book Antiqua" w:cs="Arial"/>
          <w:i/>
          <w:iCs/>
          <w:color w:val="000000"/>
          <w:sz w:val="20"/>
          <w:szCs w:val="20"/>
        </w:rPr>
        <w:t xml:space="preserve">Governance of Australian Government Superannuation Schemes Act 2011 </w:t>
      </w:r>
      <w:r w:rsidRPr="005736DA">
        <w:rPr>
          <w:rFonts w:ascii="Book Antiqua" w:hAnsi="Book Antiqua" w:cs="Arial"/>
          <w:color w:val="000000"/>
          <w:sz w:val="20"/>
          <w:szCs w:val="20"/>
        </w:rPr>
        <w:t>and various scheme specific Acts, Trust Deeds, legislation</w:t>
      </w:r>
      <w:r w:rsidRPr="005736DA">
        <w:rPr>
          <w:rFonts w:ascii="Book Antiqua" w:hAnsi="Book Antiqua" w:cs="Arial"/>
          <w:i/>
          <w:iCs/>
          <w:color w:val="000000"/>
          <w:sz w:val="20"/>
          <w:szCs w:val="20"/>
        </w:rPr>
        <w:t xml:space="preserve">, </w:t>
      </w:r>
      <w:r w:rsidRPr="005736DA">
        <w:rPr>
          <w:rFonts w:ascii="Book Antiqua" w:hAnsi="Book Antiqua" w:cs="Arial"/>
          <w:color w:val="000000"/>
          <w:sz w:val="20"/>
          <w:szCs w:val="20"/>
        </w:rPr>
        <w:t xml:space="preserve">rules and determinations. These requirements prescribe which costs are to be paid from scheme funds, and which costs are to be borne by the fees levied upon Commonwealth entities. </w:t>
      </w:r>
    </w:p>
    <w:p w:rsidR="005736DA" w:rsidRPr="005736DA" w:rsidRDefault="005736DA" w:rsidP="005736DA">
      <w:pPr>
        <w:autoSpaceDE w:val="0"/>
        <w:autoSpaceDN w:val="0"/>
        <w:adjustRightInd w:val="0"/>
        <w:spacing w:line="240" w:lineRule="auto"/>
        <w:jc w:val="left"/>
        <w:rPr>
          <w:rFonts w:ascii="Book Antiqua" w:hAnsi="Book Antiqua" w:cs="Arial"/>
          <w:color w:val="000000"/>
          <w:sz w:val="20"/>
          <w:szCs w:val="20"/>
        </w:rPr>
      </w:pPr>
      <w:r w:rsidRPr="005736DA">
        <w:rPr>
          <w:rFonts w:ascii="Book Antiqua" w:hAnsi="Book Antiqua" w:cs="Arial"/>
          <w:color w:val="000000"/>
          <w:sz w:val="20"/>
          <w:szCs w:val="20"/>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rsidR="005736DA" w:rsidRPr="005736DA" w:rsidRDefault="005736DA" w:rsidP="005736DA">
      <w:pPr>
        <w:autoSpaceDE w:val="0"/>
        <w:autoSpaceDN w:val="0"/>
        <w:adjustRightInd w:val="0"/>
        <w:spacing w:line="240" w:lineRule="auto"/>
        <w:jc w:val="left"/>
        <w:rPr>
          <w:rFonts w:ascii="Book Antiqua" w:hAnsi="Book Antiqua" w:cs="Arial"/>
          <w:color w:val="000000"/>
          <w:sz w:val="20"/>
          <w:szCs w:val="20"/>
        </w:rPr>
      </w:pPr>
      <w:r w:rsidRPr="005736DA">
        <w:rPr>
          <w:rFonts w:ascii="Book Antiqua" w:hAnsi="Book Antiqua" w:cs="Arial"/>
          <w:color w:val="000000"/>
          <w:sz w:val="20"/>
          <w:szCs w:val="20"/>
        </w:rPr>
        <w:t xml:space="preserve">CSC’s budgeted departmental expenses shown in this document reflect only the costs paid, and income received, by CSC into its Special Account and does not reflect the total cost involved in the administration and management of the schemes. </w:t>
      </w:r>
    </w:p>
    <w:p w:rsidR="005736DA" w:rsidRPr="005736DA" w:rsidRDefault="005736DA" w:rsidP="005736DA">
      <w:pPr>
        <w:autoSpaceDE w:val="0"/>
        <w:autoSpaceDN w:val="0"/>
        <w:adjustRightInd w:val="0"/>
        <w:spacing w:line="240" w:lineRule="auto"/>
        <w:jc w:val="left"/>
        <w:rPr>
          <w:rFonts w:ascii="Arial" w:hAnsi="Arial" w:cs="Arial"/>
          <w:color w:val="000000"/>
          <w:sz w:val="20"/>
          <w:szCs w:val="20"/>
        </w:rPr>
      </w:pPr>
      <w:r w:rsidRPr="005736DA">
        <w:rPr>
          <w:rFonts w:ascii="Book Antiqua" w:hAnsi="Book Antiqua" w:cs="Arial"/>
          <w:color w:val="000000"/>
          <w:sz w:val="20"/>
          <w:szCs w:val="20"/>
        </w:rPr>
        <w:t xml:space="preserve">CSC is projecting a surplus of $3 million in 2016-17. This surplus is due to savings measures announced in the 2009-10 Additional Estimates related to Superannuation </w:t>
      </w:r>
      <w:r w:rsidRPr="005736DA">
        <w:rPr>
          <w:rFonts w:ascii="Book Antiqua" w:hAnsi="Book Antiqua" w:cs="Arial"/>
          <w:color w:val="000000"/>
          <w:sz w:val="20"/>
          <w:szCs w:val="20"/>
        </w:rPr>
        <w:lastRenderedPageBreak/>
        <w:t>Administration Reform Programme (SARP) savings. It is intended that a $3 million surplus will be returned to government in 2016-17 and in subsequent forward years</w:t>
      </w:r>
      <w:r w:rsidRPr="005736DA">
        <w:rPr>
          <w:rFonts w:ascii="Arial" w:hAnsi="Arial" w:cs="Arial"/>
          <w:color w:val="000000"/>
          <w:sz w:val="20"/>
          <w:szCs w:val="20"/>
        </w:rPr>
        <w:t>.</w:t>
      </w:r>
    </w:p>
    <w:p w:rsidR="005736DA" w:rsidRPr="005736DA" w:rsidRDefault="005736DA" w:rsidP="005736DA">
      <w:pPr>
        <w:keepNext/>
        <w:tabs>
          <w:tab w:val="left" w:pos="709"/>
        </w:tabs>
        <w:spacing w:before="240" w:line="240" w:lineRule="auto"/>
        <w:jc w:val="left"/>
        <w:outlineLvl w:val="2"/>
        <w:rPr>
          <w:rFonts w:ascii="Arial" w:hAnsi="Arial"/>
          <w:smallCaps/>
          <w:sz w:val="26"/>
          <w:szCs w:val="20"/>
        </w:rPr>
      </w:pPr>
    </w:p>
    <w:p w:rsidR="005736DA" w:rsidRPr="005736DA" w:rsidRDefault="005736DA" w:rsidP="005736DA">
      <w:pPr>
        <w:keepNext/>
        <w:tabs>
          <w:tab w:val="left" w:pos="709"/>
        </w:tabs>
        <w:spacing w:before="240" w:line="240" w:lineRule="auto"/>
        <w:jc w:val="left"/>
        <w:outlineLvl w:val="2"/>
        <w:rPr>
          <w:rFonts w:ascii="Arial" w:hAnsi="Arial"/>
          <w:smallCaps/>
          <w:sz w:val="26"/>
          <w:szCs w:val="20"/>
        </w:rPr>
      </w:pPr>
    </w:p>
    <w:p w:rsidR="005736DA" w:rsidRPr="005736DA" w:rsidRDefault="005736DA" w:rsidP="005736DA">
      <w:pPr>
        <w:keepNext/>
        <w:tabs>
          <w:tab w:val="left" w:pos="709"/>
        </w:tabs>
        <w:spacing w:before="240" w:line="240" w:lineRule="auto"/>
        <w:jc w:val="left"/>
        <w:outlineLvl w:val="2"/>
        <w:rPr>
          <w:rFonts w:ascii="Arial" w:hAnsi="Arial"/>
          <w:smallCaps/>
          <w:sz w:val="26"/>
          <w:szCs w:val="20"/>
        </w:rPr>
      </w:pPr>
    </w:p>
    <w:p w:rsidR="005736DA" w:rsidRPr="005736DA" w:rsidRDefault="005736DA" w:rsidP="005736DA">
      <w:pPr>
        <w:keepNext/>
        <w:tabs>
          <w:tab w:val="left" w:pos="709"/>
        </w:tabs>
        <w:spacing w:before="240" w:line="240" w:lineRule="auto"/>
        <w:jc w:val="left"/>
        <w:outlineLvl w:val="2"/>
        <w:rPr>
          <w:rFonts w:ascii="Arial" w:hAnsi="Arial"/>
          <w:smallCaps/>
          <w:sz w:val="26"/>
          <w:szCs w:val="20"/>
        </w:rPr>
      </w:pPr>
    </w:p>
    <w:p w:rsidR="005736DA" w:rsidRPr="005736DA" w:rsidRDefault="005736DA" w:rsidP="005736DA">
      <w:pPr>
        <w:keepNext/>
        <w:tabs>
          <w:tab w:val="left" w:pos="709"/>
        </w:tabs>
        <w:spacing w:before="240" w:line="240" w:lineRule="auto"/>
        <w:jc w:val="left"/>
        <w:outlineLvl w:val="2"/>
        <w:rPr>
          <w:rFonts w:ascii="Arial" w:hAnsi="Arial"/>
          <w:b/>
          <w:smallCaps/>
          <w:sz w:val="26"/>
          <w:szCs w:val="20"/>
        </w:rPr>
      </w:pPr>
      <w:r w:rsidRPr="005736DA">
        <w:rPr>
          <w:rFonts w:ascii="Arial" w:hAnsi="Arial"/>
          <w:smallCaps/>
          <w:sz w:val="26"/>
          <w:szCs w:val="20"/>
        </w:rPr>
        <w:br w:type="page"/>
      </w:r>
      <w:bookmarkStart w:id="12" w:name="_Toc447798466"/>
      <w:bookmarkStart w:id="13" w:name="_Toc448316228"/>
      <w:r w:rsidRPr="005736DA">
        <w:rPr>
          <w:rFonts w:ascii="Arial" w:hAnsi="Arial"/>
          <w:b/>
          <w:smallCaps/>
          <w:sz w:val="26"/>
          <w:szCs w:val="20"/>
        </w:rPr>
        <w:lastRenderedPageBreak/>
        <w:t>3.2.1</w:t>
      </w:r>
      <w:r w:rsidRPr="005736DA">
        <w:rPr>
          <w:rFonts w:ascii="Arial" w:hAnsi="Arial"/>
          <w:b/>
          <w:smallCaps/>
          <w:sz w:val="26"/>
          <w:szCs w:val="20"/>
        </w:rPr>
        <w:tab/>
        <w:t>Budgeted Financial Statements Tables</w:t>
      </w:r>
      <w:bookmarkEnd w:id="12"/>
      <w:bookmarkEnd w:id="13"/>
    </w:p>
    <w:p w:rsidR="005736DA" w:rsidRPr="005736DA" w:rsidRDefault="005736DA" w:rsidP="00F26B48">
      <w:pPr>
        <w:keepNext/>
        <w:spacing w:after="0" w:line="240" w:lineRule="auto"/>
        <w:jc w:val="left"/>
        <w:rPr>
          <w:rFonts w:ascii="Arial Bold" w:hAnsi="Arial Bold"/>
          <w:b/>
          <w:snapToGrid w:val="0"/>
          <w:sz w:val="20"/>
          <w:szCs w:val="20"/>
        </w:rPr>
      </w:pPr>
      <w:r w:rsidRPr="005736DA">
        <w:rPr>
          <w:rFonts w:ascii="Arial Bold" w:hAnsi="Arial Bold"/>
          <w:b/>
          <w:sz w:val="20"/>
          <w:szCs w:val="20"/>
        </w:rPr>
        <w:t xml:space="preserve">Table 3.1: Comprehensive Income Statement (Showing Net Cost of Services) </w:t>
      </w:r>
      <w:r w:rsidRPr="005736DA">
        <w:rPr>
          <w:rFonts w:ascii="Arial Bold" w:hAnsi="Arial Bold"/>
          <w:b/>
          <w:snapToGrid w:val="0"/>
          <w:sz w:val="20"/>
          <w:szCs w:val="20"/>
        </w:rPr>
        <w:t>for the Period Ended 30 June</w:t>
      </w:r>
    </w:p>
    <w:tbl>
      <w:tblPr>
        <w:tblW w:w="7180" w:type="dxa"/>
        <w:tblInd w:w="96" w:type="dxa"/>
        <w:tblLook w:val="04A0"/>
      </w:tblPr>
      <w:tblGrid>
        <w:gridCol w:w="3080"/>
        <w:gridCol w:w="928"/>
        <w:gridCol w:w="820"/>
        <w:gridCol w:w="821"/>
        <w:gridCol w:w="821"/>
        <w:gridCol w:w="821"/>
      </w:tblGrid>
      <w:tr w:rsidR="000966C1" w:rsidRPr="000966C1" w:rsidTr="000966C1">
        <w:trPr>
          <w:trHeight w:val="225"/>
        </w:trPr>
        <w:tc>
          <w:tcPr>
            <w:tcW w:w="3080" w:type="dxa"/>
            <w:tcBorders>
              <w:top w:val="single" w:sz="4" w:space="0" w:color="auto"/>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82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2015-16</w:t>
            </w:r>
          </w:p>
        </w:tc>
        <w:tc>
          <w:tcPr>
            <w:tcW w:w="820" w:type="dxa"/>
            <w:tcBorders>
              <w:top w:val="single" w:sz="4" w:space="0" w:color="auto"/>
              <w:left w:val="nil"/>
              <w:bottom w:val="nil"/>
              <w:right w:val="nil"/>
            </w:tcBorders>
            <w:shd w:val="clear" w:color="000000" w:fill="E6E6E6"/>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2016-17</w:t>
            </w:r>
          </w:p>
        </w:tc>
        <w:tc>
          <w:tcPr>
            <w:tcW w:w="82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2017-18</w:t>
            </w:r>
          </w:p>
        </w:tc>
        <w:tc>
          <w:tcPr>
            <w:tcW w:w="82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2018-19</w:t>
            </w:r>
          </w:p>
        </w:tc>
        <w:tc>
          <w:tcPr>
            <w:tcW w:w="82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2019-20</w:t>
            </w:r>
          </w:p>
        </w:tc>
      </w:tr>
      <w:tr w:rsidR="000966C1" w:rsidRPr="000966C1" w:rsidTr="000966C1">
        <w:trPr>
          <w:trHeight w:val="225"/>
        </w:trPr>
        <w:tc>
          <w:tcPr>
            <w:tcW w:w="308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Estimated</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Budget</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r>
      <w:tr w:rsidR="000966C1" w:rsidRPr="000966C1" w:rsidTr="000966C1">
        <w:trPr>
          <w:trHeight w:val="225"/>
        </w:trPr>
        <w:tc>
          <w:tcPr>
            <w:tcW w:w="308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actual</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r>
      <w:tr w:rsidR="000966C1" w:rsidRPr="000966C1" w:rsidTr="000966C1">
        <w:trPr>
          <w:trHeight w:val="225"/>
        </w:trPr>
        <w:tc>
          <w:tcPr>
            <w:tcW w:w="308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r>
      <w:tr w:rsidR="000966C1" w:rsidRPr="000966C1" w:rsidTr="000966C1">
        <w:trPr>
          <w:trHeight w:val="240"/>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xml:space="preserve">EXPENSES </w:t>
            </w:r>
            <w:r w:rsidRPr="000966C1">
              <w:rPr>
                <w:rFonts w:ascii="Arial" w:hAnsi="Arial" w:cs="Arial"/>
                <w:b/>
                <w:bCs/>
                <w:vertAlign w:val="superscript"/>
              </w:rPr>
              <w:t>(a)</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r>
      <w:tr w:rsidR="000966C1" w:rsidRPr="000966C1" w:rsidTr="000966C1">
        <w:trPr>
          <w:trHeight w:val="270"/>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Employee benefits</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55,821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58,118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58,591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59,270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60,160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Suppliers</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33,988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40,864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33,127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32,302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31,248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Depreciation and amortisation</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6,661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5,774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r>
      <w:tr w:rsidR="000966C1" w:rsidRPr="000966C1" w:rsidTr="000966C1">
        <w:trPr>
          <w:trHeight w:val="225"/>
        </w:trPr>
        <w:tc>
          <w:tcPr>
            <w:tcW w:w="308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96,470 </w:t>
            </w:r>
          </w:p>
        </w:tc>
        <w:tc>
          <w:tcPr>
            <w:tcW w:w="820" w:type="dxa"/>
            <w:tcBorders>
              <w:top w:val="single" w:sz="4" w:space="0" w:color="auto"/>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104,756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97,152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97,006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96,842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xml:space="preserve">LESS: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OWN-SOURCE INCOME</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Own-source revenue</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r>
      <w:tr w:rsidR="000966C1" w:rsidRPr="000966C1" w:rsidTr="000966C1">
        <w:trPr>
          <w:trHeight w:val="225"/>
        </w:trPr>
        <w:tc>
          <w:tcPr>
            <w:tcW w:w="30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Sale of goods and rendering of</w:t>
            </w: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200" w:firstLine="320"/>
              <w:jc w:val="left"/>
              <w:rPr>
                <w:rFonts w:ascii="Arial" w:hAnsi="Arial" w:cs="Arial"/>
              </w:rPr>
            </w:pPr>
            <w:r w:rsidRPr="000966C1">
              <w:rPr>
                <w:rFonts w:ascii="Arial" w:hAnsi="Arial" w:cs="Arial"/>
              </w:rPr>
              <w:t>services</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99,403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107,676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100,072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99,926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99,762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Interest</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67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80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80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80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80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99,470 </w:t>
            </w:r>
          </w:p>
        </w:tc>
        <w:tc>
          <w:tcPr>
            <w:tcW w:w="820" w:type="dxa"/>
            <w:tcBorders>
              <w:top w:val="single" w:sz="4" w:space="0" w:color="auto"/>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107,756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100,152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100,006 </w:t>
            </w:r>
          </w:p>
        </w:tc>
        <w:tc>
          <w:tcPr>
            <w:tcW w:w="82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99,842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Total own-source income</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99,470 </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107,756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100,152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100,006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99,842 </w:t>
            </w:r>
          </w:p>
        </w:tc>
      </w:tr>
      <w:tr w:rsidR="000966C1" w:rsidRPr="000966C1" w:rsidTr="000966C1">
        <w:trPr>
          <w:trHeight w:val="225"/>
        </w:trPr>
        <w:tc>
          <w:tcPr>
            <w:tcW w:w="308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Net (cost of)/contribution by </w:t>
            </w:r>
          </w:p>
        </w:tc>
        <w:tc>
          <w:tcPr>
            <w:tcW w:w="82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single" w:sz="4" w:space="0" w:color="auto"/>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r>
      <w:tr w:rsidR="000966C1" w:rsidRPr="000966C1" w:rsidTr="000966C1">
        <w:trPr>
          <w:trHeight w:val="225"/>
        </w:trPr>
        <w:tc>
          <w:tcPr>
            <w:tcW w:w="308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services</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r>
      <w:tr w:rsidR="000966C1" w:rsidRPr="000966C1" w:rsidTr="000966C1">
        <w:trPr>
          <w:trHeight w:val="225"/>
        </w:trPr>
        <w:tc>
          <w:tcPr>
            <w:tcW w:w="308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Surplus/(deficit) attributable to the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r>
      <w:tr w:rsidR="000966C1" w:rsidRPr="000966C1" w:rsidTr="000966C1">
        <w:trPr>
          <w:trHeight w:val="240"/>
        </w:trPr>
        <w:tc>
          <w:tcPr>
            <w:tcW w:w="30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 xml:space="preserve">Australian Government </w:t>
            </w:r>
            <w:r w:rsidRPr="000966C1">
              <w:rPr>
                <w:rFonts w:ascii="Arial" w:hAnsi="Arial" w:cs="Arial"/>
                <w:b/>
                <w:bCs/>
                <w:vertAlign w:val="superscript"/>
              </w:rPr>
              <w:t>(b)</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Total comprehensive income/(loss)</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r>
      <w:tr w:rsidR="000966C1" w:rsidRPr="000966C1" w:rsidTr="000966C1">
        <w:trPr>
          <w:trHeight w:val="225"/>
        </w:trPr>
        <w:tc>
          <w:tcPr>
            <w:tcW w:w="30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attributable to the Australian</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p>
        </w:tc>
      </w:tr>
      <w:tr w:rsidR="000966C1" w:rsidRPr="000966C1" w:rsidTr="000966C1">
        <w:trPr>
          <w:trHeight w:val="225"/>
        </w:trPr>
        <w:tc>
          <w:tcPr>
            <w:tcW w:w="3080" w:type="dxa"/>
            <w:tcBorders>
              <w:top w:val="nil"/>
              <w:left w:val="nil"/>
              <w:bottom w:val="single" w:sz="4" w:space="0" w:color="auto"/>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Government</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3,000 </w:t>
            </w:r>
          </w:p>
        </w:tc>
      </w:tr>
    </w:tbl>
    <w:p w:rsidR="005736DA" w:rsidRPr="005736DA" w:rsidRDefault="005736DA" w:rsidP="005736DA">
      <w:pPr>
        <w:tabs>
          <w:tab w:val="left" w:pos="284"/>
        </w:tabs>
        <w:spacing w:after="0" w:line="240" w:lineRule="auto"/>
        <w:jc w:val="both"/>
        <w:rPr>
          <w:rFonts w:ascii="Arial" w:hAnsi="Arial"/>
        </w:rPr>
      </w:pPr>
      <w:proofErr w:type="gramStart"/>
      <w:r w:rsidRPr="005736DA">
        <w:rPr>
          <w:rFonts w:ascii="Arial" w:hAnsi="Arial"/>
        </w:rPr>
        <w:t>Prepared on Australian Accounting Standards basis.</w:t>
      </w:r>
      <w:proofErr w:type="gramEnd"/>
      <w:r w:rsidRPr="005736DA">
        <w:rPr>
          <w:rFonts w:ascii="Arial" w:hAnsi="Arial"/>
        </w:rPr>
        <w:t xml:space="preserve"> </w:t>
      </w:r>
    </w:p>
    <w:p w:rsidR="005736DA" w:rsidRPr="005736DA" w:rsidRDefault="005736DA" w:rsidP="0051401E">
      <w:pPr>
        <w:keepNext/>
        <w:numPr>
          <w:ilvl w:val="0"/>
          <w:numId w:val="48"/>
        </w:numPr>
        <w:spacing w:after="0" w:line="240" w:lineRule="auto"/>
        <w:ind w:left="284" w:hanging="284"/>
        <w:jc w:val="left"/>
        <w:rPr>
          <w:rFonts w:ascii="Arial" w:hAnsi="Arial" w:cs="Arial"/>
          <w:color w:val="000000"/>
        </w:rPr>
      </w:pPr>
      <w:r w:rsidRPr="005736DA">
        <w:rPr>
          <w:rFonts w:ascii="Arial" w:hAnsi="Arial" w:cs="Arial"/>
          <w:color w:val="000000"/>
        </w:rPr>
        <w:t>Expenses reflect only the cost paid by CSC and do not reflect the total cost involved in the administration and management of the schemes.</w:t>
      </w:r>
    </w:p>
    <w:p w:rsidR="005736DA" w:rsidRPr="005736DA" w:rsidRDefault="005736DA" w:rsidP="0051401E">
      <w:pPr>
        <w:keepNext/>
        <w:numPr>
          <w:ilvl w:val="0"/>
          <w:numId w:val="48"/>
        </w:numPr>
        <w:spacing w:after="0" w:line="240" w:lineRule="auto"/>
        <w:ind w:left="284" w:hanging="284"/>
        <w:jc w:val="left"/>
        <w:rPr>
          <w:rFonts w:ascii="Arial" w:hAnsi="Arial"/>
          <w:color w:val="000000"/>
        </w:rPr>
      </w:pPr>
      <w:r w:rsidRPr="005736DA">
        <w:rPr>
          <w:rFonts w:ascii="Arial" w:hAnsi="Arial" w:cs="Arial"/>
          <w:color w:val="000000"/>
        </w:rPr>
        <w:t>The budgeted surplus is required to meet the agreed return of capital to Government.</w:t>
      </w:r>
    </w:p>
    <w:p w:rsidR="005736DA" w:rsidRPr="005736DA" w:rsidRDefault="005736DA" w:rsidP="00F26B48">
      <w:pPr>
        <w:keepNext/>
        <w:spacing w:after="0" w:line="240" w:lineRule="auto"/>
        <w:jc w:val="left"/>
        <w:rPr>
          <w:rFonts w:ascii="Arial" w:hAnsi="Arial"/>
          <w:b/>
          <w:color w:val="000000"/>
          <w:sz w:val="20"/>
          <w:szCs w:val="20"/>
        </w:rPr>
      </w:pPr>
      <w:r w:rsidRPr="005736DA">
        <w:rPr>
          <w:rFonts w:ascii="Arial" w:hAnsi="Arial"/>
          <w:color w:val="000000"/>
          <w:sz w:val="20"/>
          <w:szCs w:val="20"/>
        </w:rPr>
        <w:br w:type="page"/>
      </w:r>
      <w:r w:rsidRPr="005736DA">
        <w:rPr>
          <w:rFonts w:ascii="Arial" w:hAnsi="Arial"/>
          <w:b/>
          <w:color w:val="000000"/>
          <w:sz w:val="20"/>
          <w:szCs w:val="20"/>
        </w:rPr>
        <w:lastRenderedPageBreak/>
        <w:t>Table 3.2: Budgeted Departmental Balance Sheet (as at 30 June)</w:t>
      </w:r>
    </w:p>
    <w:tbl>
      <w:tblPr>
        <w:tblW w:w="7191" w:type="dxa"/>
        <w:tblInd w:w="96" w:type="dxa"/>
        <w:tblLook w:val="04A0"/>
      </w:tblPr>
      <w:tblGrid>
        <w:gridCol w:w="2800"/>
        <w:gridCol w:w="928"/>
        <w:gridCol w:w="962"/>
        <w:gridCol w:w="821"/>
        <w:gridCol w:w="840"/>
        <w:gridCol w:w="840"/>
      </w:tblGrid>
      <w:tr w:rsidR="000966C1" w:rsidRPr="000966C1" w:rsidTr="000966C1">
        <w:trPr>
          <w:trHeight w:val="225"/>
        </w:trPr>
        <w:tc>
          <w:tcPr>
            <w:tcW w:w="2800" w:type="dxa"/>
            <w:tcBorders>
              <w:top w:val="single" w:sz="4" w:space="0" w:color="auto"/>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928"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2015-16</w:t>
            </w:r>
          </w:p>
        </w:tc>
        <w:tc>
          <w:tcPr>
            <w:tcW w:w="962" w:type="dxa"/>
            <w:tcBorders>
              <w:top w:val="single" w:sz="4" w:space="0" w:color="auto"/>
              <w:left w:val="nil"/>
              <w:bottom w:val="nil"/>
              <w:right w:val="nil"/>
            </w:tcBorders>
            <w:shd w:val="clear" w:color="000000" w:fill="E6E6E6"/>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2016-17</w:t>
            </w:r>
          </w:p>
        </w:tc>
        <w:tc>
          <w:tcPr>
            <w:tcW w:w="821"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2017-18</w:t>
            </w:r>
          </w:p>
        </w:tc>
        <w:tc>
          <w:tcPr>
            <w:tcW w:w="84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2018-19</w:t>
            </w:r>
          </w:p>
        </w:tc>
        <w:tc>
          <w:tcPr>
            <w:tcW w:w="84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2019-20</w:t>
            </w:r>
          </w:p>
        </w:tc>
      </w:tr>
      <w:tr w:rsidR="000966C1" w:rsidRPr="000966C1" w:rsidTr="000966C1">
        <w:trPr>
          <w:trHeight w:val="225"/>
        </w:trPr>
        <w:tc>
          <w:tcPr>
            <w:tcW w:w="280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Estimated</w:t>
            </w: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Budget</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r>
      <w:tr w:rsidR="000966C1" w:rsidRPr="000966C1" w:rsidTr="000966C1">
        <w:trPr>
          <w:trHeight w:val="225"/>
        </w:trPr>
        <w:tc>
          <w:tcPr>
            <w:tcW w:w="280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actual</w:t>
            </w: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r>
      <w:tr w:rsidR="000966C1" w:rsidRPr="000966C1" w:rsidTr="000966C1">
        <w:trPr>
          <w:trHeight w:val="225"/>
        </w:trPr>
        <w:tc>
          <w:tcPr>
            <w:tcW w:w="280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928"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962"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1"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ASSETS</w:t>
            </w:r>
          </w:p>
        </w:tc>
        <w:tc>
          <w:tcPr>
            <w:tcW w:w="928"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962" w:type="dxa"/>
            <w:tcBorders>
              <w:top w:val="nil"/>
              <w:left w:val="nil"/>
              <w:bottom w:val="nil"/>
              <w:right w:val="nil"/>
            </w:tcBorders>
            <w:shd w:val="clear" w:color="000000" w:fill="E6E6E6"/>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Financial assets</w:t>
            </w:r>
          </w:p>
        </w:tc>
        <w:tc>
          <w:tcPr>
            <w:tcW w:w="928"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962" w:type="dxa"/>
            <w:tcBorders>
              <w:top w:val="nil"/>
              <w:left w:val="nil"/>
              <w:bottom w:val="nil"/>
              <w:right w:val="nil"/>
            </w:tcBorders>
            <w:shd w:val="clear" w:color="000000" w:fill="E6E6E6"/>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 xml:space="preserve">Cash </w:t>
            </w:r>
            <w:r w:rsidRPr="000966C1">
              <w:rPr>
                <w:rFonts w:ascii="Arial" w:hAnsi="Arial" w:cs="Arial"/>
              </w:rPr>
              <w:t>and cash equivalents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8,845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8,845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8,845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8,845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8,845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Trade and other receivables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30,299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24,732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24,474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24,150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24,150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39,144 </w:t>
            </w:r>
          </w:p>
        </w:tc>
        <w:tc>
          <w:tcPr>
            <w:tcW w:w="962"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33,577 </w:t>
            </w:r>
          </w:p>
        </w:tc>
        <w:tc>
          <w:tcPr>
            <w:tcW w:w="821"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33,319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32,995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32,995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Non-financial assets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Leasehold Improvements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5,678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5,678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5,678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5,678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5,678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Property, plant and equipment</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2,538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2,538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2,538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2,538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2,538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Intangibles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21,446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21,446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21,446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21,446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21,446 </w:t>
            </w:r>
          </w:p>
        </w:tc>
      </w:tr>
      <w:tr w:rsidR="000966C1" w:rsidRPr="000966C1" w:rsidTr="000966C1">
        <w:trPr>
          <w:trHeight w:val="170"/>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Other non-financial assets</w:t>
            </w:r>
          </w:p>
        </w:tc>
        <w:tc>
          <w:tcPr>
            <w:tcW w:w="928"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1,870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1,872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1,875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1,878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1,878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non-financial assets</w:t>
            </w:r>
          </w:p>
        </w:tc>
        <w:tc>
          <w:tcPr>
            <w:tcW w:w="928"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31,532 </w:t>
            </w:r>
          </w:p>
        </w:tc>
        <w:tc>
          <w:tcPr>
            <w:tcW w:w="962"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31,534 </w:t>
            </w:r>
          </w:p>
        </w:tc>
        <w:tc>
          <w:tcPr>
            <w:tcW w:w="821"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31,537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31,540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31,540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assets</w:t>
            </w:r>
          </w:p>
        </w:tc>
        <w:tc>
          <w:tcPr>
            <w:tcW w:w="928"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70,676 </w:t>
            </w:r>
          </w:p>
        </w:tc>
        <w:tc>
          <w:tcPr>
            <w:tcW w:w="962" w:type="dxa"/>
            <w:tcBorders>
              <w:top w:val="nil"/>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65,111 </w:t>
            </w:r>
          </w:p>
        </w:tc>
        <w:tc>
          <w:tcPr>
            <w:tcW w:w="821"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64,856 </w:t>
            </w:r>
          </w:p>
        </w:tc>
        <w:tc>
          <w:tcPr>
            <w:tcW w:w="84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64,535 </w:t>
            </w:r>
          </w:p>
        </w:tc>
        <w:tc>
          <w:tcPr>
            <w:tcW w:w="84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64,535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LIABILITIES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Payables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Suppliers</w:t>
            </w:r>
          </w:p>
        </w:tc>
        <w:tc>
          <w:tcPr>
            <w:tcW w:w="928"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17,672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12,107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11,852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11,531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11,531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payables</w:t>
            </w:r>
          </w:p>
        </w:tc>
        <w:tc>
          <w:tcPr>
            <w:tcW w:w="928"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17,672 </w:t>
            </w:r>
          </w:p>
        </w:tc>
        <w:tc>
          <w:tcPr>
            <w:tcW w:w="962"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12,107 </w:t>
            </w:r>
          </w:p>
        </w:tc>
        <w:tc>
          <w:tcPr>
            <w:tcW w:w="821"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11,852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11,531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11,531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Provisions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Employee provisions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13,552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13,552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13,552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13,552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13,552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Other provisions</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1,272 </w:t>
            </w:r>
          </w:p>
        </w:tc>
        <w:tc>
          <w:tcPr>
            <w:tcW w:w="962" w:type="dxa"/>
            <w:tcBorders>
              <w:top w:val="nil"/>
              <w:left w:val="nil"/>
              <w:bottom w:val="nil"/>
              <w:right w:val="nil"/>
            </w:tcBorders>
            <w:shd w:val="clear" w:color="000000" w:fill="E2E2E2"/>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       1,272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1,272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1,272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1,272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14,824 </w:t>
            </w:r>
          </w:p>
        </w:tc>
        <w:tc>
          <w:tcPr>
            <w:tcW w:w="962"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14,824 </w:t>
            </w:r>
          </w:p>
        </w:tc>
        <w:tc>
          <w:tcPr>
            <w:tcW w:w="821"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14,824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14,824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14,824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liabilities</w:t>
            </w:r>
          </w:p>
        </w:tc>
        <w:tc>
          <w:tcPr>
            <w:tcW w:w="928"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32,496 </w:t>
            </w:r>
          </w:p>
        </w:tc>
        <w:tc>
          <w:tcPr>
            <w:tcW w:w="962"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26,931 </w:t>
            </w:r>
          </w:p>
        </w:tc>
        <w:tc>
          <w:tcPr>
            <w:tcW w:w="821"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26,676 </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26,355 </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26,355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Net assets</w:t>
            </w:r>
          </w:p>
        </w:tc>
        <w:tc>
          <w:tcPr>
            <w:tcW w:w="928"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38,180 </w:t>
            </w:r>
          </w:p>
        </w:tc>
        <w:tc>
          <w:tcPr>
            <w:tcW w:w="962"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38,180 </w:t>
            </w:r>
          </w:p>
        </w:tc>
        <w:tc>
          <w:tcPr>
            <w:tcW w:w="821"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38,180 </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38,180 </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38,180 </w:t>
            </w: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EQUITY </w:t>
            </w:r>
            <w:r w:rsidRPr="000966C1">
              <w:rPr>
                <w:rFonts w:ascii="Arial" w:hAnsi="Arial" w:cs="Arial"/>
                <w:b/>
                <w:bCs/>
                <w:color w:val="000000"/>
                <w:vertAlign w:val="superscript"/>
              </w:rPr>
              <w:t>(a)</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lastRenderedPageBreak/>
              <w:t>Contributed equity</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34,074 </w:t>
            </w: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34,074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34,074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34,074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34,074 </w:t>
            </w:r>
          </w:p>
        </w:tc>
      </w:tr>
      <w:tr w:rsidR="000966C1" w:rsidRPr="000966C1" w:rsidTr="000966C1">
        <w:trPr>
          <w:trHeight w:val="225"/>
        </w:trPr>
        <w:tc>
          <w:tcPr>
            <w:tcW w:w="280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Retained surplus (accumulated</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p>
        </w:tc>
      </w:tr>
      <w:tr w:rsidR="000966C1" w:rsidRPr="000966C1" w:rsidTr="000966C1">
        <w:trPr>
          <w:trHeight w:val="225"/>
        </w:trPr>
        <w:tc>
          <w:tcPr>
            <w:tcW w:w="280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200" w:firstLine="320"/>
              <w:jc w:val="left"/>
              <w:rPr>
                <w:rFonts w:ascii="Arial" w:hAnsi="Arial" w:cs="Arial"/>
                <w:color w:val="000000"/>
              </w:rPr>
            </w:pPr>
            <w:r w:rsidRPr="000966C1">
              <w:rPr>
                <w:rFonts w:ascii="Arial" w:hAnsi="Arial" w:cs="Arial"/>
                <w:color w:val="000000"/>
              </w:rPr>
              <w:t>deficit)</w:t>
            </w:r>
          </w:p>
        </w:tc>
        <w:tc>
          <w:tcPr>
            <w:tcW w:w="928"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4,106 </w:t>
            </w:r>
          </w:p>
        </w:tc>
        <w:tc>
          <w:tcPr>
            <w:tcW w:w="962"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4,106 </w:t>
            </w:r>
          </w:p>
        </w:tc>
        <w:tc>
          <w:tcPr>
            <w:tcW w:w="821"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4,106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4,106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4,106 </w:t>
            </w:r>
          </w:p>
        </w:tc>
      </w:tr>
      <w:tr w:rsidR="000966C1" w:rsidRPr="000966C1" w:rsidTr="000966C1">
        <w:trPr>
          <w:trHeight w:val="225"/>
        </w:trPr>
        <w:tc>
          <w:tcPr>
            <w:tcW w:w="2800" w:type="dxa"/>
            <w:tcBorders>
              <w:top w:val="nil"/>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equity</w:t>
            </w:r>
          </w:p>
        </w:tc>
        <w:tc>
          <w:tcPr>
            <w:tcW w:w="928"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c>
          <w:tcPr>
            <w:tcW w:w="962"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c>
          <w:tcPr>
            <w:tcW w:w="821"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c>
          <w:tcPr>
            <w:tcW w:w="84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r>
    </w:tbl>
    <w:p w:rsidR="005736DA" w:rsidRPr="005736DA" w:rsidRDefault="005736DA" w:rsidP="005736DA">
      <w:pPr>
        <w:tabs>
          <w:tab w:val="left" w:pos="284"/>
        </w:tabs>
        <w:spacing w:after="0" w:line="240" w:lineRule="auto"/>
        <w:jc w:val="both"/>
        <w:rPr>
          <w:rFonts w:ascii="Arial" w:hAnsi="Arial"/>
          <w:szCs w:val="20"/>
        </w:rPr>
      </w:pPr>
      <w:proofErr w:type="gramStart"/>
      <w:r w:rsidRPr="005736DA">
        <w:rPr>
          <w:rFonts w:ascii="Arial" w:hAnsi="Arial"/>
          <w:szCs w:val="20"/>
        </w:rPr>
        <w:t>Prepared on Australian Accounting Standards basis.</w:t>
      </w:r>
      <w:proofErr w:type="gramEnd"/>
    </w:p>
    <w:p w:rsidR="005736DA" w:rsidRPr="0051401E" w:rsidRDefault="005736DA" w:rsidP="0051401E">
      <w:pPr>
        <w:pStyle w:val="ListParagraph"/>
        <w:numPr>
          <w:ilvl w:val="0"/>
          <w:numId w:val="53"/>
        </w:numPr>
        <w:tabs>
          <w:tab w:val="left" w:pos="284"/>
        </w:tabs>
        <w:spacing w:after="0" w:line="240" w:lineRule="auto"/>
        <w:ind w:left="426" w:hanging="426"/>
        <w:jc w:val="both"/>
        <w:rPr>
          <w:rFonts w:ascii="Arial" w:hAnsi="Arial"/>
          <w:color w:val="000000"/>
          <w:sz w:val="16"/>
          <w:szCs w:val="16"/>
        </w:rPr>
      </w:pPr>
      <w:r w:rsidRPr="0051401E">
        <w:rPr>
          <w:rFonts w:ascii="Arial" w:hAnsi="Arial"/>
          <w:color w:val="000000"/>
          <w:sz w:val="16"/>
          <w:szCs w:val="16"/>
        </w:rPr>
        <w:t>Equity is the residual interest in assets after deduction of liabilities.</w:t>
      </w:r>
    </w:p>
    <w:p w:rsidR="005736DA" w:rsidRPr="005736DA" w:rsidRDefault="005736DA" w:rsidP="005736DA">
      <w:pPr>
        <w:spacing w:after="0" w:line="240" w:lineRule="auto"/>
        <w:jc w:val="both"/>
        <w:rPr>
          <w:rFonts w:ascii="Book Antiqua" w:hAnsi="Book Antiqua"/>
          <w:sz w:val="20"/>
          <w:szCs w:val="20"/>
        </w:rPr>
      </w:pPr>
    </w:p>
    <w:p w:rsidR="005736DA" w:rsidRPr="005736DA" w:rsidRDefault="005736DA" w:rsidP="00F26B48">
      <w:pPr>
        <w:keepNext/>
        <w:spacing w:after="0" w:line="240" w:lineRule="auto"/>
        <w:jc w:val="left"/>
        <w:rPr>
          <w:rFonts w:ascii="Arial" w:hAnsi="Arial"/>
          <w:b/>
          <w:color w:val="000000"/>
          <w:sz w:val="20"/>
          <w:szCs w:val="20"/>
        </w:rPr>
      </w:pPr>
      <w:r w:rsidRPr="005736DA">
        <w:rPr>
          <w:rFonts w:ascii="Arial" w:hAnsi="Arial"/>
          <w:color w:val="000000"/>
          <w:sz w:val="20"/>
          <w:szCs w:val="20"/>
        </w:rPr>
        <w:br w:type="page"/>
      </w:r>
      <w:r w:rsidRPr="005736DA">
        <w:rPr>
          <w:rFonts w:ascii="Arial" w:hAnsi="Arial"/>
          <w:b/>
          <w:color w:val="000000"/>
          <w:sz w:val="20"/>
          <w:szCs w:val="20"/>
        </w:rPr>
        <w:lastRenderedPageBreak/>
        <w:t>Table 3.3: Departmental Statement of Changes in Equity — Summary of Movement (Budget Year 2016-17)</w:t>
      </w:r>
    </w:p>
    <w:tbl>
      <w:tblPr>
        <w:tblW w:w="6580" w:type="dxa"/>
        <w:tblInd w:w="96" w:type="dxa"/>
        <w:tblLook w:val="04A0"/>
      </w:tblPr>
      <w:tblGrid>
        <w:gridCol w:w="3160"/>
        <w:gridCol w:w="1120"/>
        <w:gridCol w:w="1260"/>
        <w:gridCol w:w="1040"/>
      </w:tblGrid>
      <w:tr w:rsidR="000966C1" w:rsidRPr="000966C1" w:rsidTr="000966C1">
        <w:trPr>
          <w:trHeight w:val="225"/>
        </w:trPr>
        <w:tc>
          <w:tcPr>
            <w:tcW w:w="3160" w:type="dxa"/>
            <w:tcBorders>
              <w:top w:val="single" w:sz="4" w:space="0" w:color="auto"/>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1120" w:type="dxa"/>
            <w:tcBorders>
              <w:top w:val="single" w:sz="4" w:space="0" w:color="auto"/>
              <w:left w:val="nil"/>
              <w:bottom w:val="nil"/>
              <w:right w:val="nil"/>
            </w:tcBorders>
            <w:shd w:val="clear" w:color="auto" w:fill="auto"/>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Retained</w:t>
            </w:r>
          </w:p>
        </w:tc>
        <w:tc>
          <w:tcPr>
            <w:tcW w:w="1260" w:type="dxa"/>
            <w:tcBorders>
              <w:top w:val="single" w:sz="4" w:space="0" w:color="auto"/>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Contributed</w:t>
            </w:r>
          </w:p>
        </w:tc>
        <w:tc>
          <w:tcPr>
            <w:tcW w:w="1040" w:type="dxa"/>
            <w:tcBorders>
              <w:top w:val="single" w:sz="4" w:space="0" w:color="auto"/>
              <w:left w:val="nil"/>
              <w:bottom w:val="nil"/>
              <w:right w:val="nil"/>
            </w:tcBorders>
            <w:shd w:val="clear" w:color="auto" w:fill="auto"/>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Total</w:t>
            </w: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earnings</w:t>
            </w: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equity/capital</w:t>
            </w: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equity</w:t>
            </w: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p>
        </w:tc>
        <w:tc>
          <w:tcPr>
            <w:tcW w:w="1120" w:type="dxa"/>
            <w:tcBorders>
              <w:top w:val="nil"/>
              <w:left w:val="nil"/>
              <w:bottom w:val="single" w:sz="4" w:space="0" w:color="000000"/>
              <w:right w:val="nil"/>
            </w:tcBorders>
            <w:shd w:val="clear" w:color="auto" w:fill="auto"/>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$'000</w:t>
            </w:r>
          </w:p>
        </w:tc>
        <w:tc>
          <w:tcPr>
            <w:tcW w:w="1260" w:type="dxa"/>
            <w:tcBorders>
              <w:top w:val="nil"/>
              <w:left w:val="nil"/>
              <w:bottom w:val="single" w:sz="4" w:space="0" w:color="000000"/>
              <w:right w:val="nil"/>
            </w:tcBorders>
            <w:shd w:val="clear" w:color="auto" w:fill="auto"/>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$'000</w:t>
            </w:r>
          </w:p>
        </w:tc>
        <w:tc>
          <w:tcPr>
            <w:tcW w:w="1040" w:type="dxa"/>
            <w:tcBorders>
              <w:top w:val="nil"/>
              <w:left w:val="nil"/>
              <w:bottom w:val="single" w:sz="4" w:space="0" w:color="000000"/>
              <w:right w:val="nil"/>
            </w:tcBorders>
            <w:shd w:val="clear" w:color="auto" w:fill="auto"/>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$'000</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Opening balance as at 1 July 2016</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Balance carried forward from previous</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200" w:firstLine="320"/>
              <w:jc w:val="left"/>
              <w:rPr>
                <w:rFonts w:ascii="Arial" w:hAnsi="Arial" w:cs="Arial"/>
                <w:color w:val="000000"/>
              </w:rPr>
            </w:pPr>
            <w:r w:rsidRPr="000966C1">
              <w:rPr>
                <w:rFonts w:ascii="Arial" w:hAnsi="Arial" w:cs="Arial"/>
                <w:color w:val="000000"/>
              </w:rPr>
              <w:t>period</w:t>
            </w:r>
          </w:p>
        </w:tc>
        <w:tc>
          <w:tcPr>
            <w:tcW w:w="11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4,106 </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34,074 </w:t>
            </w:r>
          </w:p>
        </w:tc>
        <w:tc>
          <w:tcPr>
            <w:tcW w:w="10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38,180 </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Adjusted opening balance</w:t>
            </w:r>
          </w:p>
        </w:tc>
        <w:tc>
          <w:tcPr>
            <w:tcW w:w="112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4,106 </w:t>
            </w:r>
          </w:p>
        </w:tc>
        <w:tc>
          <w:tcPr>
            <w:tcW w:w="126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34,074 </w:t>
            </w:r>
          </w:p>
        </w:tc>
        <w:tc>
          <w:tcPr>
            <w:tcW w:w="104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Comprehensive income</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Surplus/(deficit) for the period</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comprehensive income</w:t>
            </w:r>
          </w:p>
        </w:tc>
        <w:tc>
          <w:tcPr>
            <w:tcW w:w="112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c>
          <w:tcPr>
            <w:tcW w:w="126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104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Transactions with owners</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Dividends</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(3,000)</w:t>
            </w: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(3,000)</w:t>
            </w:r>
          </w:p>
        </w:tc>
      </w:tr>
      <w:tr w:rsidR="000966C1" w:rsidRPr="000966C1" w:rsidTr="000966C1">
        <w:trPr>
          <w:trHeight w:val="225"/>
        </w:trPr>
        <w:tc>
          <w:tcPr>
            <w:tcW w:w="31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Sub-total transactions with owners</w:t>
            </w:r>
          </w:p>
        </w:tc>
        <w:tc>
          <w:tcPr>
            <w:tcW w:w="112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c>
          <w:tcPr>
            <w:tcW w:w="126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1040" w:type="dxa"/>
            <w:tcBorders>
              <w:top w:val="single" w:sz="4" w:space="0" w:color="000000"/>
              <w:left w:val="nil"/>
              <w:bottom w:val="single" w:sz="4" w:space="0" w:color="000000"/>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Estimated closing balance as at </w:t>
            </w:r>
          </w:p>
        </w:tc>
        <w:tc>
          <w:tcPr>
            <w:tcW w:w="11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126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10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30 June 2017</w:t>
            </w:r>
          </w:p>
        </w:tc>
        <w:tc>
          <w:tcPr>
            <w:tcW w:w="11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4,106 </w:t>
            </w:r>
          </w:p>
        </w:tc>
        <w:tc>
          <w:tcPr>
            <w:tcW w:w="126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34,074 </w:t>
            </w:r>
          </w:p>
        </w:tc>
        <w:tc>
          <w:tcPr>
            <w:tcW w:w="10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r>
      <w:tr w:rsidR="000966C1" w:rsidRPr="000966C1" w:rsidTr="000966C1">
        <w:trPr>
          <w:trHeight w:val="225"/>
        </w:trPr>
        <w:tc>
          <w:tcPr>
            <w:tcW w:w="316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Closing balance attributable to the </w:t>
            </w:r>
          </w:p>
        </w:tc>
        <w:tc>
          <w:tcPr>
            <w:tcW w:w="1120" w:type="dxa"/>
            <w:tcBorders>
              <w:top w:val="single" w:sz="4" w:space="0" w:color="auto"/>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1260" w:type="dxa"/>
            <w:tcBorders>
              <w:top w:val="single" w:sz="4" w:space="0" w:color="auto"/>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1040" w:type="dxa"/>
            <w:tcBorders>
              <w:top w:val="single" w:sz="4" w:space="0" w:color="auto"/>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r>
      <w:tr w:rsidR="000966C1" w:rsidRPr="000966C1" w:rsidTr="000966C1">
        <w:trPr>
          <w:trHeight w:val="225"/>
        </w:trPr>
        <w:tc>
          <w:tcPr>
            <w:tcW w:w="3160" w:type="dxa"/>
            <w:tcBorders>
              <w:top w:val="nil"/>
              <w:left w:val="nil"/>
              <w:bottom w:val="single" w:sz="4" w:space="0" w:color="000000"/>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Australian Government</w:t>
            </w:r>
          </w:p>
        </w:tc>
        <w:tc>
          <w:tcPr>
            <w:tcW w:w="11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4,106 </w:t>
            </w:r>
          </w:p>
        </w:tc>
        <w:tc>
          <w:tcPr>
            <w:tcW w:w="126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34,074 </w:t>
            </w:r>
          </w:p>
        </w:tc>
        <w:tc>
          <w:tcPr>
            <w:tcW w:w="10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38,180 </w:t>
            </w:r>
          </w:p>
        </w:tc>
      </w:tr>
    </w:tbl>
    <w:p w:rsidR="005736DA" w:rsidRPr="005736DA" w:rsidRDefault="005736DA" w:rsidP="005736DA">
      <w:pPr>
        <w:tabs>
          <w:tab w:val="left" w:pos="284"/>
        </w:tabs>
        <w:spacing w:after="0" w:line="240" w:lineRule="auto"/>
        <w:jc w:val="both"/>
        <w:rPr>
          <w:rFonts w:ascii="Arial" w:hAnsi="Arial"/>
          <w:szCs w:val="20"/>
        </w:rPr>
      </w:pPr>
      <w:proofErr w:type="gramStart"/>
      <w:r w:rsidRPr="005736DA">
        <w:rPr>
          <w:rFonts w:ascii="Arial" w:hAnsi="Arial"/>
          <w:szCs w:val="20"/>
        </w:rPr>
        <w:t>Prepared on Australian Accounting Standards basis.</w:t>
      </w:r>
      <w:proofErr w:type="gramEnd"/>
    </w:p>
    <w:p w:rsidR="005736DA" w:rsidRPr="005736DA" w:rsidRDefault="005736DA" w:rsidP="005736DA">
      <w:pPr>
        <w:spacing w:after="0" w:line="240" w:lineRule="auto"/>
        <w:jc w:val="both"/>
        <w:rPr>
          <w:rFonts w:ascii="Book Antiqua" w:hAnsi="Book Antiqua"/>
          <w:sz w:val="20"/>
          <w:szCs w:val="20"/>
        </w:rPr>
      </w:pPr>
    </w:p>
    <w:p w:rsidR="005736DA" w:rsidRPr="005736DA" w:rsidRDefault="005736DA" w:rsidP="00F26B48">
      <w:pPr>
        <w:keepNext/>
        <w:spacing w:after="0" w:line="240" w:lineRule="auto"/>
        <w:jc w:val="left"/>
        <w:rPr>
          <w:rFonts w:ascii="Arial" w:hAnsi="Arial"/>
          <w:b/>
          <w:color w:val="000000"/>
          <w:sz w:val="20"/>
          <w:szCs w:val="20"/>
        </w:rPr>
      </w:pPr>
      <w:r w:rsidRPr="005736DA">
        <w:rPr>
          <w:rFonts w:ascii="Arial" w:hAnsi="Arial"/>
          <w:color w:val="000000"/>
          <w:sz w:val="20"/>
          <w:szCs w:val="20"/>
        </w:rPr>
        <w:br w:type="page"/>
      </w:r>
      <w:r w:rsidRPr="005736DA">
        <w:rPr>
          <w:rFonts w:ascii="Arial" w:hAnsi="Arial"/>
          <w:b/>
          <w:color w:val="000000"/>
          <w:sz w:val="20"/>
          <w:szCs w:val="20"/>
        </w:rPr>
        <w:lastRenderedPageBreak/>
        <w:t>Table 3.4: Budgeted Departmental Statement of Cash Flows (for the Period Ended 30 June)</w:t>
      </w:r>
    </w:p>
    <w:tbl>
      <w:tblPr>
        <w:tblW w:w="7240" w:type="dxa"/>
        <w:tblInd w:w="96" w:type="dxa"/>
        <w:tblLook w:val="04A0"/>
      </w:tblPr>
      <w:tblGrid>
        <w:gridCol w:w="2840"/>
        <w:gridCol w:w="928"/>
        <w:gridCol w:w="880"/>
        <w:gridCol w:w="880"/>
        <w:gridCol w:w="880"/>
        <w:gridCol w:w="880"/>
      </w:tblGrid>
      <w:tr w:rsidR="000966C1" w:rsidRPr="000966C1" w:rsidTr="000966C1">
        <w:trPr>
          <w:trHeight w:val="225"/>
        </w:trPr>
        <w:tc>
          <w:tcPr>
            <w:tcW w:w="2840" w:type="dxa"/>
            <w:tcBorders>
              <w:top w:val="single" w:sz="4" w:space="0" w:color="auto"/>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88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2015-16</w:t>
            </w:r>
          </w:p>
        </w:tc>
        <w:tc>
          <w:tcPr>
            <w:tcW w:w="880" w:type="dxa"/>
            <w:tcBorders>
              <w:top w:val="single" w:sz="4" w:space="0" w:color="auto"/>
              <w:left w:val="nil"/>
              <w:bottom w:val="nil"/>
              <w:right w:val="nil"/>
            </w:tcBorders>
            <w:shd w:val="clear" w:color="000000" w:fill="E6E6E6"/>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2016-17</w:t>
            </w:r>
          </w:p>
        </w:tc>
        <w:tc>
          <w:tcPr>
            <w:tcW w:w="88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2017-18</w:t>
            </w:r>
          </w:p>
        </w:tc>
        <w:tc>
          <w:tcPr>
            <w:tcW w:w="88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2018-19</w:t>
            </w:r>
          </w:p>
        </w:tc>
        <w:tc>
          <w:tcPr>
            <w:tcW w:w="88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2019-20</w:t>
            </w:r>
          </w:p>
        </w:tc>
      </w:tr>
      <w:tr w:rsidR="000966C1" w:rsidRPr="000966C1" w:rsidTr="000966C1">
        <w:trPr>
          <w:trHeight w:val="225"/>
        </w:trPr>
        <w:tc>
          <w:tcPr>
            <w:tcW w:w="284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Estimated</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Budget</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r>
      <w:tr w:rsidR="000966C1" w:rsidRPr="000966C1" w:rsidTr="000966C1">
        <w:trPr>
          <w:trHeight w:val="225"/>
        </w:trPr>
        <w:tc>
          <w:tcPr>
            <w:tcW w:w="284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actual</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r>
      <w:tr w:rsidR="000966C1" w:rsidRPr="000966C1" w:rsidTr="000966C1">
        <w:trPr>
          <w:trHeight w:val="225"/>
        </w:trPr>
        <w:tc>
          <w:tcPr>
            <w:tcW w:w="2840" w:type="dxa"/>
            <w:tcBorders>
              <w:top w:val="nil"/>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8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OPERATING ACTIVITIES</w:t>
            </w: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Cash received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Transfers from OPA</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72,523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76,437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70,818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71,090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73,864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Sale of goods and rendering</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200" w:firstLine="320"/>
              <w:jc w:val="left"/>
              <w:rPr>
                <w:rFonts w:ascii="Arial" w:hAnsi="Arial" w:cs="Arial"/>
                <w:color w:val="000000"/>
              </w:rPr>
            </w:pPr>
            <w:r w:rsidRPr="000966C1">
              <w:rPr>
                <w:rFonts w:ascii="Arial" w:hAnsi="Arial" w:cs="Arial"/>
                <w:color w:val="000000"/>
              </w:rPr>
              <w:t>of services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104,534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101,366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100,072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99,926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99,762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Interest</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67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80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 xml:space="preserve">Other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23,075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200,199 </w:t>
            </w:r>
          </w:p>
        </w:tc>
        <w:tc>
          <w:tcPr>
            <w:tcW w:w="880"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177,883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170,970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171,096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173,706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Employees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55,821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58,118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58,591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59,270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60,160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Suppliers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33,119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40,121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33,385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32,626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31,248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Transferred to OPA</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99,224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70,870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70,560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70,766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73,864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188,164 </w:t>
            </w:r>
          </w:p>
        </w:tc>
        <w:tc>
          <w:tcPr>
            <w:tcW w:w="880"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169,109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162,536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162,662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165,272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Net cash from/(used by)</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operating activities</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12,035 </w:t>
            </w:r>
          </w:p>
        </w:tc>
        <w:tc>
          <w:tcPr>
            <w:tcW w:w="88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8,774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8,434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8,434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8,434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INVESTING ACTIVITIES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Purchase of property, plant and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200" w:firstLine="320"/>
              <w:jc w:val="left"/>
              <w:rPr>
                <w:rFonts w:ascii="Arial" w:hAnsi="Arial" w:cs="Arial"/>
                <w:color w:val="000000"/>
              </w:rPr>
            </w:pPr>
            <w:r w:rsidRPr="000966C1">
              <w:rPr>
                <w:rFonts w:ascii="Arial" w:hAnsi="Arial" w:cs="Arial"/>
                <w:color w:val="000000"/>
              </w:rPr>
              <w:t>equipment and intangibles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9,035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5,774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5,434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5,434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5,434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9,035 </w:t>
            </w:r>
          </w:p>
        </w:tc>
        <w:tc>
          <w:tcPr>
            <w:tcW w:w="880"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5,774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5,434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5,434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5,434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Net cash from/(used by)</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investing activities</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(9,035)</w:t>
            </w:r>
          </w:p>
        </w:tc>
        <w:tc>
          <w:tcPr>
            <w:tcW w:w="880" w:type="dxa"/>
            <w:tcBorders>
              <w:top w:val="nil"/>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(5,774)</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(5,434)</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(5,434)</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(5,434)</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FINANCING ACTIVITIES</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Other</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3,000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c>
          <w:tcPr>
            <w:tcW w:w="880" w:type="dxa"/>
            <w:tcBorders>
              <w:top w:val="single" w:sz="4" w:space="0" w:color="000000"/>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c>
          <w:tcPr>
            <w:tcW w:w="880" w:type="dxa"/>
            <w:tcBorders>
              <w:top w:val="single" w:sz="4" w:space="0" w:color="000000"/>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3,000 </w:t>
            </w:r>
          </w:p>
        </w:tc>
      </w:tr>
      <w:tr w:rsidR="000966C1" w:rsidRPr="000966C1" w:rsidTr="000966C1">
        <w:trPr>
          <w:trHeight w:val="225"/>
        </w:trPr>
        <w:tc>
          <w:tcPr>
            <w:tcW w:w="2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Net cash from/(used by)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financing activities</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c>
          <w:tcPr>
            <w:tcW w:w="880" w:type="dxa"/>
            <w:tcBorders>
              <w:top w:val="nil"/>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(3,000)</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xml:space="preserve">Net increase/(decrease) in cash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held</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880" w:type="dxa"/>
            <w:tcBorders>
              <w:top w:val="nil"/>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Cash and cash equivalents at the</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ind w:firstLineChars="100" w:firstLine="160"/>
              <w:jc w:val="left"/>
              <w:rPr>
                <w:rFonts w:ascii="Arial" w:hAnsi="Arial" w:cs="Arial"/>
                <w:color w:val="000000"/>
              </w:rPr>
            </w:pPr>
            <w:r w:rsidRPr="000966C1">
              <w:rPr>
                <w:rFonts w:ascii="Arial" w:hAnsi="Arial" w:cs="Arial"/>
                <w:color w:val="000000"/>
              </w:rPr>
              <w:t xml:space="preserve"> beginning of the reporting period</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8,845 </w:t>
            </w:r>
          </w:p>
        </w:tc>
        <w:tc>
          <w:tcPr>
            <w:tcW w:w="880" w:type="dxa"/>
            <w:tcBorders>
              <w:top w:val="nil"/>
              <w:left w:val="nil"/>
              <w:bottom w:val="single" w:sz="4" w:space="0" w:color="000000"/>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8,845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8,845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8,845 </w:t>
            </w:r>
          </w:p>
        </w:tc>
        <w:tc>
          <w:tcPr>
            <w:tcW w:w="880" w:type="dxa"/>
            <w:tcBorders>
              <w:top w:val="nil"/>
              <w:left w:val="nil"/>
              <w:bottom w:val="single" w:sz="4" w:space="0" w:color="000000"/>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color w:val="000000"/>
              </w:rPr>
            </w:pPr>
            <w:r w:rsidRPr="000966C1">
              <w:rPr>
                <w:rFonts w:ascii="Arial" w:hAnsi="Arial" w:cs="Arial"/>
                <w:color w:val="000000"/>
              </w:rPr>
              <w:t xml:space="preserve">8,845 </w:t>
            </w:r>
          </w:p>
        </w:tc>
      </w:tr>
      <w:tr w:rsidR="000966C1" w:rsidRPr="000966C1" w:rsidTr="000966C1">
        <w:trPr>
          <w:trHeight w:val="225"/>
        </w:trPr>
        <w:tc>
          <w:tcPr>
            <w:tcW w:w="2840" w:type="dxa"/>
            <w:tcBorders>
              <w:top w:val="nil"/>
              <w:left w:val="nil"/>
              <w:bottom w:val="nil"/>
              <w:right w:val="nil"/>
            </w:tcBorders>
            <w:shd w:val="clear" w:color="auto" w:fill="auto"/>
            <w:vAlign w:val="center"/>
            <w:hideMark/>
          </w:tcPr>
          <w:p w:rsidR="000966C1" w:rsidRPr="000966C1" w:rsidRDefault="000966C1" w:rsidP="000966C1">
            <w:pPr>
              <w:spacing w:after="0" w:line="240" w:lineRule="auto"/>
              <w:jc w:val="left"/>
              <w:rPr>
                <w:rFonts w:ascii="Arial" w:hAnsi="Arial" w:cs="Arial"/>
                <w:b/>
                <w:bCs/>
                <w:color w:val="000000"/>
              </w:rPr>
            </w:pPr>
            <w:r w:rsidRPr="000966C1">
              <w:rPr>
                <w:rFonts w:ascii="Arial" w:hAnsi="Arial" w:cs="Arial"/>
                <w:b/>
                <w:bCs/>
                <w:color w:val="000000"/>
              </w:rPr>
              <w:lastRenderedPageBreak/>
              <w:t>Cash and cash equivalents at</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color w:val="000000"/>
              </w:rPr>
            </w:pPr>
            <w:r w:rsidRPr="000966C1">
              <w:rPr>
                <w:rFonts w:ascii="Arial" w:hAnsi="Arial" w:cs="Arial"/>
                <w:color w:val="000000"/>
              </w:rPr>
              <w:t> </w:t>
            </w:r>
          </w:p>
        </w:tc>
      </w:tr>
      <w:tr w:rsidR="000966C1" w:rsidRPr="000966C1" w:rsidTr="000966C1">
        <w:trPr>
          <w:trHeight w:val="225"/>
        </w:trPr>
        <w:tc>
          <w:tcPr>
            <w:tcW w:w="2840" w:type="dxa"/>
            <w:tcBorders>
              <w:top w:val="nil"/>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ind w:firstLineChars="100" w:firstLine="161"/>
              <w:jc w:val="left"/>
              <w:rPr>
                <w:rFonts w:ascii="Arial" w:hAnsi="Arial" w:cs="Arial"/>
                <w:b/>
                <w:bCs/>
                <w:color w:val="000000"/>
              </w:rPr>
            </w:pPr>
            <w:r w:rsidRPr="000966C1">
              <w:rPr>
                <w:rFonts w:ascii="Arial" w:hAnsi="Arial" w:cs="Arial"/>
                <w:b/>
                <w:bCs/>
                <w:color w:val="000000"/>
              </w:rPr>
              <w:t>the end of the reporting period</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8,845 </w:t>
            </w:r>
          </w:p>
        </w:tc>
        <w:tc>
          <w:tcPr>
            <w:tcW w:w="88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8,845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8,845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8,845 </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color w:val="000000"/>
              </w:rPr>
            </w:pPr>
            <w:r w:rsidRPr="000966C1">
              <w:rPr>
                <w:rFonts w:ascii="Arial" w:hAnsi="Arial" w:cs="Arial"/>
                <w:b/>
                <w:bCs/>
                <w:color w:val="000000"/>
              </w:rPr>
              <w:t xml:space="preserve">8,845 </w:t>
            </w:r>
          </w:p>
        </w:tc>
      </w:tr>
    </w:tbl>
    <w:p w:rsidR="005736DA" w:rsidRPr="005736DA" w:rsidRDefault="005736DA" w:rsidP="005736DA">
      <w:pPr>
        <w:tabs>
          <w:tab w:val="left" w:pos="284"/>
        </w:tabs>
        <w:spacing w:after="0" w:line="240" w:lineRule="auto"/>
        <w:jc w:val="left"/>
        <w:rPr>
          <w:rFonts w:ascii="Arial" w:hAnsi="Arial"/>
          <w:szCs w:val="20"/>
        </w:rPr>
      </w:pPr>
      <w:proofErr w:type="gramStart"/>
      <w:r w:rsidRPr="005736DA">
        <w:rPr>
          <w:rFonts w:ascii="Arial" w:hAnsi="Arial"/>
          <w:szCs w:val="20"/>
        </w:rPr>
        <w:t>Prepared on Australian Accounting Standards basis.</w:t>
      </w:r>
      <w:proofErr w:type="gramEnd"/>
    </w:p>
    <w:p w:rsidR="005736DA" w:rsidRPr="005736DA" w:rsidRDefault="005736DA" w:rsidP="005736DA">
      <w:pPr>
        <w:spacing w:after="0" w:line="240" w:lineRule="auto"/>
        <w:jc w:val="both"/>
        <w:rPr>
          <w:rFonts w:ascii="Book Antiqua" w:hAnsi="Book Antiqua"/>
          <w:sz w:val="20"/>
          <w:szCs w:val="20"/>
        </w:rPr>
      </w:pPr>
    </w:p>
    <w:p w:rsidR="000966C1" w:rsidRPr="005736DA" w:rsidRDefault="005736DA" w:rsidP="00F26B48">
      <w:pPr>
        <w:keepNext/>
        <w:spacing w:after="0" w:line="240" w:lineRule="auto"/>
        <w:jc w:val="left"/>
        <w:rPr>
          <w:rFonts w:ascii="Arial" w:hAnsi="Arial"/>
          <w:b/>
          <w:noProof/>
          <w:color w:val="000000"/>
          <w:sz w:val="20"/>
          <w:szCs w:val="20"/>
        </w:rPr>
      </w:pPr>
      <w:r w:rsidRPr="005736DA">
        <w:rPr>
          <w:rFonts w:ascii="Arial" w:hAnsi="Arial"/>
          <w:color w:val="000000"/>
          <w:sz w:val="20"/>
          <w:szCs w:val="20"/>
        </w:rPr>
        <w:br w:type="page"/>
      </w:r>
      <w:r w:rsidRPr="005736DA">
        <w:rPr>
          <w:rFonts w:ascii="Arial" w:hAnsi="Arial"/>
          <w:b/>
          <w:color w:val="000000"/>
          <w:sz w:val="20"/>
          <w:szCs w:val="20"/>
        </w:rPr>
        <w:lastRenderedPageBreak/>
        <w:t>Table 3.5: Departmental Capital Budget Statement (for the Period Ended 30 June)</w:t>
      </w:r>
    </w:p>
    <w:tbl>
      <w:tblPr>
        <w:tblW w:w="7180" w:type="dxa"/>
        <w:tblInd w:w="96" w:type="dxa"/>
        <w:tblLook w:val="04A0"/>
      </w:tblPr>
      <w:tblGrid>
        <w:gridCol w:w="2980"/>
        <w:gridCol w:w="928"/>
        <w:gridCol w:w="820"/>
        <w:gridCol w:w="821"/>
        <w:gridCol w:w="840"/>
        <w:gridCol w:w="880"/>
      </w:tblGrid>
      <w:tr w:rsidR="000966C1" w:rsidRPr="000966C1" w:rsidTr="000966C1">
        <w:trPr>
          <w:trHeight w:val="225"/>
        </w:trPr>
        <w:tc>
          <w:tcPr>
            <w:tcW w:w="2980" w:type="dxa"/>
            <w:tcBorders>
              <w:top w:val="single" w:sz="4" w:space="0" w:color="auto"/>
              <w:left w:val="nil"/>
              <w:bottom w:val="nil"/>
              <w:right w:val="nil"/>
            </w:tcBorders>
            <w:shd w:val="clear" w:color="auto" w:fill="auto"/>
            <w:noWrap/>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84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2015-16</w:t>
            </w:r>
          </w:p>
        </w:tc>
        <w:tc>
          <w:tcPr>
            <w:tcW w:w="820" w:type="dxa"/>
            <w:tcBorders>
              <w:top w:val="single" w:sz="4" w:space="0" w:color="auto"/>
              <w:left w:val="nil"/>
              <w:bottom w:val="nil"/>
              <w:right w:val="nil"/>
            </w:tcBorders>
            <w:shd w:val="clear" w:color="000000" w:fill="E6E6E6"/>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2016-17</w:t>
            </w:r>
          </w:p>
        </w:tc>
        <w:tc>
          <w:tcPr>
            <w:tcW w:w="82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2017-18</w:t>
            </w:r>
          </w:p>
        </w:tc>
        <w:tc>
          <w:tcPr>
            <w:tcW w:w="84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2018-19</w:t>
            </w:r>
          </w:p>
        </w:tc>
        <w:tc>
          <w:tcPr>
            <w:tcW w:w="880" w:type="dxa"/>
            <w:tcBorders>
              <w:top w:val="single" w:sz="4" w:space="0" w:color="auto"/>
              <w:left w:val="nil"/>
              <w:bottom w:val="nil"/>
              <w:right w:val="nil"/>
            </w:tcBorders>
            <w:shd w:val="clear" w:color="auto" w:fill="auto"/>
            <w:hideMark/>
          </w:tcPr>
          <w:p w:rsidR="000966C1" w:rsidRPr="000966C1" w:rsidRDefault="000966C1" w:rsidP="000966C1">
            <w:pPr>
              <w:spacing w:after="0" w:line="240" w:lineRule="auto"/>
              <w:jc w:val="right"/>
              <w:rPr>
                <w:rFonts w:ascii="Arial" w:hAnsi="Arial" w:cs="Arial"/>
              </w:rPr>
            </w:pPr>
            <w:r w:rsidRPr="000966C1">
              <w:rPr>
                <w:rFonts w:ascii="Arial" w:hAnsi="Arial" w:cs="Arial"/>
              </w:rPr>
              <w:t>2019-20</w:t>
            </w: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Estimated</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Budget</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Forward</w:t>
            </w: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actual</w:t>
            </w: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estimate</w:t>
            </w: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000000" w:fill="E6E6E6"/>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2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4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8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PURCHASE OF NON-FINANCIAL</w:t>
            </w:r>
          </w:p>
        </w:tc>
        <w:tc>
          <w:tcPr>
            <w:tcW w:w="84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rPr>
            </w:pPr>
          </w:p>
        </w:tc>
        <w:tc>
          <w:tcPr>
            <w:tcW w:w="820" w:type="dxa"/>
            <w:tcBorders>
              <w:top w:val="nil"/>
              <w:left w:val="nil"/>
              <w:bottom w:val="nil"/>
              <w:right w:val="nil"/>
            </w:tcBorders>
            <w:shd w:val="clear" w:color="000000" w:fill="E6E6E6"/>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rPr>
            </w:pPr>
          </w:p>
        </w:tc>
        <w:tc>
          <w:tcPr>
            <w:tcW w:w="84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rPr>
            </w:pPr>
          </w:p>
        </w:tc>
        <w:tc>
          <w:tcPr>
            <w:tcW w:w="8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ASSETS</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Funded internally from departmental</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Calibri" w:hAnsi="Calibri"/>
                <w:sz w:val="22"/>
                <w:szCs w:val="22"/>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Calibri" w:hAnsi="Calibri"/>
                <w:sz w:val="22"/>
                <w:szCs w:val="22"/>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Calibri" w:hAnsi="Calibri"/>
                <w:sz w:val="22"/>
                <w:szCs w:val="22"/>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Calibri" w:hAnsi="Calibri"/>
                <w:sz w:val="22"/>
                <w:szCs w:val="22"/>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200" w:firstLine="320"/>
              <w:jc w:val="left"/>
              <w:rPr>
                <w:rFonts w:ascii="Arial" w:hAnsi="Arial" w:cs="Arial"/>
              </w:rPr>
            </w:pPr>
            <w:r w:rsidRPr="000966C1">
              <w:rPr>
                <w:rFonts w:ascii="Arial" w:hAnsi="Arial" w:cs="Arial"/>
              </w:rPr>
              <w:t>resources</w:t>
            </w: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9,035 </w:t>
            </w:r>
          </w:p>
        </w:tc>
        <w:tc>
          <w:tcPr>
            <w:tcW w:w="820" w:type="dxa"/>
            <w:tcBorders>
              <w:top w:val="nil"/>
              <w:left w:val="nil"/>
              <w:bottom w:val="nil"/>
              <w:right w:val="nil"/>
            </w:tcBorders>
            <w:shd w:val="clear" w:color="000000" w:fill="E6E6E6"/>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5,774 </w:t>
            </w: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9,035 </w:t>
            </w:r>
          </w:p>
        </w:tc>
        <w:tc>
          <w:tcPr>
            <w:tcW w:w="820" w:type="dxa"/>
            <w:tcBorders>
              <w:top w:val="single" w:sz="4" w:space="0" w:color="auto"/>
              <w:left w:val="nil"/>
              <w:bottom w:val="single" w:sz="4" w:space="0" w:color="auto"/>
              <w:right w:val="nil"/>
            </w:tcBorders>
            <w:shd w:val="clear" w:color="000000" w:fill="E6E6E6"/>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5,774 </w:t>
            </w:r>
          </w:p>
        </w:tc>
        <w:tc>
          <w:tcPr>
            <w:tcW w:w="82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c>
          <w:tcPr>
            <w:tcW w:w="84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c>
          <w:tcPr>
            <w:tcW w:w="88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r>
      <w:tr w:rsidR="000966C1" w:rsidRPr="000966C1" w:rsidTr="000966C1">
        <w:trPr>
          <w:trHeight w:val="225"/>
        </w:trPr>
        <w:tc>
          <w:tcPr>
            <w:tcW w:w="29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xml:space="preserve">RECONCILIATION OF CASH USED </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xml:space="preserve">  TO ACQUIRE ASSETS TO ASSET</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xml:space="preserve">   MOVEMENT TABLE</w:t>
            </w: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20" w:type="dxa"/>
            <w:tcBorders>
              <w:top w:val="nil"/>
              <w:left w:val="nil"/>
              <w:bottom w:val="nil"/>
              <w:right w:val="nil"/>
            </w:tcBorders>
            <w:shd w:val="clear" w:color="000000" w:fill="E6E6E6"/>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82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Total purchases</w:t>
            </w: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9,035 </w:t>
            </w:r>
          </w:p>
        </w:tc>
        <w:tc>
          <w:tcPr>
            <w:tcW w:w="820" w:type="dxa"/>
            <w:tcBorders>
              <w:top w:val="nil"/>
              <w:left w:val="nil"/>
              <w:bottom w:val="nil"/>
              <w:right w:val="nil"/>
            </w:tcBorders>
            <w:shd w:val="clear" w:color="000000" w:fill="E6E6E6"/>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5,774 </w:t>
            </w:r>
          </w:p>
        </w:tc>
        <w:tc>
          <w:tcPr>
            <w:tcW w:w="82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4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c>
          <w:tcPr>
            <w:tcW w:w="880" w:type="dxa"/>
            <w:tcBorders>
              <w:top w:val="nil"/>
              <w:left w:val="nil"/>
              <w:bottom w:val="nil"/>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5,434 </w:t>
            </w:r>
          </w:p>
        </w:tc>
      </w:tr>
      <w:tr w:rsidR="000966C1" w:rsidRPr="000966C1" w:rsidTr="000966C1">
        <w:trPr>
          <w:trHeight w:val="225"/>
        </w:trPr>
        <w:tc>
          <w:tcPr>
            <w:tcW w:w="298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9,035 </w:t>
            </w:r>
          </w:p>
        </w:tc>
        <w:tc>
          <w:tcPr>
            <w:tcW w:w="820" w:type="dxa"/>
            <w:tcBorders>
              <w:top w:val="single" w:sz="4" w:space="0" w:color="auto"/>
              <w:left w:val="nil"/>
              <w:bottom w:val="single" w:sz="4" w:space="0" w:color="auto"/>
              <w:right w:val="nil"/>
            </w:tcBorders>
            <w:shd w:val="clear" w:color="000000" w:fill="E6E6E6"/>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5,774 </w:t>
            </w:r>
          </w:p>
        </w:tc>
        <w:tc>
          <w:tcPr>
            <w:tcW w:w="82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c>
          <w:tcPr>
            <w:tcW w:w="84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c>
          <w:tcPr>
            <w:tcW w:w="880" w:type="dxa"/>
            <w:tcBorders>
              <w:top w:val="single" w:sz="4" w:space="0" w:color="auto"/>
              <w:left w:val="nil"/>
              <w:bottom w:val="single" w:sz="4" w:space="0" w:color="auto"/>
              <w:right w:val="nil"/>
            </w:tcBorders>
            <w:shd w:val="clear" w:color="auto" w:fill="auto"/>
            <w:noWrap/>
            <w:vAlign w:val="center"/>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5,434 </w:t>
            </w:r>
          </w:p>
        </w:tc>
      </w:tr>
    </w:tbl>
    <w:p w:rsidR="005736DA" w:rsidRPr="005736DA" w:rsidRDefault="005736DA" w:rsidP="00F26B48">
      <w:pPr>
        <w:keepNext/>
        <w:spacing w:after="0" w:line="240" w:lineRule="auto"/>
        <w:jc w:val="left"/>
        <w:rPr>
          <w:rFonts w:ascii="Arial" w:hAnsi="Arial"/>
          <w:b/>
          <w:noProof/>
          <w:color w:val="000000"/>
          <w:sz w:val="20"/>
          <w:szCs w:val="20"/>
        </w:rPr>
      </w:pPr>
    </w:p>
    <w:p w:rsidR="005736DA" w:rsidRPr="005736DA" w:rsidRDefault="005736DA" w:rsidP="005736DA">
      <w:pPr>
        <w:spacing w:after="0" w:line="240" w:lineRule="auto"/>
        <w:ind w:right="-113"/>
        <w:jc w:val="both"/>
        <w:rPr>
          <w:rFonts w:ascii="Book Antiqua" w:hAnsi="Book Antiqua"/>
          <w:sz w:val="20"/>
          <w:szCs w:val="20"/>
        </w:rPr>
      </w:pPr>
    </w:p>
    <w:p w:rsidR="005736DA" w:rsidRPr="005736DA" w:rsidRDefault="005736DA" w:rsidP="00F26B48">
      <w:pPr>
        <w:keepNext/>
        <w:spacing w:after="0" w:line="240" w:lineRule="auto"/>
        <w:jc w:val="left"/>
        <w:rPr>
          <w:rFonts w:ascii="Arial" w:hAnsi="Arial"/>
          <w:b/>
          <w:color w:val="000000"/>
          <w:sz w:val="20"/>
          <w:szCs w:val="20"/>
        </w:rPr>
      </w:pPr>
      <w:r w:rsidRPr="005736DA">
        <w:rPr>
          <w:rFonts w:ascii="Arial" w:hAnsi="Arial"/>
          <w:b/>
          <w:color w:val="000000"/>
          <w:sz w:val="20"/>
          <w:szCs w:val="20"/>
        </w:rPr>
        <w:t>Table 3.6: Statement of Asset Movements (Budget Year 2016</w:t>
      </w:r>
      <w:r w:rsidRPr="005736DA">
        <w:rPr>
          <w:rFonts w:ascii="Arial" w:hAnsi="Arial"/>
          <w:b/>
          <w:color w:val="000000"/>
          <w:sz w:val="20"/>
          <w:szCs w:val="20"/>
        </w:rPr>
        <w:noBreakHyphen/>
        <w:t>17)</w:t>
      </w:r>
    </w:p>
    <w:tbl>
      <w:tblPr>
        <w:tblW w:w="7420" w:type="dxa"/>
        <w:tblInd w:w="96" w:type="dxa"/>
        <w:tblLook w:val="04A0"/>
      </w:tblPr>
      <w:tblGrid>
        <w:gridCol w:w="2800"/>
        <w:gridCol w:w="1230"/>
        <w:gridCol w:w="1260"/>
        <w:gridCol w:w="1180"/>
        <w:gridCol w:w="980"/>
      </w:tblGrid>
      <w:tr w:rsidR="000966C1" w:rsidRPr="000966C1" w:rsidTr="000966C1">
        <w:trPr>
          <w:trHeight w:val="225"/>
        </w:trPr>
        <w:tc>
          <w:tcPr>
            <w:tcW w:w="28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r w:rsidRPr="000966C1">
              <w:rPr>
                <w:rFonts w:ascii="Arial" w:hAnsi="Arial" w:cs="Arial"/>
              </w:rPr>
              <w:t> </w:t>
            </w:r>
          </w:p>
        </w:tc>
        <w:tc>
          <w:tcPr>
            <w:tcW w:w="12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c>
          <w:tcPr>
            <w:tcW w:w="126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Other property,</w:t>
            </w:r>
          </w:p>
        </w:tc>
        <w:tc>
          <w:tcPr>
            <w:tcW w:w="11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Computer</w:t>
            </w:r>
          </w:p>
        </w:tc>
        <w:tc>
          <w:tcPr>
            <w:tcW w:w="9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w:t>
            </w:r>
          </w:p>
        </w:tc>
      </w:tr>
      <w:tr w:rsidR="000966C1" w:rsidRPr="000966C1" w:rsidTr="000966C1">
        <w:trPr>
          <w:trHeight w:val="225"/>
        </w:trPr>
        <w:tc>
          <w:tcPr>
            <w:tcW w:w="28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Leasehold</w:t>
            </w:r>
          </w:p>
        </w:tc>
        <w:tc>
          <w:tcPr>
            <w:tcW w:w="126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plant and</w:t>
            </w:r>
          </w:p>
        </w:tc>
        <w:tc>
          <w:tcPr>
            <w:tcW w:w="11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Software and</w:t>
            </w:r>
          </w:p>
        </w:tc>
        <w:tc>
          <w:tcPr>
            <w:tcW w:w="9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Improvements</w:t>
            </w:r>
          </w:p>
        </w:tc>
        <w:tc>
          <w:tcPr>
            <w:tcW w:w="126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equipment</w:t>
            </w:r>
          </w:p>
        </w:tc>
        <w:tc>
          <w:tcPr>
            <w:tcW w:w="11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Intangibles</w:t>
            </w:r>
          </w:p>
        </w:tc>
        <w:tc>
          <w:tcPr>
            <w:tcW w:w="98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Total</w:t>
            </w:r>
          </w:p>
        </w:tc>
      </w:tr>
      <w:tr w:rsidR="000966C1" w:rsidRPr="000966C1" w:rsidTr="000966C1">
        <w:trPr>
          <w:trHeight w:val="225"/>
        </w:trPr>
        <w:tc>
          <w:tcPr>
            <w:tcW w:w="28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00" w:type="dxa"/>
            <w:tcBorders>
              <w:top w:val="nil"/>
              <w:left w:val="nil"/>
              <w:bottom w:val="single" w:sz="4" w:space="0" w:color="auto"/>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1260" w:type="dxa"/>
            <w:tcBorders>
              <w:top w:val="nil"/>
              <w:left w:val="nil"/>
              <w:bottom w:val="single" w:sz="4" w:space="0" w:color="auto"/>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1180" w:type="dxa"/>
            <w:tcBorders>
              <w:top w:val="nil"/>
              <w:left w:val="nil"/>
              <w:bottom w:val="single" w:sz="4" w:space="0" w:color="auto"/>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c>
          <w:tcPr>
            <w:tcW w:w="980" w:type="dxa"/>
            <w:tcBorders>
              <w:top w:val="nil"/>
              <w:left w:val="nil"/>
              <w:bottom w:val="single" w:sz="4" w:space="0" w:color="auto"/>
              <w:right w:val="nil"/>
            </w:tcBorders>
            <w:shd w:val="clear" w:color="auto" w:fill="auto"/>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$'000</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As at 1 July 2016</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 xml:space="preserve">Gross book value </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6,602 </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4,014 </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25,707 </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36,323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 xml:space="preserve">Accumulated depreciation/ </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200" w:firstLine="320"/>
              <w:jc w:val="left"/>
              <w:rPr>
                <w:rFonts w:ascii="Arial" w:hAnsi="Arial" w:cs="Arial"/>
              </w:rPr>
            </w:pPr>
            <w:r w:rsidRPr="000966C1">
              <w:rPr>
                <w:rFonts w:ascii="Arial" w:hAnsi="Arial" w:cs="Arial"/>
              </w:rPr>
              <w:t>amortisation and impairment</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(924)</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(1,476)</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(4,261)</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(6,661)</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Opening net book balance</w:t>
            </w:r>
          </w:p>
        </w:tc>
        <w:tc>
          <w:tcPr>
            <w:tcW w:w="12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5,678 </w:t>
            </w:r>
          </w:p>
        </w:tc>
        <w:tc>
          <w:tcPr>
            <w:tcW w:w="126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2,538 </w:t>
            </w:r>
          </w:p>
        </w:tc>
        <w:tc>
          <w:tcPr>
            <w:tcW w:w="11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21,446 </w:t>
            </w:r>
          </w:p>
        </w:tc>
        <w:tc>
          <w:tcPr>
            <w:tcW w:w="9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29,662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Capital asset additions</w:t>
            </w:r>
          </w:p>
        </w:tc>
        <w:tc>
          <w:tcPr>
            <w:tcW w:w="12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126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11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9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Estimated expenditure on</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200" w:firstLine="321"/>
              <w:jc w:val="left"/>
              <w:rPr>
                <w:rFonts w:ascii="Arial" w:hAnsi="Arial" w:cs="Arial"/>
                <w:b/>
                <w:bCs/>
              </w:rPr>
            </w:pPr>
            <w:r w:rsidRPr="000966C1">
              <w:rPr>
                <w:rFonts w:ascii="Arial" w:hAnsi="Arial" w:cs="Arial"/>
                <w:b/>
                <w:bCs/>
              </w:rPr>
              <w:t>new or replacement assets</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200" w:firstLine="320"/>
              <w:jc w:val="left"/>
              <w:rPr>
                <w:rFonts w:ascii="Arial" w:hAnsi="Arial" w:cs="Arial"/>
              </w:rPr>
            </w:pPr>
            <w:r w:rsidRPr="000966C1">
              <w:rPr>
                <w:rFonts w:ascii="Arial" w:hAnsi="Arial" w:cs="Arial"/>
              </w:rPr>
              <w:t>By purchase - other</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1,027 </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1,401 </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3,346 </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5,774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Total additions</w:t>
            </w:r>
          </w:p>
        </w:tc>
        <w:tc>
          <w:tcPr>
            <w:tcW w:w="12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1,027 </w:t>
            </w:r>
          </w:p>
        </w:tc>
        <w:tc>
          <w:tcPr>
            <w:tcW w:w="126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1,401 </w:t>
            </w:r>
          </w:p>
        </w:tc>
        <w:tc>
          <w:tcPr>
            <w:tcW w:w="11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3,346 </w:t>
            </w:r>
          </w:p>
        </w:tc>
        <w:tc>
          <w:tcPr>
            <w:tcW w:w="9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5,774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Other movements</w:t>
            </w:r>
          </w:p>
        </w:tc>
        <w:tc>
          <w:tcPr>
            <w:tcW w:w="120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126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11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c>
          <w:tcPr>
            <w:tcW w:w="980" w:type="dxa"/>
            <w:tcBorders>
              <w:top w:val="single" w:sz="4" w:space="0" w:color="auto"/>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Depreciation/amortisation expense</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(1,027)</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(1,401)</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(3,346)</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(5,774)</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1"/>
              <w:jc w:val="left"/>
              <w:rPr>
                <w:rFonts w:ascii="Arial" w:hAnsi="Arial" w:cs="Arial"/>
                <w:b/>
                <w:bCs/>
              </w:rPr>
            </w:pPr>
            <w:r w:rsidRPr="000966C1">
              <w:rPr>
                <w:rFonts w:ascii="Arial" w:hAnsi="Arial" w:cs="Arial"/>
                <w:b/>
                <w:bCs/>
              </w:rPr>
              <w:t>Total other movements</w:t>
            </w:r>
          </w:p>
        </w:tc>
        <w:tc>
          <w:tcPr>
            <w:tcW w:w="120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(1,027)</w:t>
            </w:r>
          </w:p>
        </w:tc>
        <w:tc>
          <w:tcPr>
            <w:tcW w:w="126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(1,401)</w:t>
            </w:r>
          </w:p>
        </w:tc>
        <w:tc>
          <w:tcPr>
            <w:tcW w:w="118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(3,346)</w:t>
            </w:r>
          </w:p>
        </w:tc>
        <w:tc>
          <w:tcPr>
            <w:tcW w:w="98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(5,774)</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As at 30 June 2017</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t>Gross book value</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7,629 </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5,415 </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29,053 </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 xml:space="preserve">42,097 </w:t>
            </w: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100" w:firstLine="160"/>
              <w:jc w:val="left"/>
              <w:rPr>
                <w:rFonts w:ascii="Arial" w:hAnsi="Arial" w:cs="Arial"/>
              </w:rPr>
            </w:pPr>
            <w:r w:rsidRPr="000966C1">
              <w:rPr>
                <w:rFonts w:ascii="Arial" w:hAnsi="Arial" w:cs="Arial"/>
              </w:rPr>
              <w:lastRenderedPageBreak/>
              <w:t xml:space="preserve">Accumulated depreciation/ </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rPr>
            </w:pPr>
          </w:p>
        </w:tc>
      </w:tr>
      <w:tr w:rsidR="000966C1" w:rsidRPr="000966C1" w:rsidTr="000966C1">
        <w:trPr>
          <w:trHeight w:val="225"/>
        </w:trPr>
        <w:tc>
          <w:tcPr>
            <w:tcW w:w="2800" w:type="dxa"/>
            <w:tcBorders>
              <w:top w:val="nil"/>
              <w:left w:val="nil"/>
              <w:bottom w:val="nil"/>
              <w:right w:val="nil"/>
            </w:tcBorders>
            <w:shd w:val="clear" w:color="auto" w:fill="auto"/>
            <w:vAlign w:val="bottom"/>
            <w:hideMark/>
          </w:tcPr>
          <w:p w:rsidR="000966C1" w:rsidRPr="000966C1" w:rsidRDefault="000966C1" w:rsidP="000966C1">
            <w:pPr>
              <w:spacing w:after="0" w:line="240" w:lineRule="auto"/>
              <w:ind w:firstLineChars="200" w:firstLine="320"/>
              <w:jc w:val="left"/>
              <w:rPr>
                <w:rFonts w:ascii="Arial" w:hAnsi="Arial" w:cs="Arial"/>
              </w:rPr>
            </w:pPr>
            <w:r w:rsidRPr="000966C1">
              <w:rPr>
                <w:rFonts w:ascii="Arial" w:hAnsi="Arial" w:cs="Arial"/>
              </w:rPr>
              <w:t>amortisation and impairment</w:t>
            </w:r>
          </w:p>
        </w:tc>
        <w:tc>
          <w:tcPr>
            <w:tcW w:w="120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(1,951)</w:t>
            </w:r>
          </w:p>
        </w:tc>
        <w:tc>
          <w:tcPr>
            <w:tcW w:w="126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(2,877)</w:t>
            </w:r>
          </w:p>
        </w:tc>
        <w:tc>
          <w:tcPr>
            <w:tcW w:w="11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(7,607)</w:t>
            </w:r>
          </w:p>
        </w:tc>
        <w:tc>
          <w:tcPr>
            <w:tcW w:w="980" w:type="dxa"/>
            <w:tcBorders>
              <w:top w:val="nil"/>
              <w:left w:val="nil"/>
              <w:bottom w:val="nil"/>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rPr>
            </w:pPr>
            <w:r w:rsidRPr="000966C1">
              <w:rPr>
                <w:rFonts w:ascii="Arial" w:hAnsi="Arial" w:cs="Arial"/>
              </w:rPr>
              <w:t>(12,435)</w:t>
            </w:r>
          </w:p>
        </w:tc>
      </w:tr>
      <w:tr w:rsidR="000966C1" w:rsidRPr="000966C1" w:rsidTr="000966C1">
        <w:trPr>
          <w:trHeight w:val="225"/>
        </w:trPr>
        <w:tc>
          <w:tcPr>
            <w:tcW w:w="2800" w:type="dxa"/>
            <w:tcBorders>
              <w:top w:val="nil"/>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left"/>
              <w:rPr>
                <w:rFonts w:ascii="Arial" w:hAnsi="Arial" w:cs="Arial"/>
                <w:b/>
                <w:bCs/>
              </w:rPr>
            </w:pPr>
            <w:r w:rsidRPr="000966C1">
              <w:rPr>
                <w:rFonts w:ascii="Arial" w:hAnsi="Arial" w:cs="Arial"/>
                <w:b/>
                <w:bCs/>
              </w:rPr>
              <w:t>Closing net book balance</w:t>
            </w:r>
          </w:p>
        </w:tc>
        <w:tc>
          <w:tcPr>
            <w:tcW w:w="120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5,678 </w:t>
            </w:r>
          </w:p>
        </w:tc>
        <w:tc>
          <w:tcPr>
            <w:tcW w:w="126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2,538 </w:t>
            </w:r>
          </w:p>
        </w:tc>
        <w:tc>
          <w:tcPr>
            <w:tcW w:w="118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21,446 </w:t>
            </w:r>
          </w:p>
        </w:tc>
        <w:tc>
          <w:tcPr>
            <w:tcW w:w="980" w:type="dxa"/>
            <w:tcBorders>
              <w:top w:val="single" w:sz="4" w:space="0" w:color="auto"/>
              <w:left w:val="nil"/>
              <w:bottom w:val="single" w:sz="4" w:space="0" w:color="auto"/>
              <w:right w:val="nil"/>
            </w:tcBorders>
            <w:shd w:val="clear" w:color="auto" w:fill="auto"/>
            <w:noWrap/>
            <w:vAlign w:val="bottom"/>
            <w:hideMark/>
          </w:tcPr>
          <w:p w:rsidR="000966C1" w:rsidRPr="000966C1" w:rsidRDefault="000966C1" w:rsidP="000966C1">
            <w:pPr>
              <w:spacing w:after="0" w:line="240" w:lineRule="auto"/>
              <w:jc w:val="right"/>
              <w:rPr>
                <w:rFonts w:ascii="Arial" w:hAnsi="Arial" w:cs="Arial"/>
                <w:b/>
                <w:bCs/>
              </w:rPr>
            </w:pPr>
            <w:r w:rsidRPr="000966C1">
              <w:rPr>
                <w:rFonts w:ascii="Arial" w:hAnsi="Arial" w:cs="Arial"/>
                <w:b/>
                <w:bCs/>
              </w:rPr>
              <w:t xml:space="preserve">29,662 </w:t>
            </w:r>
          </w:p>
        </w:tc>
      </w:tr>
    </w:tbl>
    <w:p w:rsidR="005736DA" w:rsidRPr="005736DA" w:rsidRDefault="005736DA" w:rsidP="005736DA">
      <w:pPr>
        <w:tabs>
          <w:tab w:val="left" w:pos="284"/>
        </w:tabs>
        <w:spacing w:after="0" w:line="240" w:lineRule="auto"/>
        <w:jc w:val="both"/>
        <w:rPr>
          <w:rFonts w:ascii="Arial" w:hAnsi="Arial"/>
          <w:szCs w:val="20"/>
        </w:rPr>
      </w:pPr>
      <w:proofErr w:type="gramStart"/>
      <w:r w:rsidRPr="005736DA">
        <w:rPr>
          <w:rFonts w:ascii="Arial" w:hAnsi="Arial"/>
          <w:szCs w:val="20"/>
        </w:rPr>
        <w:t>Prepared on Australian Accounting Standards basis.</w:t>
      </w:r>
      <w:proofErr w:type="gramEnd"/>
    </w:p>
    <w:p w:rsidR="005736DA" w:rsidRPr="005736DA" w:rsidRDefault="005736DA" w:rsidP="005736DA">
      <w:pPr>
        <w:tabs>
          <w:tab w:val="left" w:pos="284"/>
        </w:tabs>
        <w:spacing w:after="0" w:line="240" w:lineRule="auto"/>
        <w:jc w:val="both"/>
        <w:rPr>
          <w:rFonts w:ascii="Arial" w:hAnsi="Arial"/>
          <w:szCs w:val="20"/>
        </w:rPr>
      </w:pPr>
    </w:p>
    <w:p w:rsidR="005736DA" w:rsidRPr="005736DA" w:rsidRDefault="005736DA" w:rsidP="005736DA">
      <w:pPr>
        <w:tabs>
          <w:tab w:val="left" w:pos="284"/>
        </w:tabs>
        <w:spacing w:after="0" w:line="240" w:lineRule="auto"/>
        <w:jc w:val="both"/>
        <w:rPr>
          <w:rFonts w:ascii="Arial" w:hAnsi="Arial"/>
          <w:szCs w:val="20"/>
        </w:rPr>
      </w:pPr>
    </w:p>
    <w:p w:rsidR="005736DA" w:rsidRPr="005736DA" w:rsidRDefault="005736DA" w:rsidP="005736DA">
      <w:pPr>
        <w:tabs>
          <w:tab w:val="left" w:pos="284"/>
        </w:tabs>
        <w:spacing w:after="0" w:line="240" w:lineRule="auto"/>
        <w:jc w:val="both"/>
        <w:rPr>
          <w:rFonts w:ascii="Arial" w:hAnsi="Arial"/>
          <w:szCs w:val="20"/>
        </w:rPr>
      </w:pPr>
    </w:p>
    <w:p w:rsidR="00840A68" w:rsidRDefault="00840A68" w:rsidP="005736DA">
      <w:pPr>
        <w:tabs>
          <w:tab w:val="left" w:pos="284"/>
        </w:tabs>
        <w:spacing w:after="0" w:line="240" w:lineRule="auto"/>
        <w:jc w:val="both"/>
        <w:rPr>
          <w:rFonts w:ascii="Arial" w:hAnsi="Arial"/>
          <w:szCs w:val="20"/>
        </w:rPr>
        <w:sectPr w:rsidR="00840A68" w:rsidSect="00B2394E">
          <w:footerReference w:type="even" r:id="rId21"/>
          <w:footerReference w:type="default" r:id="rId22"/>
          <w:headerReference w:type="first" r:id="rId23"/>
          <w:footerReference w:type="first" r:id="rId24"/>
          <w:pgSz w:w="11906" w:h="16838" w:code="9"/>
          <w:pgMar w:top="2466" w:right="2098" w:bottom="2466" w:left="2098" w:header="1899" w:footer="1899" w:gutter="0"/>
          <w:cols w:space="708"/>
          <w:titlePg/>
          <w:docGrid w:linePitch="360"/>
        </w:sectPr>
      </w:pPr>
    </w:p>
    <w:p w:rsidR="005736DA" w:rsidRPr="005736DA" w:rsidRDefault="005736DA" w:rsidP="005736DA">
      <w:pPr>
        <w:tabs>
          <w:tab w:val="left" w:pos="284"/>
        </w:tabs>
        <w:spacing w:after="0" w:line="240" w:lineRule="auto"/>
        <w:jc w:val="both"/>
        <w:rPr>
          <w:rFonts w:ascii="Arial" w:hAnsi="Arial"/>
          <w:szCs w:val="20"/>
        </w:rPr>
      </w:pPr>
    </w:p>
    <w:bookmarkEnd w:id="0"/>
    <w:p w:rsidR="00E05452" w:rsidRPr="00930B30" w:rsidRDefault="00E05452" w:rsidP="002B2C50">
      <w:pPr>
        <w:spacing w:before="40" w:after="120"/>
        <w:rPr>
          <w:sz w:val="20"/>
          <w:szCs w:val="20"/>
        </w:rPr>
      </w:pPr>
    </w:p>
    <w:sectPr w:rsidR="00E05452" w:rsidRPr="00930B30" w:rsidSect="00CB78E0">
      <w:headerReference w:type="even" r:id="rId25"/>
      <w:headerReference w:type="default" r:id="rId26"/>
      <w:headerReference w:type="first" r:id="rId27"/>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C3" w:rsidRDefault="00E247C3" w:rsidP="001D7EBC">
      <w:r>
        <w:separator/>
      </w:r>
    </w:p>
  </w:endnote>
  <w:endnote w:type="continuationSeparator" w:id="0">
    <w:p w:rsidR="00E247C3" w:rsidRDefault="00E247C3" w:rsidP="001D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1063"/>
      <w:docPartObj>
        <w:docPartGallery w:val="Page Numbers (Bottom of Page)"/>
        <w:docPartUnique/>
      </w:docPartObj>
    </w:sdtPr>
    <w:sdtContent>
      <w:p w:rsidR="00A778DC" w:rsidRDefault="000942F9" w:rsidP="005736DA">
        <w:pPr>
          <w:pStyle w:val="Footer"/>
        </w:pPr>
        <w:fldSimple w:instr=" PAGE   \* MERGEFORMAT ">
          <w:r w:rsidR="0087216E">
            <w:rPr>
              <w:noProof/>
            </w:rPr>
            <w:t>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1064"/>
      <w:docPartObj>
        <w:docPartGallery w:val="Page Numbers (Bottom of Page)"/>
        <w:docPartUnique/>
      </w:docPartObj>
    </w:sdtPr>
    <w:sdtContent>
      <w:p w:rsidR="00A778DC" w:rsidRDefault="000942F9" w:rsidP="005736DA">
        <w:pPr>
          <w:pStyle w:val="Footer"/>
        </w:pPr>
        <w:fldSimple w:instr=" PAGE   \* MERGEFORMAT ">
          <w:r w:rsidR="0087216E">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1065"/>
      <w:docPartObj>
        <w:docPartGallery w:val="Page Numbers (Bottom of Page)"/>
        <w:docPartUnique/>
      </w:docPartObj>
    </w:sdtPr>
    <w:sdtContent>
      <w:p w:rsidR="00A778DC" w:rsidRDefault="000942F9">
        <w:pPr>
          <w:pStyle w:val="Footer"/>
        </w:pPr>
        <w:fldSimple w:instr=" PAGE   \* MERGEFORMAT ">
          <w:r w:rsidR="0087216E">
            <w:rPr>
              <w:noProof/>
            </w:rPr>
            <w:t>12</w:t>
          </w:r>
        </w:fldSimple>
      </w:p>
    </w:sdtContent>
  </w:sdt>
  <w:p w:rsidR="00A778DC" w:rsidRDefault="00A778D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1066"/>
      <w:docPartObj>
        <w:docPartGallery w:val="Page Numbers (Bottom of Page)"/>
        <w:docPartUnique/>
      </w:docPartObj>
    </w:sdtPr>
    <w:sdtContent>
      <w:p w:rsidR="00A778DC" w:rsidRDefault="000942F9">
        <w:pPr>
          <w:pStyle w:val="Footer"/>
        </w:pPr>
        <w:fldSimple w:instr=" PAGE   \* MERGEFORMAT ">
          <w:r w:rsidR="0087216E">
            <w:rPr>
              <w:noProof/>
            </w:rPr>
            <w:t>11</w:t>
          </w:r>
        </w:fldSimple>
      </w:p>
    </w:sdtContent>
  </w:sdt>
  <w:p w:rsidR="00A778DC" w:rsidRDefault="00A778D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1067"/>
      <w:docPartObj>
        <w:docPartGallery w:val="Page Numbers (Bottom of Page)"/>
        <w:docPartUnique/>
      </w:docPartObj>
    </w:sdtPr>
    <w:sdtContent>
      <w:p w:rsidR="00A778DC" w:rsidRDefault="000942F9">
        <w:pPr>
          <w:pStyle w:val="Footer"/>
        </w:pPr>
        <w:fldSimple w:instr=" PAGE   \* MERGEFORMAT ">
          <w:r w:rsidR="0087216E">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C3" w:rsidRDefault="00E247C3" w:rsidP="001D7EBC">
      <w:r>
        <w:separator/>
      </w:r>
    </w:p>
  </w:footnote>
  <w:footnote w:type="continuationSeparator" w:id="0">
    <w:p w:rsidR="00E247C3" w:rsidRDefault="00E247C3" w:rsidP="001D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5736DA" w:rsidRDefault="00A778DC" w:rsidP="003864FA">
    <w:pPr>
      <w:pStyle w:val="Header"/>
    </w:pPr>
    <w:r>
      <w:t>AEC Budget Statements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C94110" w:rsidRDefault="00A778DC" w:rsidP="00C941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DA17B2">
    <w:pPr>
      <w:pStyle w:val="HeaderOdd"/>
      <w:ind w:left="5103"/>
      <w:jc w:val="left"/>
    </w:pPr>
    <w:r>
      <w:t>AEC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F509C3">
    <w:pPr>
      <w:pStyle w:val="HeaderEven"/>
    </w:pPr>
    <w:r>
      <w:t>CSC Budget Statements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335F0F" w:rsidRDefault="00A778DC" w:rsidP="00F509C3">
    <w:pPr>
      <w:pStyle w:val="HeaderEven"/>
      <w:jc w:val="right"/>
      <w:rPr>
        <w:noProof/>
        <w:lang w:val="en-US" w:eastAsia="zh-TW"/>
      </w:rPr>
    </w:pPr>
    <w:r>
      <w:rPr>
        <w:noProof/>
        <w:lang w:val="en-US" w:eastAsia="zh-TW"/>
      </w:rPr>
      <w:t xml:space="preserve">CSC </w:t>
    </w:r>
    <w:r>
      <w:t>Budget Statements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950281" w:rsidRDefault="00A778DC" w:rsidP="00F509C3">
    <w:pPr>
      <w:pStyle w:val="HeaderEven"/>
      <w:jc w:val="right"/>
    </w:pPr>
    <w:r>
      <w:t>CSC Budget Statements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950281" w:rsidRDefault="00A778DC" w:rsidP="00F509C3">
    <w:pPr>
      <w:pStyle w:val="HeaderEven"/>
    </w:pPr>
    <w:r>
      <w:t>CSC Budget Statements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950281" w:rsidRDefault="00A778DC" w:rsidP="00082FCA">
    <w:pPr>
      <w:pStyle w:val="HeaderEven"/>
      <w:jc w:val="right"/>
    </w:pPr>
    <w:r>
      <w:t>CSC Budget Statements</w:t>
    </w:r>
  </w:p>
  <w:p w:rsidR="00A778DC" w:rsidRPr="00950281" w:rsidRDefault="00A778DC" w:rsidP="00035E52">
    <w:pPr>
      <w:pStyle w:val="HeaderEven"/>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Glossary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Glossary</w:t>
    </w:r>
  </w:p>
  <w:p w:rsidR="00A778DC" w:rsidRPr="00840A68" w:rsidRDefault="00A778DC" w:rsidP="00840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03A64"/>
    <w:multiLevelType w:val="hybridMultilevel"/>
    <w:tmpl w:val="C2E6A71A"/>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1150D84"/>
    <w:multiLevelType w:val="hybridMultilevel"/>
    <w:tmpl w:val="D746585E"/>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212D5A"/>
    <w:multiLevelType w:val="hybridMultilevel"/>
    <w:tmpl w:val="752A5C64"/>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A52C9"/>
    <w:multiLevelType w:val="hybridMultilevel"/>
    <w:tmpl w:val="DF824252"/>
    <w:lvl w:ilvl="0" w:tplc="C340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E38D8"/>
    <w:multiLevelType w:val="hybridMultilevel"/>
    <w:tmpl w:val="9724E81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4E4A8F"/>
    <w:multiLevelType w:val="hybridMultilevel"/>
    <w:tmpl w:val="E8CA239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586FE4"/>
    <w:multiLevelType w:val="hybridMultilevel"/>
    <w:tmpl w:val="7AFA3634"/>
    <w:lvl w:ilvl="0" w:tplc="C30AE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5D6091"/>
    <w:multiLevelType w:val="hybridMultilevel"/>
    <w:tmpl w:val="EF0C4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8A2FB6"/>
    <w:multiLevelType w:val="hybridMultilevel"/>
    <w:tmpl w:val="2CCA9CE2"/>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4E3632"/>
    <w:multiLevelType w:val="hybridMultilevel"/>
    <w:tmpl w:val="D0EA3228"/>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574E4C"/>
    <w:multiLevelType w:val="hybridMultilevel"/>
    <w:tmpl w:val="F822DC02"/>
    <w:lvl w:ilvl="0" w:tplc="9C18EFC2">
      <w:start w:val="1"/>
      <w:numFmt w:val="bullet"/>
      <w:lvlText w:val=""/>
      <w:lvlJc w:val="left"/>
      <w:pPr>
        <w:ind w:left="360" w:hanging="360"/>
      </w:pPr>
      <w:rPr>
        <w:rFonts w:ascii="Symbol" w:hAnsi="Symbol" w:hint="default"/>
        <w:color w:val="auto"/>
      </w:rPr>
    </w:lvl>
    <w:lvl w:ilvl="1" w:tplc="1C46F3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53CD3643"/>
    <w:multiLevelType w:val="hybridMultilevel"/>
    <w:tmpl w:val="BA305E0A"/>
    <w:lvl w:ilvl="0" w:tplc="60D8CA4A">
      <w:start w:val="1"/>
      <w:numFmt w:val="bullet"/>
      <w:lvlText w:val="-"/>
      <w:lvlJc w:val="left"/>
      <w:pPr>
        <w:ind w:left="360" w:hanging="360"/>
      </w:pPr>
      <w:rPr>
        <w:rFonts w:ascii="Courier New" w:hAnsi="Courier New" w:hint="default"/>
      </w:rPr>
    </w:lvl>
    <w:lvl w:ilvl="1" w:tplc="CC602444">
      <w:start w:val="1"/>
      <w:numFmt w:val="bullet"/>
      <w:lvlText w:val=""/>
      <w:lvlJc w:val="left"/>
      <w:pPr>
        <w:ind w:left="1080" w:hanging="360"/>
      </w:pPr>
      <w:rPr>
        <w:rFonts w:ascii="Symbol" w:hAnsi="Symbol" w:hint="default"/>
      </w:rPr>
    </w:lvl>
    <w:lvl w:ilvl="2" w:tplc="60D8CA4A">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99D1829"/>
    <w:multiLevelType w:val="hybridMultilevel"/>
    <w:tmpl w:val="35623AD0"/>
    <w:lvl w:ilvl="0" w:tplc="0928A022">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6">
    <w:nsid w:val="5CA0378B"/>
    <w:multiLevelType w:val="hybridMultilevel"/>
    <w:tmpl w:val="20FE29B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6E4B0815"/>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E62F5"/>
    <w:multiLevelType w:val="hybridMultilevel"/>
    <w:tmpl w:val="3820800A"/>
    <w:lvl w:ilvl="0" w:tplc="51D25B3E">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6">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
  </w:num>
  <w:num w:numId="3">
    <w:abstractNumId w:val="39"/>
  </w:num>
  <w:num w:numId="4">
    <w:abstractNumId w:val="45"/>
  </w:num>
  <w:num w:numId="5">
    <w:abstractNumId w:val="18"/>
  </w:num>
  <w:num w:numId="6">
    <w:abstractNumId w:val="34"/>
  </w:num>
  <w:num w:numId="7">
    <w:abstractNumId w:val="23"/>
    <w:lvlOverride w:ilvl="0">
      <w:startOverride w:val="1"/>
    </w:lvlOverride>
  </w:num>
  <w:num w:numId="8">
    <w:abstractNumId w:val="37"/>
  </w:num>
  <w:num w:numId="9">
    <w:abstractNumId w:val="38"/>
  </w:num>
  <w:num w:numId="10">
    <w:abstractNumId w:val="4"/>
  </w:num>
  <w:num w:numId="11">
    <w:abstractNumId w:val="40"/>
  </w:num>
  <w:num w:numId="12">
    <w:abstractNumId w:val="28"/>
  </w:num>
  <w:num w:numId="13">
    <w:abstractNumId w:val="2"/>
  </w:num>
  <w:num w:numId="14">
    <w:abstractNumId w:val="0"/>
  </w:num>
  <w:num w:numId="15">
    <w:abstractNumId w:val="12"/>
  </w:num>
  <w:num w:numId="16">
    <w:abstractNumId w:val="25"/>
  </w:num>
  <w:num w:numId="17">
    <w:abstractNumId w:val="32"/>
  </w:num>
  <w:num w:numId="18">
    <w:abstractNumId w:val="24"/>
  </w:num>
  <w:num w:numId="19">
    <w:abstractNumId w:val="23"/>
  </w:num>
  <w:num w:numId="20">
    <w:abstractNumId w:val="23"/>
    <w:lvlOverride w:ilvl="0">
      <w:startOverride w:val="1"/>
    </w:lvlOverride>
  </w:num>
  <w:num w:numId="21">
    <w:abstractNumId w:val="23"/>
    <w:lvlOverride w:ilvl="0">
      <w:startOverride w:val="1"/>
    </w:lvlOverride>
  </w:num>
  <w:num w:numId="22">
    <w:abstractNumId w:val="10"/>
  </w:num>
  <w:num w:numId="23">
    <w:abstractNumId w:val="14"/>
  </w:num>
  <w:num w:numId="24">
    <w:abstractNumId w:val="30"/>
  </w:num>
  <w:num w:numId="25">
    <w:abstractNumId w:val="21"/>
  </w:num>
  <w:num w:numId="26">
    <w:abstractNumId w:val="41"/>
  </w:num>
  <w:num w:numId="27">
    <w:abstractNumId w:val="23"/>
    <w:lvlOverride w:ilvl="0">
      <w:startOverride w:val="1"/>
    </w:lvlOverride>
  </w:num>
  <w:num w:numId="28">
    <w:abstractNumId w:val="23"/>
    <w:lvlOverride w:ilvl="0">
      <w:startOverride w:val="1"/>
    </w:lvlOverride>
  </w:num>
  <w:num w:numId="29">
    <w:abstractNumId w:val="42"/>
  </w:num>
  <w:num w:numId="30">
    <w:abstractNumId w:val="33"/>
  </w:num>
  <w:num w:numId="31">
    <w:abstractNumId w:val="16"/>
  </w:num>
  <w:num w:numId="32">
    <w:abstractNumId w:val="43"/>
  </w:num>
  <w:num w:numId="33">
    <w:abstractNumId w:val="36"/>
  </w:num>
  <w:num w:numId="34">
    <w:abstractNumId w:val="7"/>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47"/>
  </w:num>
  <w:num w:numId="39">
    <w:abstractNumId w:val="35"/>
  </w:num>
  <w:num w:numId="40">
    <w:abstractNumId w:val="44"/>
  </w:num>
  <w:num w:numId="41">
    <w:abstractNumId w:val="11"/>
  </w:num>
  <w:num w:numId="42">
    <w:abstractNumId w:val="31"/>
  </w:num>
  <w:num w:numId="43">
    <w:abstractNumId w:val="9"/>
  </w:num>
  <w:num w:numId="44">
    <w:abstractNumId w:val="3"/>
  </w:num>
  <w:num w:numId="45">
    <w:abstractNumId w:val="17"/>
  </w:num>
  <w:num w:numId="46">
    <w:abstractNumId w:val="13"/>
  </w:num>
  <w:num w:numId="47">
    <w:abstractNumId w:val="8"/>
  </w:num>
  <w:num w:numId="48">
    <w:abstractNumId w:val="22"/>
  </w:num>
  <w:num w:numId="49">
    <w:abstractNumId w:val="19"/>
  </w:num>
  <w:num w:numId="50">
    <w:abstractNumId w:val="1"/>
  </w:num>
  <w:num w:numId="51">
    <w:abstractNumId w:val="26"/>
  </w:num>
  <w:num w:numId="52">
    <w:abstractNumId w:val="23"/>
    <w:lvlOverride w:ilvl="0">
      <w:startOverride w:val="1"/>
    </w:lvlOverride>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proofState w:spelling="clean" w:grammar="clean"/>
  <w:attachedTemplate r:id="rId1"/>
  <w:stylePaneFormatFilter w:val="7004"/>
  <w:defaultTabStop w:val="567"/>
  <w:evenAndOddHeaders/>
  <w:drawingGridHorizontalSpacing w:val="8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0657F"/>
    <w:rsid w:val="000000C3"/>
    <w:rsid w:val="00001912"/>
    <w:rsid w:val="00003393"/>
    <w:rsid w:val="00003873"/>
    <w:rsid w:val="00003AC4"/>
    <w:rsid w:val="00004085"/>
    <w:rsid w:val="00004BDE"/>
    <w:rsid w:val="00006AE4"/>
    <w:rsid w:val="0000711B"/>
    <w:rsid w:val="00012BB0"/>
    <w:rsid w:val="000138F2"/>
    <w:rsid w:val="00013D25"/>
    <w:rsid w:val="0001438C"/>
    <w:rsid w:val="00016D95"/>
    <w:rsid w:val="00017619"/>
    <w:rsid w:val="00020573"/>
    <w:rsid w:val="000208FD"/>
    <w:rsid w:val="000215A8"/>
    <w:rsid w:val="000216BF"/>
    <w:rsid w:val="000217A0"/>
    <w:rsid w:val="00021DA6"/>
    <w:rsid w:val="000220B0"/>
    <w:rsid w:val="00026D32"/>
    <w:rsid w:val="00027945"/>
    <w:rsid w:val="000300D7"/>
    <w:rsid w:val="00030FDA"/>
    <w:rsid w:val="00032565"/>
    <w:rsid w:val="000330D1"/>
    <w:rsid w:val="00033673"/>
    <w:rsid w:val="00035E52"/>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667"/>
    <w:rsid w:val="000519DC"/>
    <w:rsid w:val="00051F38"/>
    <w:rsid w:val="00051F7B"/>
    <w:rsid w:val="00053AB1"/>
    <w:rsid w:val="00054A04"/>
    <w:rsid w:val="00054CC3"/>
    <w:rsid w:val="0005600E"/>
    <w:rsid w:val="00056260"/>
    <w:rsid w:val="00056627"/>
    <w:rsid w:val="0005667B"/>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42F9"/>
    <w:rsid w:val="00094B28"/>
    <w:rsid w:val="00094E56"/>
    <w:rsid w:val="00096568"/>
    <w:rsid w:val="0009661B"/>
    <w:rsid w:val="000966C1"/>
    <w:rsid w:val="00096867"/>
    <w:rsid w:val="00096DEE"/>
    <w:rsid w:val="0009701D"/>
    <w:rsid w:val="00097063"/>
    <w:rsid w:val="00097336"/>
    <w:rsid w:val="00097A4B"/>
    <w:rsid w:val="000A1227"/>
    <w:rsid w:val="000A1A89"/>
    <w:rsid w:val="000A1C91"/>
    <w:rsid w:val="000A24C4"/>
    <w:rsid w:val="000A345B"/>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D8"/>
    <w:rsid w:val="000B3B7D"/>
    <w:rsid w:val="000B3F0E"/>
    <w:rsid w:val="000B514C"/>
    <w:rsid w:val="000B56C8"/>
    <w:rsid w:val="000C056F"/>
    <w:rsid w:val="000C0D74"/>
    <w:rsid w:val="000C1928"/>
    <w:rsid w:val="000C19B3"/>
    <w:rsid w:val="000C19EF"/>
    <w:rsid w:val="000C2D7D"/>
    <w:rsid w:val="000C2FA8"/>
    <w:rsid w:val="000C3B86"/>
    <w:rsid w:val="000C3F25"/>
    <w:rsid w:val="000C4851"/>
    <w:rsid w:val="000C5F91"/>
    <w:rsid w:val="000C6166"/>
    <w:rsid w:val="000C69F2"/>
    <w:rsid w:val="000C6A39"/>
    <w:rsid w:val="000C6FB8"/>
    <w:rsid w:val="000D0E4D"/>
    <w:rsid w:val="000D13E5"/>
    <w:rsid w:val="000D28C8"/>
    <w:rsid w:val="000D3B63"/>
    <w:rsid w:val="000D43DE"/>
    <w:rsid w:val="000D43E2"/>
    <w:rsid w:val="000D458E"/>
    <w:rsid w:val="000D58A1"/>
    <w:rsid w:val="000D7E54"/>
    <w:rsid w:val="000E0A85"/>
    <w:rsid w:val="000E12DE"/>
    <w:rsid w:val="000E2F5F"/>
    <w:rsid w:val="000E3AF4"/>
    <w:rsid w:val="000E537F"/>
    <w:rsid w:val="000E5E2E"/>
    <w:rsid w:val="000E68E3"/>
    <w:rsid w:val="000E6DDB"/>
    <w:rsid w:val="000E74A6"/>
    <w:rsid w:val="000F03B1"/>
    <w:rsid w:val="000F08AE"/>
    <w:rsid w:val="000F1580"/>
    <w:rsid w:val="000F15EB"/>
    <w:rsid w:val="000F2D33"/>
    <w:rsid w:val="000F43F4"/>
    <w:rsid w:val="000F440E"/>
    <w:rsid w:val="000F6647"/>
    <w:rsid w:val="000F73B7"/>
    <w:rsid w:val="000F746C"/>
    <w:rsid w:val="000F7E7B"/>
    <w:rsid w:val="001002F8"/>
    <w:rsid w:val="00102654"/>
    <w:rsid w:val="001028CC"/>
    <w:rsid w:val="00102922"/>
    <w:rsid w:val="00102934"/>
    <w:rsid w:val="00102A4B"/>
    <w:rsid w:val="00102CAD"/>
    <w:rsid w:val="001045F9"/>
    <w:rsid w:val="0010472B"/>
    <w:rsid w:val="00104CEC"/>
    <w:rsid w:val="00105B67"/>
    <w:rsid w:val="00106277"/>
    <w:rsid w:val="0010657F"/>
    <w:rsid w:val="001065ED"/>
    <w:rsid w:val="001105CA"/>
    <w:rsid w:val="00111159"/>
    <w:rsid w:val="00111F74"/>
    <w:rsid w:val="00112B8E"/>
    <w:rsid w:val="00112D0F"/>
    <w:rsid w:val="00112F43"/>
    <w:rsid w:val="001133E0"/>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314"/>
    <w:rsid w:val="00135505"/>
    <w:rsid w:val="001364A7"/>
    <w:rsid w:val="00136827"/>
    <w:rsid w:val="001375D4"/>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6850"/>
    <w:rsid w:val="0018714F"/>
    <w:rsid w:val="001904A5"/>
    <w:rsid w:val="00190FE8"/>
    <w:rsid w:val="001923C8"/>
    <w:rsid w:val="001933CF"/>
    <w:rsid w:val="001939FF"/>
    <w:rsid w:val="00193C18"/>
    <w:rsid w:val="0019428D"/>
    <w:rsid w:val="00194DE8"/>
    <w:rsid w:val="0019523E"/>
    <w:rsid w:val="0019539C"/>
    <w:rsid w:val="00197990"/>
    <w:rsid w:val="001A0106"/>
    <w:rsid w:val="001A02CB"/>
    <w:rsid w:val="001A0333"/>
    <w:rsid w:val="001A0642"/>
    <w:rsid w:val="001A0EBB"/>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7399"/>
    <w:rsid w:val="001B7655"/>
    <w:rsid w:val="001B7BAD"/>
    <w:rsid w:val="001B7F09"/>
    <w:rsid w:val="001C1166"/>
    <w:rsid w:val="001C261E"/>
    <w:rsid w:val="001C2C14"/>
    <w:rsid w:val="001C3AC7"/>
    <w:rsid w:val="001C4F17"/>
    <w:rsid w:val="001C7B78"/>
    <w:rsid w:val="001C7FB4"/>
    <w:rsid w:val="001D013E"/>
    <w:rsid w:val="001D089D"/>
    <w:rsid w:val="001D0BA6"/>
    <w:rsid w:val="001D1814"/>
    <w:rsid w:val="001D1903"/>
    <w:rsid w:val="001D1942"/>
    <w:rsid w:val="001D1BEA"/>
    <w:rsid w:val="001D1DDB"/>
    <w:rsid w:val="001D3DD7"/>
    <w:rsid w:val="001D4988"/>
    <w:rsid w:val="001D53EA"/>
    <w:rsid w:val="001D6F7C"/>
    <w:rsid w:val="001D7EBC"/>
    <w:rsid w:val="001E0654"/>
    <w:rsid w:val="001E12A5"/>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D86"/>
    <w:rsid w:val="001F1161"/>
    <w:rsid w:val="001F1488"/>
    <w:rsid w:val="001F162C"/>
    <w:rsid w:val="001F1AB8"/>
    <w:rsid w:val="001F255D"/>
    <w:rsid w:val="001F377B"/>
    <w:rsid w:val="001F3CF9"/>
    <w:rsid w:val="001F4A78"/>
    <w:rsid w:val="001F55E5"/>
    <w:rsid w:val="001F5CB9"/>
    <w:rsid w:val="001F730B"/>
    <w:rsid w:val="001F7504"/>
    <w:rsid w:val="0020065B"/>
    <w:rsid w:val="00200DC3"/>
    <w:rsid w:val="002011E2"/>
    <w:rsid w:val="0020160F"/>
    <w:rsid w:val="00201BB9"/>
    <w:rsid w:val="002025EE"/>
    <w:rsid w:val="00202925"/>
    <w:rsid w:val="00202C70"/>
    <w:rsid w:val="00202DDA"/>
    <w:rsid w:val="00204F6B"/>
    <w:rsid w:val="002050B0"/>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4040"/>
    <w:rsid w:val="00234EA0"/>
    <w:rsid w:val="00235D67"/>
    <w:rsid w:val="0023626B"/>
    <w:rsid w:val="00244D22"/>
    <w:rsid w:val="002457F3"/>
    <w:rsid w:val="00246C09"/>
    <w:rsid w:val="00247262"/>
    <w:rsid w:val="0025262D"/>
    <w:rsid w:val="0025292D"/>
    <w:rsid w:val="00254F6C"/>
    <w:rsid w:val="0025616B"/>
    <w:rsid w:val="0025684F"/>
    <w:rsid w:val="00257285"/>
    <w:rsid w:val="0025784D"/>
    <w:rsid w:val="00257FF4"/>
    <w:rsid w:val="002602D3"/>
    <w:rsid w:val="002606CB"/>
    <w:rsid w:val="002608CE"/>
    <w:rsid w:val="00261813"/>
    <w:rsid w:val="0026279C"/>
    <w:rsid w:val="00262CD3"/>
    <w:rsid w:val="002640E5"/>
    <w:rsid w:val="00265289"/>
    <w:rsid w:val="00266613"/>
    <w:rsid w:val="00266FE9"/>
    <w:rsid w:val="002676AB"/>
    <w:rsid w:val="00267875"/>
    <w:rsid w:val="00270155"/>
    <w:rsid w:val="00270D82"/>
    <w:rsid w:val="0027168C"/>
    <w:rsid w:val="00271FC7"/>
    <w:rsid w:val="00272396"/>
    <w:rsid w:val="0027614D"/>
    <w:rsid w:val="0027651A"/>
    <w:rsid w:val="0028001E"/>
    <w:rsid w:val="002800DD"/>
    <w:rsid w:val="00280510"/>
    <w:rsid w:val="00281673"/>
    <w:rsid w:val="00281CF6"/>
    <w:rsid w:val="0028359B"/>
    <w:rsid w:val="00284DDC"/>
    <w:rsid w:val="002857FE"/>
    <w:rsid w:val="00285F5A"/>
    <w:rsid w:val="00287C57"/>
    <w:rsid w:val="00291E57"/>
    <w:rsid w:val="00292D6A"/>
    <w:rsid w:val="00292ECC"/>
    <w:rsid w:val="0029312A"/>
    <w:rsid w:val="0029325C"/>
    <w:rsid w:val="00293B2D"/>
    <w:rsid w:val="00293B46"/>
    <w:rsid w:val="00294092"/>
    <w:rsid w:val="00294854"/>
    <w:rsid w:val="002960B7"/>
    <w:rsid w:val="00297643"/>
    <w:rsid w:val="00297824"/>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F0F"/>
    <w:rsid w:val="002B4ED5"/>
    <w:rsid w:val="002B595D"/>
    <w:rsid w:val="002B5F6A"/>
    <w:rsid w:val="002B779E"/>
    <w:rsid w:val="002B7D6F"/>
    <w:rsid w:val="002B7D78"/>
    <w:rsid w:val="002C0552"/>
    <w:rsid w:val="002C1CF7"/>
    <w:rsid w:val="002C25D0"/>
    <w:rsid w:val="002C280B"/>
    <w:rsid w:val="002C2B39"/>
    <w:rsid w:val="002C2DB0"/>
    <w:rsid w:val="002C72F9"/>
    <w:rsid w:val="002C75B0"/>
    <w:rsid w:val="002C7703"/>
    <w:rsid w:val="002C7A63"/>
    <w:rsid w:val="002D0153"/>
    <w:rsid w:val="002D403A"/>
    <w:rsid w:val="002D4262"/>
    <w:rsid w:val="002D4C10"/>
    <w:rsid w:val="002D4DB4"/>
    <w:rsid w:val="002E1017"/>
    <w:rsid w:val="002E1064"/>
    <w:rsid w:val="002E1A4D"/>
    <w:rsid w:val="002E323F"/>
    <w:rsid w:val="002E5554"/>
    <w:rsid w:val="002E58D0"/>
    <w:rsid w:val="002E615F"/>
    <w:rsid w:val="002E6DAD"/>
    <w:rsid w:val="002E70EB"/>
    <w:rsid w:val="002F0614"/>
    <w:rsid w:val="002F1606"/>
    <w:rsid w:val="002F1B12"/>
    <w:rsid w:val="002F1ED4"/>
    <w:rsid w:val="002F591B"/>
    <w:rsid w:val="002F6EE2"/>
    <w:rsid w:val="002F7485"/>
    <w:rsid w:val="002F7704"/>
    <w:rsid w:val="002F7B47"/>
    <w:rsid w:val="00300013"/>
    <w:rsid w:val="00300334"/>
    <w:rsid w:val="003006F8"/>
    <w:rsid w:val="00300BF2"/>
    <w:rsid w:val="00301199"/>
    <w:rsid w:val="003016C4"/>
    <w:rsid w:val="00301A44"/>
    <w:rsid w:val="003027C1"/>
    <w:rsid w:val="00302A25"/>
    <w:rsid w:val="00304676"/>
    <w:rsid w:val="00304BB6"/>
    <w:rsid w:val="00304C13"/>
    <w:rsid w:val="00305718"/>
    <w:rsid w:val="00305EC5"/>
    <w:rsid w:val="00306107"/>
    <w:rsid w:val="003068C0"/>
    <w:rsid w:val="00306975"/>
    <w:rsid w:val="003077B8"/>
    <w:rsid w:val="003111F8"/>
    <w:rsid w:val="0031204A"/>
    <w:rsid w:val="0031272B"/>
    <w:rsid w:val="00312DEE"/>
    <w:rsid w:val="00315435"/>
    <w:rsid w:val="0031598E"/>
    <w:rsid w:val="00316AB7"/>
    <w:rsid w:val="0032038C"/>
    <w:rsid w:val="00320C0D"/>
    <w:rsid w:val="00321889"/>
    <w:rsid w:val="0032269F"/>
    <w:rsid w:val="0032417E"/>
    <w:rsid w:val="00325494"/>
    <w:rsid w:val="00325C5E"/>
    <w:rsid w:val="0032738E"/>
    <w:rsid w:val="0032742E"/>
    <w:rsid w:val="003303E4"/>
    <w:rsid w:val="00330A59"/>
    <w:rsid w:val="003311DD"/>
    <w:rsid w:val="00331B40"/>
    <w:rsid w:val="00331C5F"/>
    <w:rsid w:val="00332A05"/>
    <w:rsid w:val="00333074"/>
    <w:rsid w:val="00333223"/>
    <w:rsid w:val="00333875"/>
    <w:rsid w:val="00333D6D"/>
    <w:rsid w:val="003345A1"/>
    <w:rsid w:val="003347F8"/>
    <w:rsid w:val="00334AB4"/>
    <w:rsid w:val="00334F7E"/>
    <w:rsid w:val="003364C1"/>
    <w:rsid w:val="00337F82"/>
    <w:rsid w:val="00340640"/>
    <w:rsid w:val="003435D6"/>
    <w:rsid w:val="00344D99"/>
    <w:rsid w:val="003458E0"/>
    <w:rsid w:val="00345CCD"/>
    <w:rsid w:val="00347BEF"/>
    <w:rsid w:val="003511CE"/>
    <w:rsid w:val="0035163E"/>
    <w:rsid w:val="00351909"/>
    <w:rsid w:val="00352BE0"/>
    <w:rsid w:val="0035333E"/>
    <w:rsid w:val="00353420"/>
    <w:rsid w:val="003538F0"/>
    <w:rsid w:val="00354A26"/>
    <w:rsid w:val="00356026"/>
    <w:rsid w:val="00357DAE"/>
    <w:rsid w:val="003602A5"/>
    <w:rsid w:val="003606A2"/>
    <w:rsid w:val="00361259"/>
    <w:rsid w:val="00361429"/>
    <w:rsid w:val="00361734"/>
    <w:rsid w:val="003624D6"/>
    <w:rsid w:val="00362AA7"/>
    <w:rsid w:val="00364EF7"/>
    <w:rsid w:val="00364F11"/>
    <w:rsid w:val="00365C6C"/>
    <w:rsid w:val="003662DA"/>
    <w:rsid w:val="003705BF"/>
    <w:rsid w:val="00370935"/>
    <w:rsid w:val="00370E97"/>
    <w:rsid w:val="00371C1A"/>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449C"/>
    <w:rsid w:val="00395A1E"/>
    <w:rsid w:val="0039684C"/>
    <w:rsid w:val="003A0290"/>
    <w:rsid w:val="003A0981"/>
    <w:rsid w:val="003A25BB"/>
    <w:rsid w:val="003A3E7B"/>
    <w:rsid w:val="003A55C1"/>
    <w:rsid w:val="003A7067"/>
    <w:rsid w:val="003B0197"/>
    <w:rsid w:val="003B026F"/>
    <w:rsid w:val="003B036A"/>
    <w:rsid w:val="003B09F6"/>
    <w:rsid w:val="003B0B7B"/>
    <w:rsid w:val="003B0D03"/>
    <w:rsid w:val="003B16A2"/>
    <w:rsid w:val="003B1C7A"/>
    <w:rsid w:val="003B1C96"/>
    <w:rsid w:val="003B1F0A"/>
    <w:rsid w:val="003B24C9"/>
    <w:rsid w:val="003B2C1F"/>
    <w:rsid w:val="003B5319"/>
    <w:rsid w:val="003B5533"/>
    <w:rsid w:val="003B5A85"/>
    <w:rsid w:val="003B71EE"/>
    <w:rsid w:val="003B73C9"/>
    <w:rsid w:val="003B7621"/>
    <w:rsid w:val="003B7C64"/>
    <w:rsid w:val="003C0593"/>
    <w:rsid w:val="003C13A6"/>
    <w:rsid w:val="003C1EB4"/>
    <w:rsid w:val="003C223B"/>
    <w:rsid w:val="003D0B10"/>
    <w:rsid w:val="003D1E47"/>
    <w:rsid w:val="003D28F5"/>
    <w:rsid w:val="003D3662"/>
    <w:rsid w:val="003D3C14"/>
    <w:rsid w:val="003D4557"/>
    <w:rsid w:val="003D543D"/>
    <w:rsid w:val="003D59FD"/>
    <w:rsid w:val="003D76E3"/>
    <w:rsid w:val="003E0318"/>
    <w:rsid w:val="003E05AC"/>
    <w:rsid w:val="003E10B8"/>
    <w:rsid w:val="003E1222"/>
    <w:rsid w:val="003E122D"/>
    <w:rsid w:val="003E13F5"/>
    <w:rsid w:val="003E3492"/>
    <w:rsid w:val="003E3FF4"/>
    <w:rsid w:val="003E4E15"/>
    <w:rsid w:val="003E51AD"/>
    <w:rsid w:val="003E549B"/>
    <w:rsid w:val="003E5AE8"/>
    <w:rsid w:val="003E7507"/>
    <w:rsid w:val="003E7B05"/>
    <w:rsid w:val="003F07EE"/>
    <w:rsid w:val="003F29F2"/>
    <w:rsid w:val="003F47DF"/>
    <w:rsid w:val="003F496D"/>
    <w:rsid w:val="003F6209"/>
    <w:rsid w:val="004003E3"/>
    <w:rsid w:val="0040314A"/>
    <w:rsid w:val="004036D4"/>
    <w:rsid w:val="0040496B"/>
    <w:rsid w:val="00405A32"/>
    <w:rsid w:val="00405DAB"/>
    <w:rsid w:val="00405E90"/>
    <w:rsid w:val="004065CE"/>
    <w:rsid w:val="00407C84"/>
    <w:rsid w:val="004105DD"/>
    <w:rsid w:val="00410C3B"/>
    <w:rsid w:val="00410DCE"/>
    <w:rsid w:val="004114DA"/>
    <w:rsid w:val="00413AD1"/>
    <w:rsid w:val="0041404E"/>
    <w:rsid w:val="0041429D"/>
    <w:rsid w:val="004147D0"/>
    <w:rsid w:val="00414E1F"/>
    <w:rsid w:val="00416BB8"/>
    <w:rsid w:val="00416DE0"/>
    <w:rsid w:val="0041765C"/>
    <w:rsid w:val="00420837"/>
    <w:rsid w:val="00421EEC"/>
    <w:rsid w:val="00422933"/>
    <w:rsid w:val="00422F4B"/>
    <w:rsid w:val="004230EA"/>
    <w:rsid w:val="004248B4"/>
    <w:rsid w:val="00424C66"/>
    <w:rsid w:val="0042526D"/>
    <w:rsid w:val="004254A2"/>
    <w:rsid w:val="00426D71"/>
    <w:rsid w:val="00427415"/>
    <w:rsid w:val="00430256"/>
    <w:rsid w:val="0043105E"/>
    <w:rsid w:val="00431BF1"/>
    <w:rsid w:val="00432809"/>
    <w:rsid w:val="00432E37"/>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77D4"/>
    <w:rsid w:val="00467B1A"/>
    <w:rsid w:val="00467BDD"/>
    <w:rsid w:val="00471640"/>
    <w:rsid w:val="004717F6"/>
    <w:rsid w:val="004720FA"/>
    <w:rsid w:val="0047364D"/>
    <w:rsid w:val="00474471"/>
    <w:rsid w:val="0047481E"/>
    <w:rsid w:val="00474918"/>
    <w:rsid w:val="00475EAF"/>
    <w:rsid w:val="00477055"/>
    <w:rsid w:val="004775DD"/>
    <w:rsid w:val="00480B92"/>
    <w:rsid w:val="00481429"/>
    <w:rsid w:val="004815F8"/>
    <w:rsid w:val="00481E32"/>
    <w:rsid w:val="004831ED"/>
    <w:rsid w:val="004836A7"/>
    <w:rsid w:val="004847B4"/>
    <w:rsid w:val="00484915"/>
    <w:rsid w:val="00484921"/>
    <w:rsid w:val="004849E3"/>
    <w:rsid w:val="004856B8"/>
    <w:rsid w:val="00486614"/>
    <w:rsid w:val="00487304"/>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247B"/>
    <w:rsid w:val="004A28C5"/>
    <w:rsid w:val="004A2BB1"/>
    <w:rsid w:val="004A660C"/>
    <w:rsid w:val="004A6B22"/>
    <w:rsid w:val="004A6B44"/>
    <w:rsid w:val="004A7DBD"/>
    <w:rsid w:val="004B08BB"/>
    <w:rsid w:val="004B0B19"/>
    <w:rsid w:val="004B2539"/>
    <w:rsid w:val="004B2603"/>
    <w:rsid w:val="004B27AE"/>
    <w:rsid w:val="004B2C20"/>
    <w:rsid w:val="004B2E73"/>
    <w:rsid w:val="004B35F0"/>
    <w:rsid w:val="004B37A7"/>
    <w:rsid w:val="004B4426"/>
    <w:rsid w:val="004B5F2A"/>
    <w:rsid w:val="004B74B2"/>
    <w:rsid w:val="004B796A"/>
    <w:rsid w:val="004C0CD0"/>
    <w:rsid w:val="004C1399"/>
    <w:rsid w:val="004C1C09"/>
    <w:rsid w:val="004C2A17"/>
    <w:rsid w:val="004C2B0E"/>
    <w:rsid w:val="004C5507"/>
    <w:rsid w:val="004C6877"/>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F0669"/>
    <w:rsid w:val="004F0E90"/>
    <w:rsid w:val="004F0F5B"/>
    <w:rsid w:val="004F1DA3"/>
    <w:rsid w:val="004F22B8"/>
    <w:rsid w:val="004F2437"/>
    <w:rsid w:val="004F4624"/>
    <w:rsid w:val="004F5573"/>
    <w:rsid w:val="004F5D8B"/>
    <w:rsid w:val="004F634F"/>
    <w:rsid w:val="004F7556"/>
    <w:rsid w:val="004F7A4C"/>
    <w:rsid w:val="00500700"/>
    <w:rsid w:val="0050141B"/>
    <w:rsid w:val="00502638"/>
    <w:rsid w:val="00502899"/>
    <w:rsid w:val="005029BC"/>
    <w:rsid w:val="0050346A"/>
    <w:rsid w:val="005034C7"/>
    <w:rsid w:val="00503739"/>
    <w:rsid w:val="005037C4"/>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B1A"/>
    <w:rsid w:val="00514F84"/>
    <w:rsid w:val="005207F8"/>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797"/>
    <w:rsid w:val="00546FA2"/>
    <w:rsid w:val="00546FBF"/>
    <w:rsid w:val="00547090"/>
    <w:rsid w:val="00547CD4"/>
    <w:rsid w:val="00547EB8"/>
    <w:rsid w:val="00552FC2"/>
    <w:rsid w:val="00553DA2"/>
    <w:rsid w:val="005543FB"/>
    <w:rsid w:val="005546AE"/>
    <w:rsid w:val="00554B1A"/>
    <w:rsid w:val="00555623"/>
    <w:rsid w:val="005562DC"/>
    <w:rsid w:val="00556324"/>
    <w:rsid w:val="00556725"/>
    <w:rsid w:val="00556C4F"/>
    <w:rsid w:val="00557A85"/>
    <w:rsid w:val="005606B5"/>
    <w:rsid w:val="005622CF"/>
    <w:rsid w:val="00562BAD"/>
    <w:rsid w:val="0056365E"/>
    <w:rsid w:val="005656CE"/>
    <w:rsid w:val="00565B98"/>
    <w:rsid w:val="00565C77"/>
    <w:rsid w:val="00566181"/>
    <w:rsid w:val="005668EF"/>
    <w:rsid w:val="00566C45"/>
    <w:rsid w:val="005708BD"/>
    <w:rsid w:val="00571B77"/>
    <w:rsid w:val="00572E61"/>
    <w:rsid w:val="005736DA"/>
    <w:rsid w:val="005737F3"/>
    <w:rsid w:val="00574906"/>
    <w:rsid w:val="00574D8D"/>
    <w:rsid w:val="00574E9E"/>
    <w:rsid w:val="005752BC"/>
    <w:rsid w:val="0057554B"/>
    <w:rsid w:val="0057622F"/>
    <w:rsid w:val="00577817"/>
    <w:rsid w:val="00577977"/>
    <w:rsid w:val="00580854"/>
    <w:rsid w:val="00581017"/>
    <w:rsid w:val="00581719"/>
    <w:rsid w:val="00581D30"/>
    <w:rsid w:val="00583067"/>
    <w:rsid w:val="00584020"/>
    <w:rsid w:val="00584245"/>
    <w:rsid w:val="00584C2D"/>
    <w:rsid w:val="00584D80"/>
    <w:rsid w:val="005855BB"/>
    <w:rsid w:val="00586535"/>
    <w:rsid w:val="00586BB5"/>
    <w:rsid w:val="00586DFB"/>
    <w:rsid w:val="0058701A"/>
    <w:rsid w:val="00587357"/>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4FF"/>
    <w:rsid w:val="005A7E70"/>
    <w:rsid w:val="005B1A53"/>
    <w:rsid w:val="005B40E8"/>
    <w:rsid w:val="005B6DAA"/>
    <w:rsid w:val="005B7314"/>
    <w:rsid w:val="005B7D8B"/>
    <w:rsid w:val="005C03F6"/>
    <w:rsid w:val="005C0475"/>
    <w:rsid w:val="005C153B"/>
    <w:rsid w:val="005C1569"/>
    <w:rsid w:val="005C4045"/>
    <w:rsid w:val="005C4604"/>
    <w:rsid w:val="005C4BEE"/>
    <w:rsid w:val="005C4E18"/>
    <w:rsid w:val="005C6366"/>
    <w:rsid w:val="005C63A0"/>
    <w:rsid w:val="005C6E74"/>
    <w:rsid w:val="005C781C"/>
    <w:rsid w:val="005D2FC8"/>
    <w:rsid w:val="005D330E"/>
    <w:rsid w:val="005D4434"/>
    <w:rsid w:val="005D7A35"/>
    <w:rsid w:val="005E034F"/>
    <w:rsid w:val="005E05B0"/>
    <w:rsid w:val="005E09A7"/>
    <w:rsid w:val="005E18E7"/>
    <w:rsid w:val="005E198B"/>
    <w:rsid w:val="005E19D9"/>
    <w:rsid w:val="005E1D35"/>
    <w:rsid w:val="005E2897"/>
    <w:rsid w:val="005E2A31"/>
    <w:rsid w:val="005E3D2F"/>
    <w:rsid w:val="005E442F"/>
    <w:rsid w:val="005E4EEF"/>
    <w:rsid w:val="005E5625"/>
    <w:rsid w:val="005E5820"/>
    <w:rsid w:val="005E61D8"/>
    <w:rsid w:val="005E7891"/>
    <w:rsid w:val="005E7E2C"/>
    <w:rsid w:val="005F0069"/>
    <w:rsid w:val="005F041B"/>
    <w:rsid w:val="005F1ADE"/>
    <w:rsid w:val="005F1AE5"/>
    <w:rsid w:val="005F1DE5"/>
    <w:rsid w:val="005F29CD"/>
    <w:rsid w:val="005F2C5E"/>
    <w:rsid w:val="005F3175"/>
    <w:rsid w:val="005F3436"/>
    <w:rsid w:val="005F41D8"/>
    <w:rsid w:val="005F4739"/>
    <w:rsid w:val="005F48A7"/>
    <w:rsid w:val="005F642B"/>
    <w:rsid w:val="005F67FC"/>
    <w:rsid w:val="005F745C"/>
    <w:rsid w:val="005F74BE"/>
    <w:rsid w:val="00600F1E"/>
    <w:rsid w:val="00601630"/>
    <w:rsid w:val="006026E1"/>
    <w:rsid w:val="006033EF"/>
    <w:rsid w:val="00603A90"/>
    <w:rsid w:val="00605163"/>
    <w:rsid w:val="006065BF"/>
    <w:rsid w:val="0060662B"/>
    <w:rsid w:val="00606786"/>
    <w:rsid w:val="006070EA"/>
    <w:rsid w:val="00607ABE"/>
    <w:rsid w:val="00607AD1"/>
    <w:rsid w:val="00607F53"/>
    <w:rsid w:val="006103D0"/>
    <w:rsid w:val="0061103A"/>
    <w:rsid w:val="00611EAE"/>
    <w:rsid w:val="0061242F"/>
    <w:rsid w:val="0061364A"/>
    <w:rsid w:val="00613B40"/>
    <w:rsid w:val="00613BEA"/>
    <w:rsid w:val="0061402C"/>
    <w:rsid w:val="00614BF4"/>
    <w:rsid w:val="0061595F"/>
    <w:rsid w:val="00615A79"/>
    <w:rsid w:val="00616179"/>
    <w:rsid w:val="0061675B"/>
    <w:rsid w:val="00617374"/>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B0C"/>
    <w:rsid w:val="006378CA"/>
    <w:rsid w:val="00637BBD"/>
    <w:rsid w:val="00640D17"/>
    <w:rsid w:val="006413C5"/>
    <w:rsid w:val="00641496"/>
    <w:rsid w:val="006419A0"/>
    <w:rsid w:val="00641A99"/>
    <w:rsid w:val="00641C46"/>
    <w:rsid w:val="00642118"/>
    <w:rsid w:val="00642768"/>
    <w:rsid w:val="00644C60"/>
    <w:rsid w:val="00645147"/>
    <w:rsid w:val="00645E69"/>
    <w:rsid w:val="00646130"/>
    <w:rsid w:val="00646ACE"/>
    <w:rsid w:val="006474C0"/>
    <w:rsid w:val="00647927"/>
    <w:rsid w:val="00652B9B"/>
    <w:rsid w:val="00653743"/>
    <w:rsid w:val="00653DD9"/>
    <w:rsid w:val="00654737"/>
    <w:rsid w:val="00654E6A"/>
    <w:rsid w:val="006551FC"/>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906"/>
    <w:rsid w:val="00674FC8"/>
    <w:rsid w:val="00675EF7"/>
    <w:rsid w:val="00676E5B"/>
    <w:rsid w:val="00677D6B"/>
    <w:rsid w:val="00680795"/>
    <w:rsid w:val="00681D75"/>
    <w:rsid w:val="00682713"/>
    <w:rsid w:val="00683451"/>
    <w:rsid w:val="00683579"/>
    <w:rsid w:val="006837FB"/>
    <w:rsid w:val="006853B4"/>
    <w:rsid w:val="006854CE"/>
    <w:rsid w:val="00686B47"/>
    <w:rsid w:val="00686B87"/>
    <w:rsid w:val="0068790B"/>
    <w:rsid w:val="006918FA"/>
    <w:rsid w:val="00691B0A"/>
    <w:rsid w:val="00691C64"/>
    <w:rsid w:val="00691E49"/>
    <w:rsid w:val="00693008"/>
    <w:rsid w:val="006941DD"/>
    <w:rsid w:val="0069466B"/>
    <w:rsid w:val="00694D03"/>
    <w:rsid w:val="00695483"/>
    <w:rsid w:val="0069692D"/>
    <w:rsid w:val="00696B84"/>
    <w:rsid w:val="00696CB7"/>
    <w:rsid w:val="00697240"/>
    <w:rsid w:val="00697297"/>
    <w:rsid w:val="00697D42"/>
    <w:rsid w:val="006A257C"/>
    <w:rsid w:val="006A2615"/>
    <w:rsid w:val="006A2FDD"/>
    <w:rsid w:val="006A4158"/>
    <w:rsid w:val="006A4E15"/>
    <w:rsid w:val="006A5866"/>
    <w:rsid w:val="006A641E"/>
    <w:rsid w:val="006A643C"/>
    <w:rsid w:val="006A735F"/>
    <w:rsid w:val="006B062E"/>
    <w:rsid w:val="006B0F54"/>
    <w:rsid w:val="006B415B"/>
    <w:rsid w:val="006B4C95"/>
    <w:rsid w:val="006B4CBA"/>
    <w:rsid w:val="006B5E5A"/>
    <w:rsid w:val="006C0199"/>
    <w:rsid w:val="006C2E46"/>
    <w:rsid w:val="006C3938"/>
    <w:rsid w:val="006C4E45"/>
    <w:rsid w:val="006C5EE1"/>
    <w:rsid w:val="006C61B1"/>
    <w:rsid w:val="006C789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A2"/>
    <w:rsid w:val="006F710F"/>
    <w:rsid w:val="007001D0"/>
    <w:rsid w:val="00700CE3"/>
    <w:rsid w:val="00700DC0"/>
    <w:rsid w:val="00701498"/>
    <w:rsid w:val="007016C1"/>
    <w:rsid w:val="00701E70"/>
    <w:rsid w:val="00703B73"/>
    <w:rsid w:val="00704F47"/>
    <w:rsid w:val="00705776"/>
    <w:rsid w:val="00706350"/>
    <w:rsid w:val="007072C2"/>
    <w:rsid w:val="0070746B"/>
    <w:rsid w:val="007075CA"/>
    <w:rsid w:val="0071123E"/>
    <w:rsid w:val="0071151E"/>
    <w:rsid w:val="007118AC"/>
    <w:rsid w:val="00713EC8"/>
    <w:rsid w:val="0071482B"/>
    <w:rsid w:val="00714866"/>
    <w:rsid w:val="00714C8F"/>
    <w:rsid w:val="00715A32"/>
    <w:rsid w:val="00716F57"/>
    <w:rsid w:val="00717A74"/>
    <w:rsid w:val="00721409"/>
    <w:rsid w:val="00721CE0"/>
    <w:rsid w:val="007221A2"/>
    <w:rsid w:val="00722935"/>
    <w:rsid w:val="00722ADB"/>
    <w:rsid w:val="00722EF9"/>
    <w:rsid w:val="0072464D"/>
    <w:rsid w:val="007264BB"/>
    <w:rsid w:val="00727815"/>
    <w:rsid w:val="00730403"/>
    <w:rsid w:val="00730E31"/>
    <w:rsid w:val="00731675"/>
    <w:rsid w:val="00731C47"/>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C4D"/>
    <w:rsid w:val="00745E84"/>
    <w:rsid w:val="0074610F"/>
    <w:rsid w:val="0074791F"/>
    <w:rsid w:val="00751F56"/>
    <w:rsid w:val="00753823"/>
    <w:rsid w:val="00754870"/>
    <w:rsid w:val="007553C3"/>
    <w:rsid w:val="007561F0"/>
    <w:rsid w:val="00756632"/>
    <w:rsid w:val="0075754A"/>
    <w:rsid w:val="00757BCE"/>
    <w:rsid w:val="00760554"/>
    <w:rsid w:val="0076083D"/>
    <w:rsid w:val="00761DC2"/>
    <w:rsid w:val="00762B1E"/>
    <w:rsid w:val="00763442"/>
    <w:rsid w:val="007645C5"/>
    <w:rsid w:val="00764B94"/>
    <w:rsid w:val="00765405"/>
    <w:rsid w:val="00766434"/>
    <w:rsid w:val="007667B9"/>
    <w:rsid w:val="00766B96"/>
    <w:rsid w:val="00766BA9"/>
    <w:rsid w:val="00766EA7"/>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61F7"/>
    <w:rsid w:val="00786231"/>
    <w:rsid w:val="00787CF8"/>
    <w:rsid w:val="007900CB"/>
    <w:rsid w:val="007905B2"/>
    <w:rsid w:val="00790E9B"/>
    <w:rsid w:val="007917E7"/>
    <w:rsid w:val="007927C6"/>
    <w:rsid w:val="0079328A"/>
    <w:rsid w:val="0079348E"/>
    <w:rsid w:val="00793EEB"/>
    <w:rsid w:val="0079405B"/>
    <w:rsid w:val="00794288"/>
    <w:rsid w:val="00794C34"/>
    <w:rsid w:val="00795F03"/>
    <w:rsid w:val="00795FDF"/>
    <w:rsid w:val="0079629D"/>
    <w:rsid w:val="0079705F"/>
    <w:rsid w:val="00797E6F"/>
    <w:rsid w:val="007A05F4"/>
    <w:rsid w:val="007A0BB9"/>
    <w:rsid w:val="007A1D73"/>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7D4"/>
    <w:rsid w:val="007C3359"/>
    <w:rsid w:val="007C3E53"/>
    <w:rsid w:val="007C4CCE"/>
    <w:rsid w:val="007C570A"/>
    <w:rsid w:val="007C7616"/>
    <w:rsid w:val="007C79B5"/>
    <w:rsid w:val="007C7D49"/>
    <w:rsid w:val="007D0EEB"/>
    <w:rsid w:val="007D142C"/>
    <w:rsid w:val="007D19FE"/>
    <w:rsid w:val="007D1D99"/>
    <w:rsid w:val="007D427C"/>
    <w:rsid w:val="007D4D2A"/>
    <w:rsid w:val="007D6191"/>
    <w:rsid w:val="007D763D"/>
    <w:rsid w:val="007E00B1"/>
    <w:rsid w:val="007E0749"/>
    <w:rsid w:val="007E1501"/>
    <w:rsid w:val="007E2F87"/>
    <w:rsid w:val="007E334F"/>
    <w:rsid w:val="007E57B5"/>
    <w:rsid w:val="007E5B34"/>
    <w:rsid w:val="007E5D39"/>
    <w:rsid w:val="007E6201"/>
    <w:rsid w:val="007E66C8"/>
    <w:rsid w:val="007E67BD"/>
    <w:rsid w:val="007E6BBD"/>
    <w:rsid w:val="007E7F80"/>
    <w:rsid w:val="007F06E1"/>
    <w:rsid w:val="007F088B"/>
    <w:rsid w:val="007F0C09"/>
    <w:rsid w:val="007F2687"/>
    <w:rsid w:val="007F3AC3"/>
    <w:rsid w:val="007F3E75"/>
    <w:rsid w:val="007F517F"/>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DAB"/>
    <w:rsid w:val="0081476B"/>
    <w:rsid w:val="00815871"/>
    <w:rsid w:val="00816E4A"/>
    <w:rsid w:val="00821789"/>
    <w:rsid w:val="0082180B"/>
    <w:rsid w:val="0082254F"/>
    <w:rsid w:val="008228BC"/>
    <w:rsid w:val="00824637"/>
    <w:rsid w:val="00825D4F"/>
    <w:rsid w:val="00825E7C"/>
    <w:rsid w:val="00826887"/>
    <w:rsid w:val="00830017"/>
    <w:rsid w:val="00830787"/>
    <w:rsid w:val="00830DC9"/>
    <w:rsid w:val="00830E13"/>
    <w:rsid w:val="00832B7A"/>
    <w:rsid w:val="00833A6A"/>
    <w:rsid w:val="00833E2F"/>
    <w:rsid w:val="0083594F"/>
    <w:rsid w:val="008368F3"/>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545"/>
    <w:rsid w:val="008638C0"/>
    <w:rsid w:val="00863E43"/>
    <w:rsid w:val="00864B39"/>
    <w:rsid w:val="00865A76"/>
    <w:rsid w:val="008663D7"/>
    <w:rsid w:val="0086730B"/>
    <w:rsid w:val="008679E6"/>
    <w:rsid w:val="00867A0F"/>
    <w:rsid w:val="008704EB"/>
    <w:rsid w:val="00871811"/>
    <w:rsid w:val="0087216E"/>
    <w:rsid w:val="00872E1F"/>
    <w:rsid w:val="00873942"/>
    <w:rsid w:val="00873B8D"/>
    <w:rsid w:val="0087580E"/>
    <w:rsid w:val="00875E6B"/>
    <w:rsid w:val="00880558"/>
    <w:rsid w:val="00882B95"/>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DDE"/>
    <w:rsid w:val="008A20C9"/>
    <w:rsid w:val="008A2D14"/>
    <w:rsid w:val="008A371D"/>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1353"/>
    <w:rsid w:val="008C1506"/>
    <w:rsid w:val="008C1E3D"/>
    <w:rsid w:val="008C2A8A"/>
    <w:rsid w:val="008C2D30"/>
    <w:rsid w:val="008C33F2"/>
    <w:rsid w:val="008C346A"/>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4C3"/>
    <w:rsid w:val="008D7DFC"/>
    <w:rsid w:val="008E00FD"/>
    <w:rsid w:val="008E07C6"/>
    <w:rsid w:val="008E0C5A"/>
    <w:rsid w:val="008E1B13"/>
    <w:rsid w:val="008E1F87"/>
    <w:rsid w:val="008E33EA"/>
    <w:rsid w:val="008E354A"/>
    <w:rsid w:val="008E3C83"/>
    <w:rsid w:val="008E4180"/>
    <w:rsid w:val="008E5F84"/>
    <w:rsid w:val="008E63D2"/>
    <w:rsid w:val="008E6A1B"/>
    <w:rsid w:val="008E6FF6"/>
    <w:rsid w:val="008E72E5"/>
    <w:rsid w:val="008E73F9"/>
    <w:rsid w:val="008E79F9"/>
    <w:rsid w:val="008F0EA9"/>
    <w:rsid w:val="008F1011"/>
    <w:rsid w:val="008F13CD"/>
    <w:rsid w:val="008F1B1E"/>
    <w:rsid w:val="008F2B7E"/>
    <w:rsid w:val="008F411D"/>
    <w:rsid w:val="008F440E"/>
    <w:rsid w:val="008F4D31"/>
    <w:rsid w:val="008F53F5"/>
    <w:rsid w:val="008F5FF0"/>
    <w:rsid w:val="008F61F2"/>
    <w:rsid w:val="008F63BC"/>
    <w:rsid w:val="008F6485"/>
    <w:rsid w:val="008F693F"/>
    <w:rsid w:val="008F710C"/>
    <w:rsid w:val="008F7B17"/>
    <w:rsid w:val="008F7F78"/>
    <w:rsid w:val="00900316"/>
    <w:rsid w:val="00900461"/>
    <w:rsid w:val="0090122A"/>
    <w:rsid w:val="0090394F"/>
    <w:rsid w:val="0090444A"/>
    <w:rsid w:val="009054D3"/>
    <w:rsid w:val="009073FA"/>
    <w:rsid w:val="00907B9D"/>
    <w:rsid w:val="00910CFA"/>
    <w:rsid w:val="009125D2"/>
    <w:rsid w:val="00915E3F"/>
    <w:rsid w:val="00916744"/>
    <w:rsid w:val="009208A3"/>
    <w:rsid w:val="00920B3C"/>
    <w:rsid w:val="009221AD"/>
    <w:rsid w:val="0092273F"/>
    <w:rsid w:val="009238F1"/>
    <w:rsid w:val="00923F02"/>
    <w:rsid w:val="009249B4"/>
    <w:rsid w:val="00925F57"/>
    <w:rsid w:val="00926387"/>
    <w:rsid w:val="00926716"/>
    <w:rsid w:val="00926D62"/>
    <w:rsid w:val="009270DB"/>
    <w:rsid w:val="009303A2"/>
    <w:rsid w:val="009306DA"/>
    <w:rsid w:val="009309B5"/>
    <w:rsid w:val="00930B30"/>
    <w:rsid w:val="009323DF"/>
    <w:rsid w:val="00932AFC"/>
    <w:rsid w:val="00932D00"/>
    <w:rsid w:val="0093491F"/>
    <w:rsid w:val="00935901"/>
    <w:rsid w:val="00935C11"/>
    <w:rsid w:val="00935E14"/>
    <w:rsid w:val="00936DBA"/>
    <w:rsid w:val="00940B86"/>
    <w:rsid w:val="00940EC7"/>
    <w:rsid w:val="00942454"/>
    <w:rsid w:val="00943D26"/>
    <w:rsid w:val="00943F89"/>
    <w:rsid w:val="00943F9E"/>
    <w:rsid w:val="009442CE"/>
    <w:rsid w:val="0094480E"/>
    <w:rsid w:val="00947A13"/>
    <w:rsid w:val="00947B5B"/>
    <w:rsid w:val="00947C49"/>
    <w:rsid w:val="00951BD3"/>
    <w:rsid w:val="009524D4"/>
    <w:rsid w:val="00952B8F"/>
    <w:rsid w:val="00954B35"/>
    <w:rsid w:val="009559F2"/>
    <w:rsid w:val="00955EDF"/>
    <w:rsid w:val="009571BF"/>
    <w:rsid w:val="00957310"/>
    <w:rsid w:val="0095750D"/>
    <w:rsid w:val="0096289C"/>
    <w:rsid w:val="00962B8F"/>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A7C"/>
    <w:rsid w:val="0097587B"/>
    <w:rsid w:val="009766FE"/>
    <w:rsid w:val="00976EE8"/>
    <w:rsid w:val="00977715"/>
    <w:rsid w:val="00980345"/>
    <w:rsid w:val="00980439"/>
    <w:rsid w:val="00981BC8"/>
    <w:rsid w:val="00982444"/>
    <w:rsid w:val="00982BA7"/>
    <w:rsid w:val="00982D92"/>
    <w:rsid w:val="00982F10"/>
    <w:rsid w:val="009834A0"/>
    <w:rsid w:val="00984330"/>
    <w:rsid w:val="009843A8"/>
    <w:rsid w:val="00984939"/>
    <w:rsid w:val="00984956"/>
    <w:rsid w:val="0098499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6214"/>
    <w:rsid w:val="009C672A"/>
    <w:rsid w:val="009C7B18"/>
    <w:rsid w:val="009C7D55"/>
    <w:rsid w:val="009C7E61"/>
    <w:rsid w:val="009C7F52"/>
    <w:rsid w:val="009D06B8"/>
    <w:rsid w:val="009D07F2"/>
    <w:rsid w:val="009D0F23"/>
    <w:rsid w:val="009D1852"/>
    <w:rsid w:val="009D1884"/>
    <w:rsid w:val="009D24A3"/>
    <w:rsid w:val="009D2FD6"/>
    <w:rsid w:val="009D3295"/>
    <w:rsid w:val="009D3665"/>
    <w:rsid w:val="009D3C84"/>
    <w:rsid w:val="009D40C6"/>
    <w:rsid w:val="009D627C"/>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C02"/>
    <w:rsid w:val="00A02D08"/>
    <w:rsid w:val="00A045F8"/>
    <w:rsid w:val="00A05113"/>
    <w:rsid w:val="00A054DC"/>
    <w:rsid w:val="00A063A9"/>
    <w:rsid w:val="00A069AE"/>
    <w:rsid w:val="00A101CB"/>
    <w:rsid w:val="00A10389"/>
    <w:rsid w:val="00A1133E"/>
    <w:rsid w:val="00A11888"/>
    <w:rsid w:val="00A11E62"/>
    <w:rsid w:val="00A11E8F"/>
    <w:rsid w:val="00A12369"/>
    <w:rsid w:val="00A14357"/>
    <w:rsid w:val="00A14C35"/>
    <w:rsid w:val="00A151BD"/>
    <w:rsid w:val="00A1524F"/>
    <w:rsid w:val="00A156CA"/>
    <w:rsid w:val="00A15E2E"/>
    <w:rsid w:val="00A15E63"/>
    <w:rsid w:val="00A1627A"/>
    <w:rsid w:val="00A167D9"/>
    <w:rsid w:val="00A17672"/>
    <w:rsid w:val="00A20C5D"/>
    <w:rsid w:val="00A21C3B"/>
    <w:rsid w:val="00A222CA"/>
    <w:rsid w:val="00A2261E"/>
    <w:rsid w:val="00A22867"/>
    <w:rsid w:val="00A239CC"/>
    <w:rsid w:val="00A23BC2"/>
    <w:rsid w:val="00A2496A"/>
    <w:rsid w:val="00A250EC"/>
    <w:rsid w:val="00A25778"/>
    <w:rsid w:val="00A25AF3"/>
    <w:rsid w:val="00A25C6C"/>
    <w:rsid w:val="00A279AC"/>
    <w:rsid w:val="00A27FDE"/>
    <w:rsid w:val="00A30C5D"/>
    <w:rsid w:val="00A310F1"/>
    <w:rsid w:val="00A31344"/>
    <w:rsid w:val="00A31C68"/>
    <w:rsid w:val="00A326A6"/>
    <w:rsid w:val="00A35FAA"/>
    <w:rsid w:val="00A361FE"/>
    <w:rsid w:val="00A36A17"/>
    <w:rsid w:val="00A40163"/>
    <w:rsid w:val="00A409BC"/>
    <w:rsid w:val="00A42F6D"/>
    <w:rsid w:val="00A44612"/>
    <w:rsid w:val="00A44720"/>
    <w:rsid w:val="00A45B90"/>
    <w:rsid w:val="00A46984"/>
    <w:rsid w:val="00A4741A"/>
    <w:rsid w:val="00A51337"/>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9DF"/>
    <w:rsid w:val="00A751AD"/>
    <w:rsid w:val="00A773CD"/>
    <w:rsid w:val="00A775CF"/>
    <w:rsid w:val="00A77614"/>
    <w:rsid w:val="00A77853"/>
    <w:rsid w:val="00A778DC"/>
    <w:rsid w:val="00A77FAF"/>
    <w:rsid w:val="00A80C87"/>
    <w:rsid w:val="00A8291E"/>
    <w:rsid w:val="00A837EF"/>
    <w:rsid w:val="00A84503"/>
    <w:rsid w:val="00A847AE"/>
    <w:rsid w:val="00A85EF9"/>
    <w:rsid w:val="00A867DA"/>
    <w:rsid w:val="00A8782F"/>
    <w:rsid w:val="00A90521"/>
    <w:rsid w:val="00A9167D"/>
    <w:rsid w:val="00A91CFD"/>
    <w:rsid w:val="00A9238F"/>
    <w:rsid w:val="00A92D25"/>
    <w:rsid w:val="00A93613"/>
    <w:rsid w:val="00A94689"/>
    <w:rsid w:val="00A94DDB"/>
    <w:rsid w:val="00A94EAE"/>
    <w:rsid w:val="00A965CD"/>
    <w:rsid w:val="00A972AE"/>
    <w:rsid w:val="00A977A6"/>
    <w:rsid w:val="00AA167E"/>
    <w:rsid w:val="00AA27AA"/>
    <w:rsid w:val="00AA2DF3"/>
    <w:rsid w:val="00AA395E"/>
    <w:rsid w:val="00AA3C00"/>
    <w:rsid w:val="00AA4995"/>
    <w:rsid w:val="00AA50BC"/>
    <w:rsid w:val="00AA5BF3"/>
    <w:rsid w:val="00AB1F3B"/>
    <w:rsid w:val="00AB24E7"/>
    <w:rsid w:val="00AB2591"/>
    <w:rsid w:val="00AB3237"/>
    <w:rsid w:val="00AB3917"/>
    <w:rsid w:val="00AB3A2D"/>
    <w:rsid w:val="00AB5DBB"/>
    <w:rsid w:val="00AB5E21"/>
    <w:rsid w:val="00AB75AE"/>
    <w:rsid w:val="00AB76EC"/>
    <w:rsid w:val="00AB7933"/>
    <w:rsid w:val="00AC13C9"/>
    <w:rsid w:val="00AC3A08"/>
    <w:rsid w:val="00AC3D18"/>
    <w:rsid w:val="00AC4596"/>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964"/>
    <w:rsid w:val="00B04E2F"/>
    <w:rsid w:val="00B06DA5"/>
    <w:rsid w:val="00B10605"/>
    <w:rsid w:val="00B10F95"/>
    <w:rsid w:val="00B11B0A"/>
    <w:rsid w:val="00B12331"/>
    <w:rsid w:val="00B141CD"/>
    <w:rsid w:val="00B14A14"/>
    <w:rsid w:val="00B15B71"/>
    <w:rsid w:val="00B176D9"/>
    <w:rsid w:val="00B21941"/>
    <w:rsid w:val="00B21A4D"/>
    <w:rsid w:val="00B21EB4"/>
    <w:rsid w:val="00B22551"/>
    <w:rsid w:val="00B2394E"/>
    <w:rsid w:val="00B23FDC"/>
    <w:rsid w:val="00B2691D"/>
    <w:rsid w:val="00B26C44"/>
    <w:rsid w:val="00B27820"/>
    <w:rsid w:val="00B27828"/>
    <w:rsid w:val="00B30944"/>
    <w:rsid w:val="00B3267D"/>
    <w:rsid w:val="00B33F4D"/>
    <w:rsid w:val="00B34D2F"/>
    <w:rsid w:val="00B36299"/>
    <w:rsid w:val="00B36CFC"/>
    <w:rsid w:val="00B37148"/>
    <w:rsid w:val="00B37AFC"/>
    <w:rsid w:val="00B4016F"/>
    <w:rsid w:val="00B42B56"/>
    <w:rsid w:val="00B4311D"/>
    <w:rsid w:val="00B43CCD"/>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2F9"/>
    <w:rsid w:val="00B6230B"/>
    <w:rsid w:val="00B62ABE"/>
    <w:rsid w:val="00B64DE4"/>
    <w:rsid w:val="00B6582F"/>
    <w:rsid w:val="00B676B8"/>
    <w:rsid w:val="00B70250"/>
    <w:rsid w:val="00B70C9E"/>
    <w:rsid w:val="00B70CFD"/>
    <w:rsid w:val="00B710B9"/>
    <w:rsid w:val="00B71222"/>
    <w:rsid w:val="00B7177E"/>
    <w:rsid w:val="00B71A79"/>
    <w:rsid w:val="00B71C51"/>
    <w:rsid w:val="00B73379"/>
    <w:rsid w:val="00B7358B"/>
    <w:rsid w:val="00B7388C"/>
    <w:rsid w:val="00B73A03"/>
    <w:rsid w:val="00B73E0D"/>
    <w:rsid w:val="00B7522C"/>
    <w:rsid w:val="00B758DA"/>
    <w:rsid w:val="00B81E0C"/>
    <w:rsid w:val="00B829DD"/>
    <w:rsid w:val="00B830A1"/>
    <w:rsid w:val="00B83705"/>
    <w:rsid w:val="00B83CA0"/>
    <w:rsid w:val="00B84243"/>
    <w:rsid w:val="00B85012"/>
    <w:rsid w:val="00B85C34"/>
    <w:rsid w:val="00B86CCD"/>
    <w:rsid w:val="00B876C0"/>
    <w:rsid w:val="00B87DAF"/>
    <w:rsid w:val="00B90671"/>
    <w:rsid w:val="00B9123F"/>
    <w:rsid w:val="00B91A8B"/>
    <w:rsid w:val="00B92307"/>
    <w:rsid w:val="00B9315D"/>
    <w:rsid w:val="00B93884"/>
    <w:rsid w:val="00B943F1"/>
    <w:rsid w:val="00B94A65"/>
    <w:rsid w:val="00B94ADF"/>
    <w:rsid w:val="00B94FB4"/>
    <w:rsid w:val="00B95854"/>
    <w:rsid w:val="00B95D2D"/>
    <w:rsid w:val="00B9676C"/>
    <w:rsid w:val="00BA067E"/>
    <w:rsid w:val="00BA0966"/>
    <w:rsid w:val="00BA0DE9"/>
    <w:rsid w:val="00BA0F2F"/>
    <w:rsid w:val="00BA10D3"/>
    <w:rsid w:val="00BA2783"/>
    <w:rsid w:val="00BA379F"/>
    <w:rsid w:val="00BA4006"/>
    <w:rsid w:val="00BA4952"/>
    <w:rsid w:val="00BA5660"/>
    <w:rsid w:val="00BA66C1"/>
    <w:rsid w:val="00BA6777"/>
    <w:rsid w:val="00BB048B"/>
    <w:rsid w:val="00BB2A98"/>
    <w:rsid w:val="00BB2EB5"/>
    <w:rsid w:val="00BB3AB5"/>
    <w:rsid w:val="00BB3CA7"/>
    <w:rsid w:val="00BB3DA8"/>
    <w:rsid w:val="00BB498B"/>
    <w:rsid w:val="00BB6D23"/>
    <w:rsid w:val="00BB721D"/>
    <w:rsid w:val="00BB7455"/>
    <w:rsid w:val="00BC156E"/>
    <w:rsid w:val="00BC1DBD"/>
    <w:rsid w:val="00BC2C65"/>
    <w:rsid w:val="00BC3CAB"/>
    <w:rsid w:val="00BC42CE"/>
    <w:rsid w:val="00BC6702"/>
    <w:rsid w:val="00BD1B28"/>
    <w:rsid w:val="00BD210E"/>
    <w:rsid w:val="00BD4954"/>
    <w:rsid w:val="00BD4CE9"/>
    <w:rsid w:val="00BD6EF9"/>
    <w:rsid w:val="00BE073D"/>
    <w:rsid w:val="00BE0851"/>
    <w:rsid w:val="00BE0E29"/>
    <w:rsid w:val="00BE1C0C"/>
    <w:rsid w:val="00BE2BB5"/>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472"/>
    <w:rsid w:val="00C07DEC"/>
    <w:rsid w:val="00C1005F"/>
    <w:rsid w:val="00C10659"/>
    <w:rsid w:val="00C107D2"/>
    <w:rsid w:val="00C11F05"/>
    <w:rsid w:val="00C11F2F"/>
    <w:rsid w:val="00C12D0A"/>
    <w:rsid w:val="00C13DA0"/>
    <w:rsid w:val="00C15DEF"/>
    <w:rsid w:val="00C1668D"/>
    <w:rsid w:val="00C20196"/>
    <w:rsid w:val="00C2082C"/>
    <w:rsid w:val="00C20E76"/>
    <w:rsid w:val="00C21074"/>
    <w:rsid w:val="00C23647"/>
    <w:rsid w:val="00C23A8F"/>
    <w:rsid w:val="00C23B01"/>
    <w:rsid w:val="00C2476F"/>
    <w:rsid w:val="00C2641F"/>
    <w:rsid w:val="00C276B1"/>
    <w:rsid w:val="00C277D5"/>
    <w:rsid w:val="00C27DA0"/>
    <w:rsid w:val="00C3009E"/>
    <w:rsid w:val="00C30161"/>
    <w:rsid w:val="00C31E81"/>
    <w:rsid w:val="00C3239B"/>
    <w:rsid w:val="00C3324A"/>
    <w:rsid w:val="00C337BF"/>
    <w:rsid w:val="00C342CD"/>
    <w:rsid w:val="00C34390"/>
    <w:rsid w:val="00C3498D"/>
    <w:rsid w:val="00C34C59"/>
    <w:rsid w:val="00C359BA"/>
    <w:rsid w:val="00C35C04"/>
    <w:rsid w:val="00C36699"/>
    <w:rsid w:val="00C36775"/>
    <w:rsid w:val="00C37070"/>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3EF2"/>
    <w:rsid w:val="00C544C7"/>
    <w:rsid w:val="00C547E0"/>
    <w:rsid w:val="00C55846"/>
    <w:rsid w:val="00C574B8"/>
    <w:rsid w:val="00C6305B"/>
    <w:rsid w:val="00C630DC"/>
    <w:rsid w:val="00C63109"/>
    <w:rsid w:val="00C632C4"/>
    <w:rsid w:val="00C63C1F"/>
    <w:rsid w:val="00C63ED7"/>
    <w:rsid w:val="00C6568C"/>
    <w:rsid w:val="00C660C1"/>
    <w:rsid w:val="00C66EB8"/>
    <w:rsid w:val="00C71E48"/>
    <w:rsid w:val="00C727FF"/>
    <w:rsid w:val="00C73423"/>
    <w:rsid w:val="00C73911"/>
    <w:rsid w:val="00C74126"/>
    <w:rsid w:val="00C74C39"/>
    <w:rsid w:val="00C74DA9"/>
    <w:rsid w:val="00C74E83"/>
    <w:rsid w:val="00C7638D"/>
    <w:rsid w:val="00C763EA"/>
    <w:rsid w:val="00C801E7"/>
    <w:rsid w:val="00C8049D"/>
    <w:rsid w:val="00C81D03"/>
    <w:rsid w:val="00C8215F"/>
    <w:rsid w:val="00C854F5"/>
    <w:rsid w:val="00C85652"/>
    <w:rsid w:val="00C85E77"/>
    <w:rsid w:val="00C8748F"/>
    <w:rsid w:val="00C87FB8"/>
    <w:rsid w:val="00C910C7"/>
    <w:rsid w:val="00C919F4"/>
    <w:rsid w:val="00C91CF4"/>
    <w:rsid w:val="00C92123"/>
    <w:rsid w:val="00C94110"/>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50E"/>
    <w:rsid w:val="00CA474A"/>
    <w:rsid w:val="00CA475B"/>
    <w:rsid w:val="00CA4819"/>
    <w:rsid w:val="00CA49A3"/>
    <w:rsid w:val="00CA600B"/>
    <w:rsid w:val="00CA709C"/>
    <w:rsid w:val="00CB1F59"/>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5AB0"/>
    <w:rsid w:val="00CC678E"/>
    <w:rsid w:val="00CC6AFF"/>
    <w:rsid w:val="00CC7ED8"/>
    <w:rsid w:val="00CC7F08"/>
    <w:rsid w:val="00CD054D"/>
    <w:rsid w:val="00CD1BF3"/>
    <w:rsid w:val="00CD3382"/>
    <w:rsid w:val="00CD4B53"/>
    <w:rsid w:val="00CD4E98"/>
    <w:rsid w:val="00CD4EE0"/>
    <w:rsid w:val="00CD5B1A"/>
    <w:rsid w:val="00CD64D0"/>
    <w:rsid w:val="00CD7E08"/>
    <w:rsid w:val="00CE0085"/>
    <w:rsid w:val="00CE0472"/>
    <w:rsid w:val="00CE2B6C"/>
    <w:rsid w:val="00CE2C1A"/>
    <w:rsid w:val="00CE3F53"/>
    <w:rsid w:val="00CE4132"/>
    <w:rsid w:val="00CE4134"/>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24C7"/>
    <w:rsid w:val="00D02EF1"/>
    <w:rsid w:val="00D042D9"/>
    <w:rsid w:val="00D05719"/>
    <w:rsid w:val="00D07857"/>
    <w:rsid w:val="00D07A8D"/>
    <w:rsid w:val="00D1024D"/>
    <w:rsid w:val="00D10861"/>
    <w:rsid w:val="00D120BF"/>
    <w:rsid w:val="00D12303"/>
    <w:rsid w:val="00D12D32"/>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F56"/>
    <w:rsid w:val="00D549BF"/>
    <w:rsid w:val="00D54B63"/>
    <w:rsid w:val="00D551E1"/>
    <w:rsid w:val="00D55693"/>
    <w:rsid w:val="00D55763"/>
    <w:rsid w:val="00D56EA2"/>
    <w:rsid w:val="00D5708A"/>
    <w:rsid w:val="00D576B5"/>
    <w:rsid w:val="00D57849"/>
    <w:rsid w:val="00D579C5"/>
    <w:rsid w:val="00D60439"/>
    <w:rsid w:val="00D6070D"/>
    <w:rsid w:val="00D6119D"/>
    <w:rsid w:val="00D6199A"/>
    <w:rsid w:val="00D62AB4"/>
    <w:rsid w:val="00D634BA"/>
    <w:rsid w:val="00D64114"/>
    <w:rsid w:val="00D65203"/>
    <w:rsid w:val="00D6661E"/>
    <w:rsid w:val="00D677D2"/>
    <w:rsid w:val="00D678C7"/>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872"/>
    <w:rsid w:val="00D81071"/>
    <w:rsid w:val="00D819DB"/>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C6D42"/>
    <w:rsid w:val="00DD051E"/>
    <w:rsid w:val="00DD0BA0"/>
    <w:rsid w:val="00DD105A"/>
    <w:rsid w:val="00DD1172"/>
    <w:rsid w:val="00DD1688"/>
    <w:rsid w:val="00DD314A"/>
    <w:rsid w:val="00DD3E55"/>
    <w:rsid w:val="00DD472E"/>
    <w:rsid w:val="00DD4DF3"/>
    <w:rsid w:val="00DD4F6D"/>
    <w:rsid w:val="00DD7B40"/>
    <w:rsid w:val="00DE062B"/>
    <w:rsid w:val="00DE117E"/>
    <w:rsid w:val="00DE1987"/>
    <w:rsid w:val="00DE2A71"/>
    <w:rsid w:val="00DE32AD"/>
    <w:rsid w:val="00DE36CF"/>
    <w:rsid w:val="00DE3D40"/>
    <w:rsid w:val="00DE42BA"/>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2AC1"/>
    <w:rsid w:val="00E04F31"/>
    <w:rsid w:val="00E0522C"/>
    <w:rsid w:val="00E05452"/>
    <w:rsid w:val="00E054BA"/>
    <w:rsid w:val="00E05967"/>
    <w:rsid w:val="00E06F9F"/>
    <w:rsid w:val="00E074F9"/>
    <w:rsid w:val="00E07556"/>
    <w:rsid w:val="00E1099E"/>
    <w:rsid w:val="00E10D3F"/>
    <w:rsid w:val="00E1129E"/>
    <w:rsid w:val="00E121DD"/>
    <w:rsid w:val="00E1318C"/>
    <w:rsid w:val="00E13A4E"/>
    <w:rsid w:val="00E15A7E"/>
    <w:rsid w:val="00E16188"/>
    <w:rsid w:val="00E1675C"/>
    <w:rsid w:val="00E16977"/>
    <w:rsid w:val="00E16BE1"/>
    <w:rsid w:val="00E17DAB"/>
    <w:rsid w:val="00E20628"/>
    <w:rsid w:val="00E2103B"/>
    <w:rsid w:val="00E214BB"/>
    <w:rsid w:val="00E22A07"/>
    <w:rsid w:val="00E23888"/>
    <w:rsid w:val="00E247C3"/>
    <w:rsid w:val="00E253F7"/>
    <w:rsid w:val="00E26003"/>
    <w:rsid w:val="00E27231"/>
    <w:rsid w:val="00E273FF"/>
    <w:rsid w:val="00E27B91"/>
    <w:rsid w:val="00E30E1D"/>
    <w:rsid w:val="00E30FE2"/>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7C8"/>
    <w:rsid w:val="00E67C82"/>
    <w:rsid w:val="00E702CE"/>
    <w:rsid w:val="00E70F0A"/>
    <w:rsid w:val="00E71844"/>
    <w:rsid w:val="00E731D7"/>
    <w:rsid w:val="00E73765"/>
    <w:rsid w:val="00E74ACE"/>
    <w:rsid w:val="00E75C60"/>
    <w:rsid w:val="00E77072"/>
    <w:rsid w:val="00E77C06"/>
    <w:rsid w:val="00E8088C"/>
    <w:rsid w:val="00E815C7"/>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7527"/>
    <w:rsid w:val="00E97A3D"/>
    <w:rsid w:val="00EA08C4"/>
    <w:rsid w:val="00EA186C"/>
    <w:rsid w:val="00EA2057"/>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1FF7"/>
    <w:rsid w:val="00F0279F"/>
    <w:rsid w:val="00F02EC1"/>
    <w:rsid w:val="00F034F1"/>
    <w:rsid w:val="00F05891"/>
    <w:rsid w:val="00F05908"/>
    <w:rsid w:val="00F06516"/>
    <w:rsid w:val="00F10081"/>
    <w:rsid w:val="00F10305"/>
    <w:rsid w:val="00F1076B"/>
    <w:rsid w:val="00F10AD7"/>
    <w:rsid w:val="00F10D71"/>
    <w:rsid w:val="00F10DF6"/>
    <w:rsid w:val="00F11B9B"/>
    <w:rsid w:val="00F11D20"/>
    <w:rsid w:val="00F120D0"/>
    <w:rsid w:val="00F13E0D"/>
    <w:rsid w:val="00F1421D"/>
    <w:rsid w:val="00F17AB4"/>
    <w:rsid w:val="00F20B6E"/>
    <w:rsid w:val="00F20FF5"/>
    <w:rsid w:val="00F248EC"/>
    <w:rsid w:val="00F24BCF"/>
    <w:rsid w:val="00F24C64"/>
    <w:rsid w:val="00F25ABC"/>
    <w:rsid w:val="00F2639B"/>
    <w:rsid w:val="00F26B48"/>
    <w:rsid w:val="00F276EE"/>
    <w:rsid w:val="00F3042A"/>
    <w:rsid w:val="00F30CF5"/>
    <w:rsid w:val="00F3255F"/>
    <w:rsid w:val="00F33271"/>
    <w:rsid w:val="00F3510E"/>
    <w:rsid w:val="00F35B8D"/>
    <w:rsid w:val="00F373DC"/>
    <w:rsid w:val="00F37EF3"/>
    <w:rsid w:val="00F400A3"/>
    <w:rsid w:val="00F403D6"/>
    <w:rsid w:val="00F4062A"/>
    <w:rsid w:val="00F40782"/>
    <w:rsid w:val="00F422EF"/>
    <w:rsid w:val="00F42894"/>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26C2"/>
    <w:rsid w:val="00F63F85"/>
    <w:rsid w:val="00F6520B"/>
    <w:rsid w:val="00F65819"/>
    <w:rsid w:val="00F67804"/>
    <w:rsid w:val="00F67A6B"/>
    <w:rsid w:val="00F67E91"/>
    <w:rsid w:val="00F72C27"/>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908F8"/>
    <w:rsid w:val="00F92442"/>
    <w:rsid w:val="00F9247A"/>
    <w:rsid w:val="00F9267D"/>
    <w:rsid w:val="00F926C8"/>
    <w:rsid w:val="00F937B0"/>
    <w:rsid w:val="00F93C2F"/>
    <w:rsid w:val="00F96350"/>
    <w:rsid w:val="00F96C05"/>
    <w:rsid w:val="00F97494"/>
    <w:rsid w:val="00F97D2D"/>
    <w:rsid w:val="00FA040D"/>
    <w:rsid w:val="00FA05A4"/>
    <w:rsid w:val="00FA1103"/>
    <w:rsid w:val="00FA172D"/>
    <w:rsid w:val="00FA1AF5"/>
    <w:rsid w:val="00FA2F87"/>
    <w:rsid w:val="00FA3020"/>
    <w:rsid w:val="00FA30C2"/>
    <w:rsid w:val="00FA372A"/>
    <w:rsid w:val="00FA4313"/>
    <w:rsid w:val="00FA63B6"/>
    <w:rsid w:val="00FA7135"/>
    <w:rsid w:val="00FA784C"/>
    <w:rsid w:val="00FB058F"/>
    <w:rsid w:val="00FB06E1"/>
    <w:rsid w:val="00FB0ADC"/>
    <w:rsid w:val="00FB0CA2"/>
    <w:rsid w:val="00FB471F"/>
    <w:rsid w:val="00FB481E"/>
    <w:rsid w:val="00FB6912"/>
    <w:rsid w:val="00FB703A"/>
    <w:rsid w:val="00FC00DD"/>
    <w:rsid w:val="00FC0A72"/>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D1B30"/>
    <w:rsid w:val="00FD3D3E"/>
    <w:rsid w:val="00FD4E9B"/>
    <w:rsid w:val="00FD5051"/>
    <w:rsid w:val="00FD5958"/>
    <w:rsid w:val="00FD5A0F"/>
    <w:rsid w:val="00FD756D"/>
    <w:rsid w:val="00FD7972"/>
    <w:rsid w:val="00FE059A"/>
    <w:rsid w:val="00FE0781"/>
    <w:rsid w:val="00FE0FB2"/>
    <w:rsid w:val="00FE1692"/>
    <w:rsid w:val="00FE29AF"/>
    <w:rsid w:val="00FE3D65"/>
    <w:rsid w:val="00FE54AE"/>
    <w:rsid w:val="00FE7586"/>
    <w:rsid w:val="00FF0A6A"/>
    <w:rsid w:val="00FF19F0"/>
    <w:rsid w:val="00FF1A8D"/>
    <w:rsid w:val="00FF1E56"/>
    <w:rsid w:val="00FF2339"/>
    <w:rsid w:val="00FF2430"/>
    <w:rsid w:val="00FF26B9"/>
    <w:rsid w:val="00FF2DDB"/>
    <w:rsid w:val="00FF33AA"/>
    <w:rsid w:val="00FF371D"/>
    <w:rsid w:val="00FF4B33"/>
    <w:rsid w:val="00FF5F0D"/>
    <w:rsid w:val="00FF637D"/>
    <w:rsid w:val="00FF64CF"/>
    <w:rsid w:val="00FF6B5D"/>
    <w:rsid w:val="00FF75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s>
</file>

<file path=word/webSettings.xml><?xml version="1.0" encoding="utf-8"?>
<w:webSettings xmlns:r="http://schemas.openxmlformats.org/officeDocument/2006/relationships" xmlns:w="http://schemas.openxmlformats.org/wordprocessingml/2006/main">
  <w:divs>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1446347">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6916217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9399748">
      <w:bodyDiv w:val="1"/>
      <w:marLeft w:val="0"/>
      <w:marRight w:val="0"/>
      <w:marTop w:val="0"/>
      <w:marBottom w:val="0"/>
      <w:divBdr>
        <w:top w:val="none" w:sz="0" w:space="0" w:color="auto"/>
        <w:left w:val="none" w:sz="0" w:space="0" w:color="auto"/>
        <w:bottom w:val="none" w:sz="0" w:space="0" w:color="auto"/>
        <w:right w:val="none" w:sz="0" w:space="0" w:color="auto"/>
      </w:divBdr>
    </w:div>
    <w:div w:id="11667904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047508">
      <w:bodyDiv w:val="1"/>
      <w:marLeft w:val="0"/>
      <w:marRight w:val="0"/>
      <w:marTop w:val="0"/>
      <w:marBottom w:val="0"/>
      <w:divBdr>
        <w:top w:val="none" w:sz="0" w:space="0" w:color="auto"/>
        <w:left w:val="none" w:sz="0" w:space="0" w:color="auto"/>
        <w:bottom w:val="none" w:sz="0" w:space="0" w:color="auto"/>
        <w:right w:val="none" w:sz="0" w:space="0" w:color="auto"/>
      </w:divBdr>
    </w:div>
    <w:div w:id="193620055">
      <w:bodyDiv w:val="1"/>
      <w:marLeft w:val="0"/>
      <w:marRight w:val="0"/>
      <w:marTop w:val="0"/>
      <w:marBottom w:val="0"/>
      <w:divBdr>
        <w:top w:val="none" w:sz="0" w:space="0" w:color="auto"/>
        <w:left w:val="none" w:sz="0" w:space="0" w:color="auto"/>
        <w:bottom w:val="none" w:sz="0" w:space="0" w:color="auto"/>
        <w:right w:val="none" w:sz="0" w:space="0" w:color="auto"/>
      </w:divBdr>
    </w:div>
    <w:div w:id="22564823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560816">
      <w:bodyDiv w:val="1"/>
      <w:marLeft w:val="0"/>
      <w:marRight w:val="0"/>
      <w:marTop w:val="0"/>
      <w:marBottom w:val="0"/>
      <w:divBdr>
        <w:top w:val="none" w:sz="0" w:space="0" w:color="auto"/>
        <w:left w:val="none" w:sz="0" w:space="0" w:color="auto"/>
        <w:bottom w:val="none" w:sz="0" w:space="0" w:color="auto"/>
        <w:right w:val="none" w:sz="0" w:space="0" w:color="auto"/>
      </w:divBdr>
    </w:div>
    <w:div w:id="260837839">
      <w:bodyDiv w:val="1"/>
      <w:marLeft w:val="0"/>
      <w:marRight w:val="0"/>
      <w:marTop w:val="0"/>
      <w:marBottom w:val="0"/>
      <w:divBdr>
        <w:top w:val="none" w:sz="0" w:space="0" w:color="auto"/>
        <w:left w:val="none" w:sz="0" w:space="0" w:color="auto"/>
        <w:bottom w:val="none" w:sz="0" w:space="0" w:color="auto"/>
        <w:right w:val="none" w:sz="0" w:space="0" w:color="auto"/>
      </w:divBdr>
    </w:div>
    <w:div w:id="262959491">
      <w:bodyDiv w:val="1"/>
      <w:marLeft w:val="0"/>
      <w:marRight w:val="0"/>
      <w:marTop w:val="0"/>
      <w:marBottom w:val="0"/>
      <w:divBdr>
        <w:top w:val="none" w:sz="0" w:space="0" w:color="auto"/>
        <w:left w:val="none" w:sz="0" w:space="0" w:color="auto"/>
        <w:bottom w:val="none" w:sz="0" w:space="0" w:color="auto"/>
        <w:right w:val="none" w:sz="0" w:space="0" w:color="auto"/>
      </w:divBdr>
    </w:div>
    <w:div w:id="264269688">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78105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159277">
      <w:bodyDiv w:val="1"/>
      <w:marLeft w:val="0"/>
      <w:marRight w:val="0"/>
      <w:marTop w:val="0"/>
      <w:marBottom w:val="0"/>
      <w:divBdr>
        <w:top w:val="none" w:sz="0" w:space="0" w:color="auto"/>
        <w:left w:val="none" w:sz="0" w:space="0" w:color="auto"/>
        <w:bottom w:val="none" w:sz="0" w:space="0" w:color="auto"/>
        <w:right w:val="none" w:sz="0" w:space="0" w:color="auto"/>
      </w:divBdr>
    </w:div>
    <w:div w:id="411972345">
      <w:bodyDiv w:val="1"/>
      <w:marLeft w:val="0"/>
      <w:marRight w:val="0"/>
      <w:marTop w:val="0"/>
      <w:marBottom w:val="0"/>
      <w:divBdr>
        <w:top w:val="none" w:sz="0" w:space="0" w:color="auto"/>
        <w:left w:val="none" w:sz="0" w:space="0" w:color="auto"/>
        <w:bottom w:val="none" w:sz="0" w:space="0" w:color="auto"/>
        <w:right w:val="none" w:sz="0" w:space="0" w:color="auto"/>
      </w:divBdr>
    </w:div>
    <w:div w:id="438257794">
      <w:bodyDiv w:val="1"/>
      <w:marLeft w:val="0"/>
      <w:marRight w:val="0"/>
      <w:marTop w:val="0"/>
      <w:marBottom w:val="0"/>
      <w:divBdr>
        <w:top w:val="none" w:sz="0" w:space="0" w:color="auto"/>
        <w:left w:val="none" w:sz="0" w:space="0" w:color="auto"/>
        <w:bottom w:val="none" w:sz="0" w:space="0" w:color="auto"/>
        <w:right w:val="none" w:sz="0" w:space="0" w:color="auto"/>
      </w:divBdr>
    </w:div>
    <w:div w:id="45078160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579097585">
      <w:bodyDiv w:val="1"/>
      <w:marLeft w:val="0"/>
      <w:marRight w:val="0"/>
      <w:marTop w:val="0"/>
      <w:marBottom w:val="0"/>
      <w:divBdr>
        <w:top w:val="none" w:sz="0" w:space="0" w:color="auto"/>
        <w:left w:val="none" w:sz="0" w:space="0" w:color="auto"/>
        <w:bottom w:val="none" w:sz="0" w:space="0" w:color="auto"/>
        <w:right w:val="none" w:sz="0" w:space="0" w:color="auto"/>
      </w:divBdr>
    </w:div>
    <w:div w:id="590433672">
      <w:bodyDiv w:val="1"/>
      <w:marLeft w:val="0"/>
      <w:marRight w:val="0"/>
      <w:marTop w:val="0"/>
      <w:marBottom w:val="0"/>
      <w:divBdr>
        <w:top w:val="none" w:sz="0" w:space="0" w:color="auto"/>
        <w:left w:val="none" w:sz="0" w:space="0" w:color="auto"/>
        <w:bottom w:val="none" w:sz="0" w:space="0" w:color="auto"/>
        <w:right w:val="none" w:sz="0" w:space="0" w:color="auto"/>
      </w:divBdr>
    </w:div>
    <w:div w:id="591939012">
      <w:bodyDiv w:val="1"/>
      <w:marLeft w:val="0"/>
      <w:marRight w:val="0"/>
      <w:marTop w:val="0"/>
      <w:marBottom w:val="0"/>
      <w:divBdr>
        <w:top w:val="none" w:sz="0" w:space="0" w:color="auto"/>
        <w:left w:val="none" w:sz="0" w:space="0" w:color="auto"/>
        <w:bottom w:val="none" w:sz="0" w:space="0" w:color="auto"/>
        <w:right w:val="none" w:sz="0" w:space="0" w:color="auto"/>
      </w:divBdr>
    </w:div>
    <w:div w:id="59205802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77124">
      <w:bodyDiv w:val="1"/>
      <w:marLeft w:val="0"/>
      <w:marRight w:val="0"/>
      <w:marTop w:val="0"/>
      <w:marBottom w:val="0"/>
      <w:divBdr>
        <w:top w:val="none" w:sz="0" w:space="0" w:color="auto"/>
        <w:left w:val="none" w:sz="0" w:space="0" w:color="auto"/>
        <w:bottom w:val="none" w:sz="0" w:space="0" w:color="auto"/>
        <w:right w:val="none" w:sz="0" w:space="0" w:color="auto"/>
      </w:divBdr>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349116">
      <w:bodyDiv w:val="1"/>
      <w:marLeft w:val="0"/>
      <w:marRight w:val="0"/>
      <w:marTop w:val="0"/>
      <w:marBottom w:val="0"/>
      <w:divBdr>
        <w:top w:val="none" w:sz="0" w:space="0" w:color="auto"/>
        <w:left w:val="none" w:sz="0" w:space="0" w:color="auto"/>
        <w:bottom w:val="none" w:sz="0" w:space="0" w:color="auto"/>
        <w:right w:val="none" w:sz="0" w:space="0" w:color="auto"/>
      </w:divBdr>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50662747">
      <w:bodyDiv w:val="1"/>
      <w:marLeft w:val="0"/>
      <w:marRight w:val="0"/>
      <w:marTop w:val="0"/>
      <w:marBottom w:val="0"/>
      <w:divBdr>
        <w:top w:val="none" w:sz="0" w:space="0" w:color="auto"/>
        <w:left w:val="none" w:sz="0" w:space="0" w:color="auto"/>
        <w:bottom w:val="none" w:sz="0" w:space="0" w:color="auto"/>
        <w:right w:val="none" w:sz="0" w:space="0" w:color="auto"/>
      </w:divBdr>
    </w:div>
    <w:div w:id="754127549">
      <w:bodyDiv w:val="1"/>
      <w:marLeft w:val="0"/>
      <w:marRight w:val="0"/>
      <w:marTop w:val="0"/>
      <w:marBottom w:val="0"/>
      <w:divBdr>
        <w:top w:val="none" w:sz="0" w:space="0" w:color="auto"/>
        <w:left w:val="none" w:sz="0" w:space="0" w:color="auto"/>
        <w:bottom w:val="none" w:sz="0" w:space="0" w:color="auto"/>
        <w:right w:val="none" w:sz="0" w:space="0" w:color="auto"/>
      </w:divBdr>
    </w:div>
    <w:div w:id="782501583">
      <w:bodyDiv w:val="1"/>
      <w:marLeft w:val="0"/>
      <w:marRight w:val="0"/>
      <w:marTop w:val="0"/>
      <w:marBottom w:val="0"/>
      <w:divBdr>
        <w:top w:val="none" w:sz="0" w:space="0" w:color="auto"/>
        <w:left w:val="none" w:sz="0" w:space="0" w:color="auto"/>
        <w:bottom w:val="none" w:sz="0" w:space="0" w:color="auto"/>
        <w:right w:val="none" w:sz="0" w:space="0" w:color="auto"/>
      </w:divBdr>
    </w:div>
    <w:div w:id="78874222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643857">
      <w:bodyDiv w:val="1"/>
      <w:marLeft w:val="0"/>
      <w:marRight w:val="0"/>
      <w:marTop w:val="0"/>
      <w:marBottom w:val="0"/>
      <w:divBdr>
        <w:top w:val="none" w:sz="0" w:space="0" w:color="auto"/>
        <w:left w:val="none" w:sz="0" w:space="0" w:color="auto"/>
        <w:bottom w:val="none" w:sz="0" w:space="0" w:color="auto"/>
        <w:right w:val="none" w:sz="0" w:space="0" w:color="auto"/>
      </w:divBdr>
    </w:div>
    <w:div w:id="86143513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731">
      <w:bodyDiv w:val="1"/>
      <w:marLeft w:val="0"/>
      <w:marRight w:val="0"/>
      <w:marTop w:val="0"/>
      <w:marBottom w:val="0"/>
      <w:divBdr>
        <w:top w:val="none" w:sz="0" w:space="0" w:color="auto"/>
        <w:left w:val="none" w:sz="0" w:space="0" w:color="auto"/>
        <w:bottom w:val="none" w:sz="0" w:space="0" w:color="auto"/>
        <w:right w:val="none" w:sz="0" w:space="0" w:color="auto"/>
      </w:divBdr>
    </w:div>
    <w:div w:id="866212374">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1610">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69894624">
      <w:bodyDiv w:val="1"/>
      <w:marLeft w:val="0"/>
      <w:marRight w:val="0"/>
      <w:marTop w:val="0"/>
      <w:marBottom w:val="0"/>
      <w:divBdr>
        <w:top w:val="none" w:sz="0" w:space="0" w:color="auto"/>
        <w:left w:val="none" w:sz="0" w:space="0" w:color="auto"/>
        <w:bottom w:val="none" w:sz="0" w:space="0" w:color="auto"/>
        <w:right w:val="none" w:sz="0" w:space="0" w:color="auto"/>
      </w:divBdr>
    </w:div>
    <w:div w:id="970020691">
      <w:bodyDiv w:val="1"/>
      <w:marLeft w:val="0"/>
      <w:marRight w:val="0"/>
      <w:marTop w:val="0"/>
      <w:marBottom w:val="0"/>
      <w:divBdr>
        <w:top w:val="none" w:sz="0" w:space="0" w:color="auto"/>
        <w:left w:val="none" w:sz="0" w:space="0" w:color="auto"/>
        <w:bottom w:val="none" w:sz="0" w:space="0" w:color="auto"/>
        <w:right w:val="none" w:sz="0" w:space="0" w:color="auto"/>
      </w:divBdr>
    </w:div>
    <w:div w:id="97028613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465302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5759839">
      <w:bodyDiv w:val="1"/>
      <w:marLeft w:val="0"/>
      <w:marRight w:val="0"/>
      <w:marTop w:val="0"/>
      <w:marBottom w:val="0"/>
      <w:divBdr>
        <w:top w:val="none" w:sz="0" w:space="0" w:color="auto"/>
        <w:left w:val="none" w:sz="0" w:space="0" w:color="auto"/>
        <w:bottom w:val="none" w:sz="0" w:space="0" w:color="auto"/>
        <w:right w:val="none" w:sz="0" w:space="0" w:color="auto"/>
      </w:divBdr>
    </w:div>
    <w:div w:id="108864820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80562">
      <w:bodyDiv w:val="1"/>
      <w:marLeft w:val="0"/>
      <w:marRight w:val="0"/>
      <w:marTop w:val="0"/>
      <w:marBottom w:val="0"/>
      <w:divBdr>
        <w:top w:val="none" w:sz="0" w:space="0" w:color="auto"/>
        <w:left w:val="none" w:sz="0" w:space="0" w:color="auto"/>
        <w:bottom w:val="none" w:sz="0" w:space="0" w:color="auto"/>
        <w:right w:val="none" w:sz="0" w:space="0" w:color="auto"/>
      </w:divBdr>
    </w:div>
    <w:div w:id="1121653561">
      <w:bodyDiv w:val="1"/>
      <w:marLeft w:val="0"/>
      <w:marRight w:val="0"/>
      <w:marTop w:val="0"/>
      <w:marBottom w:val="0"/>
      <w:divBdr>
        <w:top w:val="none" w:sz="0" w:space="0" w:color="auto"/>
        <w:left w:val="none" w:sz="0" w:space="0" w:color="auto"/>
        <w:bottom w:val="none" w:sz="0" w:space="0" w:color="auto"/>
        <w:right w:val="none" w:sz="0" w:space="0" w:color="auto"/>
      </w:divBdr>
    </w:div>
    <w:div w:id="1122647562">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52059482">
      <w:bodyDiv w:val="1"/>
      <w:marLeft w:val="0"/>
      <w:marRight w:val="0"/>
      <w:marTop w:val="0"/>
      <w:marBottom w:val="0"/>
      <w:divBdr>
        <w:top w:val="none" w:sz="0" w:space="0" w:color="auto"/>
        <w:left w:val="none" w:sz="0" w:space="0" w:color="auto"/>
        <w:bottom w:val="none" w:sz="0" w:space="0" w:color="auto"/>
        <w:right w:val="none" w:sz="0" w:space="0" w:color="auto"/>
      </w:divBdr>
    </w:div>
    <w:div w:id="1164977712">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5088685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268625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3441953">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39045046">
      <w:bodyDiv w:val="1"/>
      <w:marLeft w:val="0"/>
      <w:marRight w:val="0"/>
      <w:marTop w:val="0"/>
      <w:marBottom w:val="0"/>
      <w:divBdr>
        <w:top w:val="none" w:sz="0" w:space="0" w:color="auto"/>
        <w:left w:val="none" w:sz="0" w:space="0" w:color="auto"/>
        <w:bottom w:val="none" w:sz="0" w:space="0" w:color="auto"/>
        <w:right w:val="none" w:sz="0" w:space="0" w:color="auto"/>
      </w:divBdr>
    </w:div>
    <w:div w:id="1378747588">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394623008">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5405822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37045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924402">
      <w:bodyDiv w:val="1"/>
      <w:marLeft w:val="0"/>
      <w:marRight w:val="0"/>
      <w:marTop w:val="0"/>
      <w:marBottom w:val="0"/>
      <w:divBdr>
        <w:top w:val="none" w:sz="0" w:space="0" w:color="auto"/>
        <w:left w:val="none" w:sz="0" w:space="0" w:color="auto"/>
        <w:bottom w:val="none" w:sz="0" w:space="0" w:color="auto"/>
        <w:right w:val="none" w:sz="0" w:space="0" w:color="auto"/>
      </w:divBdr>
    </w:div>
    <w:div w:id="1514685313">
      <w:bodyDiv w:val="1"/>
      <w:marLeft w:val="0"/>
      <w:marRight w:val="0"/>
      <w:marTop w:val="0"/>
      <w:marBottom w:val="0"/>
      <w:divBdr>
        <w:top w:val="none" w:sz="0" w:space="0" w:color="auto"/>
        <w:left w:val="none" w:sz="0" w:space="0" w:color="auto"/>
        <w:bottom w:val="none" w:sz="0" w:space="0" w:color="auto"/>
        <w:right w:val="none" w:sz="0" w:space="0" w:color="auto"/>
      </w:divBdr>
    </w:div>
    <w:div w:id="1526869823">
      <w:bodyDiv w:val="1"/>
      <w:marLeft w:val="0"/>
      <w:marRight w:val="0"/>
      <w:marTop w:val="0"/>
      <w:marBottom w:val="0"/>
      <w:divBdr>
        <w:top w:val="none" w:sz="0" w:space="0" w:color="auto"/>
        <w:left w:val="none" w:sz="0" w:space="0" w:color="auto"/>
        <w:bottom w:val="none" w:sz="0" w:space="0" w:color="auto"/>
        <w:right w:val="none" w:sz="0" w:space="0" w:color="auto"/>
      </w:divBdr>
    </w:div>
    <w:div w:id="1543326612">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673039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7756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51601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8239081">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57480104">
      <w:bodyDiv w:val="1"/>
      <w:marLeft w:val="0"/>
      <w:marRight w:val="0"/>
      <w:marTop w:val="0"/>
      <w:marBottom w:val="0"/>
      <w:divBdr>
        <w:top w:val="none" w:sz="0" w:space="0" w:color="auto"/>
        <w:left w:val="none" w:sz="0" w:space="0" w:color="auto"/>
        <w:bottom w:val="none" w:sz="0" w:space="0" w:color="auto"/>
        <w:right w:val="none" w:sz="0" w:space="0" w:color="auto"/>
      </w:divBdr>
    </w:div>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2258318">
      <w:bodyDiv w:val="1"/>
      <w:marLeft w:val="0"/>
      <w:marRight w:val="0"/>
      <w:marTop w:val="0"/>
      <w:marBottom w:val="0"/>
      <w:divBdr>
        <w:top w:val="none" w:sz="0" w:space="0" w:color="auto"/>
        <w:left w:val="none" w:sz="0" w:space="0" w:color="auto"/>
        <w:bottom w:val="none" w:sz="0" w:space="0" w:color="auto"/>
        <w:right w:val="none" w:sz="0" w:space="0" w:color="auto"/>
      </w:divBdr>
    </w:div>
    <w:div w:id="186490568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916622657">
      <w:bodyDiv w:val="1"/>
      <w:marLeft w:val="0"/>
      <w:marRight w:val="0"/>
      <w:marTop w:val="0"/>
      <w:marBottom w:val="0"/>
      <w:divBdr>
        <w:top w:val="none" w:sz="0" w:space="0" w:color="auto"/>
        <w:left w:val="none" w:sz="0" w:space="0" w:color="auto"/>
        <w:bottom w:val="none" w:sz="0" w:space="0" w:color="auto"/>
        <w:right w:val="none" w:sz="0" w:space="0" w:color="auto"/>
      </w:divBdr>
    </w:div>
    <w:div w:id="19210212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4622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718468">
      <w:bodyDiv w:val="1"/>
      <w:marLeft w:val="0"/>
      <w:marRight w:val="0"/>
      <w:marTop w:val="0"/>
      <w:marBottom w:val="0"/>
      <w:divBdr>
        <w:top w:val="none" w:sz="0" w:space="0" w:color="auto"/>
        <w:left w:val="none" w:sz="0" w:space="0" w:color="auto"/>
        <w:bottom w:val="none" w:sz="0" w:space="0" w:color="auto"/>
        <w:right w:val="none" w:sz="0" w:space="0" w:color="auto"/>
      </w:divBdr>
    </w:div>
    <w:div w:id="2114981891">
      <w:bodyDiv w:val="1"/>
      <w:marLeft w:val="0"/>
      <w:marRight w:val="0"/>
      <w:marTop w:val="0"/>
      <w:marBottom w:val="0"/>
      <w:divBdr>
        <w:top w:val="none" w:sz="0" w:space="0" w:color="auto"/>
        <w:left w:val="none" w:sz="0" w:space="0" w:color="auto"/>
        <w:bottom w:val="none" w:sz="0" w:space="0" w:color="auto"/>
        <w:right w:val="none" w:sz="0" w:space="0" w:color="auto"/>
      </w:divBdr>
    </w:div>
    <w:div w:id="2126657627">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 w:id="2136413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EF23-FDE9-4BC4-9D0E-C386C25B28C2}">
  <ds:schemaRefs>
    <ds:schemaRef ds:uri="office.server.policy"/>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8134A0-9385-47B2-B1A5-3831BAAD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3</TotalTime>
  <Pages>26</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24459</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Superannuation Corporation</dc:title>
  <dc:creator>Department of Finance</dc:creator>
  <cp:lastModifiedBy>trumin</cp:lastModifiedBy>
  <cp:revision>4</cp:revision>
  <cp:lastPrinted>2016-04-30T23:35:00Z</cp:lastPrinted>
  <dcterms:created xsi:type="dcterms:W3CDTF">2016-05-02T05:25:00Z</dcterms:created>
  <dcterms:modified xsi:type="dcterms:W3CDTF">2016-06-07T04:37:00Z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