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74" w:rsidRPr="00930B30" w:rsidRDefault="00666874" w:rsidP="008443CD">
      <w:pPr>
        <w:pStyle w:val="Source"/>
        <w:jc w:val="left"/>
        <w:rPr>
          <w:sz w:val="20"/>
          <w:szCs w:val="20"/>
        </w:rPr>
      </w:pPr>
    </w:p>
    <w:p w:rsidR="004F7A4C" w:rsidRPr="004F7A4C" w:rsidRDefault="004F7A4C" w:rsidP="004F7A4C">
      <w:pPr>
        <w:pStyle w:val="Department"/>
        <w:spacing w:before="1320"/>
        <w:rPr>
          <w:szCs w:val="20"/>
        </w:rPr>
      </w:pPr>
      <w:bookmarkStart w:id="0" w:name="_Toc190766151"/>
      <w:r w:rsidRPr="004F7A4C">
        <w:rPr>
          <w:szCs w:val="20"/>
        </w:rPr>
        <w:t xml:space="preserve">Australian Electoral Commission </w:t>
      </w:r>
    </w:p>
    <w:p w:rsidR="00A101CB" w:rsidRDefault="004F7A4C" w:rsidP="00A101CB">
      <w:pPr>
        <w:spacing w:before="2080" w:after="0" w:line="240" w:lineRule="auto"/>
        <w:rPr>
          <w:rFonts w:ascii="Arial" w:hAnsi="Arial"/>
          <w:b/>
          <w:sz w:val="44"/>
          <w:szCs w:val="20"/>
        </w:rPr>
        <w:sectPr w:rsidR="00A101CB" w:rsidSect="00A101CB">
          <w:headerReference w:type="first" r:id="rId13"/>
          <w:type w:val="oddPage"/>
          <w:pgSz w:w="11906" w:h="16838" w:code="9"/>
          <w:pgMar w:top="2466" w:right="2098" w:bottom="2466" w:left="2098" w:header="1899" w:footer="1899" w:gutter="0"/>
          <w:cols w:space="708"/>
          <w:titlePg/>
          <w:docGrid w:linePitch="360"/>
        </w:sectPr>
      </w:pPr>
      <w:r w:rsidRPr="004F7A4C">
        <w:rPr>
          <w:rFonts w:ascii="Arial" w:hAnsi="Arial"/>
          <w:b/>
          <w:sz w:val="44"/>
          <w:szCs w:val="20"/>
        </w:rPr>
        <w:t>Entity R</w:t>
      </w:r>
      <w:r w:rsidR="00A101CB">
        <w:rPr>
          <w:rFonts w:ascii="Arial" w:hAnsi="Arial"/>
          <w:b/>
          <w:sz w:val="44"/>
          <w:szCs w:val="20"/>
        </w:rPr>
        <w:t>esources and Planned Performance</w:t>
      </w:r>
    </w:p>
    <w:p w:rsidR="004F7A4C" w:rsidRPr="004F7A4C" w:rsidRDefault="004F7A4C" w:rsidP="004F7A4C">
      <w:pPr>
        <w:keepNext/>
        <w:spacing w:after="360" w:line="240" w:lineRule="auto"/>
        <w:rPr>
          <w:rFonts w:ascii="Arial" w:hAnsi="Arial"/>
          <w:b/>
          <w:smallCaps/>
          <w:sz w:val="34"/>
          <w:szCs w:val="20"/>
        </w:rPr>
      </w:pPr>
      <w:r w:rsidRPr="004F7A4C">
        <w:rPr>
          <w:rFonts w:ascii="Arial" w:hAnsi="Arial"/>
          <w:b/>
          <w:smallCaps/>
          <w:sz w:val="34"/>
          <w:szCs w:val="20"/>
        </w:rPr>
        <w:lastRenderedPageBreak/>
        <w:t>Australian Electoral Commission</w:t>
      </w:r>
    </w:p>
    <w:p w:rsidR="0015364F" w:rsidRPr="004F7A4C" w:rsidRDefault="00C4236E" w:rsidP="0015364F">
      <w:pPr>
        <w:tabs>
          <w:tab w:val="right" w:leader="dot" w:pos="7700"/>
        </w:tabs>
        <w:spacing w:before="240" w:after="0" w:line="240" w:lineRule="auto"/>
        <w:ind w:right="851"/>
        <w:jc w:val="left"/>
        <w:rPr>
          <w:rFonts w:ascii="Calibri" w:hAnsi="Calibri"/>
          <w:noProof/>
          <w:sz w:val="22"/>
          <w:szCs w:val="22"/>
        </w:rPr>
      </w:pPr>
      <w:r w:rsidRPr="004F7A4C">
        <w:rPr>
          <w:rFonts w:ascii="Arial" w:hAnsi="Arial"/>
          <w:b/>
          <w:sz w:val="20"/>
          <w:szCs w:val="20"/>
        </w:rPr>
        <w:fldChar w:fldCharType="begin"/>
      </w:r>
      <w:r w:rsidR="0015364F" w:rsidRPr="004F7A4C">
        <w:rPr>
          <w:rFonts w:ascii="Arial" w:hAnsi="Arial"/>
          <w:b/>
          <w:sz w:val="20"/>
          <w:szCs w:val="20"/>
        </w:rPr>
        <w:instrText xml:space="preserve"> TOC \h \z \t "Heading 2,1,Heading 3,2" </w:instrText>
      </w:r>
      <w:r w:rsidRPr="004F7A4C">
        <w:rPr>
          <w:rFonts w:ascii="Arial" w:hAnsi="Arial"/>
          <w:b/>
          <w:sz w:val="20"/>
          <w:szCs w:val="20"/>
        </w:rPr>
        <w:fldChar w:fldCharType="separate"/>
      </w:r>
      <w:hyperlink w:anchor="_Toc447876469" w:history="1">
        <w:r w:rsidR="0015364F" w:rsidRPr="004F7A4C">
          <w:rPr>
            <w:rFonts w:ascii="Arial" w:hAnsi="Arial"/>
            <w:b/>
            <w:noProof/>
            <w:color w:val="000000"/>
            <w:sz w:val="20"/>
            <w:szCs w:val="20"/>
          </w:rPr>
          <w:t>Section 1: Entity Overview and Resources</w:t>
        </w:r>
        <w:r w:rsidR="0015364F" w:rsidRPr="004F7A4C">
          <w:rPr>
            <w:rFonts w:ascii="Arial" w:hAnsi="Arial"/>
            <w:b/>
            <w:noProof/>
            <w:webHidden/>
            <w:sz w:val="20"/>
            <w:szCs w:val="20"/>
          </w:rPr>
          <w:tab/>
        </w:r>
        <w:r w:rsidRPr="004F7A4C">
          <w:rPr>
            <w:rFonts w:ascii="Arial" w:hAnsi="Arial"/>
            <w:b/>
            <w:noProof/>
            <w:webHidden/>
            <w:sz w:val="20"/>
            <w:szCs w:val="20"/>
          </w:rPr>
          <w:fldChar w:fldCharType="begin"/>
        </w:r>
        <w:r w:rsidR="0015364F" w:rsidRPr="004F7A4C">
          <w:rPr>
            <w:rFonts w:ascii="Arial" w:hAnsi="Arial"/>
            <w:b/>
            <w:noProof/>
            <w:webHidden/>
            <w:sz w:val="20"/>
            <w:szCs w:val="20"/>
          </w:rPr>
          <w:instrText xml:space="preserve"> PAGEREF _Toc447876469 \h </w:instrText>
        </w:r>
        <w:r w:rsidRPr="004F7A4C">
          <w:rPr>
            <w:rFonts w:ascii="Arial" w:hAnsi="Arial"/>
            <w:b/>
            <w:noProof/>
            <w:webHidden/>
            <w:sz w:val="20"/>
            <w:szCs w:val="20"/>
          </w:rPr>
        </w:r>
        <w:r w:rsidRPr="004F7A4C">
          <w:rPr>
            <w:rFonts w:ascii="Arial" w:hAnsi="Arial"/>
            <w:b/>
            <w:noProof/>
            <w:webHidden/>
            <w:sz w:val="20"/>
            <w:szCs w:val="20"/>
          </w:rPr>
          <w:fldChar w:fldCharType="separate"/>
        </w:r>
        <w:r w:rsidR="00E341B1">
          <w:rPr>
            <w:rFonts w:ascii="Arial" w:hAnsi="Arial"/>
            <w:b/>
            <w:noProof/>
            <w:webHidden/>
            <w:sz w:val="20"/>
            <w:szCs w:val="20"/>
          </w:rPr>
          <w:t>76</w:t>
        </w:r>
        <w:r w:rsidRPr="004F7A4C">
          <w:rPr>
            <w:rFonts w:ascii="Arial" w:hAnsi="Arial"/>
            <w:b/>
            <w:noProof/>
            <w:webHidden/>
            <w:sz w:val="20"/>
            <w:szCs w:val="20"/>
          </w:rPr>
          <w:fldChar w:fldCharType="end"/>
        </w:r>
      </w:hyperlink>
    </w:p>
    <w:p w:rsidR="0015364F" w:rsidRPr="004F7A4C" w:rsidRDefault="00C4236E" w:rsidP="0015364F">
      <w:pPr>
        <w:keepNext/>
        <w:tabs>
          <w:tab w:val="left" w:pos="800"/>
          <w:tab w:val="right" w:leader="dot" w:pos="7700"/>
        </w:tabs>
        <w:spacing w:before="80" w:after="0" w:line="240" w:lineRule="auto"/>
        <w:ind w:right="851"/>
        <w:jc w:val="left"/>
        <w:rPr>
          <w:rFonts w:ascii="Calibri" w:hAnsi="Calibri"/>
          <w:noProof/>
          <w:sz w:val="22"/>
          <w:szCs w:val="22"/>
        </w:rPr>
      </w:pPr>
      <w:hyperlink w:anchor="_Toc447876470" w:history="1">
        <w:r w:rsidR="0015364F" w:rsidRPr="004F7A4C">
          <w:rPr>
            <w:rFonts w:ascii="Arial" w:hAnsi="Arial"/>
            <w:noProof/>
            <w:color w:val="000000"/>
            <w:sz w:val="20"/>
            <w:szCs w:val="20"/>
          </w:rPr>
          <w:t>1.1</w:t>
        </w:r>
        <w:r w:rsidR="0015364F" w:rsidRPr="004F7A4C">
          <w:rPr>
            <w:rFonts w:ascii="Calibri" w:hAnsi="Calibri"/>
            <w:noProof/>
            <w:sz w:val="22"/>
            <w:szCs w:val="22"/>
          </w:rPr>
          <w:tab/>
        </w:r>
        <w:r w:rsidR="0015364F" w:rsidRPr="004F7A4C">
          <w:rPr>
            <w:rFonts w:ascii="Arial" w:hAnsi="Arial"/>
            <w:noProof/>
            <w:color w:val="000000"/>
            <w:sz w:val="20"/>
            <w:szCs w:val="20"/>
          </w:rPr>
          <w:t>Strategic Direction Statement</w:t>
        </w:r>
        <w:r w:rsidR="0015364F" w:rsidRPr="004F7A4C">
          <w:rPr>
            <w:rFonts w:ascii="Arial" w:hAnsi="Arial"/>
            <w:noProof/>
            <w:webHidden/>
            <w:sz w:val="20"/>
            <w:szCs w:val="20"/>
          </w:rPr>
          <w:tab/>
        </w:r>
        <w:r w:rsidRPr="004F7A4C">
          <w:rPr>
            <w:rFonts w:ascii="Arial" w:hAnsi="Arial"/>
            <w:noProof/>
            <w:webHidden/>
            <w:sz w:val="20"/>
            <w:szCs w:val="20"/>
          </w:rPr>
          <w:fldChar w:fldCharType="begin"/>
        </w:r>
        <w:r w:rsidR="0015364F" w:rsidRPr="004F7A4C">
          <w:rPr>
            <w:rFonts w:ascii="Arial" w:hAnsi="Arial"/>
            <w:noProof/>
            <w:webHidden/>
            <w:sz w:val="20"/>
            <w:szCs w:val="20"/>
          </w:rPr>
          <w:instrText xml:space="preserve"> PAGEREF _Toc447876470 \h </w:instrText>
        </w:r>
        <w:r w:rsidRPr="004F7A4C">
          <w:rPr>
            <w:rFonts w:ascii="Arial" w:hAnsi="Arial"/>
            <w:noProof/>
            <w:webHidden/>
            <w:sz w:val="20"/>
            <w:szCs w:val="20"/>
          </w:rPr>
        </w:r>
        <w:r w:rsidRPr="004F7A4C">
          <w:rPr>
            <w:rFonts w:ascii="Arial" w:hAnsi="Arial"/>
            <w:noProof/>
            <w:webHidden/>
            <w:sz w:val="20"/>
            <w:szCs w:val="20"/>
          </w:rPr>
          <w:fldChar w:fldCharType="separate"/>
        </w:r>
        <w:r w:rsidR="00E341B1">
          <w:rPr>
            <w:rFonts w:ascii="Arial" w:hAnsi="Arial"/>
            <w:noProof/>
            <w:webHidden/>
            <w:sz w:val="20"/>
            <w:szCs w:val="20"/>
          </w:rPr>
          <w:t>76</w:t>
        </w:r>
        <w:r w:rsidRPr="004F7A4C">
          <w:rPr>
            <w:rFonts w:ascii="Arial" w:hAnsi="Arial"/>
            <w:noProof/>
            <w:webHidden/>
            <w:sz w:val="20"/>
            <w:szCs w:val="20"/>
          </w:rPr>
          <w:fldChar w:fldCharType="end"/>
        </w:r>
      </w:hyperlink>
    </w:p>
    <w:p w:rsidR="0015364F" w:rsidRPr="004F7A4C" w:rsidRDefault="00C4236E" w:rsidP="0015364F">
      <w:pPr>
        <w:keepNext/>
        <w:tabs>
          <w:tab w:val="left" w:pos="800"/>
          <w:tab w:val="right" w:leader="dot" w:pos="7700"/>
        </w:tabs>
        <w:spacing w:before="80" w:after="0" w:line="240" w:lineRule="auto"/>
        <w:ind w:right="851"/>
        <w:jc w:val="left"/>
        <w:rPr>
          <w:rFonts w:ascii="Calibri" w:hAnsi="Calibri"/>
          <w:noProof/>
          <w:sz w:val="22"/>
          <w:szCs w:val="22"/>
        </w:rPr>
      </w:pPr>
      <w:hyperlink w:anchor="_Toc447876471" w:history="1">
        <w:r w:rsidR="0015364F" w:rsidRPr="004F7A4C">
          <w:rPr>
            <w:rFonts w:ascii="Arial" w:hAnsi="Arial"/>
            <w:noProof/>
            <w:color w:val="000000"/>
            <w:sz w:val="20"/>
            <w:szCs w:val="20"/>
          </w:rPr>
          <w:t>1.2</w:t>
        </w:r>
        <w:r w:rsidR="0015364F" w:rsidRPr="004F7A4C">
          <w:rPr>
            <w:rFonts w:ascii="Calibri" w:hAnsi="Calibri"/>
            <w:noProof/>
            <w:sz w:val="22"/>
            <w:szCs w:val="22"/>
          </w:rPr>
          <w:tab/>
        </w:r>
        <w:r w:rsidR="0015364F" w:rsidRPr="004F7A4C">
          <w:rPr>
            <w:rFonts w:ascii="Arial" w:hAnsi="Arial"/>
            <w:noProof/>
            <w:color w:val="000000"/>
            <w:sz w:val="20"/>
            <w:szCs w:val="20"/>
          </w:rPr>
          <w:t>Entity Resource Statement</w:t>
        </w:r>
        <w:r w:rsidR="0015364F" w:rsidRPr="004F7A4C">
          <w:rPr>
            <w:rFonts w:ascii="Arial" w:hAnsi="Arial"/>
            <w:noProof/>
            <w:webHidden/>
            <w:sz w:val="20"/>
            <w:szCs w:val="20"/>
          </w:rPr>
          <w:tab/>
        </w:r>
        <w:r w:rsidRPr="004F7A4C">
          <w:rPr>
            <w:rFonts w:ascii="Arial" w:hAnsi="Arial"/>
            <w:noProof/>
            <w:webHidden/>
            <w:sz w:val="20"/>
            <w:szCs w:val="20"/>
          </w:rPr>
          <w:fldChar w:fldCharType="begin"/>
        </w:r>
        <w:r w:rsidR="0015364F" w:rsidRPr="004F7A4C">
          <w:rPr>
            <w:rFonts w:ascii="Arial" w:hAnsi="Arial"/>
            <w:noProof/>
            <w:webHidden/>
            <w:sz w:val="20"/>
            <w:szCs w:val="20"/>
          </w:rPr>
          <w:instrText xml:space="preserve"> PAGEREF _Toc447876471 \h </w:instrText>
        </w:r>
        <w:r w:rsidRPr="004F7A4C">
          <w:rPr>
            <w:rFonts w:ascii="Arial" w:hAnsi="Arial"/>
            <w:noProof/>
            <w:webHidden/>
            <w:sz w:val="20"/>
            <w:szCs w:val="20"/>
          </w:rPr>
        </w:r>
        <w:r w:rsidRPr="004F7A4C">
          <w:rPr>
            <w:rFonts w:ascii="Arial" w:hAnsi="Arial"/>
            <w:noProof/>
            <w:webHidden/>
            <w:sz w:val="20"/>
            <w:szCs w:val="20"/>
          </w:rPr>
          <w:fldChar w:fldCharType="separate"/>
        </w:r>
        <w:r w:rsidR="00E341B1">
          <w:rPr>
            <w:rFonts w:ascii="Arial" w:hAnsi="Arial"/>
            <w:noProof/>
            <w:webHidden/>
            <w:sz w:val="20"/>
            <w:szCs w:val="20"/>
          </w:rPr>
          <w:t>77</w:t>
        </w:r>
        <w:r w:rsidRPr="004F7A4C">
          <w:rPr>
            <w:rFonts w:ascii="Arial" w:hAnsi="Arial"/>
            <w:noProof/>
            <w:webHidden/>
            <w:sz w:val="20"/>
            <w:szCs w:val="20"/>
          </w:rPr>
          <w:fldChar w:fldCharType="end"/>
        </w:r>
      </w:hyperlink>
    </w:p>
    <w:p w:rsidR="0015364F" w:rsidRPr="004F7A4C" w:rsidRDefault="00C4236E" w:rsidP="0015364F">
      <w:pPr>
        <w:keepNext/>
        <w:tabs>
          <w:tab w:val="left" w:pos="800"/>
          <w:tab w:val="right" w:leader="dot" w:pos="7700"/>
        </w:tabs>
        <w:spacing w:before="80" w:after="0" w:line="240" w:lineRule="auto"/>
        <w:ind w:right="851"/>
        <w:jc w:val="left"/>
        <w:rPr>
          <w:rFonts w:ascii="Calibri" w:hAnsi="Calibri"/>
          <w:noProof/>
          <w:sz w:val="22"/>
          <w:szCs w:val="22"/>
        </w:rPr>
      </w:pPr>
      <w:hyperlink w:anchor="_Toc447876472" w:history="1">
        <w:r w:rsidR="0015364F" w:rsidRPr="004F7A4C">
          <w:rPr>
            <w:rFonts w:ascii="Arial" w:hAnsi="Arial"/>
            <w:noProof/>
            <w:color w:val="000000"/>
            <w:sz w:val="20"/>
            <w:szCs w:val="20"/>
          </w:rPr>
          <w:t>1.3</w:t>
        </w:r>
        <w:r w:rsidR="0015364F" w:rsidRPr="004F7A4C">
          <w:rPr>
            <w:rFonts w:ascii="Calibri" w:hAnsi="Calibri"/>
            <w:noProof/>
            <w:sz w:val="22"/>
            <w:szCs w:val="22"/>
          </w:rPr>
          <w:tab/>
        </w:r>
        <w:r w:rsidR="0015364F" w:rsidRPr="004F7A4C">
          <w:rPr>
            <w:rFonts w:ascii="Arial" w:hAnsi="Arial"/>
            <w:noProof/>
            <w:color w:val="000000"/>
            <w:sz w:val="20"/>
            <w:szCs w:val="20"/>
          </w:rPr>
          <w:t>Budget Measures</w:t>
        </w:r>
        <w:r w:rsidR="0015364F" w:rsidRPr="004F7A4C">
          <w:rPr>
            <w:rFonts w:ascii="Arial" w:hAnsi="Arial"/>
            <w:noProof/>
            <w:webHidden/>
            <w:sz w:val="20"/>
            <w:szCs w:val="20"/>
          </w:rPr>
          <w:tab/>
        </w:r>
        <w:r w:rsidRPr="004F7A4C">
          <w:rPr>
            <w:rFonts w:ascii="Arial" w:hAnsi="Arial"/>
            <w:noProof/>
            <w:webHidden/>
            <w:sz w:val="20"/>
            <w:szCs w:val="20"/>
          </w:rPr>
          <w:fldChar w:fldCharType="begin"/>
        </w:r>
        <w:r w:rsidR="0015364F" w:rsidRPr="004F7A4C">
          <w:rPr>
            <w:rFonts w:ascii="Arial" w:hAnsi="Arial"/>
            <w:noProof/>
            <w:webHidden/>
            <w:sz w:val="20"/>
            <w:szCs w:val="20"/>
          </w:rPr>
          <w:instrText xml:space="preserve"> PAGEREF _Toc447876472 \h </w:instrText>
        </w:r>
        <w:r w:rsidRPr="004F7A4C">
          <w:rPr>
            <w:rFonts w:ascii="Arial" w:hAnsi="Arial"/>
            <w:noProof/>
            <w:webHidden/>
            <w:sz w:val="20"/>
            <w:szCs w:val="20"/>
          </w:rPr>
        </w:r>
        <w:r w:rsidRPr="004F7A4C">
          <w:rPr>
            <w:rFonts w:ascii="Arial" w:hAnsi="Arial"/>
            <w:noProof/>
            <w:webHidden/>
            <w:sz w:val="20"/>
            <w:szCs w:val="20"/>
          </w:rPr>
          <w:fldChar w:fldCharType="separate"/>
        </w:r>
        <w:r w:rsidR="00E341B1">
          <w:rPr>
            <w:rFonts w:ascii="Arial" w:hAnsi="Arial"/>
            <w:noProof/>
            <w:webHidden/>
            <w:sz w:val="20"/>
            <w:szCs w:val="20"/>
          </w:rPr>
          <w:t>79</w:t>
        </w:r>
        <w:r w:rsidRPr="004F7A4C">
          <w:rPr>
            <w:rFonts w:ascii="Arial" w:hAnsi="Arial"/>
            <w:noProof/>
            <w:webHidden/>
            <w:sz w:val="20"/>
            <w:szCs w:val="20"/>
          </w:rPr>
          <w:fldChar w:fldCharType="end"/>
        </w:r>
      </w:hyperlink>
    </w:p>
    <w:p w:rsidR="0015364F" w:rsidRPr="004F7A4C" w:rsidRDefault="00C4236E" w:rsidP="0015364F">
      <w:pPr>
        <w:tabs>
          <w:tab w:val="right" w:leader="dot" w:pos="7700"/>
        </w:tabs>
        <w:spacing w:before="240" w:after="0" w:line="240" w:lineRule="auto"/>
        <w:ind w:right="851"/>
        <w:jc w:val="left"/>
        <w:rPr>
          <w:rFonts w:ascii="Calibri" w:hAnsi="Calibri"/>
          <w:noProof/>
          <w:sz w:val="22"/>
          <w:szCs w:val="22"/>
        </w:rPr>
      </w:pPr>
      <w:hyperlink w:anchor="_Toc447876473" w:history="1">
        <w:r w:rsidR="0015364F" w:rsidRPr="004F7A4C">
          <w:rPr>
            <w:rFonts w:ascii="Arial" w:hAnsi="Arial"/>
            <w:b/>
            <w:noProof/>
            <w:color w:val="000000"/>
            <w:sz w:val="20"/>
            <w:szCs w:val="20"/>
          </w:rPr>
          <w:t>Section 2: Outcomes and Planned Performance</w:t>
        </w:r>
        <w:r w:rsidR="0015364F" w:rsidRPr="004F7A4C">
          <w:rPr>
            <w:rFonts w:ascii="Arial" w:hAnsi="Arial"/>
            <w:b/>
            <w:noProof/>
            <w:webHidden/>
            <w:sz w:val="20"/>
            <w:szCs w:val="20"/>
          </w:rPr>
          <w:tab/>
        </w:r>
        <w:r w:rsidRPr="004F7A4C">
          <w:rPr>
            <w:rFonts w:ascii="Arial" w:hAnsi="Arial"/>
            <w:b/>
            <w:noProof/>
            <w:webHidden/>
            <w:sz w:val="20"/>
            <w:szCs w:val="20"/>
          </w:rPr>
          <w:fldChar w:fldCharType="begin"/>
        </w:r>
        <w:r w:rsidR="0015364F" w:rsidRPr="004F7A4C">
          <w:rPr>
            <w:rFonts w:ascii="Arial" w:hAnsi="Arial"/>
            <w:b/>
            <w:noProof/>
            <w:webHidden/>
            <w:sz w:val="20"/>
            <w:szCs w:val="20"/>
          </w:rPr>
          <w:instrText xml:space="preserve"> PAGEREF _Toc447876473 \h </w:instrText>
        </w:r>
        <w:r w:rsidRPr="004F7A4C">
          <w:rPr>
            <w:rFonts w:ascii="Arial" w:hAnsi="Arial"/>
            <w:b/>
            <w:noProof/>
            <w:webHidden/>
            <w:sz w:val="20"/>
            <w:szCs w:val="20"/>
          </w:rPr>
        </w:r>
        <w:r w:rsidRPr="004F7A4C">
          <w:rPr>
            <w:rFonts w:ascii="Arial" w:hAnsi="Arial"/>
            <w:b/>
            <w:noProof/>
            <w:webHidden/>
            <w:sz w:val="20"/>
            <w:szCs w:val="20"/>
          </w:rPr>
          <w:fldChar w:fldCharType="separate"/>
        </w:r>
        <w:r w:rsidR="00E341B1">
          <w:rPr>
            <w:rFonts w:ascii="Arial" w:hAnsi="Arial"/>
            <w:b/>
            <w:noProof/>
            <w:webHidden/>
            <w:sz w:val="20"/>
            <w:szCs w:val="20"/>
          </w:rPr>
          <w:t>80</w:t>
        </w:r>
        <w:r w:rsidRPr="004F7A4C">
          <w:rPr>
            <w:rFonts w:ascii="Arial" w:hAnsi="Arial"/>
            <w:b/>
            <w:noProof/>
            <w:webHidden/>
            <w:sz w:val="20"/>
            <w:szCs w:val="20"/>
          </w:rPr>
          <w:fldChar w:fldCharType="end"/>
        </w:r>
      </w:hyperlink>
    </w:p>
    <w:p w:rsidR="0015364F" w:rsidRPr="004F7A4C" w:rsidRDefault="00C4236E" w:rsidP="0015364F">
      <w:pPr>
        <w:keepNext/>
        <w:tabs>
          <w:tab w:val="left" w:pos="800"/>
          <w:tab w:val="right" w:leader="dot" w:pos="7700"/>
        </w:tabs>
        <w:spacing w:before="80" w:after="0" w:line="240" w:lineRule="auto"/>
        <w:ind w:right="851"/>
        <w:jc w:val="left"/>
        <w:rPr>
          <w:rFonts w:ascii="Calibri" w:hAnsi="Calibri"/>
          <w:noProof/>
          <w:sz w:val="22"/>
          <w:szCs w:val="22"/>
        </w:rPr>
      </w:pPr>
      <w:hyperlink w:anchor="_Toc447876474" w:history="1">
        <w:r w:rsidR="0015364F" w:rsidRPr="004F7A4C">
          <w:rPr>
            <w:rFonts w:ascii="Arial" w:hAnsi="Arial"/>
            <w:noProof/>
            <w:color w:val="000000"/>
            <w:sz w:val="20"/>
            <w:szCs w:val="20"/>
          </w:rPr>
          <w:t xml:space="preserve">2.1 </w:t>
        </w:r>
        <w:r w:rsidR="0015364F" w:rsidRPr="004F7A4C">
          <w:rPr>
            <w:rFonts w:ascii="Calibri" w:hAnsi="Calibri"/>
            <w:noProof/>
            <w:sz w:val="22"/>
            <w:szCs w:val="22"/>
          </w:rPr>
          <w:tab/>
        </w:r>
        <w:r w:rsidR="0015364F" w:rsidRPr="004F7A4C">
          <w:rPr>
            <w:rFonts w:ascii="Arial" w:hAnsi="Arial"/>
            <w:noProof/>
            <w:color w:val="000000"/>
            <w:sz w:val="20"/>
            <w:szCs w:val="20"/>
          </w:rPr>
          <w:t>Budgeted Expenses and Performance for Outcome 1</w:t>
        </w:r>
        <w:r w:rsidR="0015364F" w:rsidRPr="004F7A4C">
          <w:rPr>
            <w:rFonts w:ascii="Arial" w:hAnsi="Arial"/>
            <w:noProof/>
            <w:webHidden/>
            <w:sz w:val="20"/>
            <w:szCs w:val="20"/>
          </w:rPr>
          <w:tab/>
        </w:r>
        <w:r w:rsidR="0015364F">
          <w:rPr>
            <w:rFonts w:ascii="Arial" w:hAnsi="Arial"/>
            <w:noProof/>
            <w:webHidden/>
            <w:sz w:val="20"/>
            <w:szCs w:val="20"/>
          </w:rPr>
          <w:t>81</w:t>
        </w:r>
      </w:hyperlink>
    </w:p>
    <w:p w:rsidR="0015364F" w:rsidRPr="004F7A4C" w:rsidRDefault="00C4236E" w:rsidP="0015364F">
      <w:pPr>
        <w:tabs>
          <w:tab w:val="right" w:leader="dot" w:pos="7700"/>
        </w:tabs>
        <w:spacing w:before="240" w:after="0" w:line="240" w:lineRule="auto"/>
        <w:ind w:right="851"/>
        <w:jc w:val="left"/>
        <w:rPr>
          <w:rFonts w:ascii="Calibri" w:hAnsi="Calibri"/>
          <w:noProof/>
          <w:sz w:val="22"/>
          <w:szCs w:val="22"/>
        </w:rPr>
      </w:pPr>
      <w:hyperlink w:anchor="_Toc447876475" w:history="1">
        <w:r w:rsidR="0015364F" w:rsidRPr="004F7A4C">
          <w:rPr>
            <w:rFonts w:ascii="Arial" w:hAnsi="Arial"/>
            <w:b/>
            <w:noProof/>
            <w:color w:val="000000"/>
            <w:sz w:val="20"/>
            <w:szCs w:val="20"/>
          </w:rPr>
          <w:t>Section 3: Budgeted Financial Statements</w:t>
        </w:r>
        <w:r w:rsidR="0015364F" w:rsidRPr="004F7A4C">
          <w:rPr>
            <w:rFonts w:ascii="Arial" w:hAnsi="Arial"/>
            <w:b/>
            <w:noProof/>
            <w:webHidden/>
            <w:sz w:val="20"/>
            <w:szCs w:val="20"/>
          </w:rPr>
          <w:tab/>
        </w:r>
        <w:r w:rsidRPr="004F7A4C">
          <w:rPr>
            <w:rFonts w:ascii="Arial" w:hAnsi="Arial"/>
            <w:b/>
            <w:noProof/>
            <w:webHidden/>
            <w:sz w:val="20"/>
            <w:szCs w:val="20"/>
          </w:rPr>
          <w:fldChar w:fldCharType="begin"/>
        </w:r>
        <w:r w:rsidR="0015364F" w:rsidRPr="004F7A4C">
          <w:rPr>
            <w:rFonts w:ascii="Arial" w:hAnsi="Arial"/>
            <w:b/>
            <w:noProof/>
            <w:webHidden/>
            <w:sz w:val="20"/>
            <w:szCs w:val="20"/>
          </w:rPr>
          <w:instrText xml:space="preserve"> PAGEREF _Toc447876475 \h </w:instrText>
        </w:r>
        <w:r w:rsidRPr="004F7A4C">
          <w:rPr>
            <w:rFonts w:ascii="Arial" w:hAnsi="Arial"/>
            <w:b/>
            <w:noProof/>
            <w:webHidden/>
            <w:sz w:val="20"/>
            <w:szCs w:val="20"/>
          </w:rPr>
        </w:r>
        <w:r w:rsidRPr="004F7A4C">
          <w:rPr>
            <w:rFonts w:ascii="Arial" w:hAnsi="Arial"/>
            <w:b/>
            <w:noProof/>
            <w:webHidden/>
            <w:sz w:val="20"/>
            <w:szCs w:val="20"/>
          </w:rPr>
          <w:fldChar w:fldCharType="separate"/>
        </w:r>
        <w:r w:rsidR="00E341B1">
          <w:rPr>
            <w:rFonts w:ascii="Arial" w:hAnsi="Arial"/>
            <w:b/>
            <w:noProof/>
            <w:webHidden/>
            <w:sz w:val="20"/>
            <w:szCs w:val="20"/>
          </w:rPr>
          <w:t>86</w:t>
        </w:r>
        <w:r w:rsidRPr="004F7A4C">
          <w:rPr>
            <w:rFonts w:ascii="Arial" w:hAnsi="Arial"/>
            <w:b/>
            <w:noProof/>
            <w:webHidden/>
            <w:sz w:val="20"/>
            <w:szCs w:val="20"/>
          </w:rPr>
          <w:fldChar w:fldCharType="end"/>
        </w:r>
      </w:hyperlink>
    </w:p>
    <w:p w:rsidR="0015364F" w:rsidRPr="004F7A4C" w:rsidRDefault="00C4236E" w:rsidP="0015364F">
      <w:pPr>
        <w:keepNext/>
        <w:tabs>
          <w:tab w:val="left" w:pos="800"/>
          <w:tab w:val="right" w:leader="dot" w:pos="7700"/>
        </w:tabs>
        <w:spacing w:before="80" w:after="0" w:line="240" w:lineRule="auto"/>
        <w:ind w:right="851"/>
        <w:jc w:val="left"/>
        <w:rPr>
          <w:rFonts w:ascii="Calibri" w:hAnsi="Calibri"/>
          <w:noProof/>
          <w:sz w:val="22"/>
          <w:szCs w:val="22"/>
        </w:rPr>
      </w:pPr>
      <w:hyperlink w:anchor="_Toc447876476" w:history="1">
        <w:r w:rsidR="0015364F" w:rsidRPr="004F7A4C">
          <w:rPr>
            <w:rFonts w:ascii="Arial" w:hAnsi="Arial"/>
            <w:noProof/>
            <w:color w:val="000000"/>
            <w:sz w:val="20"/>
            <w:szCs w:val="20"/>
          </w:rPr>
          <w:t>3.1</w:t>
        </w:r>
        <w:r w:rsidR="0015364F" w:rsidRPr="004F7A4C">
          <w:rPr>
            <w:rFonts w:ascii="Calibri" w:hAnsi="Calibri"/>
            <w:noProof/>
            <w:sz w:val="22"/>
            <w:szCs w:val="22"/>
          </w:rPr>
          <w:tab/>
        </w:r>
        <w:r w:rsidR="0015364F" w:rsidRPr="004F7A4C">
          <w:rPr>
            <w:rFonts w:ascii="Arial" w:hAnsi="Arial"/>
            <w:noProof/>
            <w:color w:val="000000"/>
            <w:sz w:val="20"/>
            <w:szCs w:val="20"/>
          </w:rPr>
          <w:t>Budgeted Financial Statements</w:t>
        </w:r>
        <w:r w:rsidR="0015364F" w:rsidRPr="004F7A4C">
          <w:rPr>
            <w:rFonts w:ascii="Arial" w:hAnsi="Arial"/>
            <w:noProof/>
            <w:webHidden/>
            <w:sz w:val="20"/>
            <w:szCs w:val="20"/>
          </w:rPr>
          <w:tab/>
        </w:r>
        <w:r w:rsidRPr="004F7A4C">
          <w:rPr>
            <w:rFonts w:ascii="Arial" w:hAnsi="Arial"/>
            <w:noProof/>
            <w:webHidden/>
            <w:sz w:val="20"/>
            <w:szCs w:val="20"/>
          </w:rPr>
          <w:fldChar w:fldCharType="begin"/>
        </w:r>
        <w:r w:rsidR="0015364F" w:rsidRPr="004F7A4C">
          <w:rPr>
            <w:rFonts w:ascii="Arial" w:hAnsi="Arial"/>
            <w:noProof/>
            <w:webHidden/>
            <w:sz w:val="20"/>
            <w:szCs w:val="20"/>
          </w:rPr>
          <w:instrText xml:space="preserve"> PAGEREF _Toc447876476 \h </w:instrText>
        </w:r>
        <w:r w:rsidRPr="004F7A4C">
          <w:rPr>
            <w:rFonts w:ascii="Arial" w:hAnsi="Arial"/>
            <w:noProof/>
            <w:webHidden/>
            <w:sz w:val="20"/>
            <w:szCs w:val="20"/>
          </w:rPr>
        </w:r>
        <w:r w:rsidRPr="004F7A4C">
          <w:rPr>
            <w:rFonts w:ascii="Arial" w:hAnsi="Arial"/>
            <w:noProof/>
            <w:webHidden/>
            <w:sz w:val="20"/>
            <w:szCs w:val="20"/>
          </w:rPr>
          <w:fldChar w:fldCharType="separate"/>
        </w:r>
        <w:r w:rsidR="00E341B1">
          <w:rPr>
            <w:rFonts w:ascii="Arial" w:hAnsi="Arial"/>
            <w:noProof/>
            <w:webHidden/>
            <w:sz w:val="20"/>
            <w:szCs w:val="20"/>
          </w:rPr>
          <w:t>86</w:t>
        </w:r>
        <w:r w:rsidRPr="004F7A4C">
          <w:rPr>
            <w:rFonts w:ascii="Arial" w:hAnsi="Arial"/>
            <w:noProof/>
            <w:webHidden/>
            <w:sz w:val="20"/>
            <w:szCs w:val="20"/>
          </w:rPr>
          <w:fldChar w:fldCharType="end"/>
        </w:r>
      </w:hyperlink>
    </w:p>
    <w:p w:rsidR="0015364F" w:rsidRPr="004F7A4C" w:rsidRDefault="0015364F" w:rsidP="0015364F">
      <w:pPr>
        <w:keepNext/>
        <w:tabs>
          <w:tab w:val="left" w:pos="800"/>
          <w:tab w:val="right" w:leader="dot" w:pos="7700"/>
        </w:tabs>
        <w:spacing w:before="80" w:after="0" w:line="240" w:lineRule="auto"/>
        <w:ind w:right="851"/>
        <w:jc w:val="left"/>
        <w:rPr>
          <w:rFonts w:ascii="Calibri" w:hAnsi="Calibri"/>
          <w:noProof/>
          <w:sz w:val="22"/>
          <w:szCs w:val="22"/>
        </w:rPr>
      </w:pPr>
    </w:p>
    <w:p w:rsidR="004F7A4C" w:rsidRPr="004F7A4C" w:rsidRDefault="00C4236E" w:rsidP="0015364F">
      <w:pPr>
        <w:tabs>
          <w:tab w:val="right" w:leader="dot" w:pos="7700"/>
        </w:tabs>
        <w:spacing w:before="240" w:after="0" w:line="240" w:lineRule="auto"/>
        <w:ind w:right="851"/>
        <w:jc w:val="left"/>
        <w:rPr>
          <w:rFonts w:ascii="Arial" w:hAnsi="Arial"/>
          <w:b/>
          <w:sz w:val="20"/>
          <w:szCs w:val="20"/>
        </w:rPr>
      </w:pPr>
      <w:r w:rsidRPr="004F7A4C">
        <w:rPr>
          <w:rFonts w:ascii="Arial" w:hAnsi="Arial"/>
          <w:b/>
          <w:sz w:val="20"/>
          <w:szCs w:val="20"/>
        </w:rPr>
        <w:fldChar w:fldCharType="end"/>
      </w:r>
    </w:p>
    <w:p w:rsidR="00A101CB" w:rsidRDefault="00A101CB">
      <w:pPr>
        <w:spacing w:after="0" w:line="240" w:lineRule="auto"/>
        <w:jc w:val="left"/>
        <w:rPr>
          <w:rFonts w:ascii="Book Antiqua" w:hAnsi="Book Antiqua"/>
          <w:sz w:val="20"/>
          <w:szCs w:val="20"/>
        </w:rPr>
      </w:pPr>
      <w:r>
        <w:rPr>
          <w:rFonts w:ascii="Book Antiqua" w:hAnsi="Book Antiqua"/>
          <w:sz w:val="20"/>
          <w:szCs w:val="20"/>
        </w:rPr>
        <w:br w:type="page"/>
      </w:r>
    </w:p>
    <w:p w:rsidR="004F7A4C" w:rsidRPr="004F7A4C" w:rsidRDefault="004F7A4C" w:rsidP="004F7A4C">
      <w:pPr>
        <w:jc w:val="both"/>
        <w:rPr>
          <w:rFonts w:ascii="Book Antiqua" w:hAnsi="Book Antiqua"/>
          <w:sz w:val="20"/>
          <w:szCs w:val="20"/>
        </w:rPr>
      </w:pPr>
    </w:p>
    <w:p w:rsidR="004F7A4C" w:rsidRPr="004F7A4C" w:rsidRDefault="004F7A4C" w:rsidP="00587F2B">
      <w:pPr>
        <w:pStyle w:val="Heading1"/>
      </w:pPr>
      <w:r w:rsidRPr="004F7A4C">
        <w:t xml:space="preserve">Australian Electoral Commission </w:t>
      </w:r>
    </w:p>
    <w:p w:rsidR="004F7A4C" w:rsidRPr="004F7A4C" w:rsidRDefault="004F7A4C" w:rsidP="00587F2B">
      <w:pPr>
        <w:pStyle w:val="Heading2"/>
      </w:pPr>
      <w:bookmarkStart w:id="1" w:name="_Toc444523508"/>
      <w:bookmarkStart w:id="2" w:name="_Toc447876469"/>
      <w:r w:rsidRPr="004F7A4C">
        <w:t>Section 1: Entity Overview and Resources</w:t>
      </w:r>
      <w:bookmarkEnd w:id="1"/>
      <w:bookmarkEnd w:id="2"/>
    </w:p>
    <w:p w:rsidR="004F7A4C" w:rsidRPr="004F7A4C" w:rsidRDefault="004F7A4C" w:rsidP="00587F2B">
      <w:pPr>
        <w:pStyle w:val="Heading3"/>
      </w:pPr>
      <w:bookmarkStart w:id="3" w:name="_Toc444523509"/>
      <w:bookmarkStart w:id="4" w:name="_Toc447876470"/>
      <w:r w:rsidRPr="004F7A4C">
        <w:t>1.1</w:t>
      </w:r>
      <w:r w:rsidRPr="004F7A4C">
        <w:tab/>
        <w:t>Strategic Direction Statement</w:t>
      </w:r>
      <w:bookmarkEnd w:id="3"/>
      <w:bookmarkEnd w:id="4"/>
    </w:p>
    <w:p w:rsidR="004F7A4C" w:rsidRPr="004F7A4C" w:rsidRDefault="004F7A4C" w:rsidP="00FA4313">
      <w:pPr>
        <w:jc w:val="left"/>
        <w:rPr>
          <w:rFonts w:ascii="Book Antiqua" w:hAnsi="Book Antiqua" w:cs="Arial"/>
          <w:sz w:val="20"/>
          <w:szCs w:val="20"/>
        </w:rPr>
      </w:pPr>
      <w:r w:rsidRPr="004F7A4C">
        <w:rPr>
          <w:rFonts w:ascii="Book Antiqua" w:hAnsi="Book Antiqua" w:cs="Arial"/>
          <w:sz w:val="20"/>
          <w:szCs w:val="20"/>
        </w:rPr>
        <w:t xml:space="preserve">The Australian Electoral Commission (AEC) administers the </w:t>
      </w:r>
      <w:r w:rsidRPr="004F7A4C">
        <w:rPr>
          <w:rFonts w:ascii="Book Antiqua" w:hAnsi="Book Antiqua" w:cs="Arial"/>
          <w:i/>
          <w:sz w:val="20"/>
          <w:szCs w:val="20"/>
        </w:rPr>
        <w:t>Commonwealth Electoral Act 1918</w:t>
      </w:r>
      <w:r w:rsidRPr="004F7A4C">
        <w:rPr>
          <w:rFonts w:ascii="Book Antiqua" w:hAnsi="Book Antiqua" w:cs="Arial"/>
          <w:sz w:val="20"/>
          <w:szCs w:val="20"/>
        </w:rPr>
        <w:t xml:space="preserve"> (the Electoral Act), making it responsible for conducting federal elections and referendums, maintaining the Commonwealth Electoral Roll and administering Part XX of the Electoral Act dealing with political funding and disclosure. The AEC must also provide a range of electoral information and education programs both in Australia and in support of Australia’s international interests.  </w:t>
      </w:r>
    </w:p>
    <w:p w:rsidR="004F7A4C" w:rsidRPr="004F7A4C" w:rsidRDefault="004F7A4C" w:rsidP="00FA4313">
      <w:pPr>
        <w:jc w:val="left"/>
        <w:rPr>
          <w:rFonts w:ascii="Book Antiqua" w:hAnsi="Book Antiqua" w:cs="Arial"/>
          <w:sz w:val="20"/>
          <w:szCs w:val="20"/>
        </w:rPr>
      </w:pPr>
      <w:r w:rsidRPr="004F7A4C">
        <w:rPr>
          <w:rFonts w:ascii="Book Antiqua" w:hAnsi="Book Antiqua" w:cs="Arial"/>
          <w:sz w:val="20"/>
          <w:szCs w:val="20"/>
        </w:rPr>
        <w:t>The AEC’s actions impact on the Australian community as stated in its outcome:</w:t>
      </w:r>
    </w:p>
    <w:p w:rsidR="004F7A4C" w:rsidRPr="004F7A4C" w:rsidRDefault="004F7A4C" w:rsidP="00FA4313">
      <w:pPr>
        <w:jc w:val="left"/>
        <w:rPr>
          <w:rFonts w:ascii="Book Antiqua" w:hAnsi="Book Antiqua" w:cs="Arial"/>
          <w:sz w:val="20"/>
          <w:szCs w:val="20"/>
        </w:rPr>
      </w:pPr>
      <w:r w:rsidRPr="004F7A4C">
        <w:rPr>
          <w:rFonts w:ascii="Book Antiqua" w:hAnsi="Book Antiqua" w:cs="Arial"/>
          <w:i/>
          <w:sz w:val="20"/>
          <w:szCs w:val="20"/>
        </w:rPr>
        <w:t>Maintain an impartial and independent electoral system for eligible voters through active electoral roll management, efficient delivery of polling services, and targeted education and public awareness programs</w:t>
      </w:r>
      <w:r w:rsidRPr="004F7A4C">
        <w:rPr>
          <w:rFonts w:ascii="Book Antiqua" w:hAnsi="Book Antiqua" w:cs="Arial"/>
          <w:sz w:val="20"/>
          <w:szCs w:val="20"/>
        </w:rPr>
        <w:t>.</w:t>
      </w:r>
    </w:p>
    <w:p w:rsidR="004F7A4C" w:rsidRPr="004F7A4C" w:rsidRDefault="004F7A4C" w:rsidP="00FA4313">
      <w:pPr>
        <w:spacing w:after="0"/>
        <w:jc w:val="left"/>
        <w:rPr>
          <w:rFonts w:ascii="Book Antiqua" w:hAnsi="Book Antiqua" w:cs="Arial"/>
          <w:sz w:val="20"/>
          <w:szCs w:val="20"/>
        </w:rPr>
      </w:pPr>
      <w:r w:rsidRPr="004F7A4C">
        <w:rPr>
          <w:rFonts w:ascii="Book Antiqua" w:hAnsi="Book Antiqua" w:cs="Arial"/>
          <w:sz w:val="20"/>
          <w:szCs w:val="20"/>
        </w:rPr>
        <w:t xml:space="preserve">During 2016-17 the AEC is expecting to conduct a federal election incorporating a range of reforms, supported by a new election planning framework. </w:t>
      </w:r>
    </w:p>
    <w:p w:rsidR="004F7A4C" w:rsidRPr="004F7A4C" w:rsidRDefault="004F7A4C" w:rsidP="004F7A4C">
      <w:pPr>
        <w:spacing w:after="0"/>
        <w:jc w:val="both"/>
        <w:rPr>
          <w:rFonts w:ascii="Book Antiqua" w:hAnsi="Book Antiqua" w:cs="Arial"/>
          <w:sz w:val="20"/>
          <w:szCs w:val="20"/>
        </w:rPr>
      </w:pPr>
    </w:p>
    <w:p w:rsidR="002676AB" w:rsidRDefault="002676AB">
      <w:pPr>
        <w:spacing w:after="0" w:line="240" w:lineRule="auto"/>
        <w:jc w:val="left"/>
        <w:rPr>
          <w:rFonts w:ascii="Arial" w:hAnsi="Arial"/>
          <w:b/>
          <w:smallCaps/>
          <w:sz w:val="26"/>
          <w:szCs w:val="20"/>
        </w:rPr>
      </w:pPr>
      <w:bookmarkStart w:id="5" w:name="_Toc444523510"/>
      <w:bookmarkStart w:id="6" w:name="_Toc447876471"/>
      <w:r>
        <w:br w:type="page"/>
      </w:r>
    </w:p>
    <w:p w:rsidR="004F7A4C" w:rsidRPr="004F7A4C" w:rsidRDefault="004F7A4C" w:rsidP="00587F2B">
      <w:pPr>
        <w:pStyle w:val="Heading3"/>
      </w:pPr>
      <w:r w:rsidRPr="004F7A4C">
        <w:lastRenderedPageBreak/>
        <w:t>1.2</w:t>
      </w:r>
      <w:r w:rsidRPr="004F7A4C">
        <w:tab/>
        <w:t>Entity Resource Statement</w:t>
      </w:r>
      <w:bookmarkEnd w:id="5"/>
      <w:bookmarkEnd w:id="6"/>
    </w:p>
    <w:p w:rsidR="004F7A4C" w:rsidRPr="004F7A4C" w:rsidRDefault="004F7A4C" w:rsidP="00FA4313">
      <w:pPr>
        <w:jc w:val="left"/>
        <w:rPr>
          <w:rFonts w:ascii="Book Antiqua" w:hAnsi="Book Antiqua"/>
          <w:sz w:val="20"/>
          <w:szCs w:val="20"/>
        </w:rPr>
      </w:pPr>
      <w:r w:rsidRPr="004F7A4C">
        <w:rPr>
          <w:rFonts w:ascii="Book Antiqua" w:hAnsi="Book Antiqua"/>
          <w:sz w:val="20"/>
          <w:szCs w:val="20"/>
        </w:rPr>
        <w:t>Table 1.1 shows the total funding from all sources available to the entity for its operations and to deliver programs</w:t>
      </w:r>
      <w:r w:rsidR="0062363E">
        <w:rPr>
          <w:rFonts w:ascii="Book Antiqua" w:hAnsi="Book Antiqua"/>
          <w:sz w:val="20"/>
          <w:szCs w:val="20"/>
        </w:rPr>
        <w:t xml:space="preserve"> and services on behalf of the g</w:t>
      </w:r>
      <w:r w:rsidRPr="004F7A4C">
        <w:rPr>
          <w:rFonts w:ascii="Book Antiqua" w:hAnsi="Book Antiqua"/>
          <w:sz w:val="20"/>
          <w:szCs w:val="20"/>
        </w:rPr>
        <w:t xml:space="preserve">overnment. </w:t>
      </w:r>
    </w:p>
    <w:p w:rsidR="004F7A4C" w:rsidRPr="004F7A4C" w:rsidRDefault="004F7A4C" w:rsidP="00FA4313">
      <w:pPr>
        <w:jc w:val="left"/>
        <w:rPr>
          <w:rFonts w:ascii="Book Antiqua" w:hAnsi="Book Antiqua"/>
          <w:sz w:val="20"/>
          <w:szCs w:val="20"/>
        </w:rPr>
      </w:pPr>
      <w:r w:rsidRPr="004F7A4C">
        <w:rPr>
          <w:rFonts w:ascii="Book Antiqua" w:hAnsi="Book Antiqua"/>
          <w:sz w:val="20"/>
          <w:szCs w:val="20"/>
        </w:rPr>
        <w:t>The table summarises how resources will be applied by outcome (</w:t>
      </w:r>
      <w:r w:rsidR="0062363E">
        <w:rPr>
          <w:rFonts w:ascii="Book Antiqua" w:hAnsi="Book Antiqua"/>
          <w:sz w:val="20"/>
          <w:szCs w:val="20"/>
        </w:rPr>
        <w:t>g</w:t>
      </w:r>
      <w:r w:rsidRPr="004F7A4C">
        <w:rPr>
          <w:rFonts w:ascii="Book Antiqua" w:hAnsi="Book Antiqua"/>
          <w:sz w:val="20"/>
          <w:szCs w:val="20"/>
        </w:rPr>
        <w:t xml:space="preserve">overnment strategic policy objectives) and by administered (on behalf of the </w:t>
      </w:r>
      <w:r w:rsidR="0062363E">
        <w:rPr>
          <w:rFonts w:ascii="Book Antiqua" w:hAnsi="Book Antiqua"/>
          <w:sz w:val="20"/>
          <w:szCs w:val="20"/>
        </w:rPr>
        <w:t>g</w:t>
      </w:r>
      <w:r w:rsidRPr="004F7A4C">
        <w:rPr>
          <w:rFonts w:ascii="Book Antiqua" w:hAnsi="Book Antiqua"/>
          <w:sz w:val="20"/>
          <w:szCs w:val="20"/>
        </w:rPr>
        <w:t xml:space="preserve">overnment or the public) and departmental (for the </w:t>
      </w:r>
      <w:r w:rsidR="0062363E">
        <w:rPr>
          <w:rFonts w:ascii="Book Antiqua" w:hAnsi="Book Antiqua"/>
          <w:sz w:val="20"/>
          <w:szCs w:val="20"/>
        </w:rPr>
        <w:t xml:space="preserve">AEC’s </w:t>
      </w:r>
      <w:r w:rsidRPr="004F7A4C">
        <w:rPr>
          <w:rFonts w:ascii="Book Antiqua" w:hAnsi="Book Antiqua"/>
          <w:sz w:val="20"/>
          <w:szCs w:val="20"/>
        </w:rPr>
        <w:t>operations) classification.</w:t>
      </w:r>
    </w:p>
    <w:p w:rsidR="004F7A4C" w:rsidRPr="004F7A4C" w:rsidRDefault="004F7A4C" w:rsidP="00FA4313">
      <w:pPr>
        <w:jc w:val="left"/>
        <w:rPr>
          <w:rFonts w:ascii="Book Antiqua" w:hAnsi="Book Antiqua"/>
          <w:sz w:val="20"/>
          <w:szCs w:val="20"/>
        </w:rPr>
      </w:pPr>
      <w:r w:rsidRPr="004F7A4C">
        <w:rPr>
          <w:rFonts w:ascii="Book Antiqua" w:hAnsi="Book Antiqua"/>
          <w:sz w:val="20"/>
          <w:szCs w:val="20"/>
        </w:rPr>
        <w:t xml:space="preserve">For more detailed information on special accounts and special appropriations, please refer to </w:t>
      </w:r>
      <w:r w:rsidRPr="004F7A4C">
        <w:rPr>
          <w:rFonts w:ascii="Book Antiqua" w:hAnsi="Book Antiqua"/>
          <w:i/>
          <w:sz w:val="20"/>
          <w:szCs w:val="20"/>
        </w:rPr>
        <w:t>Budget Paper No. 4 – Agency Resourcing</w:t>
      </w:r>
      <w:r w:rsidRPr="004F7A4C">
        <w:rPr>
          <w:rFonts w:ascii="Book Antiqua" w:hAnsi="Book Antiqua"/>
          <w:sz w:val="20"/>
          <w:szCs w:val="20"/>
        </w:rPr>
        <w:t>.</w:t>
      </w:r>
    </w:p>
    <w:p w:rsidR="004F7A4C" w:rsidRPr="004F7A4C" w:rsidRDefault="004F7A4C" w:rsidP="00FA4313">
      <w:pPr>
        <w:jc w:val="left"/>
        <w:rPr>
          <w:rFonts w:ascii="Book Antiqua" w:hAnsi="Book Antiqua"/>
          <w:sz w:val="20"/>
          <w:szCs w:val="20"/>
        </w:rPr>
      </w:pPr>
      <w:r w:rsidRPr="004F7A4C">
        <w:rPr>
          <w:rFonts w:ascii="Book Antiqua" w:hAnsi="Book Antiqua"/>
          <w:sz w:val="20"/>
          <w:szCs w:val="20"/>
        </w:rPr>
        <w:t xml:space="preserve">Information in this table is presented on a resourcing (i.e. appropriations/cash available) basis, whilst the ‘Budgeted Expenses by Outcome 1’ tables in Section 2 and the financial statements in Section 3 are presented on an accrual basis. </w:t>
      </w:r>
    </w:p>
    <w:p w:rsidR="002676AB" w:rsidRPr="002676AB" w:rsidRDefault="002676AB" w:rsidP="002676AB">
      <w:pPr>
        <w:spacing w:after="0" w:line="240" w:lineRule="auto"/>
        <w:jc w:val="left"/>
        <w:rPr>
          <w:rFonts w:ascii="Arial" w:hAnsi="Arial"/>
          <w:b/>
          <w:bCs/>
          <w:iCs/>
          <w:sz w:val="20"/>
          <w:szCs w:val="26"/>
        </w:rPr>
      </w:pPr>
      <w:r>
        <w:br w:type="page"/>
      </w:r>
    </w:p>
    <w:p w:rsidR="004F7A4C" w:rsidRPr="004F7A4C" w:rsidRDefault="004F7A4C" w:rsidP="00587F2B">
      <w:pPr>
        <w:pStyle w:val="Heading5"/>
        <w:spacing w:after="0"/>
      </w:pPr>
      <w:r w:rsidRPr="004F7A4C">
        <w:lastRenderedPageBreak/>
        <w:t>Table 1.1: Australian Electoral Commission Resource Statement — Budget Estimates for 2016-17 as at Budget May 2016</w:t>
      </w:r>
    </w:p>
    <w:tbl>
      <w:tblPr>
        <w:tblW w:w="6660" w:type="dxa"/>
        <w:tblInd w:w="96" w:type="dxa"/>
        <w:tblLook w:val="04A0"/>
      </w:tblPr>
      <w:tblGrid>
        <w:gridCol w:w="4460"/>
        <w:gridCol w:w="1080"/>
        <w:gridCol w:w="1120"/>
      </w:tblGrid>
      <w:tr w:rsidR="00135314" w:rsidRPr="00135314" w:rsidTr="00135314">
        <w:trPr>
          <w:trHeight w:val="225"/>
        </w:trPr>
        <w:tc>
          <w:tcPr>
            <w:tcW w:w="4460"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1080" w:type="dxa"/>
            <w:tcBorders>
              <w:top w:val="single" w:sz="4" w:space="0" w:color="auto"/>
              <w:left w:val="nil"/>
              <w:bottom w:val="nil"/>
              <w:right w:val="nil"/>
            </w:tcBorders>
            <w:shd w:val="clear" w:color="000000" w:fill="FFFFFF"/>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2015-16</w:t>
            </w:r>
          </w:p>
        </w:tc>
        <w:tc>
          <w:tcPr>
            <w:tcW w:w="1120" w:type="dxa"/>
            <w:tcBorders>
              <w:top w:val="single" w:sz="4" w:space="0" w:color="auto"/>
              <w:left w:val="nil"/>
              <w:bottom w:val="nil"/>
              <w:right w:val="nil"/>
            </w:tcBorders>
            <w:shd w:val="clear" w:color="000000" w:fill="E6E6E6"/>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r>
      <w:tr w:rsidR="00135314" w:rsidRPr="00135314" w:rsidTr="00135314">
        <w:trPr>
          <w:trHeight w:val="225"/>
        </w:trPr>
        <w:tc>
          <w:tcPr>
            <w:tcW w:w="44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1080" w:type="dxa"/>
            <w:tcBorders>
              <w:top w:val="nil"/>
              <w:left w:val="nil"/>
              <w:bottom w:val="nil"/>
              <w:right w:val="nil"/>
            </w:tcBorders>
            <w:shd w:val="clear" w:color="000000" w:fill="FFFFFF"/>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Estimated</w:t>
            </w:r>
          </w:p>
        </w:tc>
        <w:tc>
          <w:tcPr>
            <w:tcW w:w="1120" w:type="dxa"/>
            <w:tcBorders>
              <w:top w:val="nil"/>
              <w:left w:val="nil"/>
              <w:bottom w:val="nil"/>
              <w:right w:val="nil"/>
            </w:tcBorders>
            <w:shd w:val="clear" w:color="000000" w:fill="E6E6E6"/>
            <w:hideMark/>
          </w:tcPr>
          <w:p w:rsidR="00135314" w:rsidRPr="00135314" w:rsidRDefault="00135314" w:rsidP="00135314">
            <w:pPr>
              <w:spacing w:after="0" w:line="240" w:lineRule="auto"/>
              <w:jc w:val="right"/>
              <w:rPr>
                <w:rFonts w:ascii="Arial" w:hAnsi="Arial" w:cs="Arial"/>
              </w:rPr>
            </w:pPr>
            <w:r w:rsidRPr="00135314">
              <w:rPr>
                <w:rFonts w:ascii="Arial" w:hAnsi="Arial" w:cs="Arial"/>
              </w:rPr>
              <w:t>Estimate</w:t>
            </w:r>
          </w:p>
        </w:tc>
      </w:tr>
      <w:tr w:rsidR="00135314" w:rsidRPr="00135314" w:rsidTr="00135314">
        <w:trPr>
          <w:trHeight w:val="225"/>
        </w:trPr>
        <w:tc>
          <w:tcPr>
            <w:tcW w:w="44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1080" w:type="dxa"/>
            <w:tcBorders>
              <w:top w:val="nil"/>
              <w:left w:val="nil"/>
              <w:bottom w:val="nil"/>
              <w:right w:val="nil"/>
            </w:tcBorders>
            <w:shd w:val="clear" w:color="000000" w:fill="FFFFFF"/>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actual</w:t>
            </w:r>
          </w:p>
        </w:tc>
        <w:tc>
          <w:tcPr>
            <w:tcW w:w="1120" w:type="dxa"/>
            <w:tcBorders>
              <w:top w:val="nil"/>
              <w:left w:val="nil"/>
              <w:bottom w:val="nil"/>
              <w:right w:val="nil"/>
            </w:tcBorders>
            <w:shd w:val="clear" w:color="000000" w:fill="E6E6E6"/>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r>
      <w:tr w:rsidR="00135314" w:rsidRPr="00135314" w:rsidTr="00135314">
        <w:trPr>
          <w:trHeight w:val="225"/>
        </w:trPr>
        <w:tc>
          <w:tcPr>
            <w:tcW w:w="44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1080" w:type="dxa"/>
            <w:tcBorders>
              <w:top w:val="nil"/>
              <w:left w:val="nil"/>
              <w:bottom w:val="single" w:sz="4" w:space="0" w:color="auto"/>
              <w:right w:val="nil"/>
            </w:tcBorders>
            <w:shd w:val="clear" w:color="000000" w:fill="FFFFFF"/>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$'000</w:t>
            </w:r>
          </w:p>
        </w:tc>
        <w:tc>
          <w:tcPr>
            <w:tcW w:w="1120" w:type="dxa"/>
            <w:tcBorders>
              <w:top w:val="nil"/>
              <w:left w:val="nil"/>
              <w:bottom w:val="single" w:sz="4" w:space="0" w:color="auto"/>
              <w:right w:val="nil"/>
            </w:tcBorders>
            <w:shd w:val="clear" w:color="000000" w:fill="E6E6E6"/>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r>
      <w:tr w:rsidR="00135314" w:rsidRPr="00135314" w:rsidTr="00135314">
        <w:trPr>
          <w:trHeight w:val="225"/>
        </w:trPr>
        <w:tc>
          <w:tcPr>
            <w:tcW w:w="44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Departmental </w:t>
            </w:r>
          </w:p>
        </w:tc>
        <w:tc>
          <w:tcPr>
            <w:tcW w:w="1080" w:type="dxa"/>
            <w:tcBorders>
              <w:top w:val="nil"/>
              <w:left w:val="nil"/>
              <w:bottom w:val="nil"/>
              <w:right w:val="nil"/>
            </w:tcBorders>
            <w:shd w:val="clear" w:color="000000" w:fill="FFFFFF"/>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 </w:t>
            </w:r>
          </w:p>
        </w:tc>
        <w:tc>
          <w:tcPr>
            <w:tcW w:w="1120" w:type="dxa"/>
            <w:tcBorders>
              <w:top w:val="nil"/>
              <w:left w:val="nil"/>
              <w:bottom w:val="nil"/>
              <w:right w:val="nil"/>
            </w:tcBorders>
            <w:shd w:val="clear" w:color="000000" w:fill="E6E6E6"/>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r>
      <w:tr w:rsidR="00135314" w:rsidRPr="00135314" w:rsidTr="00135314">
        <w:trPr>
          <w:trHeight w:val="240"/>
        </w:trPr>
        <w:tc>
          <w:tcPr>
            <w:tcW w:w="44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Annual Appropriation - ordinary annual services </w:t>
            </w:r>
            <w:r w:rsidRPr="00135314">
              <w:rPr>
                <w:rFonts w:ascii="Arial" w:hAnsi="Arial" w:cs="Arial"/>
                <w:vertAlign w:val="superscript"/>
              </w:rPr>
              <w:t>(a)</w:t>
            </w:r>
          </w:p>
        </w:tc>
        <w:tc>
          <w:tcPr>
            <w:tcW w:w="10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i/>
                <w:iCs/>
              </w:rPr>
            </w:pP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r>
      <w:tr w:rsidR="00135314" w:rsidRPr="00135314" w:rsidTr="00135314">
        <w:trPr>
          <w:trHeight w:val="225"/>
        </w:trPr>
        <w:tc>
          <w:tcPr>
            <w:tcW w:w="44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 xml:space="preserve">Prior year appropriations </w:t>
            </w:r>
          </w:p>
        </w:tc>
        <w:tc>
          <w:tcPr>
            <w:tcW w:w="10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i/>
                <w:iCs/>
              </w:rPr>
            </w:pPr>
            <w:r w:rsidRPr="00135314">
              <w:rPr>
                <w:rFonts w:ascii="Arial" w:hAnsi="Arial" w:cs="Arial"/>
                <w:i/>
                <w:iCs/>
              </w:rPr>
              <w:t xml:space="preserve">46,322 </w:t>
            </w: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r>
      <w:tr w:rsidR="00135314" w:rsidRPr="00135314" w:rsidTr="00135314">
        <w:trPr>
          <w:trHeight w:val="225"/>
        </w:trPr>
        <w:tc>
          <w:tcPr>
            <w:tcW w:w="4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 xml:space="preserve">Departmental appropriation </w:t>
            </w:r>
          </w:p>
        </w:tc>
        <w:tc>
          <w:tcPr>
            <w:tcW w:w="10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i/>
                <w:iCs/>
              </w:rPr>
            </w:pPr>
            <w:r w:rsidRPr="00135314">
              <w:rPr>
                <w:rFonts w:ascii="Arial" w:hAnsi="Arial" w:cs="Arial"/>
                <w:i/>
                <w:iCs/>
              </w:rPr>
              <w:t xml:space="preserve">222,958 </w:t>
            </w: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304,347 </w:t>
            </w:r>
          </w:p>
        </w:tc>
      </w:tr>
      <w:tr w:rsidR="00135314" w:rsidRPr="00135314" w:rsidTr="00135314">
        <w:trPr>
          <w:trHeight w:val="240"/>
        </w:trPr>
        <w:tc>
          <w:tcPr>
            <w:tcW w:w="44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 xml:space="preserve">s74 Retained revenue receipts </w:t>
            </w:r>
            <w:r w:rsidRPr="00135314">
              <w:rPr>
                <w:rFonts w:ascii="Arial" w:hAnsi="Arial" w:cs="Arial"/>
                <w:color w:val="000000"/>
                <w:vertAlign w:val="superscript"/>
              </w:rPr>
              <w:t>(b)</w:t>
            </w:r>
          </w:p>
        </w:tc>
        <w:tc>
          <w:tcPr>
            <w:tcW w:w="10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i/>
                <w:iCs/>
              </w:rPr>
            </w:pPr>
            <w:r w:rsidRPr="00135314">
              <w:rPr>
                <w:rFonts w:ascii="Arial" w:hAnsi="Arial" w:cs="Arial"/>
                <w:i/>
                <w:iCs/>
              </w:rPr>
              <w:t xml:space="preserve">10,841 </w:t>
            </w: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10,952 </w:t>
            </w:r>
          </w:p>
        </w:tc>
      </w:tr>
      <w:tr w:rsidR="00135314" w:rsidRPr="00135314" w:rsidTr="00135314">
        <w:trPr>
          <w:trHeight w:val="240"/>
        </w:trPr>
        <w:tc>
          <w:tcPr>
            <w:tcW w:w="4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 xml:space="preserve">Departmental capital budget </w:t>
            </w:r>
            <w:r w:rsidRPr="00135314">
              <w:rPr>
                <w:rFonts w:ascii="Arial" w:hAnsi="Arial" w:cs="Arial"/>
                <w:color w:val="000000"/>
                <w:vertAlign w:val="superscript"/>
              </w:rPr>
              <w:t>(c)</w:t>
            </w:r>
          </w:p>
        </w:tc>
        <w:tc>
          <w:tcPr>
            <w:tcW w:w="10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i/>
                <w:iCs/>
              </w:rPr>
            </w:pPr>
            <w:r w:rsidRPr="00135314">
              <w:rPr>
                <w:rFonts w:ascii="Arial" w:hAnsi="Arial" w:cs="Arial"/>
                <w:i/>
                <w:iCs/>
              </w:rPr>
              <w:t xml:space="preserve">11,012 </w:t>
            </w: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6,171 </w:t>
            </w:r>
          </w:p>
        </w:tc>
      </w:tr>
      <w:tr w:rsidR="00135314" w:rsidRPr="00135314" w:rsidTr="00135314">
        <w:trPr>
          <w:trHeight w:val="225"/>
        </w:trPr>
        <w:tc>
          <w:tcPr>
            <w:tcW w:w="4460" w:type="dxa"/>
            <w:tcBorders>
              <w:top w:val="nil"/>
              <w:left w:val="nil"/>
              <w:bottom w:val="nil"/>
              <w:right w:val="nil"/>
            </w:tcBorders>
            <w:shd w:val="clear" w:color="000000" w:fill="FFFFFF"/>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departmental annual appropriations</w:t>
            </w:r>
          </w:p>
        </w:tc>
        <w:tc>
          <w:tcPr>
            <w:tcW w:w="108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i/>
                <w:iCs/>
              </w:rPr>
            </w:pPr>
            <w:r w:rsidRPr="00135314">
              <w:rPr>
                <w:rFonts w:ascii="Arial" w:hAnsi="Arial" w:cs="Arial"/>
                <w:b/>
                <w:bCs/>
                <w:i/>
                <w:iCs/>
              </w:rPr>
              <w:t xml:space="preserve">291,133 </w:t>
            </w:r>
          </w:p>
        </w:tc>
        <w:tc>
          <w:tcPr>
            <w:tcW w:w="112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321,470 </w:t>
            </w:r>
          </w:p>
        </w:tc>
      </w:tr>
      <w:tr w:rsidR="00135314" w:rsidRPr="00135314" w:rsidTr="00135314">
        <w:trPr>
          <w:trHeight w:val="240"/>
        </w:trPr>
        <w:tc>
          <w:tcPr>
            <w:tcW w:w="4460" w:type="dxa"/>
            <w:tcBorders>
              <w:top w:val="nil"/>
              <w:left w:val="nil"/>
              <w:bottom w:val="nil"/>
              <w:right w:val="nil"/>
            </w:tcBorders>
            <w:shd w:val="clear" w:color="000000" w:fill="FFFFFF"/>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Total departmental special appropriations </w:t>
            </w:r>
            <w:r w:rsidRPr="00135314">
              <w:rPr>
                <w:rFonts w:ascii="Arial" w:hAnsi="Arial" w:cs="Arial"/>
                <w:b/>
                <w:bCs/>
                <w:color w:val="000000"/>
                <w:vertAlign w:val="superscript"/>
              </w:rPr>
              <w:t>(d)</w:t>
            </w:r>
          </w:p>
        </w:tc>
        <w:tc>
          <w:tcPr>
            <w:tcW w:w="10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i/>
                <w:iCs/>
              </w:rPr>
            </w:pPr>
            <w:r w:rsidRPr="00135314">
              <w:rPr>
                <w:rFonts w:ascii="Arial" w:hAnsi="Arial" w:cs="Arial"/>
                <w:b/>
                <w:bCs/>
                <w:i/>
                <w:iCs/>
              </w:rPr>
              <w:t xml:space="preserve">9,000 </w:t>
            </w:r>
          </w:p>
        </w:tc>
        <w:tc>
          <w:tcPr>
            <w:tcW w:w="11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9,000 </w:t>
            </w:r>
          </w:p>
        </w:tc>
      </w:tr>
      <w:tr w:rsidR="00135314" w:rsidRPr="00135314" w:rsidTr="00135314">
        <w:trPr>
          <w:trHeight w:val="225"/>
        </w:trPr>
        <w:tc>
          <w:tcPr>
            <w:tcW w:w="4460" w:type="dxa"/>
            <w:tcBorders>
              <w:top w:val="nil"/>
              <w:left w:val="nil"/>
              <w:bottom w:val="nil"/>
              <w:right w:val="nil"/>
            </w:tcBorders>
            <w:shd w:val="clear" w:color="000000" w:fill="FFFFFF"/>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departmental resourcing</w:t>
            </w:r>
          </w:p>
        </w:tc>
        <w:tc>
          <w:tcPr>
            <w:tcW w:w="10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i/>
                <w:iCs/>
              </w:rPr>
            </w:pPr>
            <w:r w:rsidRPr="00135314">
              <w:rPr>
                <w:rFonts w:ascii="Arial" w:hAnsi="Arial" w:cs="Arial"/>
                <w:b/>
                <w:bCs/>
                <w:i/>
                <w:iCs/>
              </w:rPr>
              <w:t xml:space="preserve">300,133 </w:t>
            </w:r>
          </w:p>
        </w:tc>
        <w:tc>
          <w:tcPr>
            <w:tcW w:w="11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330,470 </w:t>
            </w:r>
          </w:p>
        </w:tc>
      </w:tr>
      <w:tr w:rsidR="00135314" w:rsidRPr="00135314" w:rsidTr="00135314">
        <w:trPr>
          <w:trHeight w:val="225"/>
        </w:trPr>
        <w:tc>
          <w:tcPr>
            <w:tcW w:w="4460" w:type="dxa"/>
            <w:tcBorders>
              <w:top w:val="nil"/>
              <w:left w:val="nil"/>
              <w:bottom w:val="nil"/>
              <w:right w:val="nil"/>
            </w:tcBorders>
            <w:shd w:val="clear" w:color="000000" w:fill="FFFFFF"/>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Administered</w:t>
            </w:r>
          </w:p>
        </w:tc>
        <w:tc>
          <w:tcPr>
            <w:tcW w:w="10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i/>
                <w:iCs/>
              </w:rPr>
            </w:pP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r>
      <w:tr w:rsidR="00135314" w:rsidRPr="00135314" w:rsidTr="00135314">
        <w:trPr>
          <w:trHeight w:val="225"/>
        </w:trPr>
        <w:tc>
          <w:tcPr>
            <w:tcW w:w="4460" w:type="dxa"/>
            <w:tcBorders>
              <w:top w:val="nil"/>
              <w:left w:val="nil"/>
              <w:bottom w:val="nil"/>
              <w:right w:val="nil"/>
            </w:tcBorders>
            <w:shd w:val="clear" w:color="000000" w:fill="FFFFFF"/>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Total administered special appropriations </w:t>
            </w:r>
          </w:p>
        </w:tc>
        <w:tc>
          <w:tcPr>
            <w:tcW w:w="108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i/>
                <w:iCs/>
              </w:rPr>
            </w:pPr>
            <w:r w:rsidRPr="00135314">
              <w:rPr>
                <w:rFonts w:ascii="Arial" w:hAnsi="Arial" w:cs="Arial"/>
                <w:b/>
                <w:bCs/>
                <w:i/>
                <w:iCs/>
              </w:rPr>
              <w:t xml:space="preserve">664 </w:t>
            </w:r>
          </w:p>
        </w:tc>
        <w:tc>
          <w:tcPr>
            <w:tcW w:w="112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74,000 </w:t>
            </w:r>
          </w:p>
        </w:tc>
      </w:tr>
      <w:tr w:rsidR="00135314" w:rsidRPr="00135314" w:rsidTr="00135314">
        <w:trPr>
          <w:trHeight w:val="225"/>
        </w:trPr>
        <w:tc>
          <w:tcPr>
            <w:tcW w:w="4460" w:type="dxa"/>
            <w:tcBorders>
              <w:top w:val="nil"/>
              <w:left w:val="nil"/>
              <w:bottom w:val="nil"/>
              <w:right w:val="nil"/>
            </w:tcBorders>
            <w:shd w:val="clear" w:color="000000" w:fill="FFFFFF"/>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Special accounts</w:t>
            </w:r>
          </w:p>
        </w:tc>
        <w:tc>
          <w:tcPr>
            <w:tcW w:w="108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i/>
                <w:iCs/>
                <w:color w:val="000000"/>
              </w:rPr>
            </w:pPr>
            <w:r w:rsidRPr="00135314">
              <w:rPr>
                <w:rFonts w:ascii="Arial" w:hAnsi="Arial" w:cs="Arial"/>
                <w:i/>
                <w:iCs/>
                <w:color w:val="000000"/>
              </w:rPr>
              <w:t> </w:t>
            </w: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r>
      <w:tr w:rsidR="00135314" w:rsidRPr="00135314" w:rsidTr="00135314">
        <w:trPr>
          <w:trHeight w:val="225"/>
        </w:trPr>
        <w:tc>
          <w:tcPr>
            <w:tcW w:w="4460" w:type="dxa"/>
            <w:tcBorders>
              <w:top w:val="nil"/>
              <w:left w:val="nil"/>
              <w:bottom w:val="nil"/>
              <w:right w:val="nil"/>
            </w:tcBorders>
            <w:shd w:val="clear" w:color="000000" w:fill="FFFFFF"/>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Opening balance</w:t>
            </w:r>
          </w:p>
        </w:tc>
        <w:tc>
          <w:tcPr>
            <w:tcW w:w="108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 xml:space="preserve">- </w:t>
            </w: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2,500 </w:t>
            </w:r>
          </w:p>
        </w:tc>
      </w:tr>
      <w:tr w:rsidR="00135314" w:rsidRPr="00135314" w:rsidTr="00135314">
        <w:trPr>
          <w:trHeight w:val="225"/>
        </w:trPr>
        <w:tc>
          <w:tcPr>
            <w:tcW w:w="4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Non-appropriation receipts</w:t>
            </w:r>
          </w:p>
        </w:tc>
        <w:tc>
          <w:tcPr>
            <w:tcW w:w="108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 xml:space="preserve">2,500 </w:t>
            </w: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r>
      <w:tr w:rsidR="00135314" w:rsidRPr="00135314" w:rsidTr="00135314">
        <w:trPr>
          <w:trHeight w:val="225"/>
        </w:trPr>
        <w:tc>
          <w:tcPr>
            <w:tcW w:w="4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special account receipts</w:t>
            </w:r>
          </w:p>
        </w:tc>
        <w:tc>
          <w:tcPr>
            <w:tcW w:w="1080" w:type="dxa"/>
            <w:tcBorders>
              <w:top w:val="single" w:sz="4" w:space="0" w:color="auto"/>
              <w:left w:val="nil"/>
              <w:bottom w:val="single" w:sz="4" w:space="0" w:color="auto"/>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b/>
                <w:bCs/>
                <w:i/>
                <w:iCs/>
                <w:color w:val="000000"/>
              </w:rPr>
            </w:pPr>
            <w:r w:rsidRPr="00135314">
              <w:rPr>
                <w:rFonts w:ascii="Arial" w:hAnsi="Arial" w:cs="Arial"/>
                <w:b/>
                <w:bCs/>
                <w:i/>
                <w:iCs/>
                <w:color w:val="000000"/>
              </w:rPr>
              <w:t xml:space="preserve">2,500 </w:t>
            </w:r>
          </w:p>
        </w:tc>
        <w:tc>
          <w:tcPr>
            <w:tcW w:w="112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2,500 </w:t>
            </w:r>
          </w:p>
        </w:tc>
      </w:tr>
      <w:tr w:rsidR="00135314" w:rsidRPr="00135314" w:rsidTr="00135314">
        <w:trPr>
          <w:trHeight w:val="225"/>
        </w:trPr>
        <w:tc>
          <w:tcPr>
            <w:tcW w:w="4460" w:type="dxa"/>
            <w:tcBorders>
              <w:top w:val="nil"/>
              <w:left w:val="nil"/>
              <w:bottom w:val="nil"/>
              <w:right w:val="nil"/>
            </w:tcBorders>
            <w:shd w:val="clear" w:color="000000" w:fill="FFFFFF"/>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administered resourcing</w:t>
            </w:r>
          </w:p>
        </w:tc>
        <w:tc>
          <w:tcPr>
            <w:tcW w:w="1080" w:type="dxa"/>
            <w:tcBorders>
              <w:top w:val="nil"/>
              <w:left w:val="nil"/>
              <w:bottom w:val="single" w:sz="4" w:space="0" w:color="auto"/>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b/>
                <w:bCs/>
                <w:i/>
                <w:iCs/>
                <w:color w:val="000000"/>
              </w:rPr>
            </w:pPr>
            <w:r w:rsidRPr="00135314">
              <w:rPr>
                <w:rFonts w:ascii="Arial" w:hAnsi="Arial" w:cs="Arial"/>
                <w:b/>
                <w:bCs/>
                <w:i/>
                <w:iCs/>
                <w:color w:val="000000"/>
              </w:rPr>
              <w:t xml:space="preserve">3,164 </w:t>
            </w:r>
          </w:p>
        </w:tc>
        <w:tc>
          <w:tcPr>
            <w:tcW w:w="11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76,500 </w:t>
            </w:r>
          </w:p>
        </w:tc>
      </w:tr>
      <w:tr w:rsidR="00135314" w:rsidRPr="00135314" w:rsidTr="00135314">
        <w:trPr>
          <w:trHeight w:val="225"/>
        </w:trPr>
        <w:tc>
          <w:tcPr>
            <w:tcW w:w="446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Total resourcing for Australian </w:t>
            </w:r>
          </w:p>
        </w:tc>
        <w:tc>
          <w:tcPr>
            <w:tcW w:w="108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i/>
                <w:iCs/>
                <w:color w:val="000000"/>
              </w:rPr>
            </w:pPr>
            <w:r w:rsidRPr="00135314">
              <w:rPr>
                <w:rFonts w:ascii="Arial" w:hAnsi="Arial" w:cs="Arial"/>
                <w:i/>
                <w:iCs/>
                <w:color w:val="000000"/>
              </w:rPr>
              <w:t> </w:t>
            </w:r>
          </w:p>
        </w:tc>
        <w:tc>
          <w:tcPr>
            <w:tcW w:w="11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r>
      <w:tr w:rsidR="00135314" w:rsidRPr="00135314" w:rsidTr="00135314">
        <w:trPr>
          <w:trHeight w:val="225"/>
        </w:trPr>
        <w:tc>
          <w:tcPr>
            <w:tcW w:w="446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Electoral Commission</w:t>
            </w:r>
          </w:p>
        </w:tc>
        <w:tc>
          <w:tcPr>
            <w:tcW w:w="10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i/>
                <w:iCs/>
              </w:rPr>
            </w:pPr>
            <w:r w:rsidRPr="00135314">
              <w:rPr>
                <w:rFonts w:ascii="Arial" w:hAnsi="Arial" w:cs="Arial"/>
                <w:b/>
                <w:bCs/>
                <w:i/>
                <w:iCs/>
              </w:rPr>
              <w:t xml:space="preserve">303,297 </w:t>
            </w:r>
          </w:p>
        </w:tc>
        <w:tc>
          <w:tcPr>
            <w:tcW w:w="11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406,970 </w:t>
            </w:r>
          </w:p>
        </w:tc>
      </w:tr>
      <w:tr w:rsidR="00135314" w:rsidRPr="00135314" w:rsidTr="00135314">
        <w:trPr>
          <w:trHeight w:val="60"/>
        </w:trPr>
        <w:tc>
          <w:tcPr>
            <w:tcW w:w="44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10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i/>
                <w:iCs/>
              </w:rPr>
            </w:pPr>
          </w:p>
        </w:tc>
        <w:tc>
          <w:tcPr>
            <w:tcW w:w="11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4460" w:type="dxa"/>
            <w:tcBorders>
              <w:top w:val="single" w:sz="4" w:space="0" w:color="auto"/>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1080" w:type="dxa"/>
            <w:tcBorders>
              <w:top w:val="single" w:sz="4" w:space="0" w:color="auto"/>
              <w:left w:val="nil"/>
              <w:bottom w:val="single" w:sz="4" w:space="0" w:color="auto"/>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2015-16</w:t>
            </w:r>
          </w:p>
        </w:tc>
        <w:tc>
          <w:tcPr>
            <w:tcW w:w="112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2016-17</w:t>
            </w:r>
          </w:p>
        </w:tc>
      </w:tr>
      <w:tr w:rsidR="00135314" w:rsidRPr="00135314" w:rsidTr="00135314">
        <w:trPr>
          <w:trHeight w:val="225"/>
        </w:trPr>
        <w:tc>
          <w:tcPr>
            <w:tcW w:w="4460" w:type="dxa"/>
            <w:tcBorders>
              <w:top w:val="nil"/>
              <w:left w:val="nil"/>
              <w:bottom w:val="single" w:sz="4" w:space="0" w:color="auto"/>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Average staffing level (number)</w:t>
            </w:r>
          </w:p>
        </w:tc>
        <w:tc>
          <w:tcPr>
            <w:tcW w:w="1080" w:type="dxa"/>
            <w:tcBorders>
              <w:top w:val="single" w:sz="4" w:space="0" w:color="auto"/>
              <w:left w:val="nil"/>
              <w:bottom w:val="single" w:sz="4" w:space="0" w:color="auto"/>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i/>
                <w:iCs/>
                <w:color w:val="000000"/>
              </w:rPr>
            </w:pPr>
            <w:r w:rsidRPr="00135314">
              <w:rPr>
                <w:rFonts w:ascii="Arial" w:hAnsi="Arial" w:cs="Arial"/>
                <w:i/>
                <w:iCs/>
                <w:color w:val="000000"/>
              </w:rPr>
              <w:t xml:space="preserve">819 </w:t>
            </w:r>
          </w:p>
        </w:tc>
        <w:tc>
          <w:tcPr>
            <w:tcW w:w="112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795 </w:t>
            </w:r>
          </w:p>
        </w:tc>
      </w:tr>
    </w:tbl>
    <w:p w:rsidR="004F7A4C" w:rsidRPr="004F7A4C" w:rsidRDefault="004F7A4C" w:rsidP="00447B6D">
      <w:pPr>
        <w:tabs>
          <w:tab w:val="left" w:pos="284"/>
        </w:tabs>
        <w:spacing w:after="0" w:line="240" w:lineRule="auto"/>
        <w:jc w:val="left"/>
        <w:rPr>
          <w:rFonts w:ascii="Arial" w:hAnsi="Arial"/>
          <w:szCs w:val="20"/>
        </w:rPr>
      </w:pPr>
      <w:proofErr w:type="gramStart"/>
      <w:r w:rsidRPr="004F7A4C">
        <w:rPr>
          <w:rFonts w:ascii="Arial" w:hAnsi="Arial"/>
          <w:szCs w:val="20"/>
        </w:rPr>
        <w:t>Prepared on resourcing (</w:t>
      </w:r>
      <w:proofErr w:type="spellStart"/>
      <w:r w:rsidRPr="004F7A4C">
        <w:rPr>
          <w:rFonts w:ascii="Arial" w:hAnsi="Arial"/>
          <w:szCs w:val="20"/>
        </w:rPr>
        <w:t>i.e</w:t>
      </w:r>
      <w:proofErr w:type="spellEnd"/>
      <w:r w:rsidRPr="004F7A4C">
        <w:rPr>
          <w:rFonts w:ascii="Arial" w:hAnsi="Arial"/>
          <w:szCs w:val="20"/>
        </w:rPr>
        <w:t xml:space="preserve"> appropriations available) basis.</w:t>
      </w:r>
      <w:proofErr w:type="gramEnd"/>
    </w:p>
    <w:p w:rsidR="004F7A4C" w:rsidRPr="004F7A4C" w:rsidRDefault="004F7A4C" w:rsidP="0045777B">
      <w:pPr>
        <w:numPr>
          <w:ilvl w:val="0"/>
          <w:numId w:val="41"/>
        </w:numPr>
        <w:spacing w:after="0" w:line="240" w:lineRule="auto"/>
        <w:ind w:left="284" w:hanging="284"/>
        <w:jc w:val="left"/>
        <w:rPr>
          <w:rFonts w:ascii="Arial" w:hAnsi="Arial"/>
          <w:szCs w:val="20"/>
        </w:rPr>
      </w:pPr>
      <w:r w:rsidRPr="004F7A4C">
        <w:rPr>
          <w:rFonts w:ascii="Arial" w:hAnsi="Arial"/>
          <w:szCs w:val="20"/>
        </w:rPr>
        <w:t>Appropriation Bill (No.1) 2016-17.</w:t>
      </w:r>
    </w:p>
    <w:p w:rsidR="004F7A4C" w:rsidRPr="004F7A4C" w:rsidRDefault="004F7A4C" w:rsidP="0045777B">
      <w:pPr>
        <w:numPr>
          <w:ilvl w:val="0"/>
          <w:numId w:val="41"/>
        </w:numPr>
        <w:spacing w:after="0" w:line="240" w:lineRule="auto"/>
        <w:ind w:left="284" w:hanging="284"/>
        <w:jc w:val="left"/>
        <w:rPr>
          <w:rFonts w:ascii="Arial" w:hAnsi="Arial"/>
          <w:szCs w:val="20"/>
        </w:rPr>
      </w:pPr>
      <w:r w:rsidRPr="004F7A4C">
        <w:rPr>
          <w:rFonts w:ascii="Arial" w:hAnsi="Arial"/>
          <w:szCs w:val="20"/>
        </w:rPr>
        <w:t xml:space="preserve">Estimated retained revenue receipts under section 74 of the </w:t>
      </w:r>
      <w:r w:rsidRPr="004F7A4C">
        <w:rPr>
          <w:rFonts w:ascii="Arial" w:hAnsi="Arial"/>
          <w:i/>
          <w:szCs w:val="20"/>
        </w:rPr>
        <w:t xml:space="preserve">Public Governance, Performance and Accountability Act 2013 </w:t>
      </w:r>
      <w:r w:rsidRPr="004F7A4C">
        <w:rPr>
          <w:rFonts w:ascii="Arial" w:hAnsi="Arial"/>
          <w:szCs w:val="20"/>
        </w:rPr>
        <w:t>(PGPA Act).</w:t>
      </w:r>
    </w:p>
    <w:p w:rsidR="004F7A4C" w:rsidRPr="004F7A4C" w:rsidRDefault="004F7A4C" w:rsidP="0045777B">
      <w:pPr>
        <w:numPr>
          <w:ilvl w:val="0"/>
          <w:numId w:val="41"/>
        </w:numPr>
        <w:spacing w:after="0" w:line="240" w:lineRule="auto"/>
        <w:ind w:left="284" w:hanging="284"/>
        <w:jc w:val="left"/>
        <w:rPr>
          <w:rFonts w:ascii="Arial" w:hAnsi="Arial"/>
          <w:szCs w:val="20"/>
        </w:rPr>
      </w:pPr>
      <w:r w:rsidRPr="004F7A4C">
        <w:rPr>
          <w:rFonts w:ascii="Arial" w:hAnsi="Arial"/>
          <w:szCs w:val="20"/>
        </w:rPr>
        <w:t xml:space="preserve">Departmental capital budgets are not separately identified in Appropriation Bill (No.1) and form part of ordinary annual services items. Please refer to Table 3.5 for further details. For accounting purposes, this amount has been designated as a 'contribution by owner’. </w:t>
      </w:r>
    </w:p>
    <w:p w:rsidR="004F7A4C" w:rsidRPr="004F7A4C" w:rsidRDefault="004F7A4C" w:rsidP="0045777B">
      <w:pPr>
        <w:numPr>
          <w:ilvl w:val="0"/>
          <w:numId w:val="41"/>
        </w:numPr>
        <w:spacing w:after="0" w:line="240" w:lineRule="auto"/>
        <w:ind w:left="284" w:hanging="284"/>
        <w:jc w:val="left"/>
        <w:rPr>
          <w:rFonts w:ascii="Arial" w:hAnsi="Arial"/>
          <w:szCs w:val="20"/>
        </w:rPr>
      </w:pPr>
      <w:r w:rsidRPr="004F7A4C">
        <w:rPr>
          <w:rFonts w:ascii="Arial" w:hAnsi="Arial"/>
          <w:szCs w:val="20"/>
        </w:rPr>
        <w:t xml:space="preserve">Excludes </w:t>
      </w:r>
      <w:r w:rsidRPr="004F7A4C">
        <w:rPr>
          <w:rFonts w:ascii="Arial" w:hAnsi="Arial"/>
          <w:i/>
          <w:szCs w:val="20"/>
        </w:rPr>
        <w:t>Services for Other Entities and Trust Moneys</w:t>
      </w:r>
      <w:r w:rsidRPr="004F7A4C">
        <w:rPr>
          <w:rFonts w:ascii="Arial" w:hAnsi="Arial"/>
          <w:szCs w:val="20"/>
        </w:rPr>
        <w:t xml:space="preserve"> accounts (SOETM). For further information on special appropriations and special accounts, please refer to </w:t>
      </w:r>
      <w:r w:rsidRPr="004F7A4C">
        <w:rPr>
          <w:rFonts w:ascii="Arial" w:hAnsi="Arial"/>
          <w:i/>
          <w:szCs w:val="20"/>
        </w:rPr>
        <w:t xml:space="preserve">Budget Paper No. 4 </w:t>
      </w:r>
      <w:r w:rsidRPr="004F7A4C">
        <w:rPr>
          <w:rFonts w:ascii="Arial" w:hAnsi="Arial"/>
          <w:i/>
          <w:szCs w:val="20"/>
        </w:rPr>
        <w:noBreakHyphen/>
        <w:t xml:space="preserve"> Agency Resourcing</w:t>
      </w:r>
      <w:r w:rsidRPr="004F7A4C">
        <w:rPr>
          <w:rFonts w:ascii="Arial" w:hAnsi="Arial"/>
          <w:szCs w:val="20"/>
        </w:rPr>
        <w:t>. Please also see Table 2.1.1 for further information on outcome and program expenses broken down by various funding sources, e.g. annual appropriations, special appropriations and special accounts.</w:t>
      </w:r>
    </w:p>
    <w:p w:rsidR="004F7A4C" w:rsidRPr="004F7A4C" w:rsidRDefault="004F7A4C" w:rsidP="00447B6D">
      <w:pPr>
        <w:tabs>
          <w:tab w:val="left" w:pos="284"/>
        </w:tabs>
        <w:spacing w:after="0" w:line="240" w:lineRule="auto"/>
        <w:jc w:val="left"/>
        <w:rPr>
          <w:rFonts w:ascii="Arial" w:hAnsi="Arial"/>
          <w:color w:val="000000"/>
          <w:szCs w:val="20"/>
          <w:u w:val="single"/>
        </w:rPr>
      </w:pPr>
    </w:p>
    <w:p w:rsidR="004F7A4C" w:rsidRPr="004F7A4C" w:rsidRDefault="004F7A4C" w:rsidP="00447B6D">
      <w:pPr>
        <w:tabs>
          <w:tab w:val="left" w:pos="284"/>
        </w:tabs>
        <w:spacing w:after="0" w:line="240" w:lineRule="auto"/>
        <w:jc w:val="left"/>
        <w:rPr>
          <w:rFonts w:ascii="Arial" w:hAnsi="Arial"/>
          <w:color w:val="000000"/>
          <w:szCs w:val="20"/>
        </w:rPr>
      </w:pPr>
      <w:r w:rsidRPr="004F7A4C">
        <w:rPr>
          <w:rFonts w:ascii="Arial" w:hAnsi="Arial"/>
          <w:color w:val="000000"/>
          <w:szCs w:val="20"/>
          <w:u w:val="single"/>
        </w:rPr>
        <w:t>Please note</w:t>
      </w:r>
      <w:r w:rsidRPr="004F7A4C">
        <w:rPr>
          <w:rFonts w:ascii="Arial" w:hAnsi="Arial"/>
          <w:color w:val="000000"/>
          <w:szCs w:val="20"/>
        </w:rPr>
        <w:t xml:space="preserve">: All figures shown above are GST exclusive – these may not match figures in the cash flow statement. </w:t>
      </w:r>
    </w:p>
    <w:p w:rsidR="004F7A4C" w:rsidRPr="004F7A4C" w:rsidRDefault="004F7A4C" w:rsidP="004F7A4C">
      <w:pPr>
        <w:spacing w:after="0" w:line="240" w:lineRule="auto"/>
        <w:ind w:right="-113"/>
        <w:jc w:val="both"/>
        <w:rPr>
          <w:rFonts w:ascii="Book Antiqua" w:hAnsi="Book Antiqua"/>
          <w:sz w:val="20"/>
          <w:szCs w:val="20"/>
        </w:rPr>
      </w:pPr>
    </w:p>
    <w:p w:rsidR="004F7A4C" w:rsidRPr="004F7A4C" w:rsidRDefault="004F7A4C" w:rsidP="004F7A4C">
      <w:pPr>
        <w:keepNext/>
        <w:tabs>
          <w:tab w:val="left" w:pos="709"/>
        </w:tabs>
        <w:spacing w:before="240" w:line="240" w:lineRule="auto"/>
        <w:jc w:val="left"/>
        <w:outlineLvl w:val="2"/>
        <w:rPr>
          <w:rFonts w:ascii="Arial" w:hAnsi="Arial"/>
          <w:b/>
          <w:smallCaps/>
          <w:sz w:val="26"/>
          <w:szCs w:val="20"/>
        </w:rPr>
      </w:pPr>
    </w:p>
    <w:p w:rsidR="004F7A4C" w:rsidRPr="004F7A4C" w:rsidRDefault="004F7A4C" w:rsidP="004F7A4C">
      <w:pPr>
        <w:keepNext/>
        <w:tabs>
          <w:tab w:val="left" w:pos="709"/>
        </w:tabs>
        <w:spacing w:before="240" w:line="240" w:lineRule="auto"/>
        <w:jc w:val="left"/>
        <w:outlineLvl w:val="2"/>
        <w:rPr>
          <w:rFonts w:ascii="Arial" w:hAnsi="Arial"/>
          <w:b/>
          <w:smallCaps/>
          <w:sz w:val="26"/>
          <w:szCs w:val="20"/>
        </w:rPr>
      </w:pPr>
      <w:bookmarkStart w:id="7" w:name="_Toc444523511"/>
      <w:bookmarkStart w:id="8" w:name="_Toc447876472"/>
    </w:p>
    <w:p w:rsidR="004F7A4C" w:rsidRPr="004F7A4C" w:rsidRDefault="004F7A4C" w:rsidP="004F7A4C">
      <w:pPr>
        <w:jc w:val="both"/>
        <w:rPr>
          <w:rFonts w:ascii="Arial" w:hAnsi="Arial"/>
          <w:sz w:val="26"/>
          <w:szCs w:val="20"/>
        </w:rPr>
      </w:pPr>
      <w:r w:rsidRPr="004F7A4C">
        <w:rPr>
          <w:rFonts w:ascii="Book Antiqua" w:hAnsi="Book Antiqua"/>
          <w:sz w:val="20"/>
          <w:szCs w:val="20"/>
        </w:rPr>
        <w:br w:type="page"/>
      </w:r>
    </w:p>
    <w:p w:rsidR="004F7A4C" w:rsidRPr="004F7A4C" w:rsidRDefault="004F7A4C" w:rsidP="004F7A4C">
      <w:pPr>
        <w:keepNext/>
        <w:tabs>
          <w:tab w:val="left" w:pos="709"/>
        </w:tabs>
        <w:spacing w:before="240" w:line="240" w:lineRule="auto"/>
        <w:jc w:val="left"/>
        <w:outlineLvl w:val="2"/>
        <w:rPr>
          <w:rFonts w:ascii="Arial" w:hAnsi="Arial"/>
          <w:b/>
          <w:smallCaps/>
          <w:sz w:val="26"/>
          <w:szCs w:val="20"/>
        </w:rPr>
      </w:pPr>
      <w:r w:rsidRPr="004F7A4C">
        <w:rPr>
          <w:rFonts w:ascii="Arial" w:hAnsi="Arial"/>
          <w:b/>
          <w:smallCaps/>
          <w:sz w:val="26"/>
          <w:szCs w:val="20"/>
        </w:rPr>
        <w:lastRenderedPageBreak/>
        <w:t>1.3</w:t>
      </w:r>
      <w:r w:rsidRPr="004F7A4C">
        <w:rPr>
          <w:rFonts w:ascii="Arial" w:hAnsi="Arial"/>
          <w:b/>
          <w:smallCaps/>
          <w:sz w:val="26"/>
          <w:szCs w:val="20"/>
        </w:rPr>
        <w:tab/>
        <w:t>Budget Measures</w:t>
      </w:r>
      <w:bookmarkEnd w:id="7"/>
      <w:bookmarkEnd w:id="8"/>
    </w:p>
    <w:p w:rsidR="004F7A4C" w:rsidRPr="004F7A4C" w:rsidRDefault="004F7A4C" w:rsidP="004F7A4C">
      <w:pPr>
        <w:keepNext/>
        <w:tabs>
          <w:tab w:val="left" w:pos="709"/>
        </w:tabs>
        <w:spacing w:before="120" w:after="120" w:line="240" w:lineRule="auto"/>
        <w:jc w:val="left"/>
        <w:outlineLvl w:val="3"/>
        <w:rPr>
          <w:rFonts w:ascii="Arial" w:hAnsi="Arial"/>
          <w:b/>
          <w:sz w:val="32"/>
          <w:szCs w:val="20"/>
        </w:rPr>
      </w:pPr>
      <w:r w:rsidRPr="004F7A4C">
        <w:rPr>
          <w:rFonts w:ascii="Arial" w:hAnsi="Arial"/>
          <w:b/>
          <w:sz w:val="22"/>
          <w:szCs w:val="20"/>
        </w:rPr>
        <w:t>Table 1.2: Australian Electoral Commission 2016</w:t>
      </w:r>
      <w:r w:rsidRPr="004F7A4C">
        <w:rPr>
          <w:rFonts w:ascii="Arial" w:hAnsi="Arial"/>
          <w:b/>
          <w:sz w:val="22"/>
          <w:szCs w:val="20"/>
        </w:rPr>
        <w:noBreakHyphen/>
        <w:t>17 Budget Measures</w:t>
      </w:r>
    </w:p>
    <w:p w:rsidR="004F7A4C" w:rsidRPr="004F7A4C" w:rsidRDefault="004F7A4C" w:rsidP="00587F2B">
      <w:pPr>
        <w:pStyle w:val="Heading5"/>
        <w:spacing w:after="0"/>
      </w:pPr>
      <w:r w:rsidRPr="004F7A4C">
        <w:t>Part 1: Measures announced since the 2015</w:t>
      </w:r>
      <w:r w:rsidRPr="004F7A4C">
        <w:noBreakHyphen/>
        <w:t>16 Mid-Year Economic and Fiscal Outlook (MYEFO)</w:t>
      </w:r>
    </w:p>
    <w:tbl>
      <w:tblPr>
        <w:tblW w:w="7260" w:type="dxa"/>
        <w:tblInd w:w="96" w:type="dxa"/>
        <w:tblLook w:val="04A0"/>
      </w:tblPr>
      <w:tblGrid>
        <w:gridCol w:w="2460"/>
        <w:gridCol w:w="830"/>
        <w:gridCol w:w="820"/>
        <w:gridCol w:w="820"/>
        <w:gridCol w:w="820"/>
        <w:gridCol w:w="820"/>
        <w:gridCol w:w="820"/>
      </w:tblGrid>
      <w:tr w:rsidR="00135314" w:rsidRPr="00135314" w:rsidTr="00135314">
        <w:trPr>
          <w:trHeight w:val="450"/>
        </w:trPr>
        <w:tc>
          <w:tcPr>
            <w:tcW w:w="2460" w:type="dxa"/>
            <w:tcBorders>
              <w:top w:val="single" w:sz="4" w:space="0" w:color="auto"/>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700" w:type="dxa"/>
            <w:tcBorders>
              <w:top w:val="single" w:sz="4" w:space="0" w:color="auto"/>
              <w:left w:val="nil"/>
              <w:bottom w:val="single" w:sz="4" w:space="0" w:color="auto"/>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Program</w:t>
            </w:r>
          </w:p>
        </w:tc>
        <w:tc>
          <w:tcPr>
            <w:tcW w:w="820" w:type="dxa"/>
            <w:tcBorders>
              <w:top w:val="single" w:sz="4" w:space="0" w:color="auto"/>
              <w:left w:val="nil"/>
              <w:bottom w:val="single" w:sz="4" w:space="0" w:color="auto"/>
              <w:right w:val="nil"/>
            </w:tcBorders>
            <w:shd w:val="clear" w:color="000000" w:fill="E6E6E6"/>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2015-16</w:t>
            </w:r>
            <w:r w:rsidRPr="00135314">
              <w:rPr>
                <w:rFonts w:ascii="Arial" w:hAnsi="Arial" w:cs="Arial"/>
              </w:rPr>
              <w:br/>
              <w:t>$'000</w:t>
            </w:r>
          </w:p>
        </w:tc>
        <w:tc>
          <w:tcPr>
            <w:tcW w:w="820" w:type="dxa"/>
            <w:tcBorders>
              <w:top w:val="single" w:sz="4" w:space="0" w:color="auto"/>
              <w:left w:val="nil"/>
              <w:bottom w:val="single" w:sz="4" w:space="0" w:color="auto"/>
              <w:right w:val="nil"/>
            </w:tcBorders>
            <w:shd w:val="clear" w:color="000000" w:fill="FFFFFF"/>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r w:rsidRPr="00135314">
              <w:rPr>
                <w:rFonts w:ascii="Arial" w:hAnsi="Arial" w:cs="Arial"/>
              </w:rPr>
              <w:br/>
              <w:t>$'000</w:t>
            </w:r>
          </w:p>
        </w:tc>
        <w:tc>
          <w:tcPr>
            <w:tcW w:w="820" w:type="dxa"/>
            <w:tcBorders>
              <w:top w:val="single" w:sz="4" w:space="0" w:color="auto"/>
              <w:left w:val="nil"/>
              <w:bottom w:val="single" w:sz="4" w:space="0" w:color="auto"/>
              <w:right w:val="nil"/>
            </w:tcBorders>
            <w:shd w:val="clear" w:color="000000" w:fill="E6E6E6"/>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2017-18</w:t>
            </w:r>
            <w:r w:rsidRPr="00135314">
              <w:rPr>
                <w:rFonts w:ascii="Arial" w:hAnsi="Arial" w:cs="Arial"/>
              </w:rPr>
              <w:br/>
              <w:t>$'000</w:t>
            </w:r>
          </w:p>
        </w:tc>
        <w:tc>
          <w:tcPr>
            <w:tcW w:w="820" w:type="dxa"/>
            <w:tcBorders>
              <w:top w:val="single" w:sz="4" w:space="0" w:color="auto"/>
              <w:left w:val="nil"/>
              <w:bottom w:val="single" w:sz="4" w:space="0" w:color="auto"/>
              <w:right w:val="nil"/>
            </w:tcBorders>
            <w:shd w:val="clear" w:color="000000" w:fill="FFFFFF"/>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2018-19</w:t>
            </w:r>
            <w:r w:rsidRPr="00135314">
              <w:rPr>
                <w:rFonts w:ascii="Arial" w:hAnsi="Arial" w:cs="Arial"/>
              </w:rPr>
              <w:br/>
              <w:t>$'000</w:t>
            </w:r>
          </w:p>
        </w:tc>
        <w:tc>
          <w:tcPr>
            <w:tcW w:w="820" w:type="dxa"/>
            <w:tcBorders>
              <w:top w:val="single" w:sz="4" w:space="0" w:color="auto"/>
              <w:left w:val="nil"/>
              <w:bottom w:val="single" w:sz="4" w:space="0" w:color="auto"/>
              <w:right w:val="nil"/>
            </w:tcBorders>
            <w:shd w:val="clear" w:color="000000" w:fill="E6E6E6"/>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2019-20</w:t>
            </w:r>
            <w:r w:rsidRPr="00135314">
              <w:rPr>
                <w:rFonts w:ascii="Arial" w:hAnsi="Arial" w:cs="Arial"/>
              </w:rPr>
              <w:br/>
              <w:t>$'000</w:t>
            </w:r>
          </w:p>
        </w:tc>
      </w:tr>
      <w:tr w:rsidR="00135314" w:rsidRPr="00135314" w:rsidTr="00135314">
        <w:trPr>
          <w:trHeight w:val="225"/>
        </w:trPr>
        <w:tc>
          <w:tcPr>
            <w:tcW w:w="2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Expense measures</w:t>
            </w:r>
          </w:p>
        </w:tc>
        <w:tc>
          <w:tcPr>
            <w:tcW w:w="70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r>
      <w:tr w:rsidR="00135314" w:rsidRPr="00135314" w:rsidTr="00135314">
        <w:trPr>
          <w:trHeight w:val="225"/>
        </w:trPr>
        <w:tc>
          <w:tcPr>
            <w:tcW w:w="2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Departmental expenses</w:t>
            </w:r>
          </w:p>
        </w:tc>
        <w:tc>
          <w:tcPr>
            <w:tcW w:w="70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r>
      <w:tr w:rsidR="00135314" w:rsidRPr="00135314" w:rsidTr="00135314">
        <w:trPr>
          <w:trHeight w:val="225"/>
        </w:trPr>
        <w:tc>
          <w:tcPr>
            <w:tcW w:w="2460" w:type="dxa"/>
            <w:tcBorders>
              <w:top w:val="nil"/>
              <w:left w:val="nil"/>
              <w:bottom w:val="nil"/>
              <w:right w:val="nil"/>
            </w:tcBorders>
            <w:shd w:val="clear" w:color="000000" w:fill="FFFFFF"/>
            <w:noWrap/>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Enhancements to </w:t>
            </w:r>
            <w:proofErr w:type="spellStart"/>
            <w:r w:rsidRPr="00135314">
              <w:rPr>
                <w:rFonts w:ascii="Arial" w:hAnsi="Arial" w:cs="Arial"/>
              </w:rPr>
              <w:t>EasyCount</w:t>
            </w:r>
            <w:proofErr w:type="spellEnd"/>
          </w:p>
        </w:tc>
        <w:tc>
          <w:tcPr>
            <w:tcW w:w="70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r>
      <w:tr w:rsidR="00135314" w:rsidRPr="00135314" w:rsidTr="00135314">
        <w:trPr>
          <w:trHeight w:val="225"/>
        </w:trPr>
        <w:tc>
          <w:tcPr>
            <w:tcW w:w="2460" w:type="dxa"/>
            <w:tcBorders>
              <w:top w:val="nil"/>
              <w:left w:val="nil"/>
              <w:bottom w:val="nil"/>
              <w:right w:val="nil"/>
            </w:tcBorders>
            <w:shd w:val="clear" w:color="000000" w:fill="FFFFFF"/>
            <w:noWrap/>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and Ballot Papers</w:t>
            </w:r>
          </w:p>
        </w:tc>
        <w:tc>
          <w:tcPr>
            <w:tcW w:w="700" w:type="dxa"/>
            <w:tcBorders>
              <w:top w:val="nil"/>
              <w:left w:val="nil"/>
              <w:bottom w:val="nil"/>
              <w:right w:val="nil"/>
            </w:tcBorders>
            <w:shd w:val="clear" w:color="000000" w:fill="FFFFFF"/>
            <w:noWrap/>
            <w:vAlign w:val="center"/>
            <w:hideMark/>
          </w:tcPr>
          <w:p w:rsidR="00135314" w:rsidRPr="00135314" w:rsidRDefault="00135314" w:rsidP="00135314">
            <w:pPr>
              <w:spacing w:after="0" w:line="240" w:lineRule="auto"/>
              <w:rPr>
                <w:rFonts w:ascii="Arial" w:hAnsi="Arial" w:cs="Arial"/>
              </w:rPr>
            </w:pPr>
            <w:r w:rsidRPr="00135314">
              <w:rPr>
                <w:rFonts w:ascii="Arial" w:hAnsi="Arial" w:cs="Arial"/>
              </w:rPr>
              <w:t xml:space="preserve">       1.1 </w:t>
            </w:r>
          </w:p>
        </w:tc>
        <w:tc>
          <w:tcPr>
            <w:tcW w:w="82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(4,300)</w:t>
            </w:r>
          </w:p>
        </w:tc>
        <w:tc>
          <w:tcPr>
            <w:tcW w:w="820" w:type="dxa"/>
            <w:tcBorders>
              <w:top w:val="nil"/>
              <w:left w:val="nil"/>
              <w:bottom w:val="nil"/>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(500)</w:t>
            </w:r>
          </w:p>
        </w:tc>
        <w:tc>
          <w:tcPr>
            <w:tcW w:w="82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 </w:t>
            </w:r>
          </w:p>
        </w:tc>
        <w:tc>
          <w:tcPr>
            <w:tcW w:w="820" w:type="dxa"/>
            <w:tcBorders>
              <w:top w:val="nil"/>
              <w:left w:val="nil"/>
              <w:bottom w:val="nil"/>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 </w:t>
            </w:r>
          </w:p>
        </w:tc>
        <w:tc>
          <w:tcPr>
            <w:tcW w:w="82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 </w:t>
            </w:r>
          </w:p>
        </w:tc>
      </w:tr>
      <w:tr w:rsidR="00135314" w:rsidRPr="00135314" w:rsidTr="00135314">
        <w:trPr>
          <w:trHeight w:val="225"/>
        </w:trPr>
        <w:tc>
          <w:tcPr>
            <w:tcW w:w="2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Total </w:t>
            </w:r>
          </w:p>
        </w:tc>
        <w:tc>
          <w:tcPr>
            <w:tcW w:w="70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rPr>
                <w:rFonts w:ascii="Arial" w:hAnsi="Arial" w:cs="Arial"/>
              </w:rPr>
            </w:pPr>
            <w:r w:rsidRPr="00135314">
              <w:rPr>
                <w:rFonts w:ascii="Arial" w:hAnsi="Arial" w:cs="Arial"/>
              </w:rPr>
              <w:t> </w:t>
            </w:r>
          </w:p>
        </w:tc>
        <w:tc>
          <w:tcPr>
            <w:tcW w:w="82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(4,300)</w:t>
            </w:r>
          </w:p>
        </w:tc>
        <w:tc>
          <w:tcPr>
            <w:tcW w:w="820" w:type="dxa"/>
            <w:tcBorders>
              <w:top w:val="single" w:sz="4" w:space="0" w:color="auto"/>
              <w:left w:val="nil"/>
              <w:bottom w:val="single" w:sz="4" w:space="0" w:color="auto"/>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(500)</w:t>
            </w:r>
          </w:p>
        </w:tc>
        <w:tc>
          <w:tcPr>
            <w:tcW w:w="82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 </w:t>
            </w:r>
          </w:p>
        </w:tc>
        <w:tc>
          <w:tcPr>
            <w:tcW w:w="820" w:type="dxa"/>
            <w:tcBorders>
              <w:top w:val="single" w:sz="4" w:space="0" w:color="auto"/>
              <w:left w:val="nil"/>
              <w:bottom w:val="single" w:sz="4" w:space="0" w:color="auto"/>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 </w:t>
            </w:r>
          </w:p>
        </w:tc>
        <w:tc>
          <w:tcPr>
            <w:tcW w:w="82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 </w:t>
            </w:r>
          </w:p>
        </w:tc>
      </w:tr>
      <w:tr w:rsidR="00135314" w:rsidRPr="00135314" w:rsidTr="00135314">
        <w:trPr>
          <w:trHeight w:val="225"/>
        </w:trPr>
        <w:tc>
          <w:tcPr>
            <w:tcW w:w="2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expense measures</w:t>
            </w:r>
          </w:p>
        </w:tc>
        <w:tc>
          <w:tcPr>
            <w:tcW w:w="70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rPr>
                <w:rFonts w:ascii="Arial" w:hAnsi="Arial" w:cs="Arial"/>
                <w:b/>
                <w:bCs/>
              </w:rPr>
            </w:pPr>
            <w:r w:rsidRPr="00135314">
              <w:rPr>
                <w:rFonts w:ascii="Arial" w:hAnsi="Arial" w:cs="Arial"/>
                <w:b/>
                <w:bCs/>
              </w:rPr>
              <w:t> </w:t>
            </w:r>
          </w:p>
        </w:tc>
        <w:tc>
          <w:tcPr>
            <w:tcW w:w="820" w:type="dxa"/>
            <w:tcBorders>
              <w:top w:val="nil"/>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(4,300)</w:t>
            </w:r>
          </w:p>
        </w:tc>
        <w:tc>
          <w:tcPr>
            <w:tcW w:w="820" w:type="dxa"/>
            <w:tcBorders>
              <w:top w:val="nil"/>
              <w:left w:val="nil"/>
              <w:bottom w:val="single" w:sz="4" w:space="0" w:color="auto"/>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(500)</w:t>
            </w:r>
          </w:p>
        </w:tc>
        <w:tc>
          <w:tcPr>
            <w:tcW w:w="820" w:type="dxa"/>
            <w:tcBorders>
              <w:top w:val="nil"/>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 </w:t>
            </w:r>
          </w:p>
        </w:tc>
        <w:tc>
          <w:tcPr>
            <w:tcW w:w="820" w:type="dxa"/>
            <w:tcBorders>
              <w:top w:val="nil"/>
              <w:left w:val="nil"/>
              <w:bottom w:val="single" w:sz="4" w:space="0" w:color="auto"/>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 </w:t>
            </w:r>
          </w:p>
        </w:tc>
        <w:tc>
          <w:tcPr>
            <w:tcW w:w="820" w:type="dxa"/>
            <w:tcBorders>
              <w:top w:val="nil"/>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 </w:t>
            </w:r>
          </w:p>
        </w:tc>
      </w:tr>
      <w:tr w:rsidR="00135314" w:rsidRPr="00135314" w:rsidTr="00135314">
        <w:trPr>
          <w:trHeight w:val="225"/>
        </w:trPr>
        <w:tc>
          <w:tcPr>
            <w:tcW w:w="246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Departmental</w:t>
            </w:r>
          </w:p>
        </w:tc>
        <w:tc>
          <w:tcPr>
            <w:tcW w:w="700" w:type="dxa"/>
            <w:tcBorders>
              <w:top w:val="nil"/>
              <w:left w:val="nil"/>
              <w:bottom w:val="nil"/>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(4,300)</w:t>
            </w:r>
          </w:p>
        </w:tc>
        <w:tc>
          <w:tcPr>
            <w:tcW w:w="820" w:type="dxa"/>
            <w:tcBorders>
              <w:top w:val="nil"/>
              <w:left w:val="nil"/>
              <w:bottom w:val="nil"/>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(500)</w:t>
            </w:r>
          </w:p>
        </w:tc>
        <w:tc>
          <w:tcPr>
            <w:tcW w:w="82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 </w:t>
            </w:r>
          </w:p>
        </w:tc>
        <w:tc>
          <w:tcPr>
            <w:tcW w:w="820" w:type="dxa"/>
            <w:tcBorders>
              <w:top w:val="nil"/>
              <w:left w:val="nil"/>
              <w:bottom w:val="nil"/>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 </w:t>
            </w:r>
          </w:p>
        </w:tc>
        <w:tc>
          <w:tcPr>
            <w:tcW w:w="82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 </w:t>
            </w:r>
          </w:p>
        </w:tc>
      </w:tr>
      <w:tr w:rsidR="00135314" w:rsidRPr="00135314" w:rsidTr="00135314">
        <w:trPr>
          <w:trHeight w:val="225"/>
        </w:trPr>
        <w:tc>
          <w:tcPr>
            <w:tcW w:w="2460" w:type="dxa"/>
            <w:tcBorders>
              <w:top w:val="nil"/>
              <w:left w:val="nil"/>
              <w:bottom w:val="single" w:sz="4" w:space="0" w:color="auto"/>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w:t>
            </w:r>
          </w:p>
        </w:tc>
        <w:tc>
          <w:tcPr>
            <w:tcW w:w="700" w:type="dxa"/>
            <w:tcBorders>
              <w:top w:val="nil"/>
              <w:left w:val="nil"/>
              <w:bottom w:val="single" w:sz="4" w:space="0" w:color="auto"/>
              <w:right w:val="nil"/>
            </w:tcBorders>
            <w:shd w:val="clear" w:color="000000" w:fill="FFFFFF"/>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w:t>
            </w:r>
          </w:p>
        </w:tc>
        <w:tc>
          <w:tcPr>
            <w:tcW w:w="82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(4,300)</w:t>
            </w:r>
          </w:p>
        </w:tc>
        <w:tc>
          <w:tcPr>
            <w:tcW w:w="820" w:type="dxa"/>
            <w:tcBorders>
              <w:top w:val="single" w:sz="4" w:space="0" w:color="auto"/>
              <w:left w:val="nil"/>
              <w:bottom w:val="single" w:sz="4" w:space="0" w:color="auto"/>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(500)</w:t>
            </w:r>
          </w:p>
        </w:tc>
        <w:tc>
          <w:tcPr>
            <w:tcW w:w="82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w:t>
            </w:r>
          </w:p>
        </w:tc>
        <w:tc>
          <w:tcPr>
            <w:tcW w:w="820" w:type="dxa"/>
            <w:tcBorders>
              <w:top w:val="single" w:sz="4" w:space="0" w:color="auto"/>
              <w:left w:val="nil"/>
              <w:bottom w:val="single" w:sz="4" w:space="0" w:color="auto"/>
              <w:right w:val="nil"/>
            </w:tcBorders>
            <w:shd w:val="clear" w:color="000000" w:fill="FFFFFF"/>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w:t>
            </w:r>
          </w:p>
        </w:tc>
        <w:tc>
          <w:tcPr>
            <w:tcW w:w="82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 </w:t>
            </w:r>
          </w:p>
        </w:tc>
      </w:tr>
    </w:tbl>
    <w:p w:rsidR="004F7A4C" w:rsidRPr="004F7A4C" w:rsidRDefault="004F7A4C" w:rsidP="00447B6D">
      <w:pPr>
        <w:spacing w:after="0" w:line="240" w:lineRule="auto"/>
        <w:jc w:val="left"/>
        <w:rPr>
          <w:rFonts w:ascii="Arial" w:hAnsi="Arial" w:cs="Arial"/>
        </w:rPr>
      </w:pPr>
      <w:proofErr w:type="gramStart"/>
      <w:r w:rsidRPr="004F7A4C">
        <w:rPr>
          <w:rFonts w:ascii="Arial" w:hAnsi="Arial" w:cs="Arial"/>
        </w:rPr>
        <w:t>Prepared on a Government Finance Statistics (fiscal) basis.</w:t>
      </w:r>
      <w:proofErr w:type="gramEnd"/>
      <w:r w:rsidRPr="004F7A4C">
        <w:rPr>
          <w:rFonts w:ascii="Arial" w:hAnsi="Arial" w:cs="Arial"/>
        </w:rPr>
        <w:t xml:space="preserve">  Figures displayed as a negative (-) represent a decrease in funds and a </w:t>
      </w:r>
      <w:proofErr w:type="spellStart"/>
      <w:r w:rsidRPr="004F7A4C">
        <w:rPr>
          <w:rFonts w:ascii="Arial" w:hAnsi="Arial" w:cs="Arial"/>
        </w:rPr>
        <w:t>postive</w:t>
      </w:r>
      <w:proofErr w:type="spellEnd"/>
      <w:r w:rsidRPr="004F7A4C">
        <w:rPr>
          <w:rFonts w:ascii="Arial" w:hAnsi="Arial" w:cs="Arial"/>
        </w:rPr>
        <w:t xml:space="preserve"> (+) represent an increase in funds.</w:t>
      </w:r>
    </w:p>
    <w:p w:rsidR="004F7A4C" w:rsidRPr="004F7A4C" w:rsidRDefault="004F7A4C" w:rsidP="004F7A4C">
      <w:pPr>
        <w:spacing w:after="0" w:line="240" w:lineRule="auto"/>
        <w:jc w:val="both"/>
        <w:rPr>
          <w:rFonts w:ascii="Arial" w:hAnsi="Arial" w:cs="Arial"/>
        </w:rPr>
      </w:pPr>
    </w:p>
    <w:p w:rsidR="004F7A4C" w:rsidRPr="004F7A4C" w:rsidRDefault="004F7A4C" w:rsidP="004F7A4C">
      <w:pPr>
        <w:spacing w:after="0" w:line="240" w:lineRule="auto"/>
        <w:jc w:val="both"/>
        <w:rPr>
          <w:rFonts w:ascii="Arial" w:hAnsi="Arial" w:cs="Arial"/>
        </w:rPr>
      </w:pPr>
    </w:p>
    <w:p w:rsidR="004F7A4C" w:rsidRPr="00587F2B" w:rsidRDefault="004F7A4C" w:rsidP="00587F2B">
      <w:pPr>
        <w:pStyle w:val="Heading5"/>
      </w:pPr>
      <w:r w:rsidRPr="004F7A4C">
        <w:t>Part 2: Other Measures not Previously Reported in a Portfolio Statement</w:t>
      </w:r>
    </w:p>
    <w:p w:rsidR="004F7A4C" w:rsidRPr="004F7A4C" w:rsidRDefault="004F7A4C" w:rsidP="004F7A4C">
      <w:pPr>
        <w:keepNext/>
        <w:tabs>
          <w:tab w:val="left" w:pos="709"/>
        </w:tabs>
        <w:spacing w:after="0" w:line="240" w:lineRule="auto"/>
        <w:jc w:val="left"/>
        <w:outlineLvl w:val="3"/>
        <w:rPr>
          <w:rFonts w:ascii="Book Antiqua" w:hAnsi="Book Antiqua"/>
          <w:sz w:val="20"/>
          <w:szCs w:val="20"/>
        </w:rPr>
      </w:pPr>
      <w:r w:rsidRPr="004F7A4C">
        <w:rPr>
          <w:rFonts w:ascii="Book Antiqua" w:hAnsi="Book Antiqua"/>
          <w:sz w:val="20"/>
          <w:szCs w:val="20"/>
        </w:rPr>
        <w:t xml:space="preserve">The AEC has no other budget measures not previously reported in a Portfolio Statement. </w:t>
      </w:r>
    </w:p>
    <w:p w:rsidR="004F7A4C" w:rsidRPr="004F7A4C" w:rsidRDefault="004F7A4C" w:rsidP="004F7A4C">
      <w:pPr>
        <w:spacing w:after="0" w:line="240" w:lineRule="auto"/>
        <w:jc w:val="both"/>
        <w:rPr>
          <w:rFonts w:ascii="Book Antiqua" w:hAnsi="Book Antiqua"/>
          <w:sz w:val="20"/>
          <w:szCs w:val="20"/>
        </w:rPr>
      </w:pPr>
    </w:p>
    <w:p w:rsidR="00C73911" w:rsidRDefault="00C73911" w:rsidP="004F7A4C">
      <w:pPr>
        <w:keepNext/>
        <w:spacing w:before="360" w:after="360" w:line="240" w:lineRule="auto"/>
        <w:jc w:val="left"/>
        <w:outlineLvl w:val="1"/>
        <w:rPr>
          <w:rFonts w:ascii="Arial" w:hAnsi="Arial"/>
          <w:sz w:val="30"/>
          <w:szCs w:val="20"/>
        </w:rPr>
      </w:pPr>
      <w:bookmarkStart w:id="9" w:name="_Toc444523512"/>
      <w:bookmarkStart w:id="10" w:name="_Toc447876473"/>
    </w:p>
    <w:p w:rsidR="00C73911" w:rsidRDefault="00C73911">
      <w:pPr>
        <w:spacing w:after="0" w:line="240" w:lineRule="auto"/>
        <w:jc w:val="left"/>
        <w:rPr>
          <w:rFonts w:ascii="Arial" w:hAnsi="Arial"/>
          <w:sz w:val="30"/>
          <w:szCs w:val="20"/>
        </w:rPr>
      </w:pPr>
      <w:r>
        <w:rPr>
          <w:rFonts w:ascii="Arial" w:hAnsi="Arial"/>
          <w:sz w:val="30"/>
          <w:szCs w:val="20"/>
        </w:rPr>
        <w:br w:type="page"/>
      </w:r>
    </w:p>
    <w:p w:rsidR="004F7A4C" w:rsidRPr="004F7A4C" w:rsidRDefault="004F7A4C" w:rsidP="004F7A4C">
      <w:pPr>
        <w:keepNext/>
        <w:spacing w:before="360" w:after="360" w:line="240" w:lineRule="auto"/>
        <w:jc w:val="left"/>
        <w:outlineLvl w:val="1"/>
        <w:rPr>
          <w:rFonts w:ascii="Arial" w:hAnsi="Arial"/>
          <w:sz w:val="30"/>
          <w:szCs w:val="20"/>
        </w:rPr>
      </w:pPr>
      <w:r w:rsidRPr="004F7A4C">
        <w:rPr>
          <w:rFonts w:ascii="Arial" w:hAnsi="Arial"/>
          <w:sz w:val="30"/>
          <w:szCs w:val="20"/>
        </w:rPr>
        <w:lastRenderedPageBreak/>
        <w:t>Section 2: Outcomes and Planned Performance</w:t>
      </w:r>
      <w:bookmarkEnd w:id="9"/>
      <w:bookmarkEnd w:id="10"/>
    </w:p>
    <w:p w:rsidR="004F7A4C" w:rsidRPr="004F7A4C" w:rsidRDefault="004F7A4C" w:rsidP="00447B6D">
      <w:pPr>
        <w:jc w:val="left"/>
        <w:rPr>
          <w:rFonts w:ascii="Book Antiqua" w:hAnsi="Book Antiqua"/>
          <w:sz w:val="20"/>
          <w:szCs w:val="20"/>
        </w:rPr>
      </w:pPr>
      <w:r w:rsidRPr="004F7A4C">
        <w:rPr>
          <w:rFonts w:ascii="Book Antiqua" w:hAnsi="Book Antiqua"/>
          <w:sz w:val="20"/>
          <w:szCs w:val="20"/>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4F7A4C" w:rsidRPr="004F7A4C" w:rsidRDefault="004F7A4C" w:rsidP="00447B6D">
      <w:pPr>
        <w:jc w:val="left"/>
        <w:rPr>
          <w:rFonts w:ascii="Book Antiqua" w:hAnsi="Book Antiqua"/>
          <w:sz w:val="20"/>
          <w:szCs w:val="20"/>
        </w:rPr>
      </w:pPr>
      <w:r w:rsidRPr="004F7A4C">
        <w:rPr>
          <w:rFonts w:ascii="Book Antiqua" w:hAnsi="Book Antiqua"/>
          <w:sz w:val="20"/>
          <w:szCs w:val="20"/>
        </w:rPr>
        <w:t xml:space="preserve">Each outcome is described below together with its related programs. The following provides detailed information on expenses for each outcome and program, further broken down by funding source. </w:t>
      </w:r>
    </w:p>
    <w:p w:rsidR="004F7A4C" w:rsidRPr="004F7A4C" w:rsidRDefault="004F7A4C" w:rsidP="004F7A4C">
      <w:pPr>
        <w:pBdr>
          <w:top w:val="single" w:sz="2" w:space="6" w:color="auto"/>
          <w:left w:val="single" w:sz="2" w:space="4" w:color="auto"/>
          <w:bottom w:val="single" w:sz="2" w:space="6" w:color="auto"/>
          <w:right w:val="single" w:sz="2" w:space="4" w:color="auto"/>
        </w:pBdr>
        <w:spacing w:after="120" w:line="240" w:lineRule="auto"/>
        <w:jc w:val="both"/>
        <w:rPr>
          <w:rFonts w:ascii="Book Antiqua" w:hAnsi="Book Antiqua"/>
          <w:b/>
          <w:sz w:val="20"/>
          <w:szCs w:val="20"/>
        </w:rPr>
      </w:pPr>
      <w:r w:rsidRPr="004F7A4C">
        <w:rPr>
          <w:rFonts w:ascii="Book Antiqua" w:hAnsi="Book Antiqua"/>
          <w:b/>
          <w:sz w:val="20"/>
          <w:szCs w:val="20"/>
        </w:rPr>
        <w:t>Note:</w:t>
      </w:r>
    </w:p>
    <w:p w:rsidR="004F7A4C" w:rsidRPr="004F7A4C" w:rsidRDefault="004F7A4C" w:rsidP="00447B6D">
      <w:pPr>
        <w:pBdr>
          <w:top w:val="single" w:sz="2" w:space="6" w:color="auto"/>
          <w:left w:val="single" w:sz="2" w:space="4" w:color="auto"/>
          <w:bottom w:val="single" w:sz="2" w:space="6" w:color="auto"/>
          <w:right w:val="single" w:sz="2" w:space="4" w:color="auto"/>
        </w:pBdr>
        <w:jc w:val="left"/>
        <w:rPr>
          <w:rFonts w:ascii="Book Antiqua" w:hAnsi="Book Antiqua"/>
          <w:sz w:val="20"/>
          <w:szCs w:val="20"/>
          <w:highlight w:val="yellow"/>
        </w:rPr>
      </w:pPr>
      <w:r w:rsidRPr="004F7A4C">
        <w:rPr>
          <w:rFonts w:ascii="Book Antiqua" w:hAnsi="Book Antiqua"/>
          <w:sz w:val="20"/>
          <w:szCs w:val="20"/>
        </w:rPr>
        <w:t>From 1 July 2015, performance reporting requirements in the Portfolio Budget Statements sit alongside those required under the enhanced Commonwealth performance framework. It is anticipated that the performance criteria described in Portfolio Budget Statements will be read with broader information provided in an entity’s corporate plan and annual performance statements – included in Annual Reports from October 2016 – to provide an entity’s complete performance story.</w:t>
      </w:r>
    </w:p>
    <w:p w:rsidR="004F7A4C" w:rsidRPr="004F7A4C" w:rsidRDefault="004F7A4C" w:rsidP="004F7A4C">
      <w:pPr>
        <w:jc w:val="both"/>
        <w:rPr>
          <w:rFonts w:ascii="Book Antiqua" w:hAnsi="Book Antiqua"/>
          <w:sz w:val="20"/>
          <w:szCs w:val="20"/>
          <w:highlight w:val="yellow"/>
        </w:rPr>
      </w:pPr>
    </w:p>
    <w:p w:rsidR="004F7A4C" w:rsidRPr="004F7A4C" w:rsidRDefault="004F7A4C" w:rsidP="004F7A4C">
      <w:pPr>
        <w:spacing w:after="0" w:line="240" w:lineRule="auto"/>
        <w:jc w:val="left"/>
        <w:rPr>
          <w:rFonts w:ascii="Arial" w:hAnsi="Arial"/>
          <w:b/>
          <w:smallCaps/>
          <w:sz w:val="26"/>
          <w:szCs w:val="20"/>
        </w:rPr>
      </w:pPr>
      <w:r w:rsidRPr="004F7A4C">
        <w:rPr>
          <w:rFonts w:ascii="Book Antiqua" w:hAnsi="Book Antiqua"/>
          <w:sz w:val="20"/>
          <w:szCs w:val="20"/>
        </w:rPr>
        <w:br w:type="page"/>
      </w:r>
    </w:p>
    <w:p w:rsidR="004F7A4C" w:rsidRPr="004F7A4C" w:rsidRDefault="004F7A4C" w:rsidP="004F7A4C">
      <w:pPr>
        <w:keepNext/>
        <w:tabs>
          <w:tab w:val="left" w:pos="709"/>
        </w:tabs>
        <w:spacing w:before="240" w:line="240" w:lineRule="auto"/>
        <w:jc w:val="left"/>
        <w:outlineLvl w:val="2"/>
        <w:rPr>
          <w:rFonts w:ascii="Arial" w:hAnsi="Arial"/>
          <w:b/>
          <w:smallCaps/>
          <w:sz w:val="26"/>
          <w:szCs w:val="20"/>
        </w:rPr>
      </w:pPr>
      <w:r w:rsidRPr="004F7A4C">
        <w:rPr>
          <w:rFonts w:ascii="Arial" w:hAnsi="Arial"/>
          <w:b/>
          <w:smallCaps/>
          <w:sz w:val="26"/>
          <w:szCs w:val="20"/>
        </w:rPr>
        <w:lastRenderedPageBreak/>
        <w:t xml:space="preserve">2.1 </w:t>
      </w:r>
      <w:r w:rsidRPr="004F7A4C">
        <w:rPr>
          <w:rFonts w:ascii="Arial" w:hAnsi="Arial"/>
          <w:b/>
          <w:smallCaps/>
          <w:sz w:val="26"/>
          <w:szCs w:val="20"/>
        </w:rPr>
        <w:tab/>
        <w:t>Budgeted Expenses and Performance for Outcome 1</w:t>
      </w: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tblPr>
      <w:tblGrid>
        <w:gridCol w:w="7713"/>
      </w:tblGrid>
      <w:tr w:rsidR="004F7A4C" w:rsidRPr="004F7A4C" w:rsidTr="004F7A4C">
        <w:tc>
          <w:tcPr>
            <w:tcW w:w="7713" w:type="dxa"/>
            <w:shd w:val="clear" w:color="auto" w:fill="E6E6E6"/>
          </w:tcPr>
          <w:p w:rsidR="004F7A4C" w:rsidRPr="004F7A4C" w:rsidRDefault="004F7A4C" w:rsidP="004F7A4C">
            <w:pPr>
              <w:tabs>
                <w:tab w:val="left" w:pos="1168"/>
              </w:tabs>
              <w:spacing w:before="60" w:after="60" w:line="240" w:lineRule="auto"/>
              <w:jc w:val="left"/>
              <w:rPr>
                <w:rFonts w:ascii="Arial" w:hAnsi="Arial"/>
                <w:b/>
                <w:sz w:val="20"/>
                <w:szCs w:val="20"/>
              </w:rPr>
            </w:pPr>
            <w:r w:rsidRPr="004F7A4C">
              <w:rPr>
                <w:rFonts w:ascii="Arial" w:hAnsi="Arial"/>
                <w:b/>
                <w:sz w:val="20"/>
                <w:szCs w:val="20"/>
              </w:rPr>
              <w:t xml:space="preserve">Outcome 1: </w:t>
            </w:r>
            <w:r w:rsidRPr="004F7A4C">
              <w:rPr>
                <w:rFonts w:ascii="Arial" w:hAnsi="Arial" w:cs="Arial"/>
                <w:sz w:val="20"/>
                <w:szCs w:val="20"/>
              </w:rPr>
              <w:t xml:space="preserve">Maintain an impartial and independent electoral system for eligible voters through active electoral roll management, efficient delivery of polling services, and targeted education and public awareness programs. </w:t>
            </w:r>
          </w:p>
        </w:tc>
      </w:tr>
    </w:tbl>
    <w:p w:rsidR="004F7A4C" w:rsidRPr="004F7A4C" w:rsidRDefault="004F7A4C" w:rsidP="004F7A4C">
      <w:pPr>
        <w:jc w:val="both"/>
        <w:rPr>
          <w:rFonts w:ascii="Book Antiqua" w:hAnsi="Book Antiqua"/>
          <w:sz w:val="20"/>
          <w:szCs w:val="20"/>
        </w:rPr>
      </w:pPr>
    </w:p>
    <w:p w:rsidR="004F7A4C" w:rsidRPr="004F7A4C" w:rsidRDefault="004F7A4C" w:rsidP="004F7A4C">
      <w:pPr>
        <w:keepNext/>
        <w:spacing w:after="120" w:line="240" w:lineRule="auto"/>
        <w:jc w:val="left"/>
        <w:outlineLvl w:val="4"/>
        <w:rPr>
          <w:rFonts w:ascii="Arial" w:hAnsi="Arial"/>
          <w:b/>
          <w:bCs/>
          <w:iCs/>
          <w:sz w:val="20"/>
          <w:szCs w:val="26"/>
        </w:rPr>
      </w:pPr>
      <w:r w:rsidRPr="004F7A4C">
        <w:rPr>
          <w:rFonts w:ascii="Arial" w:hAnsi="Arial"/>
          <w:b/>
          <w:bCs/>
          <w:iCs/>
          <w:sz w:val="20"/>
          <w:szCs w:val="26"/>
        </w:rPr>
        <w:t>Budgeted Expenses for Outcome 1</w:t>
      </w:r>
    </w:p>
    <w:p w:rsidR="004F7A4C" w:rsidRPr="004F7A4C" w:rsidRDefault="004F7A4C" w:rsidP="00FA4313">
      <w:pPr>
        <w:jc w:val="left"/>
        <w:rPr>
          <w:rFonts w:ascii="Book Antiqua" w:hAnsi="Book Antiqua"/>
          <w:sz w:val="20"/>
          <w:szCs w:val="20"/>
        </w:rPr>
      </w:pPr>
      <w:r w:rsidRPr="004F7A4C">
        <w:rPr>
          <w:rFonts w:ascii="Book Antiqua" w:hAnsi="Book Antiqua"/>
          <w:sz w:val="20"/>
          <w:szCs w:val="20"/>
        </w:rPr>
        <w:t xml:space="preserve">This table shows how much </w:t>
      </w:r>
      <w:r w:rsidR="0062363E">
        <w:rPr>
          <w:rFonts w:ascii="Book Antiqua" w:hAnsi="Book Antiqua"/>
          <w:sz w:val="20"/>
          <w:szCs w:val="20"/>
        </w:rPr>
        <w:t xml:space="preserve">the AEC </w:t>
      </w:r>
      <w:r w:rsidRPr="004F7A4C">
        <w:rPr>
          <w:rFonts w:ascii="Book Antiqua" w:hAnsi="Book Antiqua"/>
          <w:sz w:val="20"/>
          <w:szCs w:val="20"/>
        </w:rPr>
        <w:t>intends to spend (on an accrual basis) on achieving the outcome, broken down by program, as well as by administered and departmental funding sources</w:t>
      </w:r>
    </w:p>
    <w:p w:rsidR="004F7A4C" w:rsidRPr="004F7A4C" w:rsidRDefault="004F7A4C" w:rsidP="00C35C04">
      <w:pPr>
        <w:spacing w:after="0" w:line="240" w:lineRule="auto"/>
        <w:jc w:val="left"/>
        <w:rPr>
          <w:rFonts w:ascii="Book Antiqua" w:hAnsi="Book Antiqua"/>
          <w:sz w:val="20"/>
          <w:szCs w:val="20"/>
        </w:rPr>
      </w:pPr>
      <w:r w:rsidRPr="004F7A4C">
        <w:rPr>
          <w:rFonts w:ascii="Book Antiqua" w:hAnsi="Book Antiqua"/>
          <w:sz w:val="20"/>
          <w:szCs w:val="20"/>
        </w:rPr>
        <w:br w:type="page"/>
      </w:r>
    </w:p>
    <w:p w:rsidR="004F7A4C" w:rsidRPr="004F7A4C" w:rsidRDefault="004F7A4C" w:rsidP="004F7A4C">
      <w:pPr>
        <w:keepNext/>
        <w:spacing w:before="120" w:after="20" w:line="240" w:lineRule="auto"/>
        <w:jc w:val="left"/>
        <w:rPr>
          <w:rFonts w:ascii="Arial" w:hAnsi="Arial"/>
          <w:b/>
          <w:color w:val="000000"/>
          <w:sz w:val="20"/>
          <w:szCs w:val="20"/>
        </w:rPr>
      </w:pPr>
      <w:r w:rsidRPr="004F7A4C">
        <w:rPr>
          <w:rFonts w:ascii="Arial" w:hAnsi="Arial"/>
          <w:b/>
          <w:color w:val="000000"/>
          <w:sz w:val="20"/>
          <w:szCs w:val="20"/>
        </w:rPr>
        <w:lastRenderedPageBreak/>
        <w:t>Table 2.1.1: Budgeted Expenses for Outcome 1</w:t>
      </w:r>
    </w:p>
    <w:tbl>
      <w:tblPr>
        <w:tblW w:w="7500" w:type="dxa"/>
        <w:tblInd w:w="96" w:type="dxa"/>
        <w:tblLook w:val="04A0"/>
      </w:tblPr>
      <w:tblGrid>
        <w:gridCol w:w="3300"/>
        <w:gridCol w:w="928"/>
        <w:gridCol w:w="840"/>
        <w:gridCol w:w="840"/>
        <w:gridCol w:w="840"/>
        <w:gridCol w:w="840"/>
      </w:tblGrid>
      <w:tr w:rsidR="00135314" w:rsidRPr="00135314" w:rsidTr="00135314">
        <w:trPr>
          <w:trHeight w:val="225"/>
        </w:trPr>
        <w:tc>
          <w:tcPr>
            <w:tcW w:w="330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Outcome 1: Maintain an impartial and</w:t>
            </w:r>
          </w:p>
        </w:tc>
        <w:tc>
          <w:tcPr>
            <w:tcW w:w="84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2015-16</w:t>
            </w:r>
          </w:p>
        </w:tc>
        <w:tc>
          <w:tcPr>
            <w:tcW w:w="84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2016-17</w:t>
            </w:r>
          </w:p>
        </w:tc>
        <w:tc>
          <w:tcPr>
            <w:tcW w:w="84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2017-18</w:t>
            </w:r>
          </w:p>
        </w:tc>
        <w:tc>
          <w:tcPr>
            <w:tcW w:w="84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2018-19</w:t>
            </w:r>
          </w:p>
        </w:tc>
        <w:tc>
          <w:tcPr>
            <w:tcW w:w="84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2019-20</w:t>
            </w: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independent electoral system for </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Estimated</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Budget</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eligible voters through active electoral </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actual</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roll management, efficient delivery of </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4140" w:type="dxa"/>
            <w:gridSpan w:val="2"/>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polling services, and targeted education </w:t>
            </w: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proofErr w:type="gramStart"/>
            <w:r w:rsidRPr="00135314">
              <w:rPr>
                <w:rFonts w:ascii="Arial" w:hAnsi="Arial" w:cs="Arial"/>
                <w:b/>
                <w:bCs/>
              </w:rPr>
              <w:t>and</w:t>
            </w:r>
            <w:proofErr w:type="gramEnd"/>
            <w:r w:rsidRPr="00135314">
              <w:rPr>
                <w:rFonts w:ascii="Arial" w:hAnsi="Arial" w:cs="Arial"/>
                <w:b/>
                <w:bCs/>
              </w:rPr>
              <w:t xml:space="preserve"> public awareness programs.</w:t>
            </w:r>
          </w:p>
        </w:tc>
        <w:tc>
          <w:tcPr>
            <w:tcW w:w="84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4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4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4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4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r>
      <w:tr w:rsidR="00135314" w:rsidRPr="00135314" w:rsidTr="00135314">
        <w:trPr>
          <w:trHeight w:val="225"/>
        </w:trPr>
        <w:tc>
          <w:tcPr>
            <w:tcW w:w="7500" w:type="dxa"/>
            <w:gridSpan w:val="6"/>
            <w:tcBorders>
              <w:top w:val="single" w:sz="4" w:space="0" w:color="auto"/>
              <w:left w:val="nil"/>
              <w:bottom w:val="single" w:sz="4" w:space="0" w:color="auto"/>
              <w:right w:val="nil"/>
            </w:tcBorders>
            <w:shd w:val="clear" w:color="000000" w:fill="E6E6E6"/>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Program 1.1: Deliver Electoral Events</w:t>
            </w:r>
          </w:p>
        </w:tc>
      </w:tr>
      <w:tr w:rsidR="00135314" w:rsidRPr="00135314" w:rsidTr="00135314">
        <w:trPr>
          <w:trHeight w:val="225"/>
        </w:trPr>
        <w:tc>
          <w:tcPr>
            <w:tcW w:w="33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Administered expenses</w:t>
            </w:r>
          </w:p>
        </w:tc>
        <w:tc>
          <w:tcPr>
            <w:tcW w:w="840" w:type="dxa"/>
            <w:tcBorders>
              <w:top w:val="nil"/>
              <w:left w:val="nil"/>
              <w:bottom w:val="nil"/>
              <w:right w:val="nil"/>
            </w:tcBorders>
            <w:shd w:val="clear" w:color="auto" w:fill="auto"/>
            <w:hideMark/>
          </w:tcPr>
          <w:p w:rsidR="00135314" w:rsidRPr="00135314" w:rsidRDefault="00135314" w:rsidP="00135314">
            <w:pPr>
              <w:spacing w:after="0" w:line="240" w:lineRule="auto"/>
              <w:jc w:val="right"/>
              <w:rPr>
                <w:rFonts w:ascii="Arial" w:hAnsi="Arial" w:cs="Arial"/>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hideMark/>
          </w:tcPr>
          <w:p w:rsidR="00135314" w:rsidRPr="00135314" w:rsidRDefault="00135314" w:rsidP="00135314">
            <w:pPr>
              <w:spacing w:after="0" w:line="240" w:lineRule="auto"/>
              <w:jc w:val="right"/>
              <w:rPr>
                <w:rFonts w:ascii="Arial" w:hAnsi="Arial" w:cs="Arial"/>
              </w:rPr>
            </w:pPr>
          </w:p>
        </w:tc>
        <w:tc>
          <w:tcPr>
            <w:tcW w:w="840" w:type="dxa"/>
            <w:tcBorders>
              <w:top w:val="nil"/>
              <w:left w:val="nil"/>
              <w:bottom w:val="nil"/>
              <w:right w:val="nil"/>
            </w:tcBorders>
            <w:shd w:val="clear" w:color="auto" w:fill="auto"/>
            <w:hideMark/>
          </w:tcPr>
          <w:p w:rsidR="00135314" w:rsidRPr="00135314" w:rsidRDefault="00135314" w:rsidP="00135314">
            <w:pPr>
              <w:spacing w:after="0" w:line="240" w:lineRule="auto"/>
              <w:jc w:val="right"/>
              <w:rPr>
                <w:rFonts w:ascii="Arial" w:hAnsi="Arial" w:cs="Arial"/>
              </w:rPr>
            </w:pPr>
          </w:p>
        </w:tc>
        <w:tc>
          <w:tcPr>
            <w:tcW w:w="840" w:type="dxa"/>
            <w:tcBorders>
              <w:top w:val="nil"/>
              <w:left w:val="nil"/>
              <w:bottom w:val="nil"/>
              <w:right w:val="nil"/>
            </w:tcBorders>
            <w:shd w:val="clear" w:color="auto" w:fill="auto"/>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3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Special appropriation</w:t>
            </w:r>
          </w:p>
        </w:tc>
        <w:tc>
          <w:tcPr>
            <w:tcW w:w="840" w:type="dxa"/>
            <w:tcBorders>
              <w:top w:val="nil"/>
              <w:left w:val="nil"/>
              <w:bottom w:val="nil"/>
              <w:right w:val="nil"/>
            </w:tcBorders>
            <w:shd w:val="clear" w:color="auto" w:fill="auto"/>
            <w:hideMark/>
          </w:tcPr>
          <w:p w:rsidR="00135314" w:rsidRPr="00135314" w:rsidRDefault="00135314" w:rsidP="00135314">
            <w:pPr>
              <w:spacing w:after="0" w:line="240" w:lineRule="auto"/>
              <w:jc w:val="right"/>
              <w:rPr>
                <w:rFonts w:ascii="Arial" w:hAnsi="Arial" w:cs="Arial"/>
              </w:rPr>
            </w:pPr>
          </w:p>
        </w:tc>
        <w:tc>
          <w:tcPr>
            <w:tcW w:w="840" w:type="dxa"/>
            <w:tcBorders>
              <w:top w:val="nil"/>
              <w:left w:val="nil"/>
              <w:bottom w:val="nil"/>
              <w:right w:val="nil"/>
            </w:tcBorders>
            <w:shd w:val="clear" w:color="000000" w:fill="E6E6E6"/>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hideMark/>
          </w:tcPr>
          <w:p w:rsidR="00135314" w:rsidRPr="00135314" w:rsidRDefault="00135314" w:rsidP="00135314">
            <w:pPr>
              <w:spacing w:after="0" w:line="240" w:lineRule="auto"/>
              <w:jc w:val="right"/>
              <w:rPr>
                <w:rFonts w:ascii="Arial" w:hAnsi="Arial" w:cs="Arial"/>
              </w:rPr>
            </w:pPr>
          </w:p>
        </w:tc>
        <w:tc>
          <w:tcPr>
            <w:tcW w:w="840" w:type="dxa"/>
            <w:tcBorders>
              <w:top w:val="nil"/>
              <w:left w:val="nil"/>
              <w:bottom w:val="nil"/>
              <w:right w:val="nil"/>
            </w:tcBorders>
            <w:shd w:val="clear" w:color="auto" w:fill="auto"/>
            <w:hideMark/>
          </w:tcPr>
          <w:p w:rsidR="00135314" w:rsidRPr="00135314" w:rsidRDefault="00135314" w:rsidP="00135314">
            <w:pPr>
              <w:spacing w:after="0" w:line="240" w:lineRule="auto"/>
              <w:jc w:val="right"/>
              <w:rPr>
                <w:rFonts w:ascii="Arial" w:hAnsi="Arial" w:cs="Arial"/>
              </w:rPr>
            </w:pPr>
          </w:p>
        </w:tc>
        <w:tc>
          <w:tcPr>
            <w:tcW w:w="840" w:type="dxa"/>
            <w:tcBorders>
              <w:top w:val="nil"/>
              <w:left w:val="nil"/>
              <w:bottom w:val="nil"/>
              <w:right w:val="nil"/>
            </w:tcBorders>
            <w:shd w:val="clear" w:color="auto" w:fill="auto"/>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3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i/>
                <w:iCs/>
              </w:rPr>
            </w:pPr>
            <w:r w:rsidRPr="00135314">
              <w:rPr>
                <w:rFonts w:ascii="Arial" w:hAnsi="Arial" w:cs="Arial"/>
                <w:i/>
                <w:iCs/>
              </w:rPr>
              <w:t>Commonwealth Electoral Act 1918</w:t>
            </w:r>
            <w:r w:rsidRPr="00135314">
              <w:rPr>
                <w:rFonts w:ascii="Arial" w:hAnsi="Arial" w:cs="Arial"/>
                <w:i/>
                <w:iCs/>
                <w:vertAlign w:val="superscript"/>
              </w:rPr>
              <w:t xml:space="preserve">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76,000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76,000 </w:t>
            </w:r>
          </w:p>
        </w:tc>
      </w:tr>
      <w:tr w:rsidR="00135314" w:rsidRPr="00135314" w:rsidTr="00135314">
        <w:trPr>
          <w:trHeight w:val="225"/>
        </w:trPr>
        <w:tc>
          <w:tcPr>
            <w:tcW w:w="33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i/>
                <w:iCs/>
              </w:rPr>
            </w:pPr>
            <w:r w:rsidRPr="00135314">
              <w:rPr>
                <w:rFonts w:ascii="Arial" w:hAnsi="Arial" w:cs="Arial"/>
                <w:i/>
                <w:iCs/>
              </w:rPr>
              <w:t xml:space="preserve">Public Governance, Performance and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000000" w:fill="E6E6E6"/>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40"/>
        </w:trPr>
        <w:tc>
          <w:tcPr>
            <w:tcW w:w="330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ind w:firstLineChars="300" w:firstLine="480"/>
              <w:jc w:val="left"/>
              <w:rPr>
                <w:rFonts w:ascii="Arial" w:hAnsi="Arial" w:cs="Arial"/>
                <w:i/>
                <w:iCs/>
              </w:rPr>
            </w:pPr>
            <w:r w:rsidRPr="00135314">
              <w:rPr>
                <w:rFonts w:ascii="Arial" w:hAnsi="Arial" w:cs="Arial"/>
                <w:i/>
                <w:iCs/>
              </w:rPr>
              <w:t xml:space="preserve">Accountability Act 2013 - </w:t>
            </w:r>
            <w:r w:rsidRPr="00135314">
              <w:rPr>
                <w:rFonts w:ascii="Arial" w:hAnsi="Arial" w:cs="Arial"/>
              </w:rPr>
              <w:t xml:space="preserve">s77 </w:t>
            </w:r>
            <w:r w:rsidRPr="00135314">
              <w:rPr>
                <w:rFonts w:ascii="Arial" w:hAnsi="Arial" w:cs="Arial"/>
                <w:vertAlign w:val="superscript"/>
              </w:rPr>
              <w:t>(a)</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664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r>
      <w:tr w:rsidR="00135314" w:rsidRPr="00135314" w:rsidTr="00135314">
        <w:trPr>
          <w:trHeight w:val="225"/>
        </w:trPr>
        <w:tc>
          <w:tcPr>
            <w:tcW w:w="330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Administered Total</w:t>
            </w:r>
          </w:p>
        </w:tc>
        <w:tc>
          <w:tcPr>
            <w:tcW w:w="840" w:type="dxa"/>
            <w:tcBorders>
              <w:top w:val="single" w:sz="4" w:space="0" w:color="000000"/>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664 </w:t>
            </w:r>
          </w:p>
        </w:tc>
        <w:tc>
          <w:tcPr>
            <w:tcW w:w="840" w:type="dxa"/>
            <w:tcBorders>
              <w:top w:val="single" w:sz="4" w:space="0" w:color="000000"/>
              <w:left w:val="nil"/>
              <w:bottom w:val="single" w:sz="4" w:space="0" w:color="000000"/>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76,000 </w:t>
            </w:r>
          </w:p>
        </w:tc>
        <w:tc>
          <w:tcPr>
            <w:tcW w:w="840" w:type="dxa"/>
            <w:tcBorders>
              <w:top w:val="single" w:sz="4" w:space="0" w:color="000000"/>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40" w:type="dxa"/>
            <w:tcBorders>
              <w:top w:val="single" w:sz="4" w:space="0" w:color="000000"/>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40" w:type="dxa"/>
            <w:tcBorders>
              <w:top w:val="single" w:sz="4" w:space="0" w:color="000000"/>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76,000 </w:t>
            </w: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Departmental expenses</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Departmental appropriation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269,280 </w:t>
            </w: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289,272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104,568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117,511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261,226 </w:t>
            </w:r>
          </w:p>
        </w:tc>
      </w:tr>
      <w:tr w:rsidR="00135314" w:rsidRPr="00135314" w:rsidTr="00135314">
        <w:trPr>
          <w:trHeight w:val="240"/>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s74 Retained revenue receipts </w:t>
            </w:r>
            <w:r w:rsidRPr="00135314">
              <w:rPr>
                <w:rFonts w:ascii="Arial" w:hAnsi="Arial" w:cs="Arial"/>
                <w:vertAlign w:val="superscript"/>
              </w:rPr>
              <w:t>(b)</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10,841 </w:t>
            </w: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10,952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11,038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11,038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11,038 </w:t>
            </w:r>
          </w:p>
        </w:tc>
      </w:tr>
      <w:tr w:rsidR="00135314" w:rsidRPr="00135314" w:rsidTr="00135314">
        <w:trPr>
          <w:trHeight w:val="225"/>
        </w:trPr>
        <w:tc>
          <w:tcPr>
            <w:tcW w:w="33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Special appropriation</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3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i/>
                <w:iCs/>
              </w:rPr>
            </w:pPr>
            <w:r w:rsidRPr="00135314">
              <w:rPr>
                <w:rFonts w:ascii="Arial" w:hAnsi="Arial" w:cs="Arial"/>
                <w:i/>
                <w:iCs/>
              </w:rPr>
              <w:t xml:space="preserve">Commonwealth Electoral Act 1918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9,000 </w:t>
            </w: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9,000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9,000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9,000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9,000 </w:t>
            </w:r>
          </w:p>
        </w:tc>
      </w:tr>
      <w:tr w:rsidR="00135314" w:rsidRPr="00135314" w:rsidTr="00135314">
        <w:trPr>
          <w:trHeight w:val="225"/>
        </w:trPr>
        <w:tc>
          <w:tcPr>
            <w:tcW w:w="33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Expenses not </w:t>
            </w:r>
            <w:proofErr w:type="spellStart"/>
            <w:r w:rsidRPr="00135314">
              <w:rPr>
                <w:rFonts w:ascii="Arial" w:hAnsi="Arial" w:cs="Arial"/>
              </w:rPr>
              <w:t>requring</w:t>
            </w:r>
            <w:proofErr w:type="spellEnd"/>
            <w:r w:rsidRPr="00135314">
              <w:rPr>
                <w:rFonts w:ascii="Arial" w:hAnsi="Arial" w:cs="Arial"/>
              </w:rPr>
              <w:t xml:space="preserve">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40"/>
        </w:trPr>
        <w:tc>
          <w:tcPr>
            <w:tcW w:w="330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 xml:space="preserve">appropriation in the Budget year </w:t>
            </w:r>
            <w:r w:rsidRPr="00135314">
              <w:rPr>
                <w:rFonts w:ascii="Arial" w:hAnsi="Arial" w:cs="Arial"/>
                <w:vertAlign w:val="superscript"/>
              </w:rPr>
              <w:t>(c)</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8,080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8,804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8,291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8,821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9,612 </w:t>
            </w:r>
          </w:p>
        </w:tc>
      </w:tr>
      <w:tr w:rsidR="00135314" w:rsidRPr="00135314" w:rsidTr="00135314">
        <w:trPr>
          <w:trHeight w:val="225"/>
        </w:trPr>
        <w:tc>
          <w:tcPr>
            <w:tcW w:w="330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Departmental Total </w:t>
            </w:r>
          </w:p>
        </w:tc>
        <w:tc>
          <w:tcPr>
            <w:tcW w:w="840" w:type="dxa"/>
            <w:tcBorders>
              <w:top w:val="single" w:sz="4" w:space="0" w:color="000000"/>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297,201 </w:t>
            </w:r>
          </w:p>
        </w:tc>
        <w:tc>
          <w:tcPr>
            <w:tcW w:w="840" w:type="dxa"/>
            <w:tcBorders>
              <w:top w:val="single" w:sz="4" w:space="0" w:color="000000"/>
              <w:left w:val="nil"/>
              <w:bottom w:val="single" w:sz="4" w:space="0" w:color="000000"/>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318,028 </w:t>
            </w:r>
          </w:p>
        </w:tc>
        <w:tc>
          <w:tcPr>
            <w:tcW w:w="840" w:type="dxa"/>
            <w:tcBorders>
              <w:top w:val="single" w:sz="4" w:space="0" w:color="000000"/>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132,897 </w:t>
            </w:r>
          </w:p>
        </w:tc>
        <w:tc>
          <w:tcPr>
            <w:tcW w:w="840" w:type="dxa"/>
            <w:tcBorders>
              <w:top w:val="single" w:sz="4" w:space="0" w:color="000000"/>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146,370 </w:t>
            </w:r>
          </w:p>
        </w:tc>
        <w:tc>
          <w:tcPr>
            <w:tcW w:w="840" w:type="dxa"/>
            <w:tcBorders>
              <w:top w:val="single" w:sz="4" w:space="0" w:color="000000"/>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290,876 </w:t>
            </w:r>
          </w:p>
        </w:tc>
      </w:tr>
      <w:tr w:rsidR="00135314" w:rsidRPr="00135314" w:rsidTr="00135314">
        <w:trPr>
          <w:trHeight w:val="225"/>
        </w:trPr>
        <w:tc>
          <w:tcPr>
            <w:tcW w:w="3300" w:type="dxa"/>
            <w:tcBorders>
              <w:top w:val="nil"/>
              <w:left w:val="nil"/>
              <w:bottom w:val="single" w:sz="4" w:space="0" w:color="000000"/>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expenses for Program 1.1</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297,865 </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394,028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132,897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146,370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366,876 </w:t>
            </w:r>
          </w:p>
        </w:tc>
      </w:tr>
      <w:tr w:rsidR="00135314" w:rsidRPr="00135314" w:rsidTr="00135314">
        <w:trPr>
          <w:trHeight w:val="225"/>
        </w:trPr>
        <w:tc>
          <w:tcPr>
            <w:tcW w:w="7500" w:type="dxa"/>
            <w:gridSpan w:val="6"/>
            <w:tcBorders>
              <w:top w:val="single" w:sz="4" w:space="0" w:color="auto"/>
              <w:left w:val="nil"/>
              <w:bottom w:val="single" w:sz="4" w:space="0" w:color="auto"/>
              <w:right w:val="nil"/>
            </w:tcBorders>
            <w:shd w:val="clear" w:color="000000" w:fill="E6E6E6"/>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Outcome 1 Totals by appropriation type</w:t>
            </w: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Administered expenses</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Special appropriations</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664 </w:t>
            </w: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76,000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76,000 </w:t>
            </w: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Departmental expenses</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Departmental appropriation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280,121 </w:t>
            </w: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300,224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115,606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128,549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272,264 </w:t>
            </w: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Special appropriations</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9,000 </w:t>
            </w: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9,000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9,000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9,000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9,000 </w:t>
            </w:r>
          </w:p>
        </w:tc>
      </w:tr>
      <w:tr w:rsidR="00135314" w:rsidRPr="00135314" w:rsidTr="00135314">
        <w:trPr>
          <w:trHeight w:val="225"/>
        </w:trPr>
        <w:tc>
          <w:tcPr>
            <w:tcW w:w="33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xml:space="preserve">Expenses not requiring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40"/>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appropriation in the Budget year </w:t>
            </w:r>
            <w:r w:rsidRPr="00135314">
              <w:rPr>
                <w:rFonts w:ascii="Arial" w:hAnsi="Arial" w:cs="Arial"/>
                <w:vertAlign w:val="superscript"/>
              </w:rPr>
              <w:t>(c)</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8,080 </w:t>
            </w: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8,804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8,291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8,821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9,612 </w:t>
            </w:r>
          </w:p>
        </w:tc>
      </w:tr>
      <w:tr w:rsidR="00135314" w:rsidRPr="00135314" w:rsidTr="00135314">
        <w:trPr>
          <w:trHeight w:val="225"/>
        </w:trPr>
        <w:tc>
          <w:tcPr>
            <w:tcW w:w="3300" w:type="dxa"/>
            <w:tcBorders>
              <w:top w:val="nil"/>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expenses for Outcome 1</w:t>
            </w:r>
          </w:p>
        </w:tc>
        <w:tc>
          <w:tcPr>
            <w:tcW w:w="84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297,865 </w:t>
            </w:r>
          </w:p>
        </w:tc>
        <w:tc>
          <w:tcPr>
            <w:tcW w:w="84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394,028 </w:t>
            </w:r>
          </w:p>
        </w:tc>
        <w:tc>
          <w:tcPr>
            <w:tcW w:w="84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132,897 </w:t>
            </w:r>
          </w:p>
        </w:tc>
        <w:tc>
          <w:tcPr>
            <w:tcW w:w="84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146,370 </w:t>
            </w:r>
          </w:p>
        </w:tc>
        <w:tc>
          <w:tcPr>
            <w:tcW w:w="84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366,876 </w:t>
            </w:r>
          </w:p>
        </w:tc>
      </w:tr>
      <w:tr w:rsidR="00135314" w:rsidRPr="00135314" w:rsidTr="00135314">
        <w:trPr>
          <w:trHeight w:val="225"/>
        </w:trPr>
        <w:tc>
          <w:tcPr>
            <w:tcW w:w="33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sz w:val="14"/>
                <w:szCs w:val="14"/>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300" w:type="dxa"/>
            <w:tcBorders>
              <w:top w:val="single" w:sz="4" w:space="0" w:color="000000"/>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40" w:type="dxa"/>
            <w:tcBorders>
              <w:top w:val="single" w:sz="4" w:space="0" w:color="000000"/>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c>
          <w:tcPr>
            <w:tcW w:w="840" w:type="dxa"/>
            <w:tcBorders>
              <w:top w:val="single" w:sz="4" w:space="0" w:color="000000"/>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2017-18</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300" w:type="dxa"/>
            <w:tcBorders>
              <w:top w:val="nil"/>
              <w:left w:val="nil"/>
              <w:bottom w:val="single" w:sz="4" w:space="0" w:color="000000"/>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Average staffing level (number)</w:t>
            </w:r>
          </w:p>
        </w:tc>
        <w:tc>
          <w:tcPr>
            <w:tcW w:w="84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819 </w:t>
            </w:r>
          </w:p>
        </w:tc>
        <w:tc>
          <w:tcPr>
            <w:tcW w:w="84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795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bl>
    <w:p w:rsidR="004F7A4C" w:rsidRPr="004F7A4C" w:rsidRDefault="004F7A4C" w:rsidP="004F7A4C">
      <w:pPr>
        <w:spacing w:after="0" w:line="240" w:lineRule="auto"/>
        <w:ind w:right="-113"/>
        <w:jc w:val="both"/>
        <w:rPr>
          <w:rFonts w:ascii="Book Antiqua" w:hAnsi="Book Antiqua"/>
          <w:sz w:val="2"/>
          <w:szCs w:val="2"/>
        </w:rPr>
      </w:pPr>
    </w:p>
    <w:p w:rsidR="004F7A4C" w:rsidRPr="004F7A4C" w:rsidRDefault="004F7A4C" w:rsidP="00447B6D">
      <w:pPr>
        <w:numPr>
          <w:ilvl w:val="0"/>
          <w:numId w:val="38"/>
        </w:numPr>
        <w:tabs>
          <w:tab w:val="left" w:pos="284"/>
        </w:tabs>
        <w:spacing w:after="0" w:line="240" w:lineRule="auto"/>
        <w:ind w:left="284" w:hanging="284"/>
        <w:jc w:val="left"/>
        <w:rPr>
          <w:rFonts w:ascii="Arial" w:hAnsi="Arial"/>
          <w:color w:val="000000"/>
        </w:rPr>
      </w:pPr>
      <w:r w:rsidRPr="004F7A4C">
        <w:rPr>
          <w:rFonts w:ascii="Arial" w:hAnsi="Arial"/>
          <w:color w:val="000000"/>
          <w:szCs w:val="20"/>
        </w:rPr>
        <w:t xml:space="preserve">Repayments not provided under other appropriations. </w:t>
      </w:r>
    </w:p>
    <w:p w:rsidR="004F7A4C" w:rsidRPr="004F7A4C" w:rsidRDefault="004F7A4C" w:rsidP="00447B6D">
      <w:pPr>
        <w:numPr>
          <w:ilvl w:val="0"/>
          <w:numId w:val="38"/>
        </w:numPr>
        <w:tabs>
          <w:tab w:val="left" w:pos="284"/>
        </w:tabs>
        <w:spacing w:after="0" w:line="240" w:lineRule="auto"/>
        <w:ind w:left="284" w:hanging="284"/>
        <w:jc w:val="left"/>
        <w:rPr>
          <w:rFonts w:ascii="Arial" w:hAnsi="Arial"/>
          <w:color w:val="000000"/>
        </w:rPr>
      </w:pPr>
      <w:r w:rsidRPr="004F7A4C">
        <w:rPr>
          <w:rFonts w:ascii="Arial" w:hAnsi="Arial"/>
          <w:color w:val="000000"/>
        </w:rPr>
        <w:t xml:space="preserve">Estimated expenses incurred in relation to receipts retained under section 74 of the </w:t>
      </w:r>
      <w:r w:rsidR="0051401E" w:rsidRPr="0051401E">
        <w:rPr>
          <w:rFonts w:ascii="Arial" w:hAnsi="Arial"/>
          <w:i/>
          <w:color w:val="000000"/>
        </w:rPr>
        <w:t xml:space="preserve">Public Governance, Performance and Accountability </w:t>
      </w:r>
      <w:r w:rsidRPr="0051401E">
        <w:rPr>
          <w:rFonts w:ascii="Arial" w:hAnsi="Arial"/>
          <w:i/>
          <w:color w:val="000000"/>
        </w:rPr>
        <w:t>Act</w:t>
      </w:r>
      <w:r w:rsidR="0051401E" w:rsidRPr="0051401E">
        <w:rPr>
          <w:rFonts w:ascii="Arial" w:hAnsi="Arial"/>
          <w:i/>
          <w:color w:val="000000"/>
        </w:rPr>
        <w:t xml:space="preserve"> 2013</w:t>
      </w:r>
      <w:r w:rsidR="0051401E">
        <w:rPr>
          <w:rFonts w:ascii="Arial" w:hAnsi="Arial"/>
          <w:color w:val="000000"/>
        </w:rPr>
        <w:t xml:space="preserve"> (PGPA Act)</w:t>
      </w:r>
      <w:r w:rsidRPr="004F7A4C">
        <w:rPr>
          <w:rFonts w:ascii="Arial" w:hAnsi="Arial"/>
          <w:color w:val="000000"/>
        </w:rPr>
        <w:t>.</w:t>
      </w:r>
    </w:p>
    <w:p w:rsidR="004F7A4C" w:rsidRPr="004F7A4C" w:rsidRDefault="004F7A4C" w:rsidP="00447B6D">
      <w:pPr>
        <w:numPr>
          <w:ilvl w:val="0"/>
          <w:numId w:val="38"/>
        </w:numPr>
        <w:tabs>
          <w:tab w:val="left" w:pos="284"/>
        </w:tabs>
        <w:spacing w:after="0" w:line="240" w:lineRule="auto"/>
        <w:ind w:left="284" w:hanging="284"/>
        <w:jc w:val="left"/>
        <w:rPr>
          <w:rFonts w:ascii="Arial" w:hAnsi="Arial"/>
          <w:color w:val="000000"/>
        </w:rPr>
      </w:pPr>
      <w:r w:rsidRPr="004F7A4C">
        <w:rPr>
          <w:rFonts w:ascii="Arial" w:hAnsi="Arial"/>
          <w:color w:val="000000"/>
        </w:rPr>
        <w:t xml:space="preserve">Expenses not requiring appropriation in the Budget year are made up of </w:t>
      </w:r>
      <w:r w:rsidRPr="004F7A4C">
        <w:rPr>
          <w:rFonts w:ascii="Arial" w:hAnsi="Arial" w:cs="Arial"/>
          <w:color w:val="000000"/>
        </w:rPr>
        <w:t>depreciation expenses, amortisation expenses and audit fees</w:t>
      </w:r>
      <w:r w:rsidRPr="004F7A4C">
        <w:rPr>
          <w:rFonts w:ascii="Arial" w:hAnsi="Arial"/>
          <w:color w:val="000000"/>
        </w:rPr>
        <w:t>.</w:t>
      </w:r>
    </w:p>
    <w:p w:rsidR="004F7A4C" w:rsidRPr="004F7A4C" w:rsidRDefault="004F7A4C" w:rsidP="00447B6D">
      <w:pPr>
        <w:tabs>
          <w:tab w:val="left" w:pos="284"/>
        </w:tabs>
        <w:spacing w:after="0" w:line="240" w:lineRule="auto"/>
        <w:jc w:val="left"/>
        <w:rPr>
          <w:rFonts w:ascii="Arial" w:hAnsi="Arial"/>
          <w:szCs w:val="20"/>
        </w:rPr>
      </w:pPr>
    </w:p>
    <w:p w:rsidR="004F7A4C" w:rsidRPr="004F7A4C" w:rsidRDefault="004F7A4C" w:rsidP="00447B6D">
      <w:pPr>
        <w:tabs>
          <w:tab w:val="left" w:pos="284"/>
        </w:tabs>
        <w:spacing w:after="0" w:line="240" w:lineRule="auto"/>
        <w:jc w:val="left"/>
        <w:rPr>
          <w:rFonts w:ascii="Arial" w:hAnsi="Arial"/>
          <w:szCs w:val="20"/>
        </w:rPr>
      </w:pPr>
      <w:r w:rsidRPr="004F7A4C">
        <w:rPr>
          <w:rFonts w:ascii="Arial" w:hAnsi="Arial"/>
          <w:szCs w:val="20"/>
          <w:u w:val="single"/>
        </w:rPr>
        <w:t>Please Note</w:t>
      </w:r>
      <w:r w:rsidRPr="004F7A4C">
        <w:rPr>
          <w:rFonts w:ascii="Arial" w:hAnsi="Arial"/>
          <w:szCs w:val="20"/>
        </w:rPr>
        <w:t>: Departmental appropriation splits and totals are indicative estimates and may change in the course of the budget year as Government priorities change.</w:t>
      </w:r>
    </w:p>
    <w:p w:rsidR="004F7A4C" w:rsidRPr="004F7A4C" w:rsidRDefault="004F7A4C" w:rsidP="004F7A4C">
      <w:pPr>
        <w:spacing w:after="0" w:line="240" w:lineRule="auto"/>
        <w:jc w:val="both"/>
        <w:rPr>
          <w:rFonts w:ascii="Book Antiqua" w:hAnsi="Book Antiqua"/>
          <w:sz w:val="20"/>
          <w:szCs w:val="20"/>
        </w:rPr>
      </w:pPr>
    </w:p>
    <w:p w:rsidR="004F7A4C" w:rsidRPr="004F7A4C" w:rsidRDefault="004F7A4C" w:rsidP="004F7A4C">
      <w:pPr>
        <w:spacing w:after="0" w:line="240" w:lineRule="auto"/>
        <w:jc w:val="left"/>
        <w:rPr>
          <w:rFonts w:ascii="Book Antiqua" w:hAnsi="Book Antiqua"/>
          <w:sz w:val="20"/>
          <w:szCs w:val="20"/>
        </w:rPr>
      </w:pPr>
    </w:p>
    <w:p w:rsidR="004F7A4C" w:rsidRPr="004F7A4C" w:rsidRDefault="004F7A4C" w:rsidP="004F7A4C">
      <w:pPr>
        <w:spacing w:after="0" w:line="240" w:lineRule="auto"/>
        <w:jc w:val="left"/>
        <w:rPr>
          <w:rFonts w:ascii="Arial" w:hAnsi="Arial"/>
          <w:b/>
          <w:bCs/>
          <w:iCs/>
          <w:sz w:val="20"/>
          <w:szCs w:val="26"/>
        </w:rPr>
      </w:pPr>
      <w:r w:rsidRPr="004F7A4C">
        <w:rPr>
          <w:rFonts w:ascii="Book Antiqua" w:hAnsi="Book Antiqua"/>
          <w:sz w:val="20"/>
          <w:szCs w:val="20"/>
        </w:rPr>
        <w:br w:type="page"/>
      </w:r>
    </w:p>
    <w:p w:rsidR="004F7A4C" w:rsidRPr="004F7A4C" w:rsidRDefault="004F7A4C" w:rsidP="004F7A4C">
      <w:pPr>
        <w:keepNext/>
        <w:spacing w:after="120" w:line="240" w:lineRule="auto"/>
        <w:jc w:val="left"/>
        <w:outlineLvl w:val="4"/>
        <w:rPr>
          <w:rFonts w:ascii="Arial" w:hAnsi="Arial"/>
          <w:b/>
          <w:bCs/>
          <w:iCs/>
          <w:sz w:val="20"/>
          <w:szCs w:val="26"/>
        </w:rPr>
      </w:pPr>
      <w:r w:rsidRPr="004F7A4C">
        <w:rPr>
          <w:rFonts w:ascii="Arial" w:hAnsi="Arial"/>
          <w:b/>
          <w:bCs/>
          <w:iCs/>
          <w:sz w:val="20"/>
          <w:szCs w:val="26"/>
        </w:rPr>
        <w:lastRenderedPageBreak/>
        <w:t>Table 2.1.2: Performance Criteria for Outcome 1</w:t>
      </w:r>
    </w:p>
    <w:p w:rsidR="004F7A4C" w:rsidRPr="004F7A4C" w:rsidRDefault="004F7A4C" w:rsidP="004F7A4C">
      <w:pPr>
        <w:tabs>
          <w:tab w:val="left" w:pos="709"/>
        </w:tabs>
        <w:jc w:val="left"/>
        <w:rPr>
          <w:rFonts w:ascii="Book Antiqua" w:hAnsi="Book Antiqua"/>
          <w:i/>
          <w:color w:val="FF0000"/>
          <w:sz w:val="20"/>
          <w:szCs w:val="20"/>
        </w:rPr>
      </w:pPr>
      <w:r w:rsidRPr="004F7A4C">
        <w:rPr>
          <w:rFonts w:ascii="Book Antiqua" w:hAnsi="Book Antiqua"/>
          <w:sz w:val="20"/>
          <w:szCs w:val="20"/>
        </w:rPr>
        <w:t>Table 2.1.2 below details the performance criteria for each program associated with Outcome 1. It also summarises how each program is delivered and where 2016-17 Budget measures have created new programs or materially changed existing programs.</w:t>
      </w:r>
      <w:r w:rsidRPr="004F7A4C">
        <w:rPr>
          <w:rFonts w:ascii="Book Antiqua" w:hAnsi="Book Antiqua"/>
          <w:i/>
          <w:color w:val="FF0000"/>
          <w:sz w:val="20"/>
          <w:szCs w:val="20"/>
        </w:rPr>
        <w:t xml:space="preserve"> </w:t>
      </w:r>
    </w:p>
    <w:tbl>
      <w:tblPr>
        <w:tblStyle w:val="TableGrid"/>
        <w:tblpPr w:leftFromText="180" w:rightFromText="180" w:vertAnchor="text" w:tblpY="1"/>
        <w:tblOverlap w:val="never"/>
        <w:tblW w:w="7795" w:type="dxa"/>
        <w:tblInd w:w="85" w:type="dxa"/>
        <w:tblCellMar>
          <w:top w:w="28" w:type="dxa"/>
          <w:left w:w="85" w:type="dxa"/>
          <w:bottom w:w="28" w:type="dxa"/>
          <w:right w:w="85" w:type="dxa"/>
        </w:tblCellMar>
        <w:tblLook w:val="04A0"/>
      </w:tblPr>
      <w:tblGrid>
        <w:gridCol w:w="993"/>
        <w:gridCol w:w="3402"/>
        <w:gridCol w:w="3400"/>
      </w:tblGrid>
      <w:tr w:rsidR="004F7A4C" w:rsidRPr="004F7A4C" w:rsidTr="004F7A4C">
        <w:trPr>
          <w:cantSplit/>
          <w:tblHeader/>
        </w:trPr>
        <w:tc>
          <w:tcPr>
            <w:tcW w:w="7795" w:type="dxa"/>
            <w:gridSpan w:val="3"/>
            <w:tcBorders>
              <w:top w:val="single" w:sz="4" w:space="0" w:color="auto"/>
              <w:bottom w:val="single" w:sz="4" w:space="0" w:color="auto"/>
            </w:tcBorders>
            <w:shd w:val="clear" w:color="auto" w:fill="D9D9D9" w:themeFill="background1" w:themeFillShade="D9"/>
          </w:tcPr>
          <w:p w:rsidR="004F7A4C" w:rsidRPr="004F7A4C" w:rsidRDefault="004F7A4C" w:rsidP="004F7A4C">
            <w:pPr>
              <w:tabs>
                <w:tab w:val="left" w:pos="5393"/>
              </w:tabs>
              <w:spacing w:after="0" w:line="240" w:lineRule="auto"/>
              <w:jc w:val="left"/>
              <w:rPr>
                <w:rFonts w:ascii="Arial" w:eastAsia="Cambria" w:hAnsi="Arial" w:cs="Arial"/>
                <w:bCs/>
                <w:iCs/>
                <w:spacing w:val="-6"/>
                <w:sz w:val="20"/>
                <w:lang w:eastAsia="en-US"/>
              </w:rPr>
            </w:pPr>
            <w:r w:rsidRPr="004F7A4C">
              <w:rPr>
                <w:rFonts w:ascii="Arial" w:hAnsi="Arial" w:cs="Arial"/>
                <w:b/>
                <w:bCs/>
                <w:iCs/>
                <w:spacing w:val="-6"/>
                <w:sz w:val="20"/>
              </w:rPr>
              <w:t>Outcome 1</w:t>
            </w:r>
            <w:r w:rsidRPr="004F7A4C">
              <w:rPr>
                <w:rFonts w:ascii="Book Antiqua" w:hAnsi="Book Antiqua"/>
                <w:sz w:val="20"/>
                <w:szCs w:val="20"/>
              </w:rPr>
              <w:t xml:space="preserve"> </w:t>
            </w:r>
            <w:r w:rsidRPr="004F7A4C">
              <w:rPr>
                <w:rFonts w:ascii="Arial" w:hAnsi="Arial" w:cs="Arial"/>
                <w:bCs/>
                <w:iCs/>
                <w:spacing w:val="-6"/>
                <w:sz w:val="20"/>
              </w:rPr>
              <w:t xml:space="preserve">– </w:t>
            </w:r>
            <w:r w:rsidRPr="004F7A4C">
              <w:rPr>
                <w:rFonts w:ascii="Arial" w:hAnsi="Arial"/>
                <w:bCs/>
                <w:iCs/>
                <w:spacing w:val="-6"/>
                <w:sz w:val="20"/>
              </w:rPr>
              <w:t>Maintain an impartial and independent electoral system for eligible voters through active electoral roll management, efficient delivery of polling services, and targeted education and public awareness programs.</w:t>
            </w:r>
          </w:p>
        </w:tc>
      </w:tr>
      <w:tr w:rsidR="004F7A4C" w:rsidRPr="004F7A4C" w:rsidTr="004F7A4C">
        <w:trPr>
          <w:cantSplit/>
          <w:tblHeader/>
        </w:trPr>
        <w:tc>
          <w:tcPr>
            <w:tcW w:w="7795" w:type="dxa"/>
            <w:gridSpan w:val="3"/>
            <w:shd w:val="clear" w:color="auto" w:fill="D9D9D9" w:themeFill="background1" w:themeFillShade="D9"/>
          </w:tcPr>
          <w:p w:rsidR="004F7A4C" w:rsidRPr="004F7A4C" w:rsidRDefault="004F7A4C" w:rsidP="004F7A4C">
            <w:pPr>
              <w:spacing w:after="0" w:line="240" w:lineRule="auto"/>
              <w:jc w:val="left"/>
              <w:rPr>
                <w:rFonts w:ascii="Arial" w:eastAsia="Cambria" w:hAnsi="Arial" w:cs="Arial"/>
                <w:bCs/>
                <w:iCs/>
                <w:spacing w:val="-6"/>
                <w:lang w:eastAsia="en-US"/>
              </w:rPr>
            </w:pPr>
            <w:r w:rsidRPr="004F7A4C">
              <w:rPr>
                <w:rFonts w:ascii="Arial" w:hAnsi="Arial" w:cs="Arial"/>
                <w:b/>
              </w:rPr>
              <w:t>Program 1.1</w:t>
            </w:r>
            <w:r w:rsidRPr="004F7A4C">
              <w:rPr>
                <w:rFonts w:ascii="Arial" w:hAnsi="Arial" w:cs="Arial"/>
              </w:rPr>
              <w:t xml:space="preserve"> – </w:t>
            </w:r>
            <w:r w:rsidRPr="004F7A4C">
              <w:rPr>
                <w:rFonts w:ascii="Arial" w:hAnsi="Arial" w:cs="Arial"/>
                <w:b/>
              </w:rPr>
              <w:t>Deliver Electoral Events</w:t>
            </w:r>
          </w:p>
        </w:tc>
      </w:tr>
      <w:tr w:rsidR="004F7A4C" w:rsidRPr="004F7A4C" w:rsidTr="004F7A4C">
        <w:trPr>
          <w:cantSplit/>
        </w:trPr>
        <w:tc>
          <w:tcPr>
            <w:tcW w:w="993" w:type="dxa"/>
            <w:tcBorders>
              <w:bottom w:val="single" w:sz="4" w:space="0" w:color="auto"/>
            </w:tcBorders>
            <w:shd w:val="clear" w:color="auto" w:fill="auto"/>
          </w:tcPr>
          <w:p w:rsidR="004F7A4C" w:rsidRPr="004F7A4C" w:rsidRDefault="004F7A4C" w:rsidP="004F7A4C">
            <w:pPr>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Delivery</w:t>
            </w:r>
          </w:p>
        </w:tc>
        <w:tc>
          <w:tcPr>
            <w:tcW w:w="6802" w:type="dxa"/>
            <w:gridSpan w:val="2"/>
            <w:tcBorders>
              <w:bottom w:val="single" w:sz="4" w:space="0" w:color="auto"/>
            </w:tcBorders>
            <w:shd w:val="clear" w:color="auto" w:fill="auto"/>
          </w:tcPr>
          <w:p w:rsidR="004F7A4C" w:rsidRPr="004F7A4C" w:rsidRDefault="004F7A4C" w:rsidP="004F7A4C">
            <w:pPr>
              <w:tabs>
                <w:tab w:val="left" w:pos="198"/>
              </w:tabs>
              <w:autoSpaceDE w:val="0"/>
              <w:autoSpaceDN w:val="0"/>
              <w:spacing w:after="0" w:line="240" w:lineRule="auto"/>
              <w:jc w:val="left"/>
              <w:rPr>
                <w:rFonts w:ascii="Arial" w:eastAsia="Cambria" w:hAnsi="Arial" w:cs="Arial"/>
                <w:bCs/>
                <w:iCs/>
                <w:spacing w:val="-6"/>
                <w:lang w:eastAsia="en-US"/>
              </w:rPr>
            </w:pPr>
            <w:r w:rsidRPr="004F7A4C">
              <w:rPr>
                <w:rFonts w:ascii="Arial" w:hAnsi="Arial" w:cs="Arial"/>
              </w:rPr>
              <w:t>AEC’s programme objective is to maintain an impartial and independent electoral system for eligible voters through active electoral roll management, efficient delivery of polling services and targeted education and public awareness programmes.</w:t>
            </w:r>
          </w:p>
        </w:tc>
      </w:tr>
      <w:tr w:rsidR="004F7A4C" w:rsidRPr="004F7A4C" w:rsidTr="004F7A4C">
        <w:trPr>
          <w:cantSplit/>
        </w:trPr>
        <w:tc>
          <w:tcPr>
            <w:tcW w:w="993" w:type="dxa"/>
            <w:shd w:val="clear" w:color="auto" w:fill="auto"/>
          </w:tcPr>
          <w:p w:rsidR="004F7A4C" w:rsidRPr="004F7A4C" w:rsidRDefault="004F7A4C" w:rsidP="004F7A4C">
            <w:pPr>
              <w:spacing w:after="0" w:line="240" w:lineRule="auto"/>
              <w:jc w:val="left"/>
              <w:rPr>
                <w:rFonts w:ascii="Arial" w:eastAsia="Cambria" w:hAnsi="Arial" w:cs="Arial"/>
                <w:b/>
                <w:bCs/>
                <w:iCs/>
                <w:spacing w:val="-6"/>
                <w:lang w:eastAsia="en-US"/>
              </w:rPr>
            </w:pPr>
            <w:r w:rsidRPr="004F7A4C">
              <w:rPr>
                <w:rFonts w:ascii="Arial" w:hAnsi="Arial" w:cs="Arial"/>
                <w:b/>
              </w:rPr>
              <w:t>Purposes</w:t>
            </w:r>
          </w:p>
        </w:tc>
        <w:tc>
          <w:tcPr>
            <w:tcW w:w="6802" w:type="dxa"/>
            <w:gridSpan w:val="2"/>
            <w:shd w:val="clear" w:color="auto" w:fill="auto"/>
          </w:tcPr>
          <w:p w:rsidR="004F7A4C" w:rsidRPr="004F7A4C" w:rsidRDefault="004F7A4C" w:rsidP="004F7A4C">
            <w:pPr>
              <w:spacing w:after="0" w:line="240" w:lineRule="auto"/>
              <w:jc w:val="left"/>
              <w:rPr>
                <w:rFonts w:ascii="Arial" w:eastAsia="Cambria" w:hAnsi="Arial" w:cs="Arial"/>
                <w:bCs/>
                <w:iCs/>
                <w:spacing w:val="-6"/>
                <w:lang w:eastAsia="en-US"/>
              </w:rPr>
            </w:pPr>
            <w:r w:rsidRPr="004F7A4C">
              <w:rPr>
                <w:rFonts w:ascii="Arial" w:eastAsiaTheme="minorHAnsi" w:hAnsi="Arial" w:cs="Arial"/>
                <w:bCs/>
                <w:color w:val="000000"/>
                <w:lang w:eastAsia="en-US"/>
              </w:rPr>
              <w:t>Maintain an impartial and independent electoral system for eligible voters through active Electoral Roll management, efficient delivery of polling services, and targeted education and public awareness programs.</w:t>
            </w:r>
          </w:p>
        </w:tc>
      </w:tr>
      <w:tr w:rsidR="004F7A4C" w:rsidRPr="004F7A4C" w:rsidTr="004F7A4C">
        <w:trPr>
          <w:cantSplit/>
        </w:trPr>
        <w:tc>
          <w:tcPr>
            <w:tcW w:w="7795" w:type="dxa"/>
            <w:gridSpan w:val="3"/>
            <w:shd w:val="clear" w:color="auto" w:fill="auto"/>
          </w:tcPr>
          <w:p w:rsidR="004F7A4C" w:rsidRPr="004F7A4C" w:rsidRDefault="004F7A4C" w:rsidP="004F7A4C">
            <w:pPr>
              <w:spacing w:after="0" w:line="240" w:lineRule="auto"/>
              <w:jc w:val="both"/>
              <w:rPr>
                <w:rFonts w:ascii="Arial" w:eastAsiaTheme="minorHAnsi" w:hAnsi="Arial" w:cs="Arial"/>
                <w:bCs/>
                <w:color w:val="000000"/>
                <w:lang w:eastAsia="en-US"/>
              </w:rPr>
            </w:pPr>
            <w:r w:rsidRPr="004F7A4C">
              <w:rPr>
                <w:rFonts w:ascii="Arial" w:hAnsi="Arial" w:cs="Arial"/>
                <w:b/>
              </w:rPr>
              <w:t>Performance information: Program 1.1 – Deliver Electoral Events</w:t>
            </w:r>
          </w:p>
        </w:tc>
      </w:tr>
      <w:tr w:rsidR="004F7A4C" w:rsidRPr="004F7A4C" w:rsidTr="004F7A4C">
        <w:trPr>
          <w:cantSplit/>
        </w:trPr>
        <w:tc>
          <w:tcPr>
            <w:tcW w:w="993" w:type="dxa"/>
            <w:shd w:val="clear" w:color="auto" w:fill="auto"/>
          </w:tcPr>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Year</w:t>
            </w:r>
          </w:p>
        </w:tc>
        <w:tc>
          <w:tcPr>
            <w:tcW w:w="3402" w:type="dxa"/>
            <w:shd w:val="clear" w:color="auto" w:fill="auto"/>
          </w:tcPr>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Performance Criteria</w:t>
            </w:r>
          </w:p>
        </w:tc>
        <w:tc>
          <w:tcPr>
            <w:tcW w:w="3400" w:type="dxa"/>
            <w:shd w:val="clear" w:color="auto" w:fill="auto"/>
          </w:tcPr>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Targets</w:t>
            </w:r>
          </w:p>
        </w:tc>
      </w:tr>
      <w:tr w:rsidR="004F7A4C" w:rsidRPr="004F7A4C" w:rsidTr="004F7A4C">
        <w:trPr>
          <w:cantSplit/>
          <w:trHeight w:val="6122"/>
        </w:trPr>
        <w:tc>
          <w:tcPr>
            <w:tcW w:w="993" w:type="dxa"/>
            <w:shd w:val="clear" w:color="auto" w:fill="auto"/>
          </w:tcPr>
          <w:p w:rsidR="004F7A4C" w:rsidRPr="004F7A4C" w:rsidRDefault="004F7A4C" w:rsidP="004F7A4C">
            <w:pPr>
              <w:tabs>
                <w:tab w:val="left" w:pos="709"/>
              </w:tabs>
              <w:spacing w:before="60" w:after="60" w:line="240" w:lineRule="auto"/>
              <w:jc w:val="left"/>
              <w:rPr>
                <w:rFonts w:ascii="Arial" w:hAnsi="Arial" w:cs="Arial"/>
              </w:rPr>
            </w:pPr>
            <w:r w:rsidRPr="004F7A4C">
              <w:rPr>
                <w:rFonts w:ascii="Arial" w:hAnsi="Arial" w:cs="Arial"/>
              </w:rPr>
              <w:t>2015-16</w:t>
            </w:r>
          </w:p>
        </w:tc>
        <w:tc>
          <w:tcPr>
            <w:tcW w:w="3402" w:type="dxa"/>
            <w:shd w:val="clear" w:color="auto" w:fill="auto"/>
          </w:tcPr>
          <w:p w:rsidR="004F7A4C" w:rsidRPr="004F7A4C" w:rsidRDefault="004F7A4C" w:rsidP="00C73911">
            <w:pPr>
              <w:tabs>
                <w:tab w:val="left" w:pos="709"/>
              </w:tabs>
              <w:spacing w:before="60" w:after="60" w:line="240" w:lineRule="auto"/>
              <w:jc w:val="left"/>
              <w:rPr>
                <w:rFonts w:ascii="Arial" w:hAnsi="Arial" w:cs="Arial"/>
                <w:b/>
              </w:rPr>
            </w:pPr>
            <w:r w:rsidRPr="004F7A4C">
              <w:rPr>
                <w:rFonts w:ascii="Arial" w:hAnsi="Arial" w:cs="Arial"/>
                <w:b/>
              </w:rPr>
              <w:t>Federal Elections, By-elections and Referendums</w:t>
            </w:r>
          </w:p>
          <w:p w:rsid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Federal electoral events are successfully delivered.</w:t>
            </w:r>
          </w:p>
          <w:p w:rsidR="00FE0FB2" w:rsidRPr="004F7A4C" w:rsidRDefault="00FE0FB2" w:rsidP="00FE0FB2">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sidRPr="004F7A4C">
              <w:rPr>
                <w:rFonts w:ascii="Arial" w:eastAsia="Calibri" w:hAnsi="Arial" w:cs="Arial"/>
                <w:lang w:val="en-US" w:eastAsia="en-US"/>
              </w:rPr>
              <w:t>Maintain ability to conduct a federal electoral event within the timeframe determined by the Electoral Commissioner.</w:t>
            </w:r>
          </w:p>
          <w:p w:rsidR="00C73911" w:rsidRDefault="00C73911" w:rsidP="00C73911">
            <w:pPr>
              <w:tabs>
                <w:tab w:val="left" w:pos="709"/>
              </w:tabs>
              <w:spacing w:before="60" w:after="60" w:line="240" w:lineRule="auto"/>
              <w:jc w:val="left"/>
              <w:rPr>
                <w:rFonts w:ascii="Arial" w:eastAsia="Calibri" w:hAnsi="Arial" w:cs="Arial"/>
                <w:b/>
                <w:lang w:val="en-US" w:eastAsia="en-US"/>
              </w:rPr>
            </w:pPr>
          </w:p>
          <w:p w:rsidR="004F7A4C" w:rsidRPr="004F7A4C" w:rsidRDefault="004F7A4C" w:rsidP="00C73911">
            <w:pPr>
              <w:tabs>
                <w:tab w:val="left" w:pos="709"/>
              </w:tabs>
              <w:spacing w:before="60" w:after="60" w:line="240" w:lineRule="auto"/>
              <w:jc w:val="left"/>
              <w:rPr>
                <w:rFonts w:ascii="Arial" w:hAnsi="Arial" w:cs="Arial"/>
                <w:b/>
              </w:rPr>
            </w:pPr>
            <w:r w:rsidRPr="004F7A4C">
              <w:rPr>
                <w:rFonts w:ascii="Arial" w:hAnsi="Arial" w:cs="Arial"/>
                <w:b/>
              </w:rPr>
              <w:t>Electoral Roll Management</w:t>
            </w:r>
          </w:p>
          <w:p w:rsidR="004F7A4C" w:rsidRP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sidRPr="004F7A4C">
              <w:rPr>
                <w:rFonts w:ascii="Arial" w:eastAsia="Calibri" w:hAnsi="Arial" w:cs="Arial"/>
                <w:lang w:val="en-US" w:eastAsia="en-US"/>
              </w:rPr>
              <w:t>High level of confidence in the Electoral Roll.</w:t>
            </w:r>
          </w:p>
          <w:p w:rsidR="00C73911" w:rsidRDefault="00C73911" w:rsidP="00C73911">
            <w:pPr>
              <w:tabs>
                <w:tab w:val="left" w:pos="709"/>
              </w:tabs>
              <w:spacing w:before="60" w:after="60" w:line="240" w:lineRule="auto"/>
              <w:jc w:val="left"/>
              <w:rPr>
                <w:rFonts w:ascii="Arial" w:eastAsia="Calibri" w:hAnsi="Arial" w:cs="Arial"/>
                <w:b/>
                <w:lang w:val="en-US" w:eastAsia="en-US"/>
              </w:rPr>
            </w:pPr>
          </w:p>
          <w:p w:rsidR="004F7A4C" w:rsidRPr="004F7A4C" w:rsidRDefault="004F7A4C" w:rsidP="00C73911">
            <w:pPr>
              <w:tabs>
                <w:tab w:val="left" w:pos="709"/>
              </w:tabs>
              <w:spacing w:before="60" w:after="60" w:line="240" w:lineRule="auto"/>
              <w:jc w:val="left"/>
              <w:rPr>
                <w:rFonts w:ascii="Arial" w:hAnsi="Arial" w:cs="Arial"/>
                <w:b/>
              </w:rPr>
            </w:pPr>
            <w:r w:rsidRPr="004F7A4C">
              <w:rPr>
                <w:rFonts w:ascii="Arial" w:hAnsi="Arial" w:cs="Arial"/>
                <w:b/>
              </w:rPr>
              <w:t xml:space="preserve">Support Services for Electoral Redistributions  </w:t>
            </w:r>
          </w:p>
          <w:p w:rsidR="004F7A4C" w:rsidRP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Effective and timely conduct of redistribution activities.</w:t>
            </w:r>
          </w:p>
          <w:p w:rsidR="004F7A4C" w:rsidRPr="004F7A4C" w:rsidRDefault="004F7A4C" w:rsidP="00C73911">
            <w:pPr>
              <w:autoSpaceDE w:val="0"/>
              <w:autoSpaceDN w:val="0"/>
              <w:spacing w:after="120" w:line="240" w:lineRule="auto"/>
              <w:ind w:left="198"/>
              <w:jc w:val="left"/>
              <w:rPr>
                <w:rFonts w:ascii="Arial" w:eastAsia="Calibri" w:hAnsi="Arial" w:cs="Arial"/>
                <w:lang w:val="en-US" w:eastAsia="en-US"/>
              </w:rPr>
            </w:pPr>
          </w:p>
          <w:p w:rsidR="004F7A4C" w:rsidRPr="004F7A4C" w:rsidRDefault="004F7A4C" w:rsidP="00C73911">
            <w:pPr>
              <w:autoSpaceDE w:val="0"/>
              <w:autoSpaceDN w:val="0"/>
              <w:spacing w:after="120" w:line="240" w:lineRule="auto"/>
              <w:ind w:left="198"/>
              <w:jc w:val="left"/>
              <w:rPr>
                <w:rFonts w:ascii="Arial" w:eastAsia="Calibri" w:hAnsi="Arial" w:cs="Arial"/>
                <w:lang w:val="en-US" w:eastAsia="en-US"/>
              </w:rPr>
            </w:pPr>
          </w:p>
          <w:p w:rsidR="004F7A4C" w:rsidRPr="004F7A4C" w:rsidRDefault="004F7A4C" w:rsidP="00C73911">
            <w:pPr>
              <w:tabs>
                <w:tab w:val="left" w:pos="709"/>
              </w:tabs>
              <w:spacing w:before="60" w:after="60" w:line="240" w:lineRule="auto"/>
              <w:jc w:val="left"/>
              <w:rPr>
                <w:rFonts w:ascii="Arial" w:hAnsi="Arial" w:cs="Arial"/>
                <w:b/>
              </w:rPr>
            </w:pPr>
            <w:r w:rsidRPr="004F7A4C">
              <w:rPr>
                <w:rFonts w:ascii="Arial" w:hAnsi="Arial" w:cs="Arial"/>
                <w:b/>
              </w:rPr>
              <w:t>Party Registrations and Financial Disclosure</w:t>
            </w:r>
          </w:p>
          <w:p w:rsid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Party registration processed in accordance with the Electoral Act.</w:t>
            </w:r>
          </w:p>
          <w:p w:rsidR="00C73911" w:rsidRDefault="00C73911" w:rsidP="00C73911">
            <w:pPr>
              <w:tabs>
                <w:tab w:val="left" w:pos="198"/>
              </w:tabs>
              <w:autoSpaceDE w:val="0"/>
              <w:autoSpaceDN w:val="0"/>
              <w:spacing w:after="0" w:line="240" w:lineRule="auto"/>
              <w:ind w:left="198"/>
              <w:jc w:val="left"/>
              <w:rPr>
                <w:rFonts w:ascii="Arial" w:eastAsia="Calibri" w:hAnsi="Arial" w:cs="Arial"/>
                <w:lang w:val="en-US" w:eastAsia="en-US"/>
              </w:rPr>
            </w:pPr>
          </w:p>
          <w:p w:rsidR="00A837EF" w:rsidRPr="004F7A4C" w:rsidRDefault="00A837EF" w:rsidP="00C73911">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Financial disclosures obtained and placed on the public record in accordance with the Electoral Act.</w:t>
            </w:r>
          </w:p>
          <w:p w:rsidR="004F7A4C" w:rsidRPr="004F7A4C" w:rsidRDefault="004F7A4C" w:rsidP="00C73911">
            <w:pPr>
              <w:spacing w:after="60"/>
              <w:ind w:left="198"/>
              <w:jc w:val="left"/>
              <w:rPr>
                <w:rFonts w:ascii="Arial" w:hAnsi="Arial" w:cs="Arial"/>
                <w:b/>
              </w:rPr>
            </w:pPr>
          </w:p>
        </w:tc>
        <w:tc>
          <w:tcPr>
            <w:tcW w:w="3400" w:type="dxa"/>
            <w:shd w:val="clear" w:color="auto" w:fill="auto"/>
          </w:tcPr>
          <w:p w:rsidR="004F7A4C" w:rsidRPr="004F7A4C" w:rsidRDefault="004F7A4C" w:rsidP="00C73911">
            <w:pPr>
              <w:autoSpaceDE w:val="0"/>
              <w:autoSpaceDN w:val="0"/>
              <w:spacing w:after="120" w:line="240" w:lineRule="auto"/>
              <w:ind w:left="198"/>
              <w:jc w:val="left"/>
              <w:rPr>
                <w:rFonts w:ascii="Arial" w:eastAsia="Calibri" w:hAnsi="Arial" w:cs="Arial"/>
                <w:lang w:val="en-US" w:eastAsia="en-US"/>
              </w:rPr>
            </w:pPr>
            <w:r w:rsidRPr="004F7A4C">
              <w:rPr>
                <w:rFonts w:ascii="Arial" w:eastAsia="Calibri" w:hAnsi="Arial" w:cs="Arial"/>
                <w:lang w:val="en-US" w:eastAsia="en-US"/>
              </w:rPr>
              <w:br/>
            </w:r>
          </w:p>
          <w:p w:rsid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Two federal by-elections were delivered successfully.</w:t>
            </w:r>
          </w:p>
          <w:p w:rsidR="00FE0FB2" w:rsidRPr="004F7A4C" w:rsidRDefault="00FE0FB2" w:rsidP="00FE0FB2">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The AEC remains ready and capable of delivering an election within required timeframes.</w:t>
            </w:r>
          </w:p>
          <w:p w:rsidR="004F7A4C" w:rsidRPr="004F7A4C" w:rsidRDefault="004F7A4C" w:rsidP="00C73911">
            <w:pPr>
              <w:autoSpaceDE w:val="0"/>
              <w:autoSpaceDN w:val="0"/>
              <w:spacing w:after="120" w:line="240" w:lineRule="auto"/>
              <w:ind w:left="198"/>
              <w:jc w:val="left"/>
              <w:rPr>
                <w:rFonts w:ascii="Arial" w:eastAsia="Calibri" w:hAnsi="Arial" w:cs="Arial"/>
                <w:sz w:val="20"/>
                <w:lang w:val="en-US" w:eastAsia="en-US"/>
              </w:rPr>
            </w:pPr>
          </w:p>
          <w:p w:rsidR="004F7A4C" w:rsidRPr="004F7A4C" w:rsidRDefault="004F7A4C" w:rsidP="00C73911">
            <w:pPr>
              <w:autoSpaceDE w:val="0"/>
              <w:autoSpaceDN w:val="0"/>
              <w:spacing w:after="120" w:line="240" w:lineRule="auto"/>
              <w:ind w:left="198"/>
              <w:jc w:val="left"/>
              <w:rPr>
                <w:rFonts w:ascii="Arial" w:hAnsi="Arial" w:cs="Arial"/>
                <w:sz w:val="22"/>
              </w:rPr>
            </w:pPr>
          </w:p>
          <w:p w:rsidR="004F7A4C" w:rsidRP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Completeness has increased with accuracy being maintained.</w:t>
            </w:r>
          </w:p>
          <w:p w:rsidR="004F7A4C" w:rsidRPr="004F7A4C" w:rsidRDefault="004F7A4C" w:rsidP="00C73911">
            <w:pPr>
              <w:autoSpaceDE w:val="0"/>
              <w:autoSpaceDN w:val="0"/>
              <w:spacing w:after="120" w:line="240" w:lineRule="auto"/>
              <w:ind w:left="198"/>
              <w:jc w:val="left"/>
              <w:rPr>
                <w:rFonts w:ascii="Arial" w:eastAsia="Calibri" w:hAnsi="Arial" w:cs="Arial"/>
                <w:sz w:val="8"/>
                <w:lang w:val="en-US" w:eastAsia="en-US"/>
              </w:rPr>
            </w:pPr>
            <w:r w:rsidRPr="004F7A4C">
              <w:rPr>
                <w:rFonts w:ascii="Arial" w:eastAsia="Calibri" w:hAnsi="Arial" w:cs="Arial"/>
                <w:lang w:val="en-US" w:eastAsia="en-US"/>
              </w:rPr>
              <w:br/>
            </w:r>
          </w:p>
          <w:p w:rsidR="004F7A4C" w:rsidRPr="004F7A4C" w:rsidRDefault="004F7A4C" w:rsidP="00C73911">
            <w:pPr>
              <w:autoSpaceDE w:val="0"/>
              <w:autoSpaceDN w:val="0"/>
              <w:spacing w:after="120" w:line="240" w:lineRule="auto"/>
              <w:ind w:left="198"/>
              <w:jc w:val="left"/>
              <w:rPr>
                <w:rFonts w:ascii="Arial" w:eastAsia="Calibri" w:hAnsi="Arial" w:cs="Arial"/>
                <w:lang w:val="en-US" w:eastAsia="en-US"/>
              </w:rPr>
            </w:pPr>
          </w:p>
          <w:p w:rsidR="004F7A4C" w:rsidRP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 xml:space="preserve">Three redistributions (Western Australia, Australian Capital Territory and New South Wales) have been conducted and </w:t>
            </w:r>
            <w:proofErr w:type="spellStart"/>
            <w:r w:rsidRPr="004F7A4C">
              <w:rPr>
                <w:rFonts w:ascii="Arial" w:eastAsia="Calibri" w:hAnsi="Arial" w:cs="Arial"/>
                <w:lang w:val="en-US" w:eastAsia="en-US"/>
              </w:rPr>
              <w:t>finalised</w:t>
            </w:r>
            <w:proofErr w:type="spellEnd"/>
            <w:r w:rsidRPr="004F7A4C">
              <w:rPr>
                <w:rFonts w:ascii="Arial" w:eastAsia="Calibri" w:hAnsi="Arial" w:cs="Arial"/>
                <w:lang w:val="en-US" w:eastAsia="en-US"/>
              </w:rPr>
              <w:t>.</w:t>
            </w:r>
          </w:p>
          <w:p w:rsidR="004F7A4C" w:rsidRPr="004F7A4C" w:rsidRDefault="004F7A4C" w:rsidP="00C73911">
            <w:pPr>
              <w:autoSpaceDE w:val="0"/>
              <w:autoSpaceDN w:val="0"/>
              <w:spacing w:after="120" w:line="240" w:lineRule="auto"/>
              <w:ind w:left="198"/>
              <w:jc w:val="left"/>
              <w:rPr>
                <w:rFonts w:ascii="Arial" w:eastAsia="Calibri" w:hAnsi="Arial" w:cs="Arial"/>
                <w:sz w:val="8"/>
                <w:lang w:val="en-US" w:eastAsia="en-US"/>
              </w:rPr>
            </w:pPr>
            <w:r w:rsidRPr="004F7A4C">
              <w:rPr>
                <w:rFonts w:ascii="Arial" w:eastAsia="Calibri" w:hAnsi="Arial" w:cs="Arial"/>
                <w:lang w:val="en-US" w:eastAsia="en-US"/>
              </w:rPr>
              <w:br/>
            </w:r>
          </w:p>
          <w:p w:rsidR="004F7A4C" w:rsidRPr="004F7A4C" w:rsidRDefault="004F7A4C" w:rsidP="00C73911">
            <w:pPr>
              <w:autoSpaceDE w:val="0"/>
              <w:autoSpaceDN w:val="0"/>
              <w:spacing w:after="120" w:line="240" w:lineRule="auto"/>
              <w:ind w:left="198"/>
              <w:jc w:val="left"/>
              <w:rPr>
                <w:rFonts w:ascii="Arial" w:eastAsia="Calibri" w:hAnsi="Arial" w:cs="Arial"/>
                <w:sz w:val="14"/>
                <w:lang w:val="en-US" w:eastAsia="en-US"/>
              </w:rPr>
            </w:pPr>
          </w:p>
          <w:p w:rsid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The Register of Political Parties has been maintained in accordance with the Electoral Act.</w:t>
            </w:r>
          </w:p>
          <w:p w:rsidR="00A837EF" w:rsidRPr="004F7A4C" w:rsidRDefault="00A837EF" w:rsidP="00A837EF">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C73911">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sidRPr="004F7A4C">
              <w:rPr>
                <w:rFonts w:ascii="Arial" w:eastAsia="Calibri" w:hAnsi="Arial" w:cs="Arial"/>
                <w:lang w:val="en-US" w:eastAsia="en-US"/>
              </w:rPr>
              <w:t>Annual and election financial disclosure returns received are published on the AEC website by the required dates.</w:t>
            </w:r>
          </w:p>
        </w:tc>
      </w:tr>
    </w:tbl>
    <w:p w:rsidR="004F7A4C" w:rsidRPr="004F7A4C" w:rsidRDefault="004F7A4C" w:rsidP="004F7A4C">
      <w:pPr>
        <w:spacing w:after="0" w:line="240" w:lineRule="auto"/>
        <w:jc w:val="left"/>
        <w:rPr>
          <w:rFonts w:ascii="Book Antiqua" w:hAnsi="Book Antiqua"/>
        </w:rPr>
      </w:pPr>
      <w:r w:rsidRPr="004F7A4C">
        <w:rPr>
          <w:rFonts w:ascii="Arial" w:hAnsi="Arial" w:cs="Arial"/>
        </w:rPr>
        <w:t>Table continues on next page</w:t>
      </w:r>
    </w:p>
    <w:p w:rsidR="004F7A4C" w:rsidRPr="004F7A4C" w:rsidRDefault="004F7A4C" w:rsidP="004F7A4C">
      <w:pPr>
        <w:spacing w:after="0" w:line="240" w:lineRule="auto"/>
        <w:jc w:val="left"/>
        <w:rPr>
          <w:rFonts w:ascii="Book Antiqua" w:hAnsi="Book Antiqua"/>
          <w:i/>
          <w:color w:val="FF0000"/>
          <w:sz w:val="20"/>
          <w:szCs w:val="20"/>
        </w:rPr>
      </w:pPr>
      <w:r w:rsidRPr="004F7A4C">
        <w:rPr>
          <w:rFonts w:ascii="Book Antiqua" w:hAnsi="Book Antiqua"/>
          <w:i/>
          <w:color w:val="FF0000"/>
          <w:sz w:val="20"/>
          <w:szCs w:val="20"/>
        </w:rPr>
        <w:br w:type="page"/>
      </w:r>
    </w:p>
    <w:p w:rsidR="004F7A4C" w:rsidRPr="004F7A4C" w:rsidRDefault="004F7A4C" w:rsidP="004F7A4C">
      <w:pPr>
        <w:keepNext/>
        <w:spacing w:after="0" w:line="240" w:lineRule="auto"/>
        <w:jc w:val="both"/>
        <w:outlineLvl w:val="4"/>
        <w:rPr>
          <w:rFonts w:ascii="Arial" w:hAnsi="Arial"/>
          <w:b/>
          <w:bCs/>
          <w:iCs/>
          <w:sz w:val="20"/>
          <w:szCs w:val="20"/>
        </w:rPr>
      </w:pPr>
      <w:r w:rsidRPr="004F7A4C">
        <w:rPr>
          <w:rFonts w:ascii="Arial" w:hAnsi="Arial"/>
          <w:b/>
          <w:bCs/>
          <w:iCs/>
          <w:sz w:val="20"/>
          <w:szCs w:val="20"/>
        </w:rPr>
        <w:lastRenderedPageBreak/>
        <w:t>Table 2.1.2: Performance Criteria for Outcome 1 (Continued)</w:t>
      </w:r>
    </w:p>
    <w:tbl>
      <w:tblPr>
        <w:tblStyle w:val="TableGrid"/>
        <w:tblpPr w:leftFromText="180" w:rightFromText="180" w:vertAnchor="text" w:tblpX="85" w:tblpY="1"/>
        <w:tblOverlap w:val="never"/>
        <w:tblW w:w="7958" w:type="dxa"/>
        <w:tblCellMar>
          <w:top w:w="28" w:type="dxa"/>
          <w:left w:w="85" w:type="dxa"/>
          <w:bottom w:w="28" w:type="dxa"/>
          <w:right w:w="85" w:type="dxa"/>
        </w:tblCellMar>
        <w:tblLook w:val="04A0"/>
      </w:tblPr>
      <w:tblGrid>
        <w:gridCol w:w="1108"/>
        <w:gridCol w:w="3513"/>
        <w:gridCol w:w="3337"/>
      </w:tblGrid>
      <w:tr w:rsidR="004F7A4C" w:rsidRPr="004F7A4C" w:rsidTr="00F509C3">
        <w:trPr>
          <w:cantSplit/>
          <w:trHeight w:val="244"/>
        </w:trPr>
        <w:tc>
          <w:tcPr>
            <w:tcW w:w="7958" w:type="dxa"/>
            <w:gridSpan w:val="3"/>
            <w:tcBorders>
              <w:top w:val="single" w:sz="4" w:space="0" w:color="auto"/>
              <w:bottom w:val="single" w:sz="4" w:space="0" w:color="auto"/>
            </w:tcBorders>
            <w:shd w:val="clear" w:color="auto" w:fill="auto"/>
            <w:vAlign w:val="center"/>
          </w:tcPr>
          <w:p w:rsidR="004F7A4C" w:rsidRPr="004F7A4C" w:rsidRDefault="004F7A4C" w:rsidP="004F7A4C">
            <w:pPr>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Performance Information:</w:t>
            </w:r>
            <w:r w:rsidRPr="004F7A4C">
              <w:rPr>
                <w:rFonts w:ascii="Arial" w:hAnsi="Arial" w:cs="Arial"/>
                <w:b/>
              </w:rPr>
              <w:t xml:space="preserve"> Program 1.1 – Deliver Electoral Events</w:t>
            </w:r>
          </w:p>
        </w:tc>
      </w:tr>
      <w:tr w:rsidR="004F7A4C" w:rsidRPr="004F7A4C" w:rsidTr="00F509C3">
        <w:trPr>
          <w:cantSplit/>
          <w:trHeight w:val="164"/>
        </w:trPr>
        <w:tc>
          <w:tcPr>
            <w:tcW w:w="1108" w:type="dxa"/>
            <w:tcBorders>
              <w:top w:val="single" w:sz="4" w:space="0" w:color="auto"/>
              <w:bottom w:val="single" w:sz="4" w:space="0" w:color="auto"/>
              <w:right w:val="single" w:sz="4" w:space="0" w:color="auto"/>
            </w:tcBorders>
            <w:shd w:val="clear" w:color="auto" w:fill="auto"/>
            <w:vAlign w:val="center"/>
          </w:tcPr>
          <w:p w:rsidR="004F7A4C" w:rsidRPr="004F7A4C" w:rsidRDefault="004F7A4C" w:rsidP="004F7A4C">
            <w:pPr>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Year</w:t>
            </w:r>
          </w:p>
        </w:tc>
        <w:tc>
          <w:tcPr>
            <w:tcW w:w="3513" w:type="dxa"/>
            <w:tcBorders>
              <w:top w:val="single" w:sz="4" w:space="0" w:color="auto"/>
              <w:left w:val="single" w:sz="4" w:space="0" w:color="auto"/>
              <w:bottom w:val="single" w:sz="4" w:space="0" w:color="auto"/>
              <w:right w:val="single" w:sz="4" w:space="0" w:color="auto"/>
            </w:tcBorders>
            <w:shd w:val="clear" w:color="auto" w:fill="auto"/>
            <w:vAlign w:val="center"/>
          </w:tcPr>
          <w:p w:rsidR="004F7A4C" w:rsidRPr="004F7A4C" w:rsidRDefault="004F7A4C" w:rsidP="004F7A4C">
            <w:pPr>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Performance Criteria</w:t>
            </w:r>
          </w:p>
        </w:tc>
        <w:tc>
          <w:tcPr>
            <w:tcW w:w="3337" w:type="dxa"/>
            <w:tcBorders>
              <w:top w:val="single" w:sz="4" w:space="0" w:color="auto"/>
              <w:left w:val="single" w:sz="4" w:space="0" w:color="auto"/>
              <w:bottom w:val="single" w:sz="4" w:space="0" w:color="auto"/>
            </w:tcBorders>
            <w:shd w:val="clear" w:color="auto" w:fill="auto"/>
            <w:vAlign w:val="center"/>
          </w:tcPr>
          <w:p w:rsidR="004F7A4C" w:rsidRPr="004F7A4C" w:rsidRDefault="004F7A4C" w:rsidP="004F7A4C">
            <w:pPr>
              <w:tabs>
                <w:tab w:val="left" w:pos="1046"/>
              </w:tabs>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Targets</w:t>
            </w:r>
            <w:r w:rsidRPr="004F7A4C">
              <w:rPr>
                <w:rFonts w:ascii="Arial" w:eastAsia="Cambria" w:hAnsi="Arial" w:cs="Arial"/>
                <w:b/>
                <w:bCs/>
                <w:iCs/>
                <w:spacing w:val="-6"/>
                <w:lang w:eastAsia="en-US"/>
              </w:rPr>
              <w:tab/>
            </w:r>
          </w:p>
        </w:tc>
      </w:tr>
      <w:tr w:rsidR="004F7A4C" w:rsidRPr="004F7A4C" w:rsidTr="00F509C3">
        <w:trPr>
          <w:cantSplit/>
          <w:trHeight w:val="6166"/>
        </w:trPr>
        <w:tc>
          <w:tcPr>
            <w:tcW w:w="1108" w:type="dxa"/>
            <w:tcBorders>
              <w:top w:val="single" w:sz="4" w:space="0" w:color="auto"/>
              <w:right w:val="single" w:sz="4" w:space="0" w:color="auto"/>
            </w:tcBorders>
            <w:shd w:val="clear" w:color="auto" w:fill="auto"/>
          </w:tcPr>
          <w:p w:rsidR="004F7A4C" w:rsidRPr="004F7A4C" w:rsidRDefault="004F7A4C" w:rsidP="004F7A4C">
            <w:pPr>
              <w:spacing w:after="0" w:line="240" w:lineRule="auto"/>
              <w:jc w:val="left"/>
              <w:rPr>
                <w:rFonts w:ascii="Arial" w:eastAsia="Cambria" w:hAnsi="Arial" w:cs="Arial"/>
                <w:bCs/>
                <w:iCs/>
                <w:spacing w:val="-6"/>
                <w:lang w:eastAsia="en-US"/>
              </w:rPr>
            </w:pPr>
            <w:r w:rsidRPr="004F7A4C">
              <w:rPr>
                <w:rFonts w:ascii="Arial" w:eastAsia="Cambria" w:hAnsi="Arial" w:cs="Arial"/>
                <w:bCs/>
                <w:iCs/>
                <w:spacing w:val="-6"/>
                <w:lang w:eastAsia="en-US"/>
              </w:rPr>
              <w:t>2015-16</w:t>
            </w:r>
          </w:p>
          <w:p w:rsidR="004F7A4C" w:rsidRPr="004F7A4C" w:rsidRDefault="004F7A4C" w:rsidP="004F7A4C">
            <w:pPr>
              <w:jc w:val="both"/>
              <w:rPr>
                <w:rFonts w:ascii="Arial" w:hAnsi="Arial" w:cs="Arial"/>
              </w:rPr>
            </w:pPr>
            <w:r w:rsidRPr="004F7A4C">
              <w:rPr>
                <w:rFonts w:ascii="Arial" w:hAnsi="Arial" w:cs="Arial"/>
              </w:rPr>
              <w:t>(cont)</w:t>
            </w:r>
          </w:p>
          <w:p w:rsidR="004F7A4C" w:rsidRPr="004F7A4C" w:rsidRDefault="004F7A4C" w:rsidP="004F7A4C">
            <w:pPr>
              <w:jc w:val="both"/>
              <w:rPr>
                <w:rFonts w:ascii="Arial" w:hAnsi="Arial" w:cs="Arial"/>
              </w:rPr>
            </w:pPr>
          </w:p>
        </w:tc>
        <w:tc>
          <w:tcPr>
            <w:tcW w:w="3513" w:type="dxa"/>
            <w:tcBorders>
              <w:top w:val="single" w:sz="4" w:space="0" w:color="auto"/>
              <w:left w:val="single" w:sz="4" w:space="0" w:color="auto"/>
              <w:right w:val="single" w:sz="4" w:space="0" w:color="auto"/>
            </w:tcBorders>
            <w:shd w:val="clear" w:color="auto" w:fill="auto"/>
          </w:tcPr>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Industrial and Commercial Elections</w:t>
            </w: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 xml:space="preserve">Industrial elections are delivered in accordance with the </w:t>
            </w:r>
            <w:r w:rsidRPr="004F7A4C">
              <w:rPr>
                <w:rFonts w:ascii="Arial" w:eastAsia="Calibri" w:hAnsi="Arial" w:cs="Arial"/>
                <w:i/>
                <w:lang w:val="en-US" w:eastAsia="en-US"/>
              </w:rPr>
              <w:t xml:space="preserve">Fair Work </w:t>
            </w:r>
            <w:r w:rsidRPr="004F7A4C">
              <w:rPr>
                <w:rFonts w:ascii="Arial" w:hAnsi="Arial" w:cs="Arial"/>
                <w:i/>
              </w:rPr>
              <w:t>(Registered Organisations) Act 2009</w:t>
            </w:r>
            <w:r w:rsidRPr="004F7A4C">
              <w:rPr>
                <w:rFonts w:ascii="Arial" w:hAnsi="Arial" w:cs="Arial"/>
              </w:rPr>
              <w:t xml:space="preserve"> and each organisation’s rules.</w:t>
            </w:r>
            <w:r w:rsidRPr="004F7A4C">
              <w:rPr>
                <w:rFonts w:ascii="Arial" w:eastAsia="Calibri" w:hAnsi="Arial" w:cs="Arial"/>
                <w:lang w:val="en-US" w:eastAsia="en-US"/>
              </w:rPr>
              <w:t xml:space="preserve"> </w:t>
            </w:r>
          </w:p>
          <w:p w:rsidR="00082FCA" w:rsidRPr="004F7A4C"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 xml:space="preserve">Protected Action Ballots are delivered in accordance with the provisions of the </w:t>
            </w:r>
            <w:r w:rsidRPr="004F7A4C">
              <w:rPr>
                <w:rFonts w:ascii="Arial" w:eastAsia="Calibri" w:hAnsi="Arial" w:cs="Arial"/>
                <w:i/>
                <w:lang w:val="en-US" w:eastAsia="en-US"/>
              </w:rPr>
              <w:t>Fair Work Act 2009</w:t>
            </w:r>
            <w:r w:rsidRPr="004F7A4C">
              <w:rPr>
                <w:rFonts w:ascii="Arial" w:eastAsia="Calibri" w:hAnsi="Arial" w:cs="Arial"/>
                <w:lang w:val="en-US" w:eastAsia="en-US"/>
              </w:rPr>
              <w:t xml:space="preserve"> and the orders issued by the Fair Work Commission.</w:t>
            </w:r>
          </w:p>
          <w:p w:rsidR="00082FCA" w:rsidRPr="004F7A4C" w:rsidRDefault="00082FCA" w:rsidP="00082FCA">
            <w:pPr>
              <w:tabs>
                <w:tab w:val="left" w:pos="198"/>
              </w:tabs>
              <w:autoSpaceDE w:val="0"/>
              <w:autoSpaceDN w:val="0"/>
              <w:spacing w:after="0" w:line="240" w:lineRule="auto"/>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 xml:space="preserve">Torres Strait Regional Authority elections are delivered in accordance with the </w:t>
            </w:r>
            <w:r w:rsidRPr="004F7A4C">
              <w:rPr>
                <w:rFonts w:ascii="Arial" w:eastAsia="Calibri" w:hAnsi="Arial" w:cs="Arial"/>
                <w:i/>
                <w:lang w:val="en-US" w:eastAsia="en-US"/>
              </w:rPr>
              <w:t>Aboriginal and Torres Strait Islander Act 2005</w:t>
            </w:r>
            <w:r w:rsidRPr="004F7A4C">
              <w:rPr>
                <w:rFonts w:ascii="Arial" w:eastAsia="Calibri" w:hAnsi="Arial" w:cs="Arial"/>
                <w:lang w:val="en-US" w:eastAsia="en-US"/>
              </w:rPr>
              <w:t xml:space="preserve">. </w:t>
            </w:r>
          </w:p>
          <w:p w:rsidR="004F7A4C" w:rsidRPr="004F7A4C" w:rsidRDefault="004F7A4C" w:rsidP="004F7A4C">
            <w:pPr>
              <w:autoSpaceDE w:val="0"/>
              <w:autoSpaceDN w:val="0"/>
              <w:spacing w:after="120" w:line="240" w:lineRule="auto"/>
              <w:ind w:left="280"/>
              <w:jc w:val="left"/>
              <w:rPr>
                <w:rFonts w:ascii="Arial" w:eastAsia="Calibri" w:hAnsi="Arial" w:cs="Arial"/>
                <w:lang w:val="en-US" w:eastAsia="en-US"/>
              </w:rPr>
            </w:pPr>
          </w:p>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Public Awareness</w:t>
            </w: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Electoral education is provided to Australian schools through the operation of the National Electoral Education Centre, conduct of teacher professional development workshops and provision of education resources.</w:t>
            </w:r>
          </w:p>
          <w:p w:rsidR="00082FCA" w:rsidRPr="004F7A4C"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Pr="00082FCA"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b/>
                <w:lang w:val="en-US" w:eastAsia="en-US"/>
              </w:rPr>
            </w:pPr>
            <w:r w:rsidRPr="004F7A4C">
              <w:rPr>
                <w:rFonts w:ascii="Arial" w:eastAsia="Calibri" w:hAnsi="Arial" w:cs="Arial"/>
                <w:lang w:val="en-US" w:eastAsia="en-US"/>
              </w:rPr>
              <w:t xml:space="preserve">Information is timely and accurate, uses appropriate technology and channels, and meets accessibility standards. </w:t>
            </w:r>
          </w:p>
          <w:p w:rsidR="00082FCA" w:rsidRPr="004F7A4C" w:rsidRDefault="00082FCA" w:rsidP="00082FCA">
            <w:pPr>
              <w:tabs>
                <w:tab w:val="left" w:pos="198"/>
              </w:tabs>
              <w:autoSpaceDE w:val="0"/>
              <w:autoSpaceDN w:val="0"/>
              <w:spacing w:after="0" w:line="240" w:lineRule="auto"/>
              <w:jc w:val="left"/>
              <w:rPr>
                <w:rFonts w:ascii="Arial" w:eastAsia="Calibri" w:hAnsi="Arial" w:cs="Arial"/>
                <w:b/>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Provide targeted and culturally appropriate electoral services to Aboriginal and Torres Strait Islander people through the delivery of the Indigenous Electoral Participation Program.</w:t>
            </w:r>
          </w:p>
          <w:p w:rsidR="004F7A4C" w:rsidRPr="004F7A4C" w:rsidRDefault="004F7A4C" w:rsidP="004F7A4C">
            <w:pPr>
              <w:autoSpaceDE w:val="0"/>
              <w:autoSpaceDN w:val="0"/>
              <w:spacing w:after="60" w:line="276" w:lineRule="auto"/>
              <w:ind w:left="278"/>
              <w:contextualSpacing/>
              <w:jc w:val="left"/>
              <w:rPr>
                <w:rFonts w:ascii="Arial" w:eastAsia="Calibri" w:hAnsi="Arial" w:cs="Arial"/>
                <w:lang w:val="en-US" w:eastAsia="en-US"/>
              </w:rPr>
            </w:pPr>
          </w:p>
        </w:tc>
        <w:tc>
          <w:tcPr>
            <w:tcW w:w="3337" w:type="dxa"/>
            <w:tcBorders>
              <w:top w:val="single" w:sz="4" w:space="0" w:color="auto"/>
              <w:left w:val="single" w:sz="4" w:space="0" w:color="auto"/>
            </w:tcBorders>
            <w:shd w:val="clear" w:color="auto" w:fill="auto"/>
          </w:tcPr>
          <w:p w:rsidR="004F7A4C" w:rsidRPr="004F7A4C" w:rsidRDefault="004F7A4C" w:rsidP="004F7A4C">
            <w:pPr>
              <w:autoSpaceDE w:val="0"/>
              <w:autoSpaceDN w:val="0"/>
              <w:spacing w:after="120" w:line="240" w:lineRule="auto"/>
              <w:ind w:left="280"/>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The AEC has conducted industrial elections and Protected Action Ballots in accordance with the relevant pieces of legislation.</w:t>
            </w:r>
          </w:p>
          <w:p w:rsidR="004F7A4C" w:rsidRDefault="004F7A4C" w:rsidP="004F7A4C">
            <w:pPr>
              <w:autoSpaceDE w:val="0"/>
              <w:autoSpaceDN w:val="0"/>
              <w:spacing w:after="120" w:line="240" w:lineRule="auto"/>
              <w:jc w:val="both"/>
              <w:rPr>
                <w:rFonts w:ascii="Arial" w:hAnsi="Arial" w:cs="Arial"/>
              </w:rPr>
            </w:pPr>
          </w:p>
          <w:p w:rsidR="00082FCA" w:rsidRPr="004F7A4C" w:rsidRDefault="00082FCA" w:rsidP="004F7A4C">
            <w:pPr>
              <w:autoSpaceDE w:val="0"/>
              <w:autoSpaceDN w:val="0"/>
              <w:spacing w:after="120" w:line="240" w:lineRule="auto"/>
              <w:jc w:val="both"/>
              <w:rPr>
                <w:rFonts w:ascii="Arial" w:hAnsi="Arial" w:cs="Arial"/>
              </w:rPr>
            </w:pPr>
          </w:p>
          <w:p w:rsidR="004F7A4C" w:rsidRPr="004F7A4C" w:rsidRDefault="004F7A4C" w:rsidP="004F7A4C">
            <w:pPr>
              <w:autoSpaceDE w:val="0"/>
              <w:autoSpaceDN w:val="0"/>
              <w:spacing w:after="120" w:line="240" w:lineRule="auto"/>
              <w:jc w:val="both"/>
              <w:rPr>
                <w:rFonts w:ascii="Arial" w:hAnsi="Arial" w:cs="Arial"/>
              </w:rPr>
            </w:pPr>
            <w:r w:rsidRPr="004F7A4C">
              <w:rPr>
                <w:rFonts w:ascii="Arial" w:hAnsi="Arial" w:cs="Arial"/>
              </w:rPr>
              <w:br/>
            </w: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 xml:space="preserve">A Torres Strait Regional Authority election was not held in the 2015-16 financial year. </w:t>
            </w:r>
          </w:p>
          <w:p w:rsidR="004F7A4C" w:rsidRPr="004F7A4C" w:rsidRDefault="004F7A4C" w:rsidP="004F7A4C">
            <w:pPr>
              <w:autoSpaceDE w:val="0"/>
              <w:autoSpaceDN w:val="0"/>
              <w:spacing w:after="120" w:line="240" w:lineRule="auto"/>
              <w:ind w:left="280"/>
              <w:jc w:val="left"/>
              <w:rPr>
                <w:rFonts w:ascii="Arial" w:eastAsia="Calibri" w:hAnsi="Arial" w:cs="Arial"/>
                <w:lang w:val="en-US" w:eastAsia="en-US"/>
              </w:rPr>
            </w:pPr>
          </w:p>
          <w:p w:rsidR="004F7A4C" w:rsidRPr="004F7A4C" w:rsidRDefault="004F7A4C" w:rsidP="004F7A4C">
            <w:pPr>
              <w:autoSpaceDE w:val="0"/>
              <w:autoSpaceDN w:val="0"/>
              <w:spacing w:after="120" w:line="240" w:lineRule="auto"/>
              <w:jc w:val="both"/>
              <w:rPr>
                <w:rFonts w:ascii="Arial" w:hAnsi="Arial" w:cs="Arial"/>
                <w:sz w:val="28"/>
              </w:rPr>
            </w:pP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61,500 visitors to end of March 2016.</w:t>
            </w:r>
          </w:p>
          <w:p w:rsidR="00082FCA" w:rsidRPr="004F7A4C"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 xml:space="preserve">11 teacher professional development workshops were conducted in three states </w:t>
            </w:r>
            <w:proofErr w:type="spellStart"/>
            <w:r w:rsidRPr="004F7A4C">
              <w:rPr>
                <w:rFonts w:ascii="Arial" w:eastAsia="Calibri" w:hAnsi="Arial" w:cs="Arial"/>
                <w:lang w:val="en-US" w:eastAsia="en-US"/>
              </w:rPr>
              <w:t>totalling</w:t>
            </w:r>
            <w:proofErr w:type="spellEnd"/>
            <w:r w:rsidRPr="004F7A4C">
              <w:rPr>
                <w:rFonts w:ascii="Arial" w:eastAsia="Calibri" w:hAnsi="Arial" w:cs="Arial"/>
                <w:lang w:val="en-US" w:eastAsia="en-US"/>
              </w:rPr>
              <w:t xml:space="preserve"> 155 participants.</w:t>
            </w:r>
          </w:p>
          <w:p w:rsidR="00082FCA" w:rsidRDefault="00082FCA" w:rsidP="00082FCA">
            <w:pPr>
              <w:tabs>
                <w:tab w:val="left" w:pos="198"/>
              </w:tabs>
              <w:autoSpaceDE w:val="0"/>
              <w:autoSpaceDN w:val="0"/>
              <w:spacing w:after="0" w:line="240" w:lineRule="auto"/>
              <w:jc w:val="left"/>
              <w:rPr>
                <w:rFonts w:ascii="Arial" w:eastAsia="Calibri" w:hAnsi="Arial" w:cs="Arial"/>
                <w:lang w:val="en-US" w:eastAsia="en-US"/>
              </w:rPr>
            </w:pPr>
          </w:p>
          <w:p w:rsidR="00082FCA" w:rsidRDefault="00082FCA" w:rsidP="00082FCA">
            <w:pPr>
              <w:tabs>
                <w:tab w:val="left" w:pos="198"/>
              </w:tabs>
              <w:autoSpaceDE w:val="0"/>
              <w:autoSpaceDN w:val="0"/>
              <w:spacing w:after="0" w:line="240" w:lineRule="auto"/>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The AEC continues to deliver communication, education and public awareness activities to inform Australians of electoral matters using contemporary technology.</w:t>
            </w:r>
          </w:p>
          <w:p w:rsidR="004F7A4C" w:rsidRPr="004F7A4C" w:rsidRDefault="004F7A4C" w:rsidP="004F7A4C">
            <w:pPr>
              <w:autoSpaceDE w:val="0"/>
              <w:autoSpaceDN w:val="0"/>
              <w:spacing w:after="120" w:line="276" w:lineRule="auto"/>
              <w:contextualSpacing/>
              <w:jc w:val="left"/>
              <w:rPr>
                <w:rFonts w:ascii="Arial" w:eastAsia="Calibri" w:hAnsi="Arial" w:cs="Arial"/>
                <w:lang w:val="en-US" w:eastAsia="en-US"/>
              </w:rPr>
            </w:pPr>
          </w:p>
        </w:tc>
      </w:tr>
      <w:tr w:rsidR="004F7A4C" w:rsidRPr="004F7A4C" w:rsidTr="00F509C3">
        <w:trPr>
          <w:cantSplit/>
          <w:trHeight w:val="782"/>
        </w:trPr>
        <w:tc>
          <w:tcPr>
            <w:tcW w:w="1108" w:type="dxa"/>
            <w:tcBorders>
              <w:top w:val="single" w:sz="4" w:space="0" w:color="auto"/>
              <w:right w:val="single" w:sz="4" w:space="0" w:color="auto"/>
            </w:tcBorders>
            <w:shd w:val="clear" w:color="auto" w:fill="auto"/>
          </w:tcPr>
          <w:p w:rsidR="004F7A4C" w:rsidRPr="004F7A4C" w:rsidRDefault="004F7A4C" w:rsidP="004F7A4C">
            <w:pPr>
              <w:spacing w:after="0" w:line="240" w:lineRule="auto"/>
              <w:jc w:val="left"/>
              <w:rPr>
                <w:rFonts w:ascii="Arial" w:eastAsia="Cambria" w:hAnsi="Arial" w:cs="Arial"/>
                <w:bCs/>
                <w:iCs/>
                <w:spacing w:val="-6"/>
                <w:lang w:eastAsia="en-US"/>
              </w:rPr>
            </w:pPr>
            <w:r w:rsidRPr="004F7A4C">
              <w:rPr>
                <w:rFonts w:ascii="Arial" w:eastAsia="Cambria" w:hAnsi="Arial" w:cs="Arial"/>
                <w:bCs/>
                <w:iCs/>
                <w:spacing w:val="-6"/>
                <w:lang w:eastAsia="en-US"/>
              </w:rPr>
              <w:t>2016-17</w:t>
            </w:r>
          </w:p>
        </w:tc>
        <w:tc>
          <w:tcPr>
            <w:tcW w:w="3513" w:type="dxa"/>
            <w:tcBorders>
              <w:top w:val="single" w:sz="4" w:space="0" w:color="auto"/>
              <w:left w:val="single" w:sz="4" w:space="0" w:color="auto"/>
              <w:bottom w:val="single" w:sz="4" w:space="0" w:color="auto"/>
              <w:right w:val="single" w:sz="4" w:space="0" w:color="auto"/>
            </w:tcBorders>
            <w:shd w:val="clear" w:color="auto" w:fill="auto"/>
          </w:tcPr>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Elections, By-elections and Referendums</w:t>
            </w: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Federal electoral events are successfully delivered.</w:t>
            </w:r>
          </w:p>
          <w:p w:rsidR="00082FCA" w:rsidRPr="004F7A4C"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Maintain ability to conduct a federal electoral event within a timeframe as assessed by the Electoral Commissioner.</w:t>
            </w:r>
          </w:p>
          <w:p w:rsidR="00082FCA" w:rsidRPr="004F7A4C" w:rsidRDefault="00082FCA" w:rsidP="00082FCA">
            <w:pPr>
              <w:tabs>
                <w:tab w:val="left" w:pos="198"/>
              </w:tabs>
              <w:autoSpaceDE w:val="0"/>
              <w:autoSpaceDN w:val="0"/>
              <w:spacing w:after="0" w:line="240" w:lineRule="auto"/>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Timely conduct of redistribution activities.</w:t>
            </w:r>
            <w:r w:rsidR="00AD3998">
              <w:rPr>
                <w:rFonts w:ascii="Arial" w:eastAsia="Calibri" w:hAnsi="Arial" w:cs="Arial"/>
                <w:lang w:val="en-US" w:eastAsia="en-US"/>
              </w:rPr>
              <w:br/>
            </w:r>
          </w:p>
          <w:p w:rsidR="00082FCA"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 xml:space="preserve">Industrial elections, Protected Action Ballots, and Torres Strait Regional Authority elections are delivered in accordance with the relevant legislation and rules. </w:t>
            </w:r>
          </w:p>
          <w:p w:rsidR="004F7A4C" w:rsidRPr="004F7A4C" w:rsidRDefault="004F7A4C" w:rsidP="004F7A4C">
            <w:pPr>
              <w:autoSpaceDE w:val="0"/>
              <w:autoSpaceDN w:val="0"/>
              <w:spacing w:after="60" w:line="240" w:lineRule="auto"/>
              <w:ind w:left="-4"/>
              <w:jc w:val="both"/>
              <w:rPr>
                <w:rFonts w:ascii="Arial" w:hAnsi="Arial" w:cs="Arial"/>
              </w:rPr>
            </w:pPr>
          </w:p>
        </w:tc>
        <w:tc>
          <w:tcPr>
            <w:tcW w:w="3337" w:type="dxa"/>
            <w:tcBorders>
              <w:top w:val="single" w:sz="4" w:space="0" w:color="auto"/>
              <w:left w:val="single" w:sz="4" w:space="0" w:color="auto"/>
              <w:bottom w:val="single" w:sz="4" w:space="0" w:color="auto"/>
            </w:tcBorders>
            <w:shd w:val="clear" w:color="auto" w:fill="auto"/>
          </w:tcPr>
          <w:p w:rsidR="00AD3998" w:rsidRDefault="00AD3998" w:rsidP="00AD3998">
            <w:pPr>
              <w:autoSpaceDE w:val="0"/>
              <w:autoSpaceDN w:val="0"/>
              <w:spacing w:after="120" w:line="240" w:lineRule="auto"/>
              <w:jc w:val="left"/>
              <w:rPr>
                <w:rFonts w:ascii="Arial" w:eastAsia="Calibri" w:hAnsi="Arial" w:cs="Arial"/>
                <w:lang w:val="en-US" w:eastAsia="en-US"/>
              </w:rPr>
            </w:pP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Delivery of a federal electoral event is successful.</w:t>
            </w:r>
          </w:p>
          <w:p w:rsidR="00082FCA" w:rsidRPr="004F7A4C"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The AEC remains ready and capable of delivering a federal electoral event within required timeframes.</w:t>
            </w:r>
          </w:p>
          <w:p w:rsidR="00082FCA"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 xml:space="preserve">Redistributions are </w:t>
            </w:r>
            <w:proofErr w:type="spellStart"/>
            <w:r w:rsidRPr="004F7A4C">
              <w:rPr>
                <w:rFonts w:ascii="Arial" w:eastAsia="Calibri" w:hAnsi="Arial" w:cs="Arial"/>
                <w:lang w:val="en-US" w:eastAsia="en-US"/>
              </w:rPr>
              <w:t>finalised</w:t>
            </w:r>
            <w:proofErr w:type="spellEnd"/>
            <w:r w:rsidRPr="004F7A4C">
              <w:rPr>
                <w:rFonts w:ascii="Arial" w:eastAsia="Calibri" w:hAnsi="Arial" w:cs="Arial"/>
                <w:lang w:val="en-US" w:eastAsia="en-US"/>
              </w:rPr>
              <w:t xml:space="preserve"> within required timeframes.</w:t>
            </w:r>
          </w:p>
          <w:p w:rsidR="00082FCA"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Conduct successful industrial elections, Protected Action Ballots, and Torres Strait Regional Authority elections in accordance with relevant legislation and rules.</w:t>
            </w:r>
          </w:p>
        </w:tc>
      </w:tr>
    </w:tbl>
    <w:p w:rsidR="004F7A4C" w:rsidRPr="004F7A4C" w:rsidRDefault="004F7A4C" w:rsidP="004F7A4C">
      <w:pPr>
        <w:spacing w:after="0" w:line="240" w:lineRule="auto"/>
        <w:jc w:val="left"/>
        <w:rPr>
          <w:rFonts w:ascii="Book Antiqua" w:hAnsi="Book Antiqua"/>
        </w:rPr>
      </w:pPr>
      <w:r w:rsidRPr="004F7A4C">
        <w:rPr>
          <w:rFonts w:ascii="Arial" w:hAnsi="Arial" w:cs="Arial"/>
        </w:rPr>
        <w:t>Table continues on next page</w:t>
      </w:r>
    </w:p>
    <w:p w:rsidR="004F7A4C" w:rsidRPr="004F7A4C" w:rsidRDefault="004F7A4C" w:rsidP="004F7A4C">
      <w:pPr>
        <w:spacing w:after="0" w:line="240" w:lineRule="auto"/>
        <w:jc w:val="left"/>
        <w:rPr>
          <w:rFonts w:ascii="Arial" w:hAnsi="Arial"/>
          <w:sz w:val="20"/>
          <w:szCs w:val="20"/>
        </w:rPr>
      </w:pPr>
      <w:r w:rsidRPr="004F7A4C">
        <w:rPr>
          <w:rFonts w:ascii="Arial" w:hAnsi="Arial"/>
          <w:sz w:val="20"/>
          <w:szCs w:val="20"/>
        </w:rPr>
        <w:br w:type="page"/>
      </w:r>
    </w:p>
    <w:p w:rsidR="004F7A4C" w:rsidRPr="004F7A4C" w:rsidRDefault="004F7A4C" w:rsidP="004F7A4C">
      <w:pPr>
        <w:keepNext/>
        <w:spacing w:after="0" w:line="240" w:lineRule="auto"/>
        <w:jc w:val="both"/>
        <w:outlineLvl w:val="4"/>
        <w:rPr>
          <w:rFonts w:ascii="Arial" w:hAnsi="Arial"/>
          <w:b/>
          <w:bCs/>
          <w:iCs/>
          <w:sz w:val="20"/>
          <w:szCs w:val="20"/>
        </w:rPr>
      </w:pPr>
      <w:r w:rsidRPr="004F7A4C">
        <w:rPr>
          <w:rFonts w:ascii="Arial" w:hAnsi="Arial"/>
          <w:b/>
          <w:bCs/>
          <w:iCs/>
          <w:sz w:val="20"/>
          <w:szCs w:val="20"/>
        </w:rPr>
        <w:lastRenderedPageBreak/>
        <w:t>Table 2.1.2: Performance Criteria for Outcome 1 (Continued)</w:t>
      </w:r>
    </w:p>
    <w:tbl>
      <w:tblPr>
        <w:tblStyle w:val="TableGrid"/>
        <w:tblpPr w:leftFromText="180" w:rightFromText="180" w:vertAnchor="text" w:tblpX="85" w:tblpY="1"/>
        <w:tblOverlap w:val="never"/>
        <w:tblW w:w="7795" w:type="dxa"/>
        <w:tblCellMar>
          <w:top w:w="28" w:type="dxa"/>
          <w:left w:w="85" w:type="dxa"/>
          <w:bottom w:w="28" w:type="dxa"/>
          <w:right w:w="85" w:type="dxa"/>
        </w:tblCellMar>
        <w:tblLook w:val="04A0"/>
      </w:tblPr>
      <w:tblGrid>
        <w:gridCol w:w="1108"/>
        <w:gridCol w:w="3350"/>
        <w:gridCol w:w="3337"/>
      </w:tblGrid>
      <w:tr w:rsidR="004F7A4C" w:rsidRPr="004F7A4C" w:rsidTr="004F7A4C">
        <w:trPr>
          <w:cantSplit/>
          <w:trHeight w:val="244"/>
        </w:trPr>
        <w:tc>
          <w:tcPr>
            <w:tcW w:w="7795" w:type="dxa"/>
            <w:gridSpan w:val="3"/>
            <w:tcBorders>
              <w:top w:val="single" w:sz="4" w:space="0" w:color="auto"/>
              <w:bottom w:val="single" w:sz="4" w:space="0" w:color="auto"/>
            </w:tcBorders>
            <w:shd w:val="clear" w:color="auto" w:fill="auto"/>
            <w:vAlign w:val="center"/>
          </w:tcPr>
          <w:p w:rsidR="004F7A4C" w:rsidRPr="004F7A4C" w:rsidRDefault="004F7A4C" w:rsidP="004F7A4C">
            <w:pPr>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Performance Information:</w:t>
            </w:r>
            <w:r w:rsidRPr="004F7A4C">
              <w:rPr>
                <w:rFonts w:ascii="Arial" w:hAnsi="Arial" w:cs="Arial"/>
                <w:b/>
              </w:rPr>
              <w:t xml:space="preserve">  Program 1.1 – Deliver Electoral Events</w:t>
            </w:r>
          </w:p>
        </w:tc>
      </w:tr>
      <w:tr w:rsidR="004F7A4C" w:rsidRPr="004F7A4C" w:rsidTr="004F7A4C">
        <w:trPr>
          <w:cantSplit/>
          <w:trHeight w:val="164"/>
        </w:trPr>
        <w:tc>
          <w:tcPr>
            <w:tcW w:w="1108" w:type="dxa"/>
            <w:tcBorders>
              <w:top w:val="single" w:sz="4" w:space="0" w:color="auto"/>
              <w:bottom w:val="single" w:sz="4" w:space="0" w:color="auto"/>
              <w:right w:val="single" w:sz="4" w:space="0" w:color="auto"/>
            </w:tcBorders>
            <w:shd w:val="clear" w:color="auto" w:fill="auto"/>
            <w:vAlign w:val="center"/>
          </w:tcPr>
          <w:p w:rsidR="004F7A4C" w:rsidRPr="004F7A4C" w:rsidRDefault="004F7A4C" w:rsidP="004F7A4C">
            <w:pPr>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Year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4F7A4C" w:rsidRPr="004F7A4C" w:rsidRDefault="004F7A4C" w:rsidP="004F7A4C">
            <w:pPr>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Performance Criteria</w:t>
            </w:r>
          </w:p>
        </w:tc>
        <w:tc>
          <w:tcPr>
            <w:tcW w:w="3337" w:type="dxa"/>
            <w:tcBorders>
              <w:top w:val="single" w:sz="4" w:space="0" w:color="auto"/>
              <w:left w:val="single" w:sz="4" w:space="0" w:color="auto"/>
              <w:bottom w:val="single" w:sz="4" w:space="0" w:color="auto"/>
            </w:tcBorders>
            <w:shd w:val="clear" w:color="auto" w:fill="auto"/>
            <w:vAlign w:val="center"/>
          </w:tcPr>
          <w:p w:rsidR="004F7A4C" w:rsidRPr="004F7A4C" w:rsidRDefault="004F7A4C" w:rsidP="004F7A4C">
            <w:pPr>
              <w:tabs>
                <w:tab w:val="left" w:pos="1046"/>
              </w:tabs>
              <w:spacing w:after="0" w:line="240" w:lineRule="auto"/>
              <w:jc w:val="left"/>
              <w:rPr>
                <w:rFonts w:ascii="Arial" w:eastAsia="Cambria" w:hAnsi="Arial" w:cs="Arial"/>
                <w:b/>
                <w:bCs/>
                <w:iCs/>
                <w:spacing w:val="-6"/>
                <w:lang w:eastAsia="en-US"/>
              </w:rPr>
            </w:pPr>
            <w:r w:rsidRPr="004F7A4C">
              <w:rPr>
                <w:rFonts w:ascii="Arial" w:eastAsia="Cambria" w:hAnsi="Arial" w:cs="Arial"/>
                <w:b/>
                <w:bCs/>
                <w:iCs/>
                <w:spacing w:val="-6"/>
                <w:lang w:eastAsia="en-US"/>
              </w:rPr>
              <w:t>Targets</w:t>
            </w:r>
            <w:r w:rsidRPr="004F7A4C">
              <w:rPr>
                <w:rFonts w:ascii="Arial" w:eastAsia="Cambria" w:hAnsi="Arial" w:cs="Arial"/>
                <w:b/>
                <w:bCs/>
                <w:iCs/>
                <w:spacing w:val="-6"/>
                <w:lang w:eastAsia="en-US"/>
              </w:rPr>
              <w:tab/>
            </w:r>
          </w:p>
        </w:tc>
      </w:tr>
      <w:tr w:rsidR="004F7A4C" w:rsidRPr="004F7A4C" w:rsidTr="004F7A4C">
        <w:trPr>
          <w:cantSplit/>
          <w:trHeight w:val="4608"/>
        </w:trPr>
        <w:tc>
          <w:tcPr>
            <w:tcW w:w="1108" w:type="dxa"/>
            <w:tcBorders>
              <w:top w:val="single" w:sz="4" w:space="0" w:color="auto"/>
              <w:right w:val="single" w:sz="4" w:space="0" w:color="auto"/>
            </w:tcBorders>
            <w:shd w:val="clear" w:color="auto" w:fill="auto"/>
          </w:tcPr>
          <w:p w:rsidR="004F7A4C" w:rsidRPr="004F7A4C" w:rsidRDefault="004F7A4C" w:rsidP="004F7A4C">
            <w:pPr>
              <w:spacing w:after="0" w:line="240" w:lineRule="auto"/>
              <w:jc w:val="left"/>
              <w:rPr>
                <w:rFonts w:ascii="Arial" w:eastAsia="Cambria" w:hAnsi="Arial" w:cs="Arial"/>
                <w:bCs/>
                <w:iCs/>
                <w:spacing w:val="-6"/>
                <w:lang w:eastAsia="en-US"/>
              </w:rPr>
            </w:pPr>
            <w:r w:rsidRPr="004F7A4C">
              <w:rPr>
                <w:rFonts w:ascii="Arial" w:eastAsia="Cambria" w:hAnsi="Arial" w:cs="Arial"/>
                <w:bCs/>
                <w:iCs/>
                <w:spacing w:val="-6"/>
                <w:lang w:eastAsia="en-US"/>
              </w:rPr>
              <w:t>2016-17</w:t>
            </w:r>
          </w:p>
          <w:p w:rsidR="004F7A4C" w:rsidRPr="004F7A4C" w:rsidRDefault="004F7A4C" w:rsidP="004F7A4C">
            <w:pPr>
              <w:jc w:val="both"/>
              <w:rPr>
                <w:rFonts w:ascii="Arial" w:hAnsi="Arial" w:cs="Arial"/>
              </w:rPr>
            </w:pPr>
            <w:r w:rsidRPr="004F7A4C">
              <w:rPr>
                <w:rFonts w:ascii="Arial" w:hAnsi="Arial" w:cs="Arial"/>
              </w:rPr>
              <w:t>(cont)</w:t>
            </w:r>
          </w:p>
          <w:p w:rsidR="004F7A4C" w:rsidRPr="004F7A4C" w:rsidRDefault="004F7A4C" w:rsidP="004F7A4C">
            <w:pPr>
              <w:jc w:val="both"/>
              <w:rPr>
                <w:rFonts w:ascii="Arial" w:hAnsi="Arial" w:cs="Arial"/>
              </w:rPr>
            </w:pPr>
          </w:p>
        </w:tc>
        <w:tc>
          <w:tcPr>
            <w:tcW w:w="3350" w:type="dxa"/>
            <w:tcBorders>
              <w:top w:val="single" w:sz="4" w:space="0" w:color="auto"/>
              <w:left w:val="single" w:sz="4" w:space="0" w:color="auto"/>
              <w:right w:val="single" w:sz="4" w:space="0" w:color="auto"/>
            </w:tcBorders>
            <w:shd w:val="clear" w:color="auto" w:fill="auto"/>
          </w:tcPr>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Electoral Roll Management</w:t>
            </w: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High level of confidence in the Electoral Roll.</w:t>
            </w:r>
          </w:p>
          <w:p w:rsidR="004F7A4C" w:rsidRPr="004F7A4C" w:rsidRDefault="004F7A4C" w:rsidP="004F7A4C">
            <w:pPr>
              <w:autoSpaceDE w:val="0"/>
              <w:autoSpaceDN w:val="0"/>
              <w:spacing w:after="60" w:line="240" w:lineRule="auto"/>
              <w:ind w:left="278"/>
              <w:jc w:val="left"/>
              <w:rPr>
                <w:rFonts w:ascii="Arial" w:eastAsia="Calibri" w:hAnsi="Arial" w:cs="Arial"/>
                <w:lang w:val="en-US" w:eastAsia="en-US"/>
              </w:rPr>
            </w:pPr>
          </w:p>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Party Registrations and Financial Disclosure</w:t>
            </w: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Party registration processed in accordance with the Electoral Act.</w:t>
            </w:r>
          </w:p>
          <w:p w:rsidR="00082FCA" w:rsidRPr="004F7A4C"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082FCA" w:rsidRPr="00082FCA" w:rsidRDefault="00082FCA" w:rsidP="00082FCA">
            <w:pPr>
              <w:tabs>
                <w:tab w:val="left" w:pos="198"/>
              </w:tabs>
              <w:autoSpaceDE w:val="0"/>
              <w:autoSpaceDN w:val="0"/>
              <w:spacing w:after="0" w:line="240" w:lineRule="auto"/>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Financial disclosures obtained and placed on the public record in accordance with the Electoral Act.</w:t>
            </w:r>
          </w:p>
          <w:p w:rsidR="004F7A4C" w:rsidRPr="004F7A4C" w:rsidRDefault="004F7A4C" w:rsidP="004F7A4C">
            <w:pPr>
              <w:autoSpaceDE w:val="0"/>
              <w:autoSpaceDN w:val="0"/>
              <w:spacing w:after="60" w:line="240" w:lineRule="auto"/>
              <w:ind w:left="278"/>
              <w:jc w:val="left"/>
              <w:rPr>
                <w:rFonts w:ascii="Arial" w:eastAsia="Calibri" w:hAnsi="Arial" w:cs="Arial"/>
                <w:lang w:val="en-US" w:eastAsia="en-US"/>
              </w:rPr>
            </w:pPr>
          </w:p>
          <w:p w:rsidR="004F7A4C" w:rsidRPr="004F7A4C" w:rsidRDefault="004F7A4C" w:rsidP="004F7A4C">
            <w:pPr>
              <w:tabs>
                <w:tab w:val="left" w:pos="709"/>
              </w:tabs>
              <w:spacing w:before="60" w:after="60" w:line="240" w:lineRule="auto"/>
              <w:jc w:val="left"/>
              <w:rPr>
                <w:rFonts w:ascii="Arial" w:hAnsi="Arial" w:cs="Arial"/>
                <w:b/>
              </w:rPr>
            </w:pPr>
            <w:r w:rsidRPr="004F7A4C">
              <w:rPr>
                <w:rFonts w:ascii="Arial" w:hAnsi="Arial" w:cs="Arial"/>
                <w:b/>
              </w:rPr>
              <w:t>Public Awareness</w:t>
            </w: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Deliver communication, education and public awareness activities to inform all Australians of electoral matters.</w:t>
            </w:r>
          </w:p>
          <w:p w:rsidR="00082FCA"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082FCA" w:rsidRPr="004F7A4C"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Information is timely and accurate, uses appropriate technology and channels, and meets accessibility standards.</w:t>
            </w:r>
          </w:p>
        </w:tc>
        <w:tc>
          <w:tcPr>
            <w:tcW w:w="3337" w:type="dxa"/>
            <w:tcBorders>
              <w:top w:val="single" w:sz="4" w:space="0" w:color="auto"/>
              <w:left w:val="single" w:sz="4" w:space="0" w:color="auto"/>
            </w:tcBorders>
            <w:shd w:val="clear" w:color="auto" w:fill="auto"/>
          </w:tcPr>
          <w:p w:rsidR="004F7A4C" w:rsidRPr="004F7A4C" w:rsidRDefault="004F7A4C" w:rsidP="004F7A4C">
            <w:pPr>
              <w:autoSpaceDE w:val="0"/>
              <w:autoSpaceDN w:val="0"/>
              <w:spacing w:after="120" w:line="240" w:lineRule="auto"/>
              <w:ind w:left="280"/>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A complete and accurate Electoral Roll.</w:t>
            </w:r>
          </w:p>
          <w:p w:rsidR="004F7A4C" w:rsidRPr="004F7A4C" w:rsidRDefault="004F7A4C" w:rsidP="004F7A4C">
            <w:pPr>
              <w:autoSpaceDE w:val="0"/>
              <w:autoSpaceDN w:val="0"/>
              <w:spacing w:after="120" w:line="240" w:lineRule="auto"/>
              <w:ind w:left="280"/>
              <w:jc w:val="left"/>
              <w:rPr>
                <w:rFonts w:ascii="Arial" w:eastAsia="Calibri" w:hAnsi="Arial" w:cs="Arial"/>
                <w:lang w:val="en-US" w:eastAsia="en-US"/>
              </w:rPr>
            </w:pPr>
            <w:r w:rsidRPr="004F7A4C">
              <w:rPr>
                <w:rFonts w:ascii="Arial" w:eastAsia="Calibri" w:hAnsi="Arial" w:cs="Arial"/>
                <w:lang w:val="en-US" w:eastAsia="en-US"/>
              </w:rPr>
              <w:br/>
            </w:r>
          </w:p>
          <w:p w:rsidR="004F7A4C" w:rsidRPr="004F7A4C" w:rsidRDefault="004F7A4C" w:rsidP="004F7A4C">
            <w:pPr>
              <w:autoSpaceDE w:val="0"/>
              <w:autoSpaceDN w:val="0"/>
              <w:spacing w:after="120" w:line="240" w:lineRule="auto"/>
              <w:ind w:left="280"/>
              <w:jc w:val="left"/>
              <w:rPr>
                <w:rFonts w:ascii="Arial" w:eastAsia="Calibri" w:hAnsi="Arial" w:cs="Arial"/>
                <w:sz w:val="22"/>
                <w:lang w:val="en-US" w:eastAsia="en-US"/>
              </w:rPr>
            </w:pP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The Register of Political Parties is maintained in accordance with the Electoral Act.</w:t>
            </w:r>
          </w:p>
          <w:p w:rsidR="00082FCA" w:rsidRPr="004F7A4C" w:rsidRDefault="00082FCA" w:rsidP="00082FCA">
            <w:pPr>
              <w:tabs>
                <w:tab w:val="left" w:pos="198"/>
              </w:tabs>
              <w:autoSpaceDE w:val="0"/>
              <w:autoSpaceDN w:val="0"/>
              <w:spacing w:after="0" w:line="240" w:lineRule="auto"/>
              <w:ind w:left="198"/>
              <w:jc w:val="left"/>
              <w:rPr>
                <w:rFonts w:ascii="Arial" w:eastAsia="Calibri" w:hAnsi="Arial" w:cs="Arial"/>
                <w:lang w:val="en-US" w:eastAsia="en-US"/>
              </w:rPr>
            </w:pPr>
          </w:p>
          <w:p w:rsidR="004F7A4C" w:rsidRP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Annual and election financial disclosure returns are published on the AEC website by the required dates.</w:t>
            </w:r>
          </w:p>
          <w:p w:rsidR="004F7A4C" w:rsidRPr="004F7A4C" w:rsidRDefault="004F7A4C" w:rsidP="004F7A4C">
            <w:pPr>
              <w:autoSpaceDE w:val="0"/>
              <w:autoSpaceDN w:val="0"/>
              <w:spacing w:after="120" w:line="240" w:lineRule="auto"/>
              <w:jc w:val="both"/>
              <w:rPr>
                <w:rFonts w:ascii="Arial" w:hAnsi="Arial" w:cs="Arial"/>
                <w:sz w:val="32"/>
              </w:rPr>
            </w:pP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Appropriate strategies are implemented to deliver communication, education and public awareness activities to inform all Australians of electoral matters.</w:t>
            </w:r>
          </w:p>
          <w:p w:rsidR="00082FCA" w:rsidRPr="004F7A4C" w:rsidRDefault="00082FCA" w:rsidP="00082FCA">
            <w:pPr>
              <w:tabs>
                <w:tab w:val="left" w:pos="198"/>
              </w:tabs>
              <w:autoSpaceDE w:val="0"/>
              <w:autoSpaceDN w:val="0"/>
              <w:spacing w:after="0" w:line="240" w:lineRule="auto"/>
              <w:jc w:val="left"/>
              <w:rPr>
                <w:rFonts w:ascii="Arial" w:eastAsia="Calibri" w:hAnsi="Arial" w:cs="Arial"/>
                <w:lang w:val="en-US" w:eastAsia="en-US"/>
              </w:rPr>
            </w:pPr>
          </w:p>
          <w:p w:rsidR="004F7A4C" w:rsidRDefault="004F7A4C" w:rsidP="00082FCA">
            <w:pPr>
              <w:numPr>
                <w:ilvl w:val="0"/>
                <w:numId w:val="11"/>
              </w:numPr>
              <w:tabs>
                <w:tab w:val="left" w:pos="198"/>
              </w:tabs>
              <w:autoSpaceDE w:val="0"/>
              <w:autoSpaceDN w:val="0"/>
              <w:spacing w:after="0" w:line="240" w:lineRule="auto"/>
              <w:ind w:left="198" w:hanging="141"/>
              <w:jc w:val="left"/>
              <w:rPr>
                <w:rFonts w:ascii="Arial" w:eastAsia="Calibri" w:hAnsi="Arial" w:cs="Arial"/>
                <w:lang w:val="en-US" w:eastAsia="en-US"/>
              </w:rPr>
            </w:pPr>
            <w:r w:rsidRPr="004F7A4C">
              <w:rPr>
                <w:rFonts w:ascii="Arial" w:eastAsia="Calibri" w:hAnsi="Arial" w:cs="Arial"/>
                <w:lang w:val="en-US" w:eastAsia="en-US"/>
              </w:rPr>
              <w:t>Effective use of contemporary technology to deliver modern products and services is used where</w:t>
            </w:r>
            <w:r w:rsidR="00082FCA">
              <w:rPr>
                <w:rFonts w:ascii="Arial" w:eastAsia="Calibri" w:hAnsi="Arial" w:cs="Arial"/>
                <w:lang w:val="en-US" w:eastAsia="en-US"/>
              </w:rPr>
              <w:t>ver possible and is accessible.</w:t>
            </w:r>
          </w:p>
          <w:p w:rsidR="00082FCA" w:rsidRPr="00082FCA" w:rsidRDefault="00082FCA" w:rsidP="00082FCA">
            <w:pPr>
              <w:tabs>
                <w:tab w:val="left" w:pos="198"/>
              </w:tabs>
              <w:autoSpaceDE w:val="0"/>
              <w:autoSpaceDN w:val="0"/>
              <w:spacing w:after="0" w:line="240" w:lineRule="auto"/>
              <w:ind w:left="57"/>
              <w:jc w:val="left"/>
              <w:rPr>
                <w:rFonts w:ascii="Arial" w:eastAsia="Calibri" w:hAnsi="Arial" w:cs="Arial"/>
                <w:lang w:val="en-US" w:eastAsia="en-US"/>
              </w:rPr>
            </w:pPr>
          </w:p>
        </w:tc>
      </w:tr>
      <w:tr w:rsidR="004F7A4C" w:rsidRPr="004F7A4C" w:rsidTr="004F7A4C">
        <w:trPr>
          <w:cantSplit/>
          <w:trHeight w:val="500"/>
        </w:trPr>
        <w:tc>
          <w:tcPr>
            <w:tcW w:w="1108" w:type="dxa"/>
            <w:tcBorders>
              <w:top w:val="single" w:sz="4" w:space="0" w:color="auto"/>
              <w:bottom w:val="single" w:sz="4" w:space="0" w:color="auto"/>
              <w:right w:val="single" w:sz="4" w:space="0" w:color="auto"/>
            </w:tcBorders>
            <w:shd w:val="clear" w:color="auto" w:fill="auto"/>
          </w:tcPr>
          <w:p w:rsidR="004F7A4C" w:rsidRPr="004F7A4C" w:rsidRDefault="004F7A4C" w:rsidP="004F7A4C">
            <w:pPr>
              <w:tabs>
                <w:tab w:val="left" w:pos="709"/>
              </w:tabs>
              <w:spacing w:before="60" w:after="60" w:line="240" w:lineRule="auto"/>
              <w:jc w:val="left"/>
              <w:rPr>
                <w:rFonts w:ascii="Arial" w:hAnsi="Arial" w:cs="Arial"/>
              </w:rPr>
            </w:pPr>
            <w:r w:rsidRPr="004F7A4C">
              <w:rPr>
                <w:rFonts w:ascii="Arial" w:hAnsi="Arial" w:cs="Arial"/>
              </w:rPr>
              <w:t>2017-18 and beyond</w:t>
            </w:r>
          </w:p>
        </w:tc>
        <w:tc>
          <w:tcPr>
            <w:tcW w:w="3350" w:type="dxa"/>
            <w:tcBorders>
              <w:top w:val="single" w:sz="4" w:space="0" w:color="auto"/>
              <w:left w:val="single" w:sz="4" w:space="0" w:color="auto"/>
              <w:bottom w:val="single" w:sz="4" w:space="0" w:color="auto"/>
              <w:right w:val="single" w:sz="4" w:space="0" w:color="auto"/>
            </w:tcBorders>
            <w:shd w:val="clear" w:color="auto" w:fill="auto"/>
          </w:tcPr>
          <w:p w:rsidR="004F7A4C" w:rsidRPr="004F7A4C" w:rsidRDefault="004F7A4C" w:rsidP="004F7A4C">
            <w:pPr>
              <w:tabs>
                <w:tab w:val="left" w:pos="709"/>
              </w:tabs>
              <w:spacing w:before="60" w:after="60" w:line="240" w:lineRule="auto"/>
              <w:jc w:val="left"/>
              <w:rPr>
                <w:rFonts w:ascii="Arial" w:hAnsi="Arial" w:cs="Arial"/>
              </w:rPr>
            </w:pPr>
            <w:r w:rsidRPr="004F7A4C">
              <w:rPr>
                <w:rFonts w:ascii="Arial" w:hAnsi="Arial" w:cs="Arial"/>
              </w:rPr>
              <w:t>As per 2016-17.</w:t>
            </w:r>
          </w:p>
        </w:tc>
        <w:tc>
          <w:tcPr>
            <w:tcW w:w="3337" w:type="dxa"/>
            <w:tcBorders>
              <w:top w:val="single" w:sz="4" w:space="0" w:color="auto"/>
              <w:left w:val="single" w:sz="4" w:space="0" w:color="auto"/>
              <w:bottom w:val="single" w:sz="4" w:space="0" w:color="auto"/>
            </w:tcBorders>
            <w:shd w:val="clear" w:color="auto" w:fill="auto"/>
          </w:tcPr>
          <w:p w:rsidR="004F7A4C" w:rsidRPr="004F7A4C" w:rsidRDefault="004F7A4C" w:rsidP="004F7A4C">
            <w:pPr>
              <w:tabs>
                <w:tab w:val="left" w:pos="709"/>
              </w:tabs>
              <w:spacing w:before="60" w:after="60" w:line="240" w:lineRule="auto"/>
              <w:jc w:val="left"/>
              <w:rPr>
                <w:rFonts w:ascii="Arial" w:hAnsi="Arial" w:cs="Arial"/>
              </w:rPr>
            </w:pPr>
            <w:r w:rsidRPr="004F7A4C">
              <w:rPr>
                <w:rFonts w:ascii="Arial" w:hAnsi="Arial" w:cs="Arial"/>
              </w:rPr>
              <w:t>As per 2016-17.</w:t>
            </w:r>
          </w:p>
        </w:tc>
      </w:tr>
    </w:tbl>
    <w:p w:rsidR="004F7A4C" w:rsidRPr="004F7A4C" w:rsidRDefault="004F7A4C" w:rsidP="004F7A4C">
      <w:pPr>
        <w:keepNext/>
        <w:spacing w:after="120" w:line="240" w:lineRule="auto"/>
        <w:jc w:val="both"/>
        <w:outlineLvl w:val="4"/>
        <w:rPr>
          <w:rFonts w:ascii="Arial" w:hAnsi="Arial"/>
          <w:b/>
          <w:bCs/>
          <w:iCs/>
          <w:sz w:val="20"/>
          <w:szCs w:val="20"/>
        </w:rPr>
      </w:pPr>
    </w:p>
    <w:p w:rsidR="004F7A4C" w:rsidRPr="004F7A4C" w:rsidRDefault="004F7A4C" w:rsidP="004F7A4C">
      <w:pPr>
        <w:keepNext/>
        <w:spacing w:before="360" w:after="360" w:line="240" w:lineRule="auto"/>
        <w:jc w:val="left"/>
        <w:outlineLvl w:val="1"/>
        <w:rPr>
          <w:rFonts w:ascii="Arial" w:hAnsi="Arial"/>
          <w:sz w:val="30"/>
          <w:szCs w:val="20"/>
        </w:rPr>
      </w:pPr>
      <w:r w:rsidRPr="004F7A4C">
        <w:rPr>
          <w:rFonts w:ascii="Book Antiqua" w:hAnsi="Book Antiqua"/>
          <w:i/>
          <w:color w:val="FF0000"/>
          <w:sz w:val="20"/>
          <w:szCs w:val="20"/>
        </w:rPr>
        <w:br w:type="page"/>
      </w:r>
      <w:bookmarkStart w:id="11" w:name="_Toc444523516"/>
      <w:bookmarkStart w:id="12" w:name="_Toc447876475"/>
      <w:r w:rsidRPr="004F7A4C">
        <w:rPr>
          <w:rFonts w:ascii="Arial" w:hAnsi="Arial"/>
          <w:sz w:val="30"/>
          <w:szCs w:val="20"/>
        </w:rPr>
        <w:lastRenderedPageBreak/>
        <w:t>Section 3: Budgeted Financial Statements</w:t>
      </w:r>
      <w:bookmarkEnd w:id="11"/>
      <w:bookmarkEnd w:id="12"/>
    </w:p>
    <w:p w:rsidR="004F7A4C" w:rsidRPr="004F7A4C" w:rsidRDefault="004F7A4C" w:rsidP="0051401E">
      <w:pPr>
        <w:jc w:val="left"/>
        <w:rPr>
          <w:rFonts w:ascii="Book Antiqua" w:hAnsi="Book Antiqua"/>
          <w:sz w:val="20"/>
          <w:szCs w:val="20"/>
        </w:rPr>
      </w:pPr>
      <w:r w:rsidRPr="004F7A4C">
        <w:rPr>
          <w:rFonts w:ascii="Book Antiqua" w:hAnsi="Book Antiqua"/>
          <w:sz w:val="20"/>
          <w:szCs w:val="20"/>
        </w:rPr>
        <w:t>Section 3 presents budgeted financial statements which provide a comprehensive snapshot of entity finances for the 2016-17</w:t>
      </w:r>
      <w:r w:rsidRPr="004F7A4C">
        <w:rPr>
          <w:rFonts w:ascii="Book Antiqua" w:hAnsi="Book Antiqua"/>
          <w:color w:val="00B050"/>
          <w:sz w:val="20"/>
          <w:szCs w:val="20"/>
        </w:rPr>
        <w:t xml:space="preserve"> </w:t>
      </w:r>
      <w:r w:rsidRPr="004F7A4C">
        <w:rPr>
          <w:rFonts w:ascii="Book Antiqua" w:hAnsi="Book Antiqua"/>
          <w:sz w:val="20"/>
          <w:szCs w:val="20"/>
        </w:rPr>
        <w:t xml:space="preserve">Budget </w:t>
      </w:r>
      <w:r w:rsidR="0051401E">
        <w:rPr>
          <w:rFonts w:ascii="Book Antiqua" w:hAnsi="Book Antiqua"/>
          <w:sz w:val="20"/>
          <w:szCs w:val="20"/>
        </w:rPr>
        <w:t>Y</w:t>
      </w:r>
      <w:r w:rsidRPr="004F7A4C">
        <w:rPr>
          <w:rFonts w:ascii="Book Antiqua" w:hAnsi="Book Antiqua"/>
          <w:sz w:val="20"/>
          <w:szCs w:val="20"/>
        </w:rPr>
        <w:t>ear, including the impact of Budget measures and resourcing on financial statements.</w:t>
      </w:r>
    </w:p>
    <w:p w:rsidR="004F7A4C" w:rsidRPr="004F7A4C" w:rsidRDefault="004F7A4C" w:rsidP="004F7A4C">
      <w:pPr>
        <w:keepNext/>
        <w:tabs>
          <w:tab w:val="left" w:pos="709"/>
        </w:tabs>
        <w:spacing w:before="240" w:line="240" w:lineRule="auto"/>
        <w:jc w:val="left"/>
        <w:outlineLvl w:val="2"/>
        <w:rPr>
          <w:rFonts w:ascii="Arial" w:hAnsi="Arial"/>
          <w:b/>
          <w:smallCaps/>
          <w:sz w:val="26"/>
          <w:szCs w:val="20"/>
        </w:rPr>
      </w:pPr>
      <w:bookmarkStart w:id="13" w:name="_Toc444523517"/>
      <w:bookmarkStart w:id="14" w:name="_Toc447876476"/>
      <w:r w:rsidRPr="004F7A4C">
        <w:rPr>
          <w:rFonts w:ascii="Arial" w:hAnsi="Arial"/>
          <w:b/>
          <w:smallCaps/>
          <w:sz w:val="26"/>
          <w:szCs w:val="20"/>
        </w:rPr>
        <w:t>3.1</w:t>
      </w:r>
      <w:r w:rsidRPr="004F7A4C">
        <w:rPr>
          <w:rFonts w:ascii="Arial" w:hAnsi="Arial"/>
          <w:b/>
          <w:smallCaps/>
          <w:sz w:val="26"/>
          <w:szCs w:val="20"/>
        </w:rPr>
        <w:tab/>
        <w:t>Budgeted Financial Statements</w:t>
      </w:r>
      <w:bookmarkEnd w:id="13"/>
      <w:bookmarkEnd w:id="14"/>
    </w:p>
    <w:p w:rsidR="004F7A4C" w:rsidRPr="004F7A4C" w:rsidRDefault="004F7A4C" w:rsidP="004F7A4C">
      <w:pPr>
        <w:keepNext/>
        <w:tabs>
          <w:tab w:val="left" w:pos="709"/>
        </w:tabs>
        <w:spacing w:before="120" w:after="120" w:line="240" w:lineRule="auto"/>
        <w:jc w:val="left"/>
        <w:outlineLvl w:val="3"/>
        <w:rPr>
          <w:rFonts w:ascii="Arial" w:hAnsi="Arial"/>
          <w:b/>
          <w:sz w:val="22"/>
          <w:szCs w:val="20"/>
        </w:rPr>
      </w:pPr>
      <w:r w:rsidRPr="004F7A4C">
        <w:rPr>
          <w:rFonts w:ascii="Arial" w:hAnsi="Arial"/>
          <w:b/>
          <w:sz w:val="22"/>
          <w:szCs w:val="20"/>
        </w:rPr>
        <w:t>3.1.1</w:t>
      </w:r>
      <w:r w:rsidRPr="004F7A4C">
        <w:rPr>
          <w:rFonts w:ascii="Arial" w:hAnsi="Arial"/>
          <w:b/>
          <w:sz w:val="22"/>
          <w:szCs w:val="20"/>
        </w:rPr>
        <w:tab/>
        <w:t>Explanatory Notes and Analysis of Budgeted Financial Statements</w:t>
      </w:r>
    </w:p>
    <w:p w:rsidR="004F7A4C" w:rsidRPr="004F7A4C" w:rsidRDefault="004F7A4C" w:rsidP="004F7A4C">
      <w:pPr>
        <w:jc w:val="left"/>
        <w:rPr>
          <w:rFonts w:ascii="Book Antiqua" w:hAnsi="Book Antiqua"/>
          <w:sz w:val="20"/>
          <w:szCs w:val="20"/>
        </w:rPr>
      </w:pPr>
      <w:r w:rsidRPr="004F7A4C">
        <w:rPr>
          <w:rFonts w:ascii="Book Antiqua" w:hAnsi="Book Antiqua"/>
          <w:iCs/>
          <w:sz w:val="20"/>
          <w:szCs w:val="20"/>
        </w:rPr>
        <w:t xml:space="preserve">The AEC’s expected actual revenue and expenses for this financial year have increased from the amounts published in the 2015-16 Portfolio Additional Estimates Statements (PAES). This relates to updated forecasts for the Federal Election and expected costs for the implementation of the </w:t>
      </w:r>
      <w:r w:rsidRPr="004F7A4C">
        <w:rPr>
          <w:rFonts w:ascii="Book Antiqua" w:hAnsi="Book Antiqua" w:cs="Calibri"/>
          <w:sz w:val="20"/>
          <w:szCs w:val="20"/>
        </w:rPr>
        <w:t>Commonwealth Electoral Amendment Bill 2016</w:t>
      </w:r>
      <w:r w:rsidRPr="004F7A4C">
        <w:rPr>
          <w:rFonts w:ascii="Book Antiqua" w:hAnsi="Book Antiqua"/>
          <w:iCs/>
          <w:sz w:val="20"/>
          <w:szCs w:val="20"/>
        </w:rPr>
        <w:t>. The AEC will use existing cash reserves to fund some of this amount.</w:t>
      </w:r>
    </w:p>
    <w:p w:rsidR="004F7A4C" w:rsidRPr="004F7A4C" w:rsidRDefault="004F7A4C" w:rsidP="004F7A4C">
      <w:pPr>
        <w:jc w:val="left"/>
        <w:rPr>
          <w:rFonts w:ascii="Book Antiqua" w:hAnsi="Book Antiqua"/>
          <w:iCs/>
          <w:sz w:val="20"/>
          <w:szCs w:val="20"/>
        </w:rPr>
      </w:pPr>
      <w:r w:rsidRPr="004F7A4C">
        <w:rPr>
          <w:rFonts w:ascii="Book Antiqua" w:hAnsi="Book Antiqua"/>
          <w:iCs/>
          <w:sz w:val="20"/>
          <w:szCs w:val="20"/>
        </w:rPr>
        <w:t>For 2016-17 the AEC is budgeting for a surplus. This is a timing issue, with funding being appropriated in the 2016-17 year, to cover costs incurred this financial year. The significant increase in budget revenue and expenses for 2016-17 is to fund the majority of the costs of the upcoming Federal Election.</w:t>
      </w:r>
    </w:p>
    <w:p w:rsidR="004F7A4C" w:rsidRPr="004F7A4C" w:rsidRDefault="004F7A4C" w:rsidP="004F7A4C">
      <w:pPr>
        <w:jc w:val="left"/>
        <w:rPr>
          <w:rFonts w:ascii="Book Antiqua" w:hAnsi="Book Antiqua"/>
          <w:iCs/>
          <w:sz w:val="20"/>
          <w:szCs w:val="20"/>
        </w:rPr>
      </w:pPr>
      <w:r w:rsidRPr="004F7A4C">
        <w:rPr>
          <w:rFonts w:ascii="Book Antiqua" w:hAnsi="Book Antiqua"/>
          <w:iCs/>
          <w:sz w:val="20"/>
          <w:szCs w:val="20"/>
        </w:rPr>
        <w:t xml:space="preserve">Budget revenue and expenses for the out-years remains similar to those published in the 2015-16 PAES. </w:t>
      </w:r>
    </w:p>
    <w:p w:rsidR="004F7A4C" w:rsidRPr="004F7A4C" w:rsidRDefault="004F7A4C" w:rsidP="004A060A">
      <w:pPr>
        <w:pStyle w:val="Heading3"/>
      </w:pPr>
      <w:r w:rsidRPr="004F7A4C">
        <w:br w:type="page"/>
      </w:r>
      <w:bookmarkStart w:id="15" w:name="_Toc444523518"/>
      <w:bookmarkStart w:id="16" w:name="_Toc447876477"/>
      <w:r w:rsidRPr="004F7A4C">
        <w:lastRenderedPageBreak/>
        <w:t>3.2.1</w:t>
      </w:r>
      <w:r w:rsidRPr="004F7A4C">
        <w:tab/>
        <w:t>Budgeted Financial Statements Tables</w:t>
      </w:r>
      <w:bookmarkEnd w:id="15"/>
      <w:bookmarkEnd w:id="16"/>
    </w:p>
    <w:p w:rsidR="004F7A4C" w:rsidRPr="004F7A4C" w:rsidRDefault="004F7A4C" w:rsidP="004A060A">
      <w:pPr>
        <w:pStyle w:val="Heading5"/>
        <w:spacing w:after="0"/>
        <w:rPr>
          <w:snapToGrid w:val="0"/>
        </w:rPr>
      </w:pPr>
      <w:r w:rsidRPr="004F7A4C">
        <w:t xml:space="preserve">Table 3.1: Comprehensive Income Statement (Showing Net Cost of Services) </w:t>
      </w:r>
      <w:r w:rsidRPr="004F7A4C">
        <w:rPr>
          <w:snapToGrid w:val="0"/>
        </w:rPr>
        <w:t>for the Period Ended 30 June</w:t>
      </w:r>
    </w:p>
    <w:tbl>
      <w:tblPr>
        <w:tblW w:w="7140" w:type="dxa"/>
        <w:tblInd w:w="96" w:type="dxa"/>
        <w:tblLook w:val="04A0"/>
      </w:tblPr>
      <w:tblGrid>
        <w:gridCol w:w="3040"/>
        <w:gridCol w:w="928"/>
        <w:gridCol w:w="901"/>
        <w:gridCol w:w="901"/>
        <w:gridCol w:w="901"/>
        <w:gridCol w:w="901"/>
      </w:tblGrid>
      <w:tr w:rsidR="00135314" w:rsidRPr="00135314" w:rsidTr="00135314">
        <w:trPr>
          <w:trHeight w:val="225"/>
        </w:trPr>
        <w:tc>
          <w:tcPr>
            <w:tcW w:w="304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2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2015-16</w:t>
            </w:r>
          </w:p>
        </w:tc>
        <w:tc>
          <w:tcPr>
            <w:tcW w:w="820" w:type="dxa"/>
            <w:tcBorders>
              <w:top w:val="single" w:sz="4" w:space="0" w:color="auto"/>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c>
          <w:tcPr>
            <w:tcW w:w="82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2017-18</w:t>
            </w:r>
          </w:p>
        </w:tc>
        <w:tc>
          <w:tcPr>
            <w:tcW w:w="82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2018-19</w:t>
            </w:r>
          </w:p>
        </w:tc>
        <w:tc>
          <w:tcPr>
            <w:tcW w:w="82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2019-20</w:t>
            </w:r>
          </w:p>
        </w:tc>
      </w:tr>
      <w:tr w:rsidR="00135314" w:rsidRPr="00135314" w:rsidTr="00135314">
        <w:trPr>
          <w:trHeight w:val="225"/>
        </w:trPr>
        <w:tc>
          <w:tcPr>
            <w:tcW w:w="30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Estimated</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Budget</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r>
      <w:tr w:rsidR="00135314" w:rsidRPr="00135314" w:rsidTr="00135314">
        <w:trPr>
          <w:trHeight w:val="225"/>
        </w:trPr>
        <w:tc>
          <w:tcPr>
            <w:tcW w:w="30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actual</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r>
      <w:tr w:rsidR="00135314" w:rsidRPr="00135314" w:rsidTr="00135314">
        <w:trPr>
          <w:trHeight w:val="225"/>
        </w:trPr>
        <w:tc>
          <w:tcPr>
            <w:tcW w:w="3040" w:type="dxa"/>
            <w:tcBorders>
              <w:top w:val="nil"/>
              <w:left w:val="nil"/>
              <w:bottom w:val="nil"/>
              <w:right w:val="nil"/>
            </w:tcBorders>
            <w:shd w:val="clear" w:color="auto" w:fill="auto"/>
            <w:noWrap/>
            <w:hideMark/>
          </w:tcPr>
          <w:p w:rsidR="00135314" w:rsidRPr="00135314" w:rsidRDefault="00135314" w:rsidP="00135314">
            <w:pPr>
              <w:spacing w:after="0" w:line="240" w:lineRule="auto"/>
              <w:jc w:val="left"/>
              <w:rPr>
                <w:rFonts w:ascii="Arial" w:hAnsi="Arial" w:cs="Arial"/>
                <w:b/>
                <w:bCs/>
              </w:rPr>
            </w:pP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EXPENSES</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Employee benefits</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109,674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194,868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76,492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83,850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137,479 </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Suppliers</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179,447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114,356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48,114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53,699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143,785 </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Depreciation and amortisation</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7,995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8,719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8,206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8,736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9,527 </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Other expenses</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r>
      <w:tr w:rsidR="00135314" w:rsidRPr="00135314" w:rsidTr="00135314">
        <w:trPr>
          <w:trHeight w:val="282"/>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expenses</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297,201 </w:t>
            </w:r>
          </w:p>
        </w:tc>
        <w:tc>
          <w:tcPr>
            <w:tcW w:w="82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318,028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132,897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146,370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290,876 </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LESS: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OWN-SOURCE INCOME</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Own-source revenue</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 xml:space="preserve">Sale of goods and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rendering of services</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10,841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10,952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11,038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11,038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11,038 </w:t>
            </w:r>
          </w:p>
        </w:tc>
      </w:tr>
      <w:tr w:rsidR="00135314" w:rsidRPr="00135314" w:rsidTr="00135314">
        <w:trPr>
          <w:trHeight w:val="282"/>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own-source revenue</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10,841 </w:t>
            </w:r>
          </w:p>
        </w:tc>
        <w:tc>
          <w:tcPr>
            <w:tcW w:w="82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10,952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11,038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11,038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11,038 </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Gains</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Other</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85 </w:t>
            </w:r>
          </w:p>
        </w:tc>
      </w:tr>
      <w:tr w:rsidR="00135314" w:rsidRPr="00135314" w:rsidTr="00135314">
        <w:trPr>
          <w:trHeight w:val="282"/>
        </w:trPr>
        <w:tc>
          <w:tcPr>
            <w:tcW w:w="3040" w:type="dxa"/>
            <w:tcBorders>
              <w:top w:val="nil"/>
              <w:left w:val="nil"/>
              <w:bottom w:val="nil"/>
              <w:right w:val="nil"/>
            </w:tcBorders>
            <w:shd w:val="clear" w:color="auto" w:fill="auto"/>
            <w:noWrap/>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gains</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85 </w:t>
            </w:r>
          </w:p>
        </w:tc>
        <w:tc>
          <w:tcPr>
            <w:tcW w:w="82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85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85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85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85 </w:t>
            </w:r>
          </w:p>
        </w:tc>
      </w:tr>
      <w:tr w:rsidR="00135314" w:rsidRPr="00135314" w:rsidTr="00135314">
        <w:trPr>
          <w:trHeight w:val="282"/>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own-source income</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10,926 </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11,037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11,123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11,123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11,123 </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Net (cost of)/ contribution by</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services</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(286,275)</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(306,991)</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(121,774)</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(135,247)</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(279,753)</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Revenue from government</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231,958 </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313,347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113,568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126,511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270,226 </w:t>
            </w:r>
          </w:p>
        </w:tc>
      </w:tr>
      <w:tr w:rsidR="00135314" w:rsidRPr="00135314" w:rsidTr="00135314">
        <w:trPr>
          <w:trHeight w:val="225"/>
        </w:trPr>
        <w:tc>
          <w:tcPr>
            <w:tcW w:w="30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Surplus/(deficit) attributable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40" w:type="dxa"/>
            <w:tcBorders>
              <w:top w:val="nil"/>
              <w:left w:val="nil"/>
              <w:bottom w:val="nil"/>
              <w:right w:val="nil"/>
            </w:tcBorders>
            <w:shd w:val="clear" w:color="auto" w:fill="auto"/>
            <w:noWrap/>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to the Australian Government</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(54,317)</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6,356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(8,206)</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(8,736)</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(9,527)</w:t>
            </w:r>
          </w:p>
        </w:tc>
      </w:tr>
      <w:tr w:rsidR="00135314" w:rsidRPr="00135314" w:rsidTr="00135314">
        <w:trPr>
          <w:trHeight w:val="225"/>
        </w:trPr>
        <w:tc>
          <w:tcPr>
            <w:tcW w:w="3860" w:type="dxa"/>
            <w:gridSpan w:val="2"/>
            <w:tcBorders>
              <w:top w:val="nil"/>
              <w:left w:val="nil"/>
              <w:bottom w:val="nil"/>
              <w:right w:val="nil"/>
            </w:tcBorders>
            <w:shd w:val="clear" w:color="auto" w:fill="auto"/>
            <w:noWrap/>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Total comprehensive income/(loss)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3040" w:type="dxa"/>
            <w:tcBorders>
              <w:top w:val="nil"/>
              <w:left w:val="nil"/>
              <w:bottom w:val="nil"/>
              <w:right w:val="nil"/>
            </w:tcBorders>
            <w:shd w:val="clear" w:color="auto" w:fill="auto"/>
            <w:noWrap/>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 xml:space="preserve">attributable to the Australian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r>
      <w:tr w:rsidR="00135314" w:rsidRPr="00135314" w:rsidTr="00135314">
        <w:trPr>
          <w:trHeight w:val="225"/>
        </w:trPr>
        <w:tc>
          <w:tcPr>
            <w:tcW w:w="3040" w:type="dxa"/>
            <w:tcBorders>
              <w:top w:val="nil"/>
              <w:left w:val="nil"/>
              <w:bottom w:val="single" w:sz="4" w:space="0" w:color="auto"/>
              <w:right w:val="nil"/>
            </w:tcBorders>
            <w:shd w:val="clear" w:color="auto" w:fill="auto"/>
            <w:noWrap/>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Government</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(54,317)</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6,356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(8,206)</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(8,736)</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(9,527)</w:t>
            </w:r>
          </w:p>
        </w:tc>
      </w:tr>
      <w:tr w:rsidR="00135314" w:rsidRPr="00135314" w:rsidTr="00135314">
        <w:trPr>
          <w:trHeight w:val="195"/>
        </w:trPr>
        <w:tc>
          <w:tcPr>
            <w:tcW w:w="30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left"/>
              <w:rPr>
                <w:rFonts w:ascii="Arial" w:hAnsi="Arial" w:cs="Arial"/>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4680" w:type="dxa"/>
            <w:gridSpan w:val="3"/>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Note: Impact of net cash appropriation arrangements</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04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2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2015-16</w:t>
            </w:r>
          </w:p>
        </w:tc>
        <w:tc>
          <w:tcPr>
            <w:tcW w:w="820" w:type="dxa"/>
            <w:tcBorders>
              <w:top w:val="single" w:sz="4" w:space="0" w:color="auto"/>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c>
          <w:tcPr>
            <w:tcW w:w="82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2017-18</w:t>
            </w:r>
          </w:p>
        </w:tc>
        <w:tc>
          <w:tcPr>
            <w:tcW w:w="82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2018-19</w:t>
            </w:r>
          </w:p>
        </w:tc>
        <w:tc>
          <w:tcPr>
            <w:tcW w:w="820" w:type="dxa"/>
            <w:tcBorders>
              <w:top w:val="single" w:sz="4" w:space="0" w:color="auto"/>
              <w:left w:val="nil"/>
              <w:bottom w:val="nil"/>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2019-20</w:t>
            </w:r>
          </w:p>
        </w:tc>
      </w:tr>
      <w:tr w:rsidR="00135314" w:rsidRPr="00135314" w:rsidTr="00135314">
        <w:trPr>
          <w:trHeight w:val="225"/>
        </w:trPr>
        <w:tc>
          <w:tcPr>
            <w:tcW w:w="30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left"/>
              <w:rPr>
                <w:rFonts w:ascii="Arial" w:hAnsi="Arial" w:cs="Arial"/>
              </w:rPr>
            </w:pPr>
          </w:p>
        </w:tc>
        <w:tc>
          <w:tcPr>
            <w:tcW w:w="82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82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2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2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3040" w:type="dxa"/>
            <w:tcBorders>
              <w:top w:val="nil"/>
              <w:left w:val="nil"/>
              <w:bottom w:val="nil"/>
              <w:right w:val="nil"/>
            </w:tcBorders>
            <w:shd w:val="clear" w:color="auto" w:fill="auto"/>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Total comprehensive income/(loss)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3040" w:type="dxa"/>
            <w:tcBorders>
              <w:top w:val="nil"/>
              <w:left w:val="nil"/>
              <w:bottom w:val="nil"/>
              <w:right w:val="nil"/>
            </w:tcBorders>
            <w:shd w:val="clear" w:color="auto" w:fill="auto"/>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excluding depreciation/amortisation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3040" w:type="dxa"/>
            <w:tcBorders>
              <w:top w:val="nil"/>
              <w:left w:val="nil"/>
              <w:bottom w:val="nil"/>
              <w:right w:val="nil"/>
            </w:tcBorders>
            <w:shd w:val="clear" w:color="auto" w:fill="auto"/>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expenses previously funded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3040" w:type="dxa"/>
            <w:tcBorders>
              <w:top w:val="nil"/>
              <w:left w:val="nil"/>
              <w:bottom w:val="nil"/>
              <w:right w:val="nil"/>
            </w:tcBorders>
            <w:shd w:val="clear" w:color="auto" w:fill="auto"/>
            <w:hideMark/>
          </w:tcPr>
          <w:p w:rsidR="00135314" w:rsidRPr="00135314" w:rsidRDefault="00135314" w:rsidP="00135314">
            <w:pPr>
              <w:spacing w:after="0" w:line="240" w:lineRule="auto"/>
              <w:jc w:val="left"/>
              <w:rPr>
                <w:rFonts w:ascii="Arial" w:hAnsi="Arial" w:cs="Arial"/>
                <w:b/>
                <w:bCs/>
                <w:color w:val="000000"/>
              </w:rPr>
            </w:pPr>
            <w:proofErr w:type="gramStart"/>
            <w:r w:rsidRPr="00135314">
              <w:rPr>
                <w:rFonts w:ascii="Arial" w:hAnsi="Arial" w:cs="Arial"/>
                <w:b/>
                <w:bCs/>
                <w:color w:val="000000"/>
              </w:rPr>
              <w:t>through</w:t>
            </w:r>
            <w:proofErr w:type="gramEnd"/>
            <w:r w:rsidRPr="00135314">
              <w:rPr>
                <w:rFonts w:ascii="Arial" w:hAnsi="Arial" w:cs="Arial"/>
                <w:b/>
                <w:bCs/>
                <w:color w:val="000000"/>
              </w:rPr>
              <w:t xml:space="preserve"> revenue appropriations.</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(46,322)</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15,075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r>
      <w:tr w:rsidR="00135314" w:rsidRPr="00135314" w:rsidTr="00135314">
        <w:trPr>
          <w:trHeight w:val="225"/>
        </w:trPr>
        <w:tc>
          <w:tcPr>
            <w:tcW w:w="30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 xml:space="preserve">less depreciation/amortisation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r>
      <w:tr w:rsidR="00135314" w:rsidRPr="00135314" w:rsidTr="00135314">
        <w:trPr>
          <w:trHeight w:val="225"/>
        </w:trPr>
        <w:tc>
          <w:tcPr>
            <w:tcW w:w="3860" w:type="dxa"/>
            <w:gridSpan w:val="2"/>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 xml:space="preserve">expenses previously funded through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 xml:space="preserve">revenue appropriations </w:t>
            </w:r>
            <w:r w:rsidRPr="00135314">
              <w:rPr>
                <w:rFonts w:ascii="Arial" w:hAnsi="Arial" w:cs="Arial"/>
                <w:color w:val="000000"/>
                <w:vertAlign w:val="superscript"/>
              </w:rPr>
              <w:t>(a)</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(7,995)</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(8,719)</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(8,206)</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(8,736)</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(9,527)</w:t>
            </w:r>
          </w:p>
        </w:tc>
      </w:tr>
      <w:tr w:rsidR="00135314" w:rsidRPr="00135314" w:rsidTr="00135314">
        <w:trPr>
          <w:trHeight w:val="222"/>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comprehensive income/(loss)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r>
      <w:tr w:rsidR="00135314" w:rsidRPr="00135314" w:rsidTr="00135314">
        <w:trPr>
          <w:trHeight w:val="225"/>
        </w:trPr>
        <w:tc>
          <w:tcPr>
            <w:tcW w:w="30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 xml:space="preserve">as per the statement of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040" w:type="dxa"/>
            <w:tcBorders>
              <w:top w:val="nil"/>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comprehensive income</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(54,317)</w:t>
            </w:r>
          </w:p>
        </w:tc>
        <w:tc>
          <w:tcPr>
            <w:tcW w:w="82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6,356 </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(8,206)</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(8,736)</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(9,527)</w:t>
            </w:r>
          </w:p>
        </w:tc>
      </w:tr>
    </w:tbl>
    <w:p w:rsidR="004F7A4C" w:rsidRPr="004F7A4C" w:rsidRDefault="004F7A4C" w:rsidP="004F7A4C">
      <w:pPr>
        <w:tabs>
          <w:tab w:val="left" w:pos="284"/>
        </w:tabs>
        <w:spacing w:after="0" w:line="240" w:lineRule="auto"/>
        <w:jc w:val="both"/>
        <w:rPr>
          <w:rFonts w:ascii="Arial" w:hAnsi="Arial"/>
          <w:szCs w:val="20"/>
        </w:rPr>
      </w:pPr>
      <w:proofErr w:type="gramStart"/>
      <w:r w:rsidRPr="004F7A4C">
        <w:rPr>
          <w:rFonts w:ascii="Arial" w:hAnsi="Arial"/>
          <w:szCs w:val="20"/>
        </w:rPr>
        <w:t>Prepared on Australian Accounting Standards basis.</w:t>
      </w:r>
      <w:proofErr w:type="gramEnd"/>
      <w:r w:rsidRPr="004F7A4C">
        <w:rPr>
          <w:rFonts w:ascii="Arial" w:hAnsi="Arial"/>
          <w:szCs w:val="20"/>
        </w:rPr>
        <w:t xml:space="preserve"> </w:t>
      </w:r>
    </w:p>
    <w:p w:rsidR="004F7A4C" w:rsidRPr="0051401E" w:rsidRDefault="004F7A4C" w:rsidP="0015364F">
      <w:pPr>
        <w:pStyle w:val="ChartandTableFootnoteAlpha"/>
        <w:numPr>
          <w:ilvl w:val="0"/>
          <w:numId w:val="52"/>
        </w:numPr>
        <w:tabs>
          <w:tab w:val="clear" w:pos="284"/>
        </w:tabs>
        <w:jc w:val="left"/>
      </w:pPr>
      <w:r w:rsidRPr="0051401E">
        <w:t xml:space="preserve">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w:t>
      </w:r>
      <w:r w:rsidRPr="0051401E">
        <w:lastRenderedPageBreak/>
        <w:t xml:space="preserve">Departmental Capital Budget, or DCB) provided through Bill 1 equity appropriations. For information regarding DCBs, please refer to Table 3.5 Departmental Capital Budget Statement. </w:t>
      </w:r>
    </w:p>
    <w:p w:rsidR="004F7A4C" w:rsidRPr="004F7A4C" w:rsidRDefault="004F7A4C" w:rsidP="004A060A">
      <w:pPr>
        <w:pStyle w:val="Heading5"/>
        <w:spacing w:after="0"/>
      </w:pPr>
      <w:r w:rsidRPr="004F7A4C">
        <w:br w:type="page"/>
      </w:r>
      <w:r w:rsidRPr="004F7A4C">
        <w:lastRenderedPageBreak/>
        <w:t>Table 3.2: Budgeted Departmental Balance Sheet (as at 30 June)</w:t>
      </w:r>
    </w:p>
    <w:tbl>
      <w:tblPr>
        <w:tblW w:w="7160" w:type="dxa"/>
        <w:tblInd w:w="96" w:type="dxa"/>
        <w:tblLook w:val="04A0"/>
      </w:tblPr>
      <w:tblGrid>
        <w:gridCol w:w="2960"/>
        <w:gridCol w:w="928"/>
        <w:gridCol w:w="840"/>
        <w:gridCol w:w="840"/>
        <w:gridCol w:w="840"/>
        <w:gridCol w:w="840"/>
      </w:tblGrid>
      <w:tr w:rsidR="00135314" w:rsidRPr="00135314" w:rsidTr="00135314">
        <w:trPr>
          <w:trHeight w:val="225"/>
        </w:trPr>
        <w:tc>
          <w:tcPr>
            <w:tcW w:w="296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4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2015-16</w:t>
            </w:r>
          </w:p>
        </w:tc>
        <w:tc>
          <w:tcPr>
            <w:tcW w:w="840" w:type="dxa"/>
            <w:tcBorders>
              <w:top w:val="single" w:sz="4" w:space="0" w:color="auto"/>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c>
          <w:tcPr>
            <w:tcW w:w="84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2017-18</w:t>
            </w:r>
          </w:p>
        </w:tc>
        <w:tc>
          <w:tcPr>
            <w:tcW w:w="84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2018-19</w:t>
            </w:r>
          </w:p>
        </w:tc>
        <w:tc>
          <w:tcPr>
            <w:tcW w:w="84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2019-20</w:t>
            </w:r>
          </w:p>
        </w:tc>
      </w:tr>
      <w:tr w:rsidR="00135314" w:rsidRPr="00135314" w:rsidTr="00135314">
        <w:trPr>
          <w:trHeight w:val="225"/>
        </w:trPr>
        <w:tc>
          <w:tcPr>
            <w:tcW w:w="29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Estimated</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Budget</w:t>
            </w: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r>
      <w:tr w:rsidR="00135314" w:rsidRPr="00135314" w:rsidTr="00135314">
        <w:trPr>
          <w:trHeight w:val="225"/>
        </w:trPr>
        <w:tc>
          <w:tcPr>
            <w:tcW w:w="29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actual</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r>
      <w:tr w:rsidR="00135314" w:rsidRPr="00135314" w:rsidTr="00135314">
        <w:trPr>
          <w:trHeight w:val="225"/>
        </w:trPr>
        <w:tc>
          <w:tcPr>
            <w:tcW w:w="2960" w:type="dxa"/>
            <w:tcBorders>
              <w:top w:val="nil"/>
              <w:left w:val="nil"/>
              <w:bottom w:val="nil"/>
              <w:right w:val="nil"/>
            </w:tcBorders>
            <w:shd w:val="clear" w:color="auto" w:fill="auto"/>
            <w:noWrap/>
            <w:hideMark/>
          </w:tcPr>
          <w:p w:rsidR="00135314" w:rsidRPr="00135314" w:rsidRDefault="00135314" w:rsidP="00135314">
            <w:pPr>
              <w:spacing w:after="0" w:line="240" w:lineRule="auto"/>
              <w:jc w:val="left"/>
              <w:rPr>
                <w:rFonts w:ascii="Arial" w:hAnsi="Arial" w:cs="Arial"/>
                <w:b/>
                <w:bCs/>
              </w:rPr>
            </w:pPr>
          </w:p>
        </w:tc>
        <w:tc>
          <w:tcPr>
            <w:tcW w:w="84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84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4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4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ASSETS</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Financial assets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 xml:space="preserve">Cash </w:t>
            </w:r>
            <w:r w:rsidRPr="00135314">
              <w:rPr>
                <w:rFonts w:ascii="Arial" w:hAnsi="Arial" w:cs="Arial"/>
              </w:rPr>
              <w:t>and cash equivalents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Trade and other receivables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12,319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27,394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27,394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27,394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27,394 </w:t>
            </w:r>
          </w:p>
        </w:tc>
      </w:tr>
      <w:tr w:rsidR="00135314" w:rsidRPr="00135314" w:rsidTr="00135314">
        <w:trPr>
          <w:trHeight w:val="282"/>
        </w:trPr>
        <w:tc>
          <w:tcPr>
            <w:tcW w:w="29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financial assets</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13,210 </w:t>
            </w:r>
          </w:p>
        </w:tc>
        <w:tc>
          <w:tcPr>
            <w:tcW w:w="84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28,285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28,285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28,285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28,285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Non-financial assets</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Land and buildings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12,494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12,104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11,217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12,343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9,993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Property, plant and equipment</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6,754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5,793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7,591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7,665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8,776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Intangibles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15,350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14,153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13,122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14,101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16,769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Inventories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3,055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3,055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3,055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3,055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3,055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Other non-financial assets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2,068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2,068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2,068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2,068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2,068 </w:t>
            </w:r>
          </w:p>
        </w:tc>
      </w:tr>
      <w:tr w:rsidR="00135314" w:rsidRPr="00135314" w:rsidTr="00135314">
        <w:trPr>
          <w:trHeight w:val="282"/>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non-financial assets</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39,721 </w:t>
            </w:r>
          </w:p>
        </w:tc>
        <w:tc>
          <w:tcPr>
            <w:tcW w:w="84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37,173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37,053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39,232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40,661 </w:t>
            </w:r>
          </w:p>
        </w:tc>
      </w:tr>
      <w:tr w:rsidR="00135314" w:rsidRPr="00135314" w:rsidTr="00135314">
        <w:trPr>
          <w:trHeight w:val="282"/>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assets</w:t>
            </w:r>
          </w:p>
        </w:tc>
        <w:tc>
          <w:tcPr>
            <w:tcW w:w="84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52,931 </w:t>
            </w:r>
          </w:p>
        </w:tc>
        <w:tc>
          <w:tcPr>
            <w:tcW w:w="840" w:type="dxa"/>
            <w:tcBorders>
              <w:top w:val="nil"/>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65,458 </w:t>
            </w:r>
          </w:p>
        </w:tc>
        <w:tc>
          <w:tcPr>
            <w:tcW w:w="84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65,338 </w:t>
            </w:r>
          </w:p>
        </w:tc>
        <w:tc>
          <w:tcPr>
            <w:tcW w:w="84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67,517 </w:t>
            </w:r>
          </w:p>
        </w:tc>
        <w:tc>
          <w:tcPr>
            <w:tcW w:w="84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68,946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LIABILITIES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Payables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Suppliers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7,786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7,786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7,786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7,786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7,786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Other payables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5,119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5,119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5,119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5,119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5,119 </w:t>
            </w:r>
          </w:p>
        </w:tc>
      </w:tr>
      <w:tr w:rsidR="00135314" w:rsidRPr="00135314" w:rsidTr="00135314">
        <w:trPr>
          <w:trHeight w:val="282"/>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payables</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12,905 </w:t>
            </w:r>
          </w:p>
        </w:tc>
        <w:tc>
          <w:tcPr>
            <w:tcW w:w="84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12,905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12,905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12,905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12,905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Provisions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Employee provisions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24,085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24,085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24,085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24,085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24,085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Other provisions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1,561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1,561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1,561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1,561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1,561 </w:t>
            </w:r>
          </w:p>
        </w:tc>
      </w:tr>
      <w:tr w:rsidR="00135314" w:rsidRPr="00135314" w:rsidTr="00135314">
        <w:trPr>
          <w:trHeight w:val="282"/>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provisions</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25,646 </w:t>
            </w:r>
          </w:p>
        </w:tc>
        <w:tc>
          <w:tcPr>
            <w:tcW w:w="84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25,646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25,646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25,646 </w:t>
            </w:r>
          </w:p>
        </w:tc>
        <w:tc>
          <w:tcPr>
            <w:tcW w:w="84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25,646 </w:t>
            </w:r>
          </w:p>
        </w:tc>
      </w:tr>
      <w:tr w:rsidR="00135314" w:rsidRPr="00135314" w:rsidTr="00135314">
        <w:trPr>
          <w:trHeight w:val="282"/>
        </w:trPr>
        <w:tc>
          <w:tcPr>
            <w:tcW w:w="29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liabilities</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38,551 </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38,551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38,551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38,551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38,551 </w:t>
            </w:r>
          </w:p>
        </w:tc>
      </w:tr>
      <w:tr w:rsidR="00135314" w:rsidRPr="00135314" w:rsidTr="00135314">
        <w:trPr>
          <w:trHeight w:val="282"/>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Net assets</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14,380 </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26,907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26,787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28,966 </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30,395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EQUITY </w:t>
            </w:r>
            <w:r w:rsidRPr="00135314">
              <w:rPr>
                <w:rFonts w:ascii="Arial" w:hAnsi="Arial" w:cs="Arial"/>
                <w:b/>
                <w:bCs/>
                <w:color w:val="000000"/>
                <w:vertAlign w:val="superscript"/>
              </w:rPr>
              <w:t>(a)</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Parent entity interest</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Contributed equity</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54,202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60,373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68,459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79,374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90,330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Reserves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21,100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21,100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21,100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21,100 </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21,100 </w:t>
            </w:r>
          </w:p>
        </w:tc>
      </w:tr>
      <w:tr w:rsidR="00135314" w:rsidRPr="00135314" w:rsidTr="00135314">
        <w:trPr>
          <w:trHeight w:val="225"/>
        </w:trPr>
        <w:tc>
          <w:tcPr>
            <w:tcW w:w="296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 xml:space="preserve">Retained surplus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(accumulated deficit)</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(60,922)</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(54,566)</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(62,772)</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(71,508)</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(81,035)</w:t>
            </w:r>
          </w:p>
        </w:tc>
      </w:tr>
      <w:tr w:rsidR="00135314" w:rsidRPr="00135314" w:rsidTr="00135314">
        <w:trPr>
          <w:trHeight w:val="282"/>
        </w:trPr>
        <w:tc>
          <w:tcPr>
            <w:tcW w:w="296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Equity</w:t>
            </w:r>
          </w:p>
        </w:tc>
        <w:tc>
          <w:tcPr>
            <w:tcW w:w="84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14,380 </w:t>
            </w:r>
          </w:p>
        </w:tc>
        <w:tc>
          <w:tcPr>
            <w:tcW w:w="84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26,907 </w:t>
            </w:r>
          </w:p>
        </w:tc>
        <w:tc>
          <w:tcPr>
            <w:tcW w:w="84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26,787 </w:t>
            </w:r>
          </w:p>
        </w:tc>
        <w:tc>
          <w:tcPr>
            <w:tcW w:w="84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28,966 </w:t>
            </w:r>
          </w:p>
        </w:tc>
        <w:tc>
          <w:tcPr>
            <w:tcW w:w="84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30,395 </w:t>
            </w:r>
          </w:p>
        </w:tc>
      </w:tr>
    </w:tbl>
    <w:p w:rsidR="004F7A4C" w:rsidRPr="004F7A4C" w:rsidRDefault="004F7A4C" w:rsidP="004F7A4C">
      <w:pPr>
        <w:tabs>
          <w:tab w:val="left" w:pos="284"/>
        </w:tabs>
        <w:spacing w:after="0" w:line="240" w:lineRule="auto"/>
        <w:jc w:val="both"/>
        <w:rPr>
          <w:rFonts w:ascii="Arial" w:hAnsi="Arial"/>
          <w:szCs w:val="20"/>
        </w:rPr>
      </w:pPr>
      <w:proofErr w:type="gramStart"/>
      <w:r w:rsidRPr="004F7A4C">
        <w:rPr>
          <w:rFonts w:ascii="Arial" w:hAnsi="Arial"/>
          <w:szCs w:val="20"/>
        </w:rPr>
        <w:t>Prepared on Australian Accounting Standards basis.</w:t>
      </w:r>
      <w:proofErr w:type="gramEnd"/>
    </w:p>
    <w:p w:rsidR="004F7A4C" w:rsidRPr="004F7A4C" w:rsidRDefault="004F7A4C" w:rsidP="0045777B">
      <w:pPr>
        <w:numPr>
          <w:ilvl w:val="0"/>
          <w:numId w:val="40"/>
        </w:numPr>
        <w:spacing w:after="0" w:line="240" w:lineRule="auto"/>
        <w:ind w:left="284" w:hanging="284"/>
        <w:jc w:val="left"/>
        <w:rPr>
          <w:rFonts w:ascii="Arial" w:hAnsi="Arial"/>
          <w:szCs w:val="20"/>
        </w:rPr>
      </w:pPr>
      <w:r w:rsidRPr="004F7A4C">
        <w:rPr>
          <w:rFonts w:ascii="Arial" w:hAnsi="Arial"/>
          <w:szCs w:val="20"/>
        </w:rPr>
        <w:t xml:space="preserve"> ‘Equity’ is the residual interest in assets after deduction of liabilities. </w:t>
      </w:r>
    </w:p>
    <w:p w:rsidR="004F7A4C" w:rsidRPr="004F7A4C" w:rsidRDefault="004F7A4C" w:rsidP="004F7A4C">
      <w:pPr>
        <w:spacing w:after="0" w:line="240" w:lineRule="auto"/>
        <w:jc w:val="both"/>
        <w:rPr>
          <w:rFonts w:ascii="Book Antiqua" w:hAnsi="Book Antiqua"/>
          <w:sz w:val="20"/>
          <w:szCs w:val="20"/>
        </w:rPr>
      </w:pPr>
    </w:p>
    <w:p w:rsidR="004F7A4C" w:rsidRPr="004F7A4C" w:rsidRDefault="004F7A4C" w:rsidP="004A060A">
      <w:pPr>
        <w:pStyle w:val="Heading5"/>
        <w:spacing w:after="0"/>
      </w:pPr>
      <w:r w:rsidRPr="004F7A4C">
        <w:br w:type="page"/>
      </w:r>
      <w:r w:rsidRPr="004F7A4C">
        <w:lastRenderedPageBreak/>
        <w:t>Table 3.3: Departmental Statement of Changes in Equity — Summary of Movement (Budget Year 2016-17)</w:t>
      </w:r>
    </w:p>
    <w:tbl>
      <w:tblPr>
        <w:tblW w:w="6480" w:type="dxa"/>
        <w:tblInd w:w="96" w:type="dxa"/>
        <w:tblLook w:val="04A0"/>
      </w:tblPr>
      <w:tblGrid>
        <w:gridCol w:w="3220"/>
        <w:gridCol w:w="857"/>
        <w:gridCol w:w="999"/>
        <w:gridCol w:w="1044"/>
        <w:gridCol w:w="720"/>
      </w:tblGrid>
      <w:tr w:rsidR="00135314" w:rsidRPr="00135314" w:rsidTr="00135314">
        <w:trPr>
          <w:trHeight w:val="225"/>
        </w:trPr>
        <w:tc>
          <w:tcPr>
            <w:tcW w:w="322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76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Retained</w:t>
            </w:r>
          </w:p>
        </w:tc>
        <w:tc>
          <w:tcPr>
            <w:tcW w:w="88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Asset</w:t>
            </w:r>
          </w:p>
        </w:tc>
        <w:tc>
          <w:tcPr>
            <w:tcW w:w="90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Contributed</w:t>
            </w:r>
          </w:p>
        </w:tc>
        <w:tc>
          <w:tcPr>
            <w:tcW w:w="72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Total</w:t>
            </w:r>
          </w:p>
        </w:tc>
      </w:tr>
      <w:tr w:rsidR="00135314" w:rsidRPr="00135314" w:rsidTr="00135314">
        <w:trPr>
          <w:trHeight w:val="225"/>
        </w:trPr>
        <w:tc>
          <w:tcPr>
            <w:tcW w:w="32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7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earnings</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revaluation</w:t>
            </w:r>
          </w:p>
        </w:tc>
        <w:tc>
          <w:tcPr>
            <w:tcW w:w="9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equity/</w:t>
            </w:r>
          </w:p>
        </w:tc>
        <w:tc>
          <w:tcPr>
            <w:tcW w:w="7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equity</w:t>
            </w:r>
          </w:p>
        </w:tc>
      </w:tr>
      <w:tr w:rsidR="00135314" w:rsidRPr="00135314" w:rsidTr="00135314">
        <w:trPr>
          <w:trHeight w:val="225"/>
        </w:trPr>
        <w:tc>
          <w:tcPr>
            <w:tcW w:w="32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7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reserve</w:t>
            </w:r>
          </w:p>
        </w:tc>
        <w:tc>
          <w:tcPr>
            <w:tcW w:w="9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capital</w:t>
            </w:r>
          </w:p>
        </w:tc>
        <w:tc>
          <w:tcPr>
            <w:tcW w:w="7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32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760" w:type="dxa"/>
            <w:tcBorders>
              <w:top w:val="nil"/>
              <w:left w:val="nil"/>
              <w:bottom w:val="single" w:sz="4" w:space="0" w:color="000000"/>
              <w:right w:val="nil"/>
            </w:tcBorders>
            <w:shd w:val="clear" w:color="auto" w:fill="auto"/>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80" w:type="dxa"/>
            <w:tcBorders>
              <w:top w:val="nil"/>
              <w:left w:val="nil"/>
              <w:bottom w:val="single" w:sz="4" w:space="0" w:color="000000"/>
              <w:right w:val="nil"/>
            </w:tcBorders>
            <w:shd w:val="clear" w:color="auto" w:fill="auto"/>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900" w:type="dxa"/>
            <w:tcBorders>
              <w:top w:val="nil"/>
              <w:left w:val="nil"/>
              <w:bottom w:val="single" w:sz="4" w:space="0" w:color="000000"/>
              <w:right w:val="nil"/>
            </w:tcBorders>
            <w:shd w:val="clear" w:color="auto" w:fill="auto"/>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720" w:type="dxa"/>
            <w:tcBorders>
              <w:top w:val="nil"/>
              <w:left w:val="nil"/>
              <w:bottom w:val="single" w:sz="4" w:space="0" w:color="000000"/>
              <w:right w:val="nil"/>
            </w:tcBorders>
            <w:shd w:val="clear" w:color="auto" w:fill="auto"/>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322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Opening balance as at 1 July 2016</w:t>
            </w:r>
          </w:p>
        </w:tc>
        <w:tc>
          <w:tcPr>
            <w:tcW w:w="7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9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7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Balance carried forward from</w:t>
            </w:r>
          </w:p>
        </w:tc>
        <w:tc>
          <w:tcPr>
            <w:tcW w:w="7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9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7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previous period</w:t>
            </w:r>
          </w:p>
        </w:tc>
        <w:tc>
          <w:tcPr>
            <w:tcW w:w="7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(60,922)</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21,100 </w:t>
            </w:r>
          </w:p>
        </w:tc>
        <w:tc>
          <w:tcPr>
            <w:tcW w:w="9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54,202 </w:t>
            </w:r>
          </w:p>
        </w:tc>
        <w:tc>
          <w:tcPr>
            <w:tcW w:w="7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14,380 </w:t>
            </w:r>
          </w:p>
        </w:tc>
      </w:tr>
      <w:tr w:rsidR="00135314" w:rsidRPr="00135314" w:rsidTr="00135314">
        <w:trPr>
          <w:trHeight w:val="282"/>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Adjusted opening balance</w:t>
            </w:r>
          </w:p>
        </w:tc>
        <w:tc>
          <w:tcPr>
            <w:tcW w:w="76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(60,922)</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21,100 </w:t>
            </w:r>
          </w:p>
        </w:tc>
        <w:tc>
          <w:tcPr>
            <w:tcW w:w="90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54,202 </w:t>
            </w:r>
          </w:p>
        </w:tc>
        <w:tc>
          <w:tcPr>
            <w:tcW w:w="72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14,380 </w:t>
            </w:r>
          </w:p>
        </w:tc>
      </w:tr>
      <w:tr w:rsidR="00135314" w:rsidRPr="00135314" w:rsidTr="00135314">
        <w:trPr>
          <w:trHeight w:val="225"/>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Comprehensive income</w:t>
            </w:r>
          </w:p>
        </w:tc>
        <w:tc>
          <w:tcPr>
            <w:tcW w:w="7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9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7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Surplus/(deficit) for the period</w:t>
            </w:r>
          </w:p>
        </w:tc>
        <w:tc>
          <w:tcPr>
            <w:tcW w:w="7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6,356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9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7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6,356 </w:t>
            </w:r>
          </w:p>
        </w:tc>
      </w:tr>
      <w:tr w:rsidR="00135314" w:rsidRPr="00135314" w:rsidTr="00135314">
        <w:trPr>
          <w:trHeight w:val="270"/>
        </w:trPr>
        <w:tc>
          <w:tcPr>
            <w:tcW w:w="32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comprehensive income</w:t>
            </w:r>
          </w:p>
        </w:tc>
        <w:tc>
          <w:tcPr>
            <w:tcW w:w="76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6,356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72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6,356 </w:t>
            </w:r>
          </w:p>
        </w:tc>
      </w:tr>
      <w:tr w:rsidR="00135314" w:rsidRPr="00135314" w:rsidTr="00135314">
        <w:trPr>
          <w:trHeight w:val="225"/>
        </w:trPr>
        <w:tc>
          <w:tcPr>
            <w:tcW w:w="32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Transactions with owners</w:t>
            </w:r>
          </w:p>
        </w:tc>
        <w:tc>
          <w:tcPr>
            <w:tcW w:w="7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9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7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r>
      <w:tr w:rsidR="00135314" w:rsidRPr="00135314" w:rsidTr="00135314">
        <w:trPr>
          <w:trHeight w:val="225"/>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Contributions by owners</w:t>
            </w:r>
          </w:p>
        </w:tc>
        <w:tc>
          <w:tcPr>
            <w:tcW w:w="7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9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7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Departmental Capital Budget (DCB)</w:t>
            </w:r>
          </w:p>
        </w:tc>
        <w:tc>
          <w:tcPr>
            <w:tcW w:w="7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9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6,171 </w:t>
            </w:r>
          </w:p>
        </w:tc>
        <w:tc>
          <w:tcPr>
            <w:tcW w:w="7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6,171 </w:t>
            </w:r>
          </w:p>
        </w:tc>
      </w:tr>
      <w:tr w:rsidR="00135314" w:rsidRPr="00135314" w:rsidTr="00135314">
        <w:trPr>
          <w:trHeight w:val="225"/>
        </w:trPr>
        <w:tc>
          <w:tcPr>
            <w:tcW w:w="32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Sub-total transactions with owners</w:t>
            </w:r>
          </w:p>
        </w:tc>
        <w:tc>
          <w:tcPr>
            <w:tcW w:w="76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90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6,171 </w:t>
            </w:r>
          </w:p>
        </w:tc>
        <w:tc>
          <w:tcPr>
            <w:tcW w:w="72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6,171 </w:t>
            </w:r>
          </w:p>
        </w:tc>
      </w:tr>
      <w:tr w:rsidR="00135314" w:rsidRPr="00135314" w:rsidTr="00135314">
        <w:trPr>
          <w:trHeight w:val="225"/>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Estimated closing balance </w:t>
            </w:r>
          </w:p>
        </w:tc>
        <w:tc>
          <w:tcPr>
            <w:tcW w:w="7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9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7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32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as at 30 June 2017</w:t>
            </w:r>
          </w:p>
        </w:tc>
        <w:tc>
          <w:tcPr>
            <w:tcW w:w="76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(54,566)</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21,100 </w:t>
            </w:r>
          </w:p>
        </w:tc>
        <w:tc>
          <w:tcPr>
            <w:tcW w:w="90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60,373 </w:t>
            </w:r>
          </w:p>
        </w:tc>
        <w:tc>
          <w:tcPr>
            <w:tcW w:w="7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26,907 </w:t>
            </w:r>
          </w:p>
        </w:tc>
      </w:tr>
      <w:tr w:rsidR="00135314" w:rsidRPr="00135314" w:rsidTr="00135314">
        <w:trPr>
          <w:trHeight w:val="225"/>
        </w:trPr>
        <w:tc>
          <w:tcPr>
            <w:tcW w:w="322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Closing balance attributable </w:t>
            </w:r>
          </w:p>
        </w:tc>
        <w:tc>
          <w:tcPr>
            <w:tcW w:w="7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9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7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32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to the Australian Government</w:t>
            </w:r>
          </w:p>
        </w:tc>
        <w:tc>
          <w:tcPr>
            <w:tcW w:w="76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(54,566)</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21,100 </w:t>
            </w:r>
          </w:p>
        </w:tc>
        <w:tc>
          <w:tcPr>
            <w:tcW w:w="90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60,373 </w:t>
            </w:r>
          </w:p>
        </w:tc>
        <w:tc>
          <w:tcPr>
            <w:tcW w:w="7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26,907 </w:t>
            </w:r>
          </w:p>
        </w:tc>
      </w:tr>
    </w:tbl>
    <w:p w:rsidR="004F7A4C" w:rsidRPr="004F7A4C" w:rsidRDefault="004F7A4C" w:rsidP="004F7A4C">
      <w:pPr>
        <w:tabs>
          <w:tab w:val="left" w:pos="284"/>
        </w:tabs>
        <w:spacing w:after="0" w:line="240" w:lineRule="auto"/>
        <w:jc w:val="both"/>
        <w:rPr>
          <w:rFonts w:ascii="Arial" w:hAnsi="Arial"/>
          <w:szCs w:val="20"/>
        </w:rPr>
      </w:pPr>
      <w:proofErr w:type="gramStart"/>
      <w:r w:rsidRPr="004F7A4C">
        <w:rPr>
          <w:rFonts w:ascii="Arial" w:hAnsi="Arial"/>
          <w:szCs w:val="20"/>
        </w:rPr>
        <w:t>Prepared on Australian Accounting Standards basis.</w:t>
      </w:r>
      <w:proofErr w:type="gramEnd"/>
    </w:p>
    <w:p w:rsidR="004F7A4C" w:rsidRPr="004F7A4C" w:rsidRDefault="004F7A4C" w:rsidP="004F7A4C">
      <w:pPr>
        <w:spacing w:after="0" w:line="240" w:lineRule="auto"/>
        <w:jc w:val="both"/>
        <w:rPr>
          <w:rFonts w:ascii="Book Antiqua" w:hAnsi="Book Antiqua"/>
          <w:sz w:val="20"/>
          <w:szCs w:val="20"/>
        </w:rPr>
      </w:pPr>
    </w:p>
    <w:p w:rsidR="004F7A4C" w:rsidRPr="004F7A4C" w:rsidRDefault="004F7A4C" w:rsidP="004F7A4C">
      <w:pPr>
        <w:keepNext/>
        <w:spacing w:before="120" w:after="20" w:line="240" w:lineRule="auto"/>
        <w:jc w:val="left"/>
        <w:rPr>
          <w:rFonts w:ascii="Arial" w:hAnsi="Arial"/>
          <w:b/>
          <w:i/>
          <w:color w:val="FF0000"/>
          <w:sz w:val="20"/>
          <w:szCs w:val="20"/>
        </w:rPr>
      </w:pPr>
      <w:r w:rsidRPr="004F7A4C">
        <w:rPr>
          <w:rFonts w:ascii="Arial" w:hAnsi="Arial"/>
          <w:b/>
          <w:color w:val="000000"/>
          <w:sz w:val="20"/>
          <w:szCs w:val="20"/>
        </w:rPr>
        <w:br w:type="page"/>
      </w:r>
    </w:p>
    <w:p w:rsidR="00135314" w:rsidRPr="0051401E" w:rsidRDefault="004F7A4C" w:rsidP="0051401E">
      <w:pPr>
        <w:pStyle w:val="Heading5"/>
        <w:spacing w:after="0"/>
        <w:rPr>
          <w:b w:val="0"/>
          <w:sz w:val="16"/>
          <w:szCs w:val="16"/>
        </w:rPr>
      </w:pPr>
      <w:r w:rsidRPr="004F7A4C">
        <w:lastRenderedPageBreak/>
        <w:t>Table 3.4: Budgeted Departmental Statement of Cash Flows (for the Period Ended 30 June)</w:t>
      </w:r>
    </w:p>
    <w:tbl>
      <w:tblPr>
        <w:tblW w:w="7240" w:type="dxa"/>
        <w:tblInd w:w="96" w:type="dxa"/>
        <w:tblLook w:val="04A0"/>
      </w:tblPr>
      <w:tblGrid>
        <w:gridCol w:w="2840"/>
        <w:gridCol w:w="928"/>
        <w:gridCol w:w="880"/>
        <w:gridCol w:w="880"/>
        <w:gridCol w:w="880"/>
        <w:gridCol w:w="880"/>
      </w:tblGrid>
      <w:tr w:rsidR="00135314" w:rsidRPr="00135314" w:rsidTr="00135314">
        <w:trPr>
          <w:trHeight w:val="225"/>
        </w:trPr>
        <w:tc>
          <w:tcPr>
            <w:tcW w:w="284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8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2015-16</w:t>
            </w:r>
          </w:p>
        </w:tc>
        <w:tc>
          <w:tcPr>
            <w:tcW w:w="880" w:type="dxa"/>
            <w:tcBorders>
              <w:top w:val="single" w:sz="4" w:space="0" w:color="auto"/>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c>
          <w:tcPr>
            <w:tcW w:w="88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2017-18</w:t>
            </w:r>
          </w:p>
        </w:tc>
        <w:tc>
          <w:tcPr>
            <w:tcW w:w="88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2018-19</w:t>
            </w:r>
          </w:p>
        </w:tc>
        <w:tc>
          <w:tcPr>
            <w:tcW w:w="88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2019-20</w:t>
            </w:r>
          </w:p>
        </w:tc>
      </w:tr>
      <w:tr w:rsidR="00135314" w:rsidRPr="00135314" w:rsidTr="00135314">
        <w:trPr>
          <w:trHeight w:val="225"/>
        </w:trPr>
        <w:tc>
          <w:tcPr>
            <w:tcW w:w="2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Estimated</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Budget</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r>
      <w:tr w:rsidR="00135314" w:rsidRPr="00135314" w:rsidTr="00135314">
        <w:trPr>
          <w:trHeight w:val="225"/>
        </w:trPr>
        <w:tc>
          <w:tcPr>
            <w:tcW w:w="2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actual</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r>
      <w:tr w:rsidR="00135314" w:rsidRPr="00135314" w:rsidTr="00135314">
        <w:trPr>
          <w:trHeight w:val="225"/>
        </w:trPr>
        <w:tc>
          <w:tcPr>
            <w:tcW w:w="2840" w:type="dxa"/>
            <w:tcBorders>
              <w:top w:val="nil"/>
              <w:left w:val="nil"/>
              <w:bottom w:val="nil"/>
              <w:right w:val="nil"/>
            </w:tcBorders>
            <w:shd w:val="clear" w:color="auto" w:fill="auto"/>
            <w:noWrap/>
            <w:hideMark/>
          </w:tcPr>
          <w:p w:rsidR="00135314" w:rsidRPr="00135314" w:rsidRDefault="00135314" w:rsidP="00135314">
            <w:pPr>
              <w:spacing w:after="0" w:line="240" w:lineRule="auto"/>
              <w:jc w:val="left"/>
              <w:rPr>
                <w:rFonts w:ascii="Arial" w:hAnsi="Arial" w:cs="Arial"/>
                <w:b/>
                <w:bCs/>
              </w:rPr>
            </w:pPr>
          </w:p>
        </w:tc>
        <w:tc>
          <w:tcPr>
            <w:tcW w:w="88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88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8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8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OPERATING ACTIVITIES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Cash received</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Appropriations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278,280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298,272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113,568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126,511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270,226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 xml:space="preserve">Sale of goods and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rendering of services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10,841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10,952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11,038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11,038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11,038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289,121 </w:t>
            </w:r>
          </w:p>
        </w:tc>
        <w:tc>
          <w:tcPr>
            <w:tcW w:w="88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309,224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124,606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137,549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281,264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Cash used</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Employees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109,224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194,868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76,492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83,850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137,479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Suppliers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179,456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114,356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48,114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53,699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143,785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cash used</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288,680 </w:t>
            </w:r>
          </w:p>
        </w:tc>
        <w:tc>
          <w:tcPr>
            <w:tcW w:w="880" w:type="dxa"/>
            <w:tcBorders>
              <w:top w:val="single" w:sz="4" w:space="0" w:color="000000"/>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309,224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124,606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137,549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281,264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Net cash from/(used by)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single" w:sz="4" w:space="0" w:color="000000"/>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operating activities</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441 </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INVESTING ACTIVITIES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Cash used</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 xml:space="preserve">Purchase of property,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plant and equipment</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11,453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6,171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8,118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11,023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11,130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11,453 </w:t>
            </w:r>
          </w:p>
        </w:tc>
        <w:tc>
          <w:tcPr>
            <w:tcW w:w="88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6,171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8,118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11,023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11,130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Net cash from/(used by)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investing activities</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(11,453)</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(6,171)</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(8,118)</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(11,023)</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(11,130)</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FINANCING ACTIVITIES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Cash received</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Contributed equity</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11,012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6,171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8,118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11,023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11,130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11,012 </w:t>
            </w:r>
          </w:p>
        </w:tc>
        <w:tc>
          <w:tcPr>
            <w:tcW w:w="88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6,171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8,118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11,023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11,130 </w:t>
            </w:r>
          </w:p>
        </w:tc>
      </w:tr>
      <w:tr w:rsidR="00135314" w:rsidRPr="00135314" w:rsidTr="00135314">
        <w:trPr>
          <w:trHeight w:val="225"/>
        </w:trPr>
        <w:tc>
          <w:tcPr>
            <w:tcW w:w="284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Net cash from/(used by)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financing activities</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11,012 </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6,171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8,118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11,023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11,130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Net increase/(decrease)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in cash held</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 xml:space="preserve">Cash and cash equivalents at the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color w:val="000000"/>
              </w:rPr>
            </w:pPr>
            <w:r w:rsidRPr="00135314">
              <w:rPr>
                <w:rFonts w:ascii="Arial" w:hAnsi="Arial" w:cs="Arial"/>
                <w:color w:val="000000"/>
              </w:rPr>
              <w:t>beginning of the reporting period</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891 </w:t>
            </w:r>
          </w:p>
        </w:tc>
      </w:tr>
      <w:tr w:rsidR="00135314" w:rsidRPr="00135314" w:rsidTr="00135314">
        <w:trPr>
          <w:trHeight w:val="225"/>
        </w:trPr>
        <w:tc>
          <w:tcPr>
            <w:tcW w:w="2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Cash and cash equivalents at the</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color w:val="000000"/>
              </w:rPr>
            </w:pPr>
          </w:p>
        </w:tc>
      </w:tr>
      <w:tr w:rsidR="00135314" w:rsidRPr="00135314" w:rsidTr="00135314">
        <w:trPr>
          <w:trHeight w:val="225"/>
        </w:trPr>
        <w:tc>
          <w:tcPr>
            <w:tcW w:w="2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end of the reporting period</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891 </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891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891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891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891 </w:t>
            </w:r>
          </w:p>
        </w:tc>
      </w:tr>
    </w:tbl>
    <w:p w:rsidR="004F7A4C" w:rsidRPr="0051401E" w:rsidRDefault="00135314" w:rsidP="0051401E">
      <w:pPr>
        <w:pStyle w:val="Heading5"/>
        <w:spacing w:after="0"/>
        <w:rPr>
          <w:b w:val="0"/>
          <w:sz w:val="16"/>
          <w:szCs w:val="16"/>
        </w:rPr>
      </w:pPr>
      <w:r w:rsidRPr="0051401E">
        <w:rPr>
          <w:b w:val="0"/>
          <w:sz w:val="16"/>
          <w:szCs w:val="16"/>
        </w:rPr>
        <w:t xml:space="preserve"> </w:t>
      </w:r>
      <w:proofErr w:type="gramStart"/>
      <w:r w:rsidR="004F7A4C" w:rsidRPr="0051401E">
        <w:rPr>
          <w:b w:val="0"/>
          <w:sz w:val="16"/>
          <w:szCs w:val="16"/>
        </w:rPr>
        <w:t>Prepared on Australian Accounting Standards basis.</w:t>
      </w:r>
      <w:proofErr w:type="gramEnd"/>
    </w:p>
    <w:p w:rsidR="004F7A4C" w:rsidRPr="004F7A4C" w:rsidRDefault="004F7A4C" w:rsidP="004F7A4C">
      <w:pPr>
        <w:spacing w:after="0" w:line="240" w:lineRule="auto"/>
        <w:jc w:val="both"/>
        <w:rPr>
          <w:rFonts w:ascii="Book Antiqua" w:hAnsi="Book Antiqua"/>
          <w:sz w:val="20"/>
          <w:szCs w:val="20"/>
          <w:highlight w:val="yellow"/>
        </w:rPr>
      </w:pPr>
    </w:p>
    <w:p w:rsidR="004F7A4C" w:rsidRPr="004F7A4C" w:rsidRDefault="004F7A4C" w:rsidP="004F7A4C">
      <w:pPr>
        <w:spacing w:after="0" w:line="240" w:lineRule="auto"/>
        <w:jc w:val="left"/>
        <w:rPr>
          <w:rFonts w:ascii="Arial" w:hAnsi="Arial"/>
          <w:b/>
          <w:color w:val="000000"/>
          <w:sz w:val="20"/>
          <w:szCs w:val="20"/>
        </w:rPr>
      </w:pPr>
      <w:r w:rsidRPr="004F7A4C">
        <w:rPr>
          <w:rFonts w:ascii="Book Antiqua" w:hAnsi="Book Antiqua"/>
          <w:b/>
          <w:color w:val="000000"/>
          <w:sz w:val="20"/>
          <w:szCs w:val="20"/>
        </w:rPr>
        <w:br w:type="page"/>
      </w:r>
    </w:p>
    <w:p w:rsidR="00135314" w:rsidRPr="004F7A4C" w:rsidRDefault="004F7A4C" w:rsidP="004A060A">
      <w:pPr>
        <w:pStyle w:val="Heading5"/>
        <w:spacing w:after="0"/>
      </w:pPr>
      <w:r w:rsidRPr="004F7A4C">
        <w:lastRenderedPageBreak/>
        <w:t>Table 3.5: Departmental Capital Budget Statement (for the Period Ended 30 June)</w:t>
      </w:r>
    </w:p>
    <w:tbl>
      <w:tblPr>
        <w:tblW w:w="7667" w:type="dxa"/>
        <w:tblInd w:w="96" w:type="dxa"/>
        <w:tblLayout w:type="fixed"/>
        <w:tblLook w:val="04A0"/>
      </w:tblPr>
      <w:tblGrid>
        <w:gridCol w:w="3414"/>
        <w:gridCol w:w="851"/>
        <w:gridCol w:w="850"/>
        <w:gridCol w:w="851"/>
        <w:gridCol w:w="850"/>
        <w:gridCol w:w="851"/>
      </w:tblGrid>
      <w:tr w:rsidR="00135314" w:rsidRPr="00135314" w:rsidTr="00135314">
        <w:trPr>
          <w:trHeight w:val="225"/>
        </w:trPr>
        <w:tc>
          <w:tcPr>
            <w:tcW w:w="3414"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51"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2015-16</w:t>
            </w:r>
          </w:p>
        </w:tc>
        <w:tc>
          <w:tcPr>
            <w:tcW w:w="850" w:type="dxa"/>
            <w:tcBorders>
              <w:top w:val="single" w:sz="4" w:space="0" w:color="auto"/>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c>
          <w:tcPr>
            <w:tcW w:w="851"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2017-18</w:t>
            </w:r>
          </w:p>
        </w:tc>
        <w:tc>
          <w:tcPr>
            <w:tcW w:w="85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2018-19</w:t>
            </w:r>
          </w:p>
        </w:tc>
        <w:tc>
          <w:tcPr>
            <w:tcW w:w="851"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2019-20</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51"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Estimated</w:t>
            </w:r>
          </w:p>
        </w:tc>
        <w:tc>
          <w:tcPr>
            <w:tcW w:w="85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Budget</w:t>
            </w:r>
          </w:p>
        </w:tc>
        <w:tc>
          <w:tcPr>
            <w:tcW w:w="851"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5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51"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51"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actual</w:t>
            </w:r>
          </w:p>
        </w:tc>
        <w:tc>
          <w:tcPr>
            <w:tcW w:w="85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51"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5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51"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r>
      <w:tr w:rsidR="00135314" w:rsidRPr="00135314" w:rsidTr="00135314">
        <w:trPr>
          <w:trHeight w:val="225"/>
        </w:trPr>
        <w:tc>
          <w:tcPr>
            <w:tcW w:w="3414" w:type="dxa"/>
            <w:tcBorders>
              <w:top w:val="nil"/>
              <w:left w:val="nil"/>
              <w:bottom w:val="nil"/>
              <w:right w:val="nil"/>
            </w:tcBorders>
            <w:shd w:val="clear" w:color="auto" w:fill="auto"/>
            <w:noWrap/>
            <w:hideMark/>
          </w:tcPr>
          <w:p w:rsidR="00135314" w:rsidRPr="00135314" w:rsidRDefault="00135314" w:rsidP="00135314">
            <w:pPr>
              <w:spacing w:after="0" w:line="240" w:lineRule="auto"/>
              <w:jc w:val="left"/>
              <w:rPr>
                <w:rFonts w:ascii="Arial" w:hAnsi="Arial" w:cs="Arial"/>
                <w:b/>
                <w:bCs/>
              </w:rPr>
            </w:pPr>
          </w:p>
        </w:tc>
        <w:tc>
          <w:tcPr>
            <w:tcW w:w="851"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5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851"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5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51"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NEW CAPITAL APPROPRIATIONS</w:t>
            </w:r>
          </w:p>
        </w:tc>
        <w:tc>
          <w:tcPr>
            <w:tcW w:w="85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5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5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Capital budget - Bill 1 (DCB)</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11,012 </w:t>
            </w: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6,171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8,118 </w:t>
            </w: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11,023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11,130 </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new capital appropriations</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11,012 </w:t>
            </w:r>
          </w:p>
        </w:tc>
        <w:tc>
          <w:tcPr>
            <w:tcW w:w="85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6,171 </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8,118 </w:t>
            </w:r>
          </w:p>
        </w:tc>
        <w:tc>
          <w:tcPr>
            <w:tcW w:w="85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11,023 </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11,130 </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Provided for:</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Purchase of non-financial assets</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11,012 </w:t>
            </w: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6,171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8,118 </w:t>
            </w: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11,023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11,130 </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Total Items</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11,012 </w:t>
            </w:r>
          </w:p>
        </w:tc>
        <w:tc>
          <w:tcPr>
            <w:tcW w:w="85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6,171 </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8,118 </w:t>
            </w:r>
          </w:p>
        </w:tc>
        <w:tc>
          <w:tcPr>
            <w:tcW w:w="85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11,023 </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11,130 </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PURCHASE OF NON-FINANCIAL ASSETS</w:t>
            </w:r>
          </w:p>
        </w:tc>
        <w:tc>
          <w:tcPr>
            <w:tcW w:w="851"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000000" w:fill="E6E6E6"/>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51"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rPr>
            </w:pPr>
          </w:p>
        </w:tc>
        <w:tc>
          <w:tcPr>
            <w:tcW w:w="851"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40"/>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Funded by capital appropriation - DCB </w:t>
            </w:r>
            <w:r w:rsidRPr="00135314">
              <w:rPr>
                <w:rFonts w:ascii="Arial" w:hAnsi="Arial" w:cs="Arial"/>
                <w:vertAlign w:val="superscript"/>
              </w:rPr>
              <w:t>(a)</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11,012 </w:t>
            </w: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6,171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8,118 </w:t>
            </w: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11,023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11,130 </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Funded internally from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Calibri" w:hAnsi="Calibri"/>
                <w:sz w:val="22"/>
                <w:szCs w:val="22"/>
              </w:rPr>
            </w:pP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Calibri" w:hAnsi="Calibri"/>
                <w:sz w:val="22"/>
                <w:szCs w:val="22"/>
              </w:rPr>
            </w:pP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Calibri" w:hAnsi="Calibri"/>
                <w:sz w:val="22"/>
                <w:szCs w:val="22"/>
              </w:rPr>
            </w:pP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Calibri" w:hAnsi="Calibri"/>
                <w:sz w:val="22"/>
                <w:szCs w:val="22"/>
              </w:rPr>
            </w:pPr>
          </w:p>
        </w:tc>
      </w:tr>
      <w:tr w:rsidR="00135314" w:rsidRPr="00135314" w:rsidTr="00135314">
        <w:trPr>
          <w:trHeight w:val="240"/>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 xml:space="preserve">departmental resources </w:t>
            </w:r>
            <w:r w:rsidRPr="00135314">
              <w:rPr>
                <w:rFonts w:ascii="Arial" w:hAnsi="Arial" w:cs="Arial"/>
                <w:vertAlign w:val="superscript"/>
              </w:rPr>
              <w:t>(b)</w:t>
            </w:r>
          </w:p>
        </w:tc>
        <w:tc>
          <w:tcPr>
            <w:tcW w:w="851" w:type="dxa"/>
            <w:tcBorders>
              <w:top w:val="nil"/>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441 </w:t>
            </w: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Calibri" w:hAnsi="Calibri"/>
                <w:sz w:val="22"/>
                <w:szCs w:val="22"/>
              </w:rPr>
            </w:pPr>
            <w:r w:rsidRPr="00135314">
              <w:rPr>
                <w:rFonts w:ascii="Calibri" w:hAnsi="Calibri"/>
                <w:sz w:val="22"/>
                <w:szCs w:val="22"/>
              </w:rPr>
              <w:t xml:space="preserve">- </w:t>
            </w: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Calibri" w:hAnsi="Calibri"/>
                <w:sz w:val="22"/>
                <w:szCs w:val="22"/>
              </w:rPr>
            </w:pPr>
            <w:r w:rsidRPr="00135314">
              <w:rPr>
                <w:rFonts w:ascii="Calibri" w:hAnsi="Calibri"/>
                <w:sz w:val="22"/>
                <w:szCs w:val="22"/>
              </w:rPr>
              <w:t xml:space="preserve">-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Calibri" w:hAnsi="Calibri"/>
                <w:sz w:val="22"/>
                <w:szCs w:val="22"/>
              </w:rPr>
            </w:pPr>
            <w:r w:rsidRPr="00135314">
              <w:rPr>
                <w:rFonts w:ascii="Calibri" w:hAnsi="Calibri"/>
                <w:sz w:val="22"/>
                <w:szCs w:val="22"/>
              </w:rPr>
              <w:t xml:space="preserve">- </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11,453 </w:t>
            </w:r>
          </w:p>
        </w:tc>
        <w:tc>
          <w:tcPr>
            <w:tcW w:w="85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6,171 </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8,118 </w:t>
            </w:r>
          </w:p>
        </w:tc>
        <w:tc>
          <w:tcPr>
            <w:tcW w:w="85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11,023 </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11,130 </w:t>
            </w: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 xml:space="preserve">RECONCILIATION OF CASH USED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 xml:space="preserve">TO ACQUIRE ASSETS TO ASSET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MOVEMENT TABLE</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rPr>
            </w:pPr>
          </w:p>
        </w:tc>
      </w:tr>
      <w:tr w:rsidR="00135314" w:rsidRPr="00135314" w:rsidTr="00135314">
        <w:trPr>
          <w:trHeight w:val="225"/>
        </w:trPr>
        <w:tc>
          <w:tcPr>
            <w:tcW w:w="3414"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Total purchases</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11,453 </w:t>
            </w:r>
          </w:p>
        </w:tc>
        <w:tc>
          <w:tcPr>
            <w:tcW w:w="850" w:type="dxa"/>
            <w:tcBorders>
              <w:top w:val="nil"/>
              <w:left w:val="nil"/>
              <w:bottom w:val="nil"/>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6,171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8,118 </w:t>
            </w:r>
          </w:p>
        </w:tc>
        <w:tc>
          <w:tcPr>
            <w:tcW w:w="85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11,023 </w:t>
            </w:r>
          </w:p>
        </w:tc>
        <w:tc>
          <w:tcPr>
            <w:tcW w:w="851"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11,130 </w:t>
            </w:r>
          </w:p>
        </w:tc>
      </w:tr>
      <w:tr w:rsidR="00135314" w:rsidRPr="00135314" w:rsidTr="00135314">
        <w:trPr>
          <w:trHeight w:val="225"/>
        </w:trPr>
        <w:tc>
          <w:tcPr>
            <w:tcW w:w="3414" w:type="dxa"/>
            <w:tcBorders>
              <w:top w:val="nil"/>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cash used to acquire assets</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11,453 </w:t>
            </w:r>
          </w:p>
        </w:tc>
        <w:tc>
          <w:tcPr>
            <w:tcW w:w="850" w:type="dxa"/>
            <w:tcBorders>
              <w:top w:val="single" w:sz="4" w:space="0" w:color="auto"/>
              <w:left w:val="nil"/>
              <w:bottom w:val="single" w:sz="4" w:space="0" w:color="auto"/>
              <w:right w:val="nil"/>
            </w:tcBorders>
            <w:shd w:val="clear" w:color="000000" w:fill="E6E6E6"/>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6,171 </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8,118 </w:t>
            </w:r>
          </w:p>
        </w:tc>
        <w:tc>
          <w:tcPr>
            <w:tcW w:w="850"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11,023 </w:t>
            </w:r>
          </w:p>
        </w:tc>
        <w:tc>
          <w:tcPr>
            <w:tcW w:w="851" w:type="dxa"/>
            <w:tcBorders>
              <w:top w:val="single" w:sz="4" w:space="0" w:color="auto"/>
              <w:left w:val="nil"/>
              <w:bottom w:val="single" w:sz="4" w:space="0" w:color="auto"/>
              <w:right w:val="nil"/>
            </w:tcBorders>
            <w:shd w:val="clear" w:color="auto" w:fill="auto"/>
            <w:noWrap/>
            <w:vAlign w:val="center"/>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11,130 </w:t>
            </w:r>
          </w:p>
        </w:tc>
      </w:tr>
    </w:tbl>
    <w:p w:rsidR="004F7A4C" w:rsidRPr="004A060A" w:rsidRDefault="004F7A4C" w:rsidP="004A060A">
      <w:pPr>
        <w:pStyle w:val="Heading5"/>
        <w:spacing w:after="0"/>
        <w:rPr>
          <w:b w:val="0"/>
        </w:rPr>
      </w:pPr>
      <w:r w:rsidRPr="004F7A4C">
        <w:t xml:space="preserve"> </w:t>
      </w:r>
      <w:proofErr w:type="gramStart"/>
      <w:r w:rsidRPr="004A060A">
        <w:rPr>
          <w:b w:val="0"/>
          <w:sz w:val="16"/>
          <w:szCs w:val="16"/>
        </w:rPr>
        <w:t>Prepared on Australian Accounting Standards basis.</w:t>
      </w:r>
      <w:proofErr w:type="gramEnd"/>
    </w:p>
    <w:p w:rsidR="004F7A4C" w:rsidRPr="004F7A4C" w:rsidRDefault="004F7A4C" w:rsidP="0045777B">
      <w:pPr>
        <w:numPr>
          <w:ilvl w:val="0"/>
          <w:numId w:val="39"/>
        </w:numPr>
        <w:spacing w:after="0" w:line="240" w:lineRule="auto"/>
        <w:ind w:left="284" w:hanging="284"/>
        <w:jc w:val="left"/>
        <w:rPr>
          <w:rFonts w:ascii="Arial" w:hAnsi="Arial"/>
          <w:szCs w:val="20"/>
        </w:rPr>
      </w:pPr>
      <w:r w:rsidRPr="004F7A4C">
        <w:rPr>
          <w:rFonts w:ascii="Arial" w:hAnsi="Arial"/>
          <w:szCs w:val="20"/>
        </w:rPr>
        <w:t xml:space="preserve">‘Appropriation ordinary annual services’ refers to funding provided through </w:t>
      </w:r>
      <w:r w:rsidRPr="004F7A4C">
        <w:rPr>
          <w:rFonts w:ascii="Arial" w:hAnsi="Arial"/>
          <w:szCs w:val="20"/>
        </w:rPr>
        <w:br/>
        <w:t>Appropriation Bill (No. 1) 2016-17 for depreciation/amortisation expenses, DCBs or other operational expenses.</w:t>
      </w:r>
    </w:p>
    <w:p w:rsidR="004F7A4C" w:rsidRPr="004F7A4C" w:rsidRDefault="004F7A4C" w:rsidP="0045777B">
      <w:pPr>
        <w:numPr>
          <w:ilvl w:val="0"/>
          <w:numId w:val="39"/>
        </w:numPr>
        <w:spacing w:after="0" w:line="240" w:lineRule="auto"/>
        <w:ind w:left="284" w:hanging="284"/>
        <w:jc w:val="both"/>
        <w:rPr>
          <w:rFonts w:ascii="Arial" w:hAnsi="Arial"/>
          <w:szCs w:val="20"/>
        </w:rPr>
      </w:pPr>
      <w:r w:rsidRPr="004F7A4C">
        <w:rPr>
          <w:rFonts w:ascii="Arial" w:hAnsi="Arial"/>
          <w:szCs w:val="20"/>
        </w:rPr>
        <w:t>Includes the following sources of funding:</w:t>
      </w:r>
    </w:p>
    <w:p w:rsidR="004F7A4C" w:rsidRPr="004F7A4C" w:rsidRDefault="004F7A4C" w:rsidP="0045777B">
      <w:pPr>
        <w:numPr>
          <w:ilvl w:val="2"/>
          <w:numId w:val="42"/>
        </w:numPr>
        <w:spacing w:after="200" w:line="276" w:lineRule="auto"/>
        <w:ind w:left="567" w:hanging="283"/>
        <w:contextualSpacing/>
        <w:jc w:val="left"/>
        <w:rPr>
          <w:rFonts w:ascii="Arial" w:eastAsia="Calibri" w:hAnsi="Arial"/>
          <w:szCs w:val="22"/>
          <w:lang w:val="en-US" w:eastAsia="en-US"/>
        </w:rPr>
      </w:pPr>
      <w:r w:rsidRPr="004F7A4C">
        <w:rPr>
          <w:rFonts w:ascii="Arial" w:eastAsia="Calibri" w:hAnsi="Arial"/>
          <w:szCs w:val="22"/>
          <w:lang w:val="en-US" w:eastAsia="en-US"/>
        </w:rPr>
        <w:t>current Bill 1 and prior year Act 1/3/5 appropriations (excluding amounts from the DCB);</w:t>
      </w:r>
    </w:p>
    <w:p w:rsidR="004F7A4C" w:rsidRPr="004F7A4C" w:rsidRDefault="004F7A4C" w:rsidP="0045777B">
      <w:pPr>
        <w:numPr>
          <w:ilvl w:val="2"/>
          <w:numId w:val="42"/>
        </w:numPr>
        <w:spacing w:after="200" w:line="276" w:lineRule="auto"/>
        <w:ind w:left="567" w:hanging="283"/>
        <w:contextualSpacing/>
        <w:jc w:val="left"/>
        <w:rPr>
          <w:rFonts w:ascii="Arial" w:eastAsia="Calibri" w:hAnsi="Arial"/>
          <w:szCs w:val="22"/>
          <w:lang w:val="en-US" w:eastAsia="en-US"/>
        </w:rPr>
      </w:pPr>
      <w:r w:rsidRPr="004F7A4C">
        <w:rPr>
          <w:rFonts w:ascii="Arial" w:eastAsia="Calibri" w:hAnsi="Arial"/>
          <w:szCs w:val="22"/>
          <w:lang w:val="en-US" w:eastAsia="en-US"/>
        </w:rPr>
        <w:t xml:space="preserve">donations and contributions; </w:t>
      </w:r>
    </w:p>
    <w:p w:rsidR="004F7A4C" w:rsidRPr="004F7A4C" w:rsidRDefault="004F7A4C" w:rsidP="0045777B">
      <w:pPr>
        <w:numPr>
          <w:ilvl w:val="2"/>
          <w:numId w:val="42"/>
        </w:numPr>
        <w:spacing w:after="200" w:line="276" w:lineRule="auto"/>
        <w:ind w:left="567" w:hanging="283"/>
        <w:contextualSpacing/>
        <w:jc w:val="left"/>
        <w:rPr>
          <w:rFonts w:ascii="Arial" w:eastAsia="Calibri" w:hAnsi="Arial"/>
          <w:szCs w:val="22"/>
          <w:lang w:val="en-US" w:eastAsia="en-US"/>
        </w:rPr>
      </w:pPr>
      <w:r w:rsidRPr="004F7A4C">
        <w:rPr>
          <w:rFonts w:ascii="Arial" w:eastAsia="Calibri" w:hAnsi="Arial"/>
          <w:szCs w:val="22"/>
          <w:lang w:val="en-US" w:eastAsia="en-US"/>
        </w:rPr>
        <w:t xml:space="preserve">internally developed assets; </w:t>
      </w:r>
    </w:p>
    <w:p w:rsidR="004F7A4C" w:rsidRPr="004F7A4C" w:rsidRDefault="004F7A4C" w:rsidP="0045777B">
      <w:pPr>
        <w:numPr>
          <w:ilvl w:val="2"/>
          <w:numId w:val="42"/>
        </w:numPr>
        <w:spacing w:after="200" w:line="276" w:lineRule="auto"/>
        <w:ind w:left="567" w:hanging="283"/>
        <w:contextualSpacing/>
        <w:jc w:val="left"/>
        <w:rPr>
          <w:rFonts w:ascii="Arial" w:eastAsia="Calibri" w:hAnsi="Arial"/>
          <w:szCs w:val="22"/>
          <w:lang w:val="en-US" w:eastAsia="en-US"/>
        </w:rPr>
      </w:pPr>
      <w:r w:rsidRPr="004F7A4C">
        <w:rPr>
          <w:rFonts w:ascii="Arial" w:eastAsia="Calibri" w:hAnsi="Arial"/>
          <w:szCs w:val="22"/>
          <w:lang w:val="en-US" w:eastAsia="en-US"/>
        </w:rPr>
        <w:t xml:space="preserve">s74 relevant entity receipts; and </w:t>
      </w:r>
    </w:p>
    <w:p w:rsidR="005736DA" w:rsidRDefault="004F7A4C" w:rsidP="0045777B">
      <w:pPr>
        <w:numPr>
          <w:ilvl w:val="2"/>
          <w:numId w:val="42"/>
        </w:numPr>
        <w:spacing w:after="200" w:line="276" w:lineRule="auto"/>
        <w:ind w:left="567" w:hanging="283"/>
        <w:contextualSpacing/>
        <w:jc w:val="left"/>
        <w:rPr>
          <w:rFonts w:ascii="Arial" w:eastAsia="Calibri" w:hAnsi="Arial"/>
          <w:szCs w:val="22"/>
          <w:lang w:val="en-US" w:eastAsia="en-US"/>
        </w:rPr>
      </w:pPr>
      <w:proofErr w:type="gramStart"/>
      <w:r w:rsidRPr="004F7A4C">
        <w:rPr>
          <w:rFonts w:ascii="Arial" w:eastAsia="Calibri" w:hAnsi="Arial"/>
          <w:szCs w:val="22"/>
          <w:lang w:val="en-US" w:eastAsia="en-US"/>
        </w:rPr>
        <w:t>proceeds</w:t>
      </w:r>
      <w:proofErr w:type="gramEnd"/>
      <w:r w:rsidRPr="004F7A4C">
        <w:rPr>
          <w:rFonts w:ascii="Arial" w:eastAsia="Calibri" w:hAnsi="Arial"/>
          <w:szCs w:val="22"/>
          <w:lang w:val="en-US" w:eastAsia="en-US"/>
        </w:rPr>
        <w:t xml:space="preserve"> from the sale of assets. </w:t>
      </w:r>
    </w:p>
    <w:p w:rsidR="004F7A4C" w:rsidRPr="004F7A4C" w:rsidRDefault="005736DA" w:rsidP="005736DA">
      <w:pPr>
        <w:spacing w:after="0" w:line="240" w:lineRule="auto"/>
        <w:jc w:val="left"/>
        <w:rPr>
          <w:rFonts w:ascii="Arial" w:eastAsia="Calibri" w:hAnsi="Arial"/>
          <w:szCs w:val="22"/>
          <w:lang w:val="en-US" w:eastAsia="en-US"/>
        </w:rPr>
      </w:pPr>
      <w:r>
        <w:rPr>
          <w:rFonts w:ascii="Arial" w:eastAsia="Calibri" w:hAnsi="Arial"/>
          <w:szCs w:val="22"/>
          <w:lang w:val="en-US" w:eastAsia="en-US"/>
        </w:rPr>
        <w:br w:type="page"/>
      </w:r>
    </w:p>
    <w:p w:rsidR="004F7A4C" w:rsidRPr="004F7A4C" w:rsidRDefault="004F7A4C" w:rsidP="004A060A">
      <w:pPr>
        <w:pStyle w:val="Heading5"/>
        <w:spacing w:after="0"/>
      </w:pPr>
      <w:r w:rsidRPr="004F7A4C">
        <w:lastRenderedPageBreak/>
        <w:t>Table 3.6: Statement of Asset Movements (Budget Year 2016-17)</w:t>
      </w:r>
    </w:p>
    <w:tbl>
      <w:tblPr>
        <w:tblW w:w="7356" w:type="dxa"/>
        <w:tblInd w:w="96" w:type="dxa"/>
        <w:tblLook w:val="04A0"/>
      </w:tblPr>
      <w:tblGrid>
        <w:gridCol w:w="3733"/>
        <w:gridCol w:w="866"/>
        <w:gridCol w:w="964"/>
        <w:gridCol w:w="981"/>
        <w:gridCol w:w="812"/>
      </w:tblGrid>
      <w:tr w:rsidR="00135314" w:rsidRPr="00135314" w:rsidTr="00135314">
        <w:trPr>
          <w:trHeight w:val="225"/>
        </w:trPr>
        <w:tc>
          <w:tcPr>
            <w:tcW w:w="3733"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r w:rsidRPr="00135314">
              <w:rPr>
                <w:rFonts w:ascii="Arial" w:hAnsi="Arial" w:cs="Arial"/>
              </w:rPr>
              <w:t> </w:t>
            </w:r>
          </w:p>
        </w:tc>
        <w:tc>
          <w:tcPr>
            <w:tcW w:w="866"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Buildings</w:t>
            </w:r>
          </w:p>
        </w:tc>
        <w:tc>
          <w:tcPr>
            <w:tcW w:w="964"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Other property,</w:t>
            </w:r>
          </w:p>
        </w:tc>
        <w:tc>
          <w:tcPr>
            <w:tcW w:w="981"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Computer</w:t>
            </w:r>
          </w:p>
        </w:tc>
        <w:tc>
          <w:tcPr>
            <w:tcW w:w="812"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Total</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66"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p>
        </w:tc>
        <w:tc>
          <w:tcPr>
            <w:tcW w:w="964"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plant and</w:t>
            </w:r>
          </w:p>
        </w:tc>
        <w:tc>
          <w:tcPr>
            <w:tcW w:w="981"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software and</w:t>
            </w:r>
          </w:p>
        </w:tc>
        <w:tc>
          <w:tcPr>
            <w:tcW w:w="812"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66"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p>
        </w:tc>
        <w:tc>
          <w:tcPr>
            <w:tcW w:w="964"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equipment</w:t>
            </w:r>
          </w:p>
        </w:tc>
        <w:tc>
          <w:tcPr>
            <w:tcW w:w="981"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intangibles</w:t>
            </w:r>
          </w:p>
        </w:tc>
        <w:tc>
          <w:tcPr>
            <w:tcW w:w="812"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66"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964"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981"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812"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As at 1 July 2016</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rPr>
            </w:pP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Gross book value </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15,678 </w:t>
            </w: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9,433 </w:t>
            </w: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56,693 </w:t>
            </w: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81,804 </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Accumulated depreciation/</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300" w:firstLine="480"/>
              <w:jc w:val="left"/>
              <w:rPr>
                <w:rFonts w:ascii="Arial" w:hAnsi="Arial" w:cs="Arial"/>
              </w:rPr>
            </w:pPr>
            <w:r w:rsidRPr="00135314">
              <w:rPr>
                <w:rFonts w:ascii="Arial" w:hAnsi="Arial" w:cs="Arial"/>
              </w:rPr>
              <w:t>amortisation and impairment</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(3,184)</w:t>
            </w: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(2,679)</w:t>
            </w: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(41,343)</w:t>
            </w: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(47,206)</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Opening net book balance</w:t>
            </w:r>
          </w:p>
        </w:tc>
        <w:tc>
          <w:tcPr>
            <w:tcW w:w="866"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12,494 </w:t>
            </w:r>
          </w:p>
        </w:tc>
        <w:tc>
          <w:tcPr>
            <w:tcW w:w="964"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6,754 </w:t>
            </w:r>
          </w:p>
        </w:tc>
        <w:tc>
          <w:tcPr>
            <w:tcW w:w="981"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15,350 </w:t>
            </w:r>
          </w:p>
        </w:tc>
        <w:tc>
          <w:tcPr>
            <w:tcW w:w="812"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34,598 </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Capital asset additions</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rPr>
            </w:pPr>
            <w:r w:rsidRPr="00135314">
              <w:rPr>
                <w:rFonts w:ascii="Arial" w:hAnsi="Arial" w:cs="Arial"/>
                <w:b/>
                <w:bCs/>
              </w:rPr>
              <w:t xml:space="preserve">Estimated expenditure on </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1"/>
              <w:jc w:val="left"/>
              <w:rPr>
                <w:rFonts w:ascii="Arial" w:hAnsi="Arial" w:cs="Arial"/>
                <w:b/>
                <w:bCs/>
              </w:rPr>
            </w:pPr>
            <w:r w:rsidRPr="00135314">
              <w:rPr>
                <w:rFonts w:ascii="Arial" w:hAnsi="Arial" w:cs="Arial"/>
                <w:b/>
                <w:bCs/>
              </w:rPr>
              <w:t>new or replacement assets</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300" w:firstLine="480"/>
              <w:jc w:val="left"/>
              <w:rPr>
                <w:rFonts w:ascii="Arial" w:hAnsi="Arial" w:cs="Arial"/>
              </w:rPr>
            </w:pPr>
            <w:r w:rsidRPr="00135314">
              <w:rPr>
                <w:rFonts w:ascii="Arial" w:hAnsi="Arial" w:cs="Arial"/>
              </w:rPr>
              <w:t xml:space="preserve">By purchase - appropriation </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r>
      <w:tr w:rsidR="00135314" w:rsidRPr="00135314" w:rsidTr="00135314">
        <w:trPr>
          <w:trHeight w:val="240"/>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400" w:firstLine="640"/>
              <w:jc w:val="left"/>
              <w:rPr>
                <w:rFonts w:ascii="Arial" w:hAnsi="Arial" w:cs="Arial"/>
              </w:rPr>
            </w:pPr>
            <w:r w:rsidRPr="00135314">
              <w:rPr>
                <w:rFonts w:ascii="Arial" w:hAnsi="Arial" w:cs="Arial"/>
              </w:rPr>
              <w:t xml:space="preserve">ordinary annual services </w:t>
            </w:r>
            <w:r w:rsidRPr="00135314">
              <w:rPr>
                <w:rFonts w:ascii="Arial" w:hAnsi="Arial" w:cs="Arial"/>
                <w:vertAlign w:val="superscript"/>
              </w:rPr>
              <w:t>(a)</w:t>
            </w:r>
          </w:p>
        </w:tc>
        <w:tc>
          <w:tcPr>
            <w:tcW w:w="866"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3,000 </w:t>
            </w:r>
          </w:p>
        </w:tc>
        <w:tc>
          <w:tcPr>
            <w:tcW w:w="964"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1,671 </w:t>
            </w:r>
          </w:p>
        </w:tc>
        <w:tc>
          <w:tcPr>
            <w:tcW w:w="981"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1,500 </w:t>
            </w:r>
          </w:p>
        </w:tc>
        <w:tc>
          <w:tcPr>
            <w:tcW w:w="812"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6,171 </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additions</w:t>
            </w:r>
          </w:p>
        </w:tc>
        <w:tc>
          <w:tcPr>
            <w:tcW w:w="866"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3,000 </w:t>
            </w:r>
          </w:p>
        </w:tc>
        <w:tc>
          <w:tcPr>
            <w:tcW w:w="964"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1,671 </w:t>
            </w:r>
          </w:p>
        </w:tc>
        <w:tc>
          <w:tcPr>
            <w:tcW w:w="981"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1,500 </w:t>
            </w:r>
          </w:p>
        </w:tc>
        <w:tc>
          <w:tcPr>
            <w:tcW w:w="812"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6,171 </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Other movements</w:t>
            </w:r>
          </w:p>
        </w:tc>
        <w:tc>
          <w:tcPr>
            <w:tcW w:w="866"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964"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981"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c>
          <w:tcPr>
            <w:tcW w:w="812" w:type="dxa"/>
            <w:tcBorders>
              <w:top w:val="single" w:sz="4" w:space="0" w:color="auto"/>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Depreciation/amortisation expense</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(3,390)</w:t>
            </w: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(2,632)</w:t>
            </w: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(2,697)</w:t>
            </w: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(8,719)</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Total other movements</w:t>
            </w:r>
          </w:p>
        </w:tc>
        <w:tc>
          <w:tcPr>
            <w:tcW w:w="866"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(3,390)</w:t>
            </w:r>
          </w:p>
        </w:tc>
        <w:tc>
          <w:tcPr>
            <w:tcW w:w="964"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(2,632)</w:t>
            </w:r>
          </w:p>
        </w:tc>
        <w:tc>
          <w:tcPr>
            <w:tcW w:w="981"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(2,697)</w:t>
            </w:r>
          </w:p>
        </w:tc>
        <w:tc>
          <w:tcPr>
            <w:tcW w:w="812"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(8,719)</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As at 30 June 2017</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Gross book value</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18,678 </w:t>
            </w: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11,104 </w:t>
            </w: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58,193 </w:t>
            </w: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xml:space="preserve">87,975 </w:t>
            </w: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rPr>
            </w:pPr>
            <w:r w:rsidRPr="00135314">
              <w:rPr>
                <w:rFonts w:ascii="Arial" w:hAnsi="Arial" w:cs="Arial"/>
              </w:rPr>
              <w:t xml:space="preserve">Accumulated depreciation / </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sz w:val="15"/>
                <w:szCs w:val="15"/>
              </w:rPr>
            </w:pPr>
          </w:p>
        </w:tc>
      </w:tr>
      <w:tr w:rsidR="00135314" w:rsidRPr="00135314" w:rsidTr="00135314">
        <w:trPr>
          <w:trHeight w:val="225"/>
        </w:trPr>
        <w:tc>
          <w:tcPr>
            <w:tcW w:w="3733"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amortisation and impairment</w:t>
            </w:r>
          </w:p>
        </w:tc>
        <w:tc>
          <w:tcPr>
            <w:tcW w:w="866"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(6,574)</w:t>
            </w:r>
          </w:p>
        </w:tc>
        <w:tc>
          <w:tcPr>
            <w:tcW w:w="964"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(5,311)</w:t>
            </w:r>
          </w:p>
        </w:tc>
        <w:tc>
          <w:tcPr>
            <w:tcW w:w="981"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(44,040)</w:t>
            </w:r>
          </w:p>
        </w:tc>
        <w:tc>
          <w:tcPr>
            <w:tcW w:w="812"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(55,925)</w:t>
            </w:r>
          </w:p>
        </w:tc>
      </w:tr>
      <w:tr w:rsidR="00135314" w:rsidRPr="00135314" w:rsidTr="00135314">
        <w:trPr>
          <w:trHeight w:val="225"/>
        </w:trPr>
        <w:tc>
          <w:tcPr>
            <w:tcW w:w="3733"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rPr>
            </w:pPr>
            <w:r w:rsidRPr="00135314">
              <w:rPr>
                <w:rFonts w:ascii="Arial" w:hAnsi="Arial" w:cs="Arial"/>
                <w:b/>
                <w:bCs/>
              </w:rPr>
              <w:t>Closing net book balance</w:t>
            </w:r>
          </w:p>
        </w:tc>
        <w:tc>
          <w:tcPr>
            <w:tcW w:w="866"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12,104 </w:t>
            </w:r>
          </w:p>
        </w:tc>
        <w:tc>
          <w:tcPr>
            <w:tcW w:w="964"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5,793 </w:t>
            </w:r>
          </w:p>
        </w:tc>
        <w:tc>
          <w:tcPr>
            <w:tcW w:w="981"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14,153 </w:t>
            </w:r>
          </w:p>
        </w:tc>
        <w:tc>
          <w:tcPr>
            <w:tcW w:w="812"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rPr>
            </w:pPr>
            <w:r w:rsidRPr="00135314">
              <w:rPr>
                <w:rFonts w:ascii="Arial" w:hAnsi="Arial" w:cs="Arial"/>
                <w:b/>
                <w:bCs/>
              </w:rPr>
              <w:t xml:space="preserve">32,050 </w:t>
            </w:r>
          </w:p>
        </w:tc>
      </w:tr>
    </w:tbl>
    <w:p w:rsidR="004F7A4C" w:rsidRPr="004F7A4C" w:rsidRDefault="004F7A4C" w:rsidP="004F7A4C">
      <w:pPr>
        <w:tabs>
          <w:tab w:val="left" w:pos="284"/>
        </w:tabs>
        <w:spacing w:after="0" w:line="240" w:lineRule="auto"/>
        <w:jc w:val="both"/>
        <w:rPr>
          <w:rFonts w:ascii="Arial" w:hAnsi="Arial"/>
          <w:szCs w:val="20"/>
        </w:rPr>
      </w:pPr>
      <w:proofErr w:type="gramStart"/>
      <w:r w:rsidRPr="004F7A4C">
        <w:rPr>
          <w:rFonts w:ascii="Arial" w:hAnsi="Arial"/>
          <w:szCs w:val="20"/>
        </w:rPr>
        <w:t>Prepared on Australian Accounting Standards basis.</w:t>
      </w:r>
      <w:proofErr w:type="gramEnd"/>
    </w:p>
    <w:p w:rsidR="004F7A4C" w:rsidRPr="004F7A4C" w:rsidRDefault="004F7A4C" w:rsidP="0045777B">
      <w:pPr>
        <w:numPr>
          <w:ilvl w:val="0"/>
          <w:numId w:val="43"/>
        </w:numPr>
        <w:spacing w:after="0" w:line="240" w:lineRule="auto"/>
        <w:ind w:left="284" w:hanging="284"/>
        <w:jc w:val="left"/>
        <w:rPr>
          <w:rFonts w:ascii="Arial" w:hAnsi="Arial"/>
          <w:szCs w:val="20"/>
        </w:rPr>
      </w:pPr>
      <w:r w:rsidRPr="004F7A4C">
        <w:rPr>
          <w:rFonts w:ascii="Arial" w:hAnsi="Arial"/>
          <w:szCs w:val="20"/>
        </w:rPr>
        <w:t>‘Appropriation ordinary annual services’ refers to funding provided through Appropriation Bill (No.1) 2016-17 for depreciation/ amortisation expenses, DCBs or other operational expenses.</w:t>
      </w:r>
    </w:p>
    <w:p w:rsidR="004F7A4C" w:rsidRPr="004F7A4C" w:rsidRDefault="004F7A4C" w:rsidP="004F7A4C">
      <w:pPr>
        <w:keepNext/>
        <w:spacing w:before="120" w:after="20" w:line="240" w:lineRule="auto"/>
        <w:jc w:val="left"/>
        <w:rPr>
          <w:rFonts w:ascii="Arial" w:hAnsi="Arial"/>
          <w:b/>
          <w:color w:val="000000"/>
          <w:sz w:val="20"/>
          <w:szCs w:val="20"/>
        </w:rPr>
      </w:pPr>
      <w:r w:rsidRPr="004F7A4C">
        <w:rPr>
          <w:rFonts w:ascii="Arial" w:hAnsi="Arial"/>
          <w:b/>
          <w:color w:val="000000"/>
          <w:sz w:val="20"/>
          <w:szCs w:val="20"/>
        </w:rPr>
        <w:br w:type="page"/>
      </w:r>
    </w:p>
    <w:p w:rsidR="004F7A4C" w:rsidRPr="004F7A4C" w:rsidRDefault="004F7A4C" w:rsidP="004A060A">
      <w:pPr>
        <w:pStyle w:val="Heading5"/>
        <w:spacing w:after="0"/>
      </w:pPr>
      <w:r w:rsidRPr="004F7A4C">
        <w:lastRenderedPageBreak/>
        <w:t>Table 3.7: Schedule of Budgeted Income and Expenses Administered on Behalf of Government (for the Period Ended 30 June)</w:t>
      </w:r>
    </w:p>
    <w:tbl>
      <w:tblPr>
        <w:tblW w:w="7140" w:type="dxa"/>
        <w:tblInd w:w="96" w:type="dxa"/>
        <w:tblLook w:val="04A0"/>
      </w:tblPr>
      <w:tblGrid>
        <w:gridCol w:w="3000"/>
        <w:gridCol w:w="928"/>
        <w:gridCol w:w="840"/>
        <w:gridCol w:w="821"/>
        <w:gridCol w:w="821"/>
        <w:gridCol w:w="821"/>
      </w:tblGrid>
      <w:tr w:rsidR="00135314" w:rsidRPr="00135314" w:rsidTr="00135314">
        <w:trPr>
          <w:trHeight w:val="225"/>
        </w:trPr>
        <w:tc>
          <w:tcPr>
            <w:tcW w:w="300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4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2015-16</w:t>
            </w:r>
          </w:p>
        </w:tc>
        <w:tc>
          <w:tcPr>
            <w:tcW w:w="840" w:type="dxa"/>
            <w:tcBorders>
              <w:top w:val="single" w:sz="4" w:space="0" w:color="auto"/>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c>
          <w:tcPr>
            <w:tcW w:w="82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2017-18</w:t>
            </w:r>
          </w:p>
        </w:tc>
        <w:tc>
          <w:tcPr>
            <w:tcW w:w="82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2018-19</w:t>
            </w:r>
          </w:p>
        </w:tc>
        <w:tc>
          <w:tcPr>
            <w:tcW w:w="82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2019-20</w:t>
            </w:r>
          </w:p>
        </w:tc>
      </w:tr>
      <w:tr w:rsidR="00135314" w:rsidRPr="00135314" w:rsidTr="00135314">
        <w:trPr>
          <w:trHeight w:val="225"/>
        </w:trPr>
        <w:tc>
          <w:tcPr>
            <w:tcW w:w="30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Estimated</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Budget</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r>
      <w:tr w:rsidR="00135314" w:rsidRPr="00135314" w:rsidTr="00135314">
        <w:trPr>
          <w:trHeight w:val="225"/>
        </w:trPr>
        <w:tc>
          <w:tcPr>
            <w:tcW w:w="300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4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actual</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2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r>
      <w:tr w:rsidR="00135314" w:rsidRPr="00135314" w:rsidTr="00135314">
        <w:trPr>
          <w:trHeight w:val="225"/>
        </w:trPr>
        <w:tc>
          <w:tcPr>
            <w:tcW w:w="3000" w:type="dxa"/>
            <w:tcBorders>
              <w:top w:val="nil"/>
              <w:left w:val="nil"/>
              <w:bottom w:val="nil"/>
              <w:right w:val="nil"/>
            </w:tcBorders>
            <w:shd w:val="clear" w:color="auto" w:fill="auto"/>
            <w:noWrap/>
            <w:hideMark/>
          </w:tcPr>
          <w:p w:rsidR="00135314" w:rsidRPr="00135314" w:rsidRDefault="00135314" w:rsidP="00135314">
            <w:pPr>
              <w:spacing w:after="0" w:line="240" w:lineRule="auto"/>
              <w:jc w:val="left"/>
              <w:rPr>
                <w:rFonts w:ascii="Arial" w:hAnsi="Arial" w:cs="Arial"/>
                <w:b/>
                <w:bCs/>
              </w:rPr>
            </w:pPr>
          </w:p>
        </w:tc>
        <w:tc>
          <w:tcPr>
            <w:tcW w:w="84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2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EXPENSES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Other expenses</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664 </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76,000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76,000 </w:t>
            </w: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Total expenses administered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on behalf of government</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664 </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76,000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76,000 </w:t>
            </w: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LESS: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OWN-SOURCE INCOME</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Non-taxation revenue</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200" w:firstLine="320"/>
              <w:jc w:val="left"/>
              <w:rPr>
                <w:rFonts w:ascii="Arial" w:hAnsi="Arial" w:cs="Arial"/>
              </w:rPr>
            </w:pPr>
            <w:r w:rsidRPr="00135314">
              <w:rPr>
                <w:rFonts w:ascii="Arial" w:hAnsi="Arial" w:cs="Arial"/>
              </w:rPr>
              <w:t>Fees and fines</w:t>
            </w:r>
          </w:p>
        </w:tc>
        <w:tc>
          <w:tcPr>
            <w:tcW w:w="84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33 </w:t>
            </w: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2,000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66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33 </w:t>
            </w:r>
          </w:p>
        </w:tc>
        <w:tc>
          <w:tcPr>
            <w:tcW w:w="82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2,000 </w:t>
            </w: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non-taxation revenue</w:t>
            </w:r>
          </w:p>
        </w:tc>
        <w:tc>
          <w:tcPr>
            <w:tcW w:w="84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40" w:type="dxa"/>
            <w:tcBorders>
              <w:top w:val="single" w:sz="4" w:space="0" w:color="auto"/>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2,000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20" w:type="dxa"/>
            <w:tcBorders>
              <w:top w:val="single" w:sz="4" w:space="0" w:color="auto"/>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2,000 </w:t>
            </w: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Total own-source revenue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 xml:space="preserve">administered on behalf </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of government</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2,000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2,000 </w:t>
            </w: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Net cost of/</w:t>
            </w:r>
          </w:p>
        </w:tc>
        <w:tc>
          <w:tcPr>
            <w:tcW w:w="84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4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2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300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(contribution by) services</w:t>
            </w:r>
          </w:p>
        </w:tc>
        <w:tc>
          <w:tcPr>
            <w:tcW w:w="84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(631)</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(74,000)</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2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(74,000)</w:t>
            </w:r>
          </w:p>
        </w:tc>
      </w:tr>
      <w:tr w:rsidR="00135314" w:rsidRPr="00135314" w:rsidTr="00135314">
        <w:trPr>
          <w:trHeight w:val="225"/>
        </w:trPr>
        <w:tc>
          <w:tcPr>
            <w:tcW w:w="300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comprehensive income/(loss)</w:t>
            </w:r>
          </w:p>
        </w:tc>
        <w:tc>
          <w:tcPr>
            <w:tcW w:w="84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(631)</w:t>
            </w:r>
          </w:p>
        </w:tc>
        <w:tc>
          <w:tcPr>
            <w:tcW w:w="84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(74,000)</w:t>
            </w:r>
          </w:p>
        </w:tc>
        <w:tc>
          <w:tcPr>
            <w:tcW w:w="82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 </w:t>
            </w:r>
          </w:p>
        </w:tc>
        <w:tc>
          <w:tcPr>
            <w:tcW w:w="82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2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(74,000)</w:t>
            </w:r>
          </w:p>
        </w:tc>
      </w:tr>
    </w:tbl>
    <w:p w:rsidR="004F7A4C" w:rsidRPr="004F7A4C" w:rsidRDefault="004F7A4C" w:rsidP="004F7A4C">
      <w:pPr>
        <w:tabs>
          <w:tab w:val="left" w:pos="284"/>
        </w:tabs>
        <w:spacing w:after="0" w:line="240" w:lineRule="auto"/>
        <w:jc w:val="both"/>
        <w:rPr>
          <w:rFonts w:ascii="Arial" w:hAnsi="Arial"/>
          <w:szCs w:val="20"/>
        </w:rPr>
      </w:pPr>
      <w:proofErr w:type="gramStart"/>
      <w:r w:rsidRPr="004F7A4C">
        <w:rPr>
          <w:rFonts w:ascii="Arial" w:hAnsi="Arial"/>
          <w:szCs w:val="20"/>
        </w:rPr>
        <w:t>Prepared on Australian Accounting Standards basis.</w:t>
      </w:r>
      <w:proofErr w:type="gramEnd"/>
    </w:p>
    <w:p w:rsidR="004F7A4C" w:rsidRPr="004F7A4C" w:rsidRDefault="004F7A4C" w:rsidP="004F7A4C">
      <w:pPr>
        <w:keepNext/>
        <w:spacing w:before="120" w:after="20" w:line="240" w:lineRule="auto"/>
        <w:jc w:val="left"/>
        <w:rPr>
          <w:rFonts w:ascii="Arial" w:hAnsi="Arial"/>
          <w:b/>
          <w:color w:val="000000"/>
          <w:sz w:val="20"/>
          <w:szCs w:val="20"/>
        </w:rPr>
      </w:pPr>
    </w:p>
    <w:p w:rsidR="004F7A4C" w:rsidRPr="004F7A4C" w:rsidRDefault="004F7A4C" w:rsidP="004F7A4C">
      <w:pPr>
        <w:spacing w:after="0" w:line="240" w:lineRule="auto"/>
        <w:ind w:right="-113"/>
        <w:jc w:val="both"/>
        <w:rPr>
          <w:rFonts w:ascii="Book Antiqua" w:hAnsi="Book Antiqua"/>
          <w:sz w:val="20"/>
          <w:szCs w:val="20"/>
        </w:rPr>
      </w:pPr>
    </w:p>
    <w:p w:rsidR="004F7A4C" w:rsidRPr="004F7A4C" w:rsidRDefault="004F7A4C" w:rsidP="004A060A">
      <w:pPr>
        <w:pStyle w:val="Heading5"/>
      </w:pPr>
      <w:r w:rsidRPr="004F7A4C">
        <w:t>Table 3.8: Schedule of Budgeted Assets and Liabilities Administered on Behalf of Government (as at 30 June)</w:t>
      </w:r>
    </w:p>
    <w:p w:rsidR="004F7A4C" w:rsidRPr="002606CB" w:rsidRDefault="004F7A4C" w:rsidP="0015364F">
      <w:pPr>
        <w:jc w:val="left"/>
        <w:rPr>
          <w:rFonts w:ascii="Book Antiqua" w:hAnsi="Book Antiqua"/>
          <w:sz w:val="20"/>
          <w:szCs w:val="20"/>
        </w:rPr>
      </w:pPr>
      <w:r w:rsidRPr="004F7A4C">
        <w:rPr>
          <w:rFonts w:ascii="Book Antiqua" w:hAnsi="Book Antiqua"/>
          <w:sz w:val="20"/>
          <w:szCs w:val="20"/>
        </w:rPr>
        <w:t xml:space="preserve">The AEC has no budgeted assets and liabilities administered on behalf of the government. </w:t>
      </w:r>
    </w:p>
    <w:p w:rsidR="00135314" w:rsidRDefault="00135314">
      <w:pPr>
        <w:spacing w:after="0" w:line="240" w:lineRule="auto"/>
        <w:jc w:val="left"/>
        <w:rPr>
          <w:rFonts w:ascii="Arial" w:hAnsi="Arial"/>
          <w:b/>
          <w:bCs/>
          <w:iCs/>
          <w:sz w:val="20"/>
          <w:szCs w:val="26"/>
        </w:rPr>
      </w:pPr>
      <w:r>
        <w:br w:type="page"/>
      </w:r>
    </w:p>
    <w:p w:rsidR="004F7A4C" w:rsidRPr="004F7A4C" w:rsidRDefault="004F7A4C" w:rsidP="004A060A">
      <w:pPr>
        <w:pStyle w:val="Heading5"/>
        <w:spacing w:after="0"/>
      </w:pPr>
      <w:r w:rsidRPr="004F7A4C">
        <w:lastRenderedPageBreak/>
        <w:t>Table 3.9: Schedule of Budgeted Administered Cash Flows (for the Period Ended 30 June)</w:t>
      </w:r>
    </w:p>
    <w:tbl>
      <w:tblPr>
        <w:tblW w:w="7360" w:type="dxa"/>
        <w:tblInd w:w="96" w:type="dxa"/>
        <w:tblLook w:val="04A0"/>
      </w:tblPr>
      <w:tblGrid>
        <w:gridCol w:w="2960"/>
        <w:gridCol w:w="928"/>
        <w:gridCol w:w="880"/>
        <w:gridCol w:w="880"/>
        <w:gridCol w:w="880"/>
        <w:gridCol w:w="880"/>
      </w:tblGrid>
      <w:tr w:rsidR="00135314" w:rsidRPr="00135314" w:rsidTr="00135314">
        <w:trPr>
          <w:trHeight w:val="225"/>
        </w:trPr>
        <w:tc>
          <w:tcPr>
            <w:tcW w:w="2960" w:type="dxa"/>
            <w:tcBorders>
              <w:top w:val="single" w:sz="4" w:space="0" w:color="auto"/>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w:t>
            </w:r>
          </w:p>
        </w:tc>
        <w:tc>
          <w:tcPr>
            <w:tcW w:w="88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2015-16</w:t>
            </w:r>
          </w:p>
        </w:tc>
        <w:tc>
          <w:tcPr>
            <w:tcW w:w="880" w:type="dxa"/>
            <w:tcBorders>
              <w:top w:val="single" w:sz="4" w:space="0" w:color="auto"/>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2016-17</w:t>
            </w:r>
          </w:p>
        </w:tc>
        <w:tc>
          <w:tcPr>
            <w:tcW w:w="88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2017-18</w:t>
            </w:r>
          </w:p>
        </w:tc>
        <w:tc>
          <w:tcPr>
            <w:tcW w:w="88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2018-19</w:t>
            </w:r>
          </w:p>
        </w:tc>
        <w:tc>
          <w:tcPr>
            <w:tcW w:w="880" w:type="dxa"/>
            <w:tcBorders>
              <w:top w:val="single" w:sz="4" w:space="0" w:color="auto"/>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2019-20</w:t>
            </w:r>
          </w:p>
        </w:tc>
      </w:tr>
      <w:tr w:rsidR="00135314" w:rsidRPr="00135314" w:rsidTr="00135314">
        <w:trPr>
          <w:trHeight w:val="225"/>
        </w:trPr>
        <w:tc>
          <w:tcPr>
            <w:tcW w:w="29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Estimated</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Budget</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Forward</w:t>
            </w:r>
          </w:p>
        </w:tc>
      </w:tr>
      <w:tr w:rsidR="00135314" w:rsidRPr="00135314" w:rsidTr="00135314">
        <w:trPr>
          <w:trHeight w:val="225"/>
        </w:trPr>
        <w:tc>
          <w:tcPr>
            <w:tcW w:w="29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actual</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 </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c>
          <w:tcPr>
            <w:tcW w:w="880" w:type="dxa"/>
            <w:tcBorders>
              <w:top w:val="nil"/>
              <w:left w:val="nil"/>
              <w:bottom w:val="nil"/>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estimate</w:t>
            </w:r>
          </w:p>
        </w:tc>
      </w:tr>
      <w:tr w:rsidR="00135314" w:rsidRPr="00135314" w:rsidTr="00135314">
        <w:trPr>
          <w:trHeight w:val="225"/>
        </w:trPr>
        <w:tc>
          <w:tcPr>
            <w:tcW w:w="2960" w:type="dxa"/>
            <w:tcBorders>
              <w:top w:val="nil"/>
              <w:left w:val="nil"/>
              <w:bottom w:val="nil"/>
              <w:right w:val="nil"/>
            </w:tcBorders>
            <w:shd w:val="clear" w:color="auto" w:fill="auto"/>
            <w:noWrap/>
            <w:hideMark/>
          </w:tcPr>
          <w:p w:rsidR="00135314" w:rsidRPr="00135314" w:rsidRDefault="00135314" w:rsidP="00135314">
            <w:pPr>
              <w:spacing w:after="0" w:line="240" w:lineRule="auto"/>
              <w:jc w:val="left"/>
              <w:rPr>
                <w:rFonts w:ascii="Arial" w:hAnsi="Arial" w:cs="Arial"/>
                <w:b/>
                <w:bCs/>
              </w:rPr>
            </w:pPr>
          </w:p>
        </w:tc>
        <w:tc>
          <w:tcPr>
            <w:tcW w:w="88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rPr>
            </w:pPr>
            <w:r w:rsidRPr="00135314">
              <w:rPr>
                <w:rFonts w:ascii="Arial" w:hAnsi="Arial" w:cs="Arial"/>
              </w:rPr>
              <w:t>$'000</w:t>
            </w:r>
          </w:p>
        </w:tc>
        <w:tc>
          <w:tcPr>
            <w:tcW w:w="88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8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c>
          <w:tcPr>
            <w:tcW w:w="880" w:type="dxa"/>
            <w:tcBorders>
              <w:top w:val="nil"/>
              <w:left w:val="nil"/>
              <w:bottom w:val="single" w:sz="4" w:space="0" w:color="auto"/>
              <w:right w:val="nil"/>
            </w:tcBorders>
            <w:shd w:val="clear" w:color="auto" w:fill="auto"/>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$'000</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OPERATING ACTIVITIES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Cash received</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Other</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33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2,000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66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33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2,000 </w:t>
            </w:r>
          </w:p>
        </w:tc>
      </w:tr>
      <w:tr w:rsidR="00135314" w:rsidRPr="00135314" w:rsidTr="00135314">
        <w:trPr>
          <w:trHeight w:val="282"/>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cash received</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8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2,000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2,000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Cash used</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Other</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664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76,000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76,000 </w:t>
            </w:r>
          </w:p>
        </w:tc>
      </w:tr>
      <w:tr w:rsidR="00135314" w:rsidRPr="00135314" w:rsidTr="00135314">
        <w:trPr>
          <w:trHeight w:val="282"/>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Total cash used</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664 </w:t>
            </w:r>
          </w:p>
        </w:tc>
        <w:tc>
          <w:tcPr>
            <w:tcW w:w="880" w:type="dxa"/>
            <w:tcBorders>
              <w:top w:val="single" w:sz="4" w:space="0" w:color="000000"/>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76,000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single" w:sz="4" w:space="0" w:color="000000"/>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76,000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Net cash from/(used by)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c>
          <w:tcPr>
            <w:tcW w:w="88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b/>
                <w:bCs/>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operating activities</w:t>
            </w:r>
          </w:p>
        </w:tc>
        <w:tc>
          <w:tcPr>
            <w:tcW w:w="88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(631)</w:t>
            </w:r>
          </w:p>
        </w:tc>
        <w:tc>
          <w:tcPr>
            <w:tcW w:w="880" w:type="dxa"/>
            <w:tcBorders>
              <w:top w:val="nil"/>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(74,000)</w:t>
            </w:r>
          </w:p>
        </w:tc>
        <w:tc>
          <w:tcPr>
            <w:tcW w:w="88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 </w:t>
            </w:r>
          </w:p>
        </w:tc>
        <w:tc>
          <w:tcPr>
            <w:tcW w:w="88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8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(74,000)</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Net increase/(decrease)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in cash held</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(631)</w:t>
            </w:r>
          </w:p>
        </w:tc>
        <w:tc>
          <w:tcPr>
            <w:tcW w:w="880" w:type="dxa"/>
            <w:tcBorders>
              <w:top w:val="nil"/>
              <w:left w:val="nil"/>
              <w:bottom w:val="single" w:sz="4" w:space="0" w:color="auto"/>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(74,000)</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66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33 </w:t>
            </w:r>
          </w:p>
        </w:tc>
        <w:tc>
          <w:tcPr>
            <w:tcW w:w="880" w:type="dxa"/>
            <w:tcBorders>
              <w:top w:val="nil"/>
              <w:left w:val="nil"/>
              <w:bottom w:val="single" w:sz="4" w:space="0" w:color="auto"/>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(74,000)</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 xml:space="preserve">Cash and cash equivalents at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beginning of reporting period</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Cash from Official Public Account for</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Appropriations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664 </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76,000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xml:space="preserve">76,000 </w:t>
            </w:r>
          </w:p>
        </w:tc>
      </w:tr>
      <w:tr w:rsidR="00135314" w:rsidRPr="00135314" w:rsidTr="00135314">
        <w:trPr>
          <w:trHeight w:val="225"/>
        </w:trPr>
        <w:tc>
          <w:tcPr>
            <w:tcW w:w="29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jc w:val="left"/>
              <w:rPr>
                <w:rFonts w:ascii="Arial" w:hAnsi="Arial" w:cs="Arial"/>
                <w:color w:val="000000"/>
              </w:rPr>
            </w:pPr>
            <w:r w:rsidRPr="00135314">
              <w:rPr>
                <w:rFonts w:ascii="Arial" w:hAnsi="Arial" w:cs="Arial"/>
                <w:color w:val="000000"/>
              </w:rPr>
              <w:t>Cash to Official Public Account for</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 </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p>
        </w:tc>
      </w:tr>
      <w:tr w:rsidR="00135314" w:rsidRPr="00135314" w:rsidTr="00135314">
        <w:trPr>
          <w:trHeight w:val="225"/>
        </w:trPr>
        <w:tc>
          <w:tcPr>
            <w:tcW w:w="2960" w:type="dxa"/>
            <w:tcBorders>
              <w:top w:val="nil"/>
              <w:left w:val="nil"/>
              <w:bottom w:val="nil"/>
              <w:right w:val="nil"/>
            </w:tcBorders>
            <w:shd w:val="clear" w:color="auto" w:fill="auto"/>
            <w:noWrap/>
            <w:vAlign w:val="center"/>
            <w:hideMark/>
          </w:tcPr>
          <w:p w:rsidR="00135314" w:rsidRPr="00135314" w:rsidRDefault="00135314" w:rsidP="00135314">
            <w:pPr>
              <w:spacing w:after="0" w:line="240" w:lineRule="auto"/>
              <w:ind w:firstLineChars="100" w:firstLine="160"/>
              <w:jc w:val="left"/>
              <w:rPr>
                <w:rFonts w:ascii="Arial" w:hAnsi="Arial" w:cs="Arial"/>
                <w:color w:val="000000"/>
              </w:rPr>
            </w:pPr>
            <w:r w:rsidRPr="00135314">
              <w:rPr>
                <w:rFonts w:ascii="Arial" w:hAnsi="Arial" w:cs="Arial"/>
                <w:color w:val="000000"/>
              </w:rPr>
              <w:t>Appropriations</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(33)</w:t>
            </w:r>
          </w:p>
        </w:tc>
        <w:tc>
          <w:tcPr>
            <w:tcW w:w="880" w:type="dxa"/>
            <w:tcBorders>
              <w:top w:val="nil"/>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(2,000)</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(66)</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(33)</w:t>
            </w:r>
          </w:p>
        </w:tc>
        <w:tc>
          <w:tcPr>
            <w:tcW w:w="880" w:type="dxa"/>
            <w:tcBorders>
              <w:top w:val="nil"/>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color w:val="000000"/>
              </w:rPr>
            </w:pPr>
            <w:r w:rsidRPr="00135314">
              <w:rPr>
                <w:rFonts w:ascii="Arial" w:hAnsi="Arial" w:cs="Arial"/>
                <w:color w:val="000000"/>
              </w:rPr>
              <w:t>(2,000)</w:t>
            </w:r>
          </w:p>
        </w:tc>
      </w:tr>
      <w:tr w:rsidR="00135314" w:rsidRPr="00135314" w:rsidTr="00135314">
        <w:trPr>
          <w:trHeight w:val="225"/>
        </w:trPr>
        <w:tc>
          <w:tcPr>
            <w:tcW w:w="2960" w:type="dxa"/>
            <w:tcBorders>
              <w:top w:val="nil"/>
              <w:left w:val="nil"/>
              <w:bottom w:val="nil"/>
              <w:right w:val="nil"/>
            </w:tcBorders>
            <w:shd w:val="clear" w:color="auto" w:fill="auto"/>
            <w:vAlign w:val="center"/>
            <w:hideMark/>
          </w:tcPr>
          <w:p w:rsidR="00135314" w:rsidRPr="00135314" w:rsidRDefault="00135314" w:rsidP="00135314">
            <w:pPr>
              <w:spacing w:after="0" w:line="240" w:lineRule="auto"/>
              <w:jc w:val="left"/>
              <w:rPr>
                <w:rFonts w:ascii="Arial" w:hAnsi="Arial" w:cs="Arial"/>
                <w:b/>
                <w:bCs/>
                <w:color w:val="000000"/>
              </w:rPr>
            </w:pPr>
            <w:r w:rsidRPr="00135314">
              <w:rPr>
                <w:rFonts w:ascii="Arial" w:hAnsi="Arial" w:cs="Arial"/>
                <w:b/>
                <w:bCs/>
                <w:color w:val="000000"/>
              </w:rPr>
              <w:t xml:space="preserve">Cash and cash equivalents at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single" w:sz="4" w:space="0" w:color="000000"/>
              <w:left w:val="nil"/>
              <w:bottom w:val="nil"/>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c>
          <w:tcPr>
            <w:tcW w:w="880" w:type="dxa"/>
            <w:tcBorders>
              <w:top w:val="single" w:sz="4" w:space="0" w:color="000000"/>
              <w:left w:val="nil"/>
              <w:bottom w:val="nil"/>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w:t>
            </w:r>
          </w:p>
        </w:tc>
      </w:tr>
      <w:tr w:rsidR="00135314" w:rsidRPr="00135314" w:rsidTr="00135314">
        <w:trPr>
          <w:trHeight w:val="225"/>
        </w:trPr>
        <w:tc>
          <w:tcPr>
            <w:tcW w:w="2960" w:type="dxa"/>
            <w:tcBorders>
              <w:top w:val="nil"/>
              <w:left w:val="nil"/>
              <w:bottom w:val="single" w:sz="4" w:space="0" w:color="auto"/>
              <w:right w:val="nil"/>
            </w:tcBorders>
            <w:shd w:val="clear" w:color="auto" w:fill="auto"/>
            <w:vAlign w:val="center"/>
            <w:hideMark/>
          </w:tcPr>
          <w:p w:rsidR="00135314" w:rsidRPr="00135314" w:rsidRDefault="00135314" w:rsidP="00135314">
            <w:pPr>
              <w:spacing w:after="0" w:line="240" w:lineRule="auto"/>
              <w:ind w:firstLineChars="100" w:firstLine="161"/>
              <w:jc w:val="left"/>
              <w:rPr>
                <w:rFonts w:ascii="Arial" w:hAnsi="Arial" w:cs="Arial"/>
                <w:b/>
                <w:bCs/>
                <w:color w:val="000000"/>
              </w:rPr>
            </w:pPr>
            <w:r w:rsidRPr="00135314">
              <w:rPr>
                <w:rFonts w:ascii="Arial" w:hAnsi="Arial" w:cs="Arial"/>
                <w:b/>
                <w:bCs/>
                <w:color w:val="000000"/>
              </w:rPr>
              <w:t>the end of reporting period</w:t>
            </w:r>
          </w:p>
        </w:tc>
        <w:tc>
          <w:tcPr>
            <w:tcW w:w="88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000000"/>
              <w:right w:val="nil"/>
            </w:tcBorders>
            <w:shd w:val="clear" w:color="000000" w:fill="E6E6E6"/>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c>
          <w:tcPr>
            <w:tcW w:w="880" w:type="dxa"/>
            <w:tcBorders>
              <w:top w:val="nil"/>
              <w:left w:val="nil"/>
              <w:bottom w:val="single" w:sz="4" w:space="0" w:color="000000"/>
              <w:right w:val="nil"/>
            </w:tcBorders>
            <w:shd w:val="clear" w:color="auto" w:fill="auto"/>
            <w:noWrap/>
            <w:vAlign w:val="bottom"/>
            <w:hideMark/>
          </w:tcPr>
          <w:p w:rsidR="00135314" w:rsidRPr="00135314" w:rsidRDefault="00135314" w:rsidP="00135314">
            <w:pPr>
              <w:spacing w:after="0" w:line="240" w:lineRule="auto"/>
              <w:jc w:val="right"/>
              <w:rPr>
                <w:rFonts w:ascii="Arial" w:hAnsi="Arial" w:cs="Arial"/>
                <w:b/>
                <w:bCs/>
                <w:color w:val="000000"/>
              </w:rPr>
            </w:pPr>
            <w:r w:rsidRPr="00135314">
              <w:rPr>
                <w:rFonts w:ascii="Arial" w:hAnsi="Arial" w:cs="Arial"/>
                <w:b/>
                <w:bCs/>
                <w:color w:val="000000"/>
              </w:rPr>
              <w:t xml:space="preserve">- </w:t>
            </w:r>
          </w:p>
        </w:tc>
      </w:tr>
    </w:tbl>
    <w:p w:rsidR="004F7A4C" w:rsidRPr="004F7A4C" w:rsidRDefault="004F7A4C" w:rsidP="004F7A4C">
      <w:pPr>
        <w:tabs>
          <w:tab w:val="left" w:pos="284"/>
        </w:tabs>
        <w:spacing w:after="0" w:line="240" w:lineRule="auto"/>
        <w:jc w:val="both"/>
        <w:rPr>
          <w:rFonts w:ascii="Arial" w:hAnsi="Arial"/>
          <w:szCs w:val="20"/>
        </w:rPr>
      </w:pPr>
      <w:proofErr w:type="gramStart"/>
      <w:r w:rsidRPr="004F7A4C">
        <w:rPr>
          <w:rFonts w:ascii="Arial" w:hAnsi="Arial"/>
          <w:szCs w:val="20"/>
        </w:rPr>
        <w:t>Prepared on Australian Accounting Standards basis.</w:t>
      </w:r>
      <w:proofErr w:type="gramEnd"/>
    </w:p>
    <w:p w:rsidR="004F7A4C" w:rsidRPr="004F7A4C" w:rsidRDefault="004F7A4C" w:rsidP="004F7A4C">
      <w:pPr>
        <w:spacing w:after="0" w:line="240" w:lineRule="auto"/>
        <w:jc w:val="left"/>
        <w:rPr>
          <w:rFonts w:ascii="Book Antiqua" w:hAnsi="Book Antiqua"/>
          <w:i/>
          <w:color w:val="FF0000"/>
          <w:sz w:val="20"/>
          <w:szCs w:val="20"/>
        </w:rPr>
      </w:pPr>
    </w:p>
    <w:p w:rsidR="004F7A4C" w:rsidRPr="004F7A4C" w:rsidRDefault="004F7A4C" w:rsidP="004F7A4C">
      <w:pPr>
        <w:spacing w:after="0" w:line="240" w:lineRule="auto"/>
        <w:jc w:val="left"/>
        <w:rPr>
          <w:rFonts w:ascii="Book Antiqua" w:hAnsi="Book Antiqua"/>
          <w:i/>
          <w:color w:val="FF0000"/>
          <w:sz w:val="20"/>
          <w:szCs w:val="20"/>
        </w:rPr>
      </w:pPr>
    </w:p>
    <w:p w:rsidR="004F7A4C" w:rsidRDefault="004F7A4C" w:rsidP="004F7A4C">
      <w:pPr>
        <w:spacing w:after="0" w:line="240" w:lineRule="auto"/>
        <w:jc w:val="both"/>
        <w:rPr>
          <w:rFonts w:ascii="Arial" w:hAnsi="Arial"/>
          <w:b/>
          <w:smallCaps/>
          <w:kern w:val="28"/>
          <w:sz w:val="34"/>
          <w:szCs w:val="20"/>
        </w:rPr>
      </w:pPr>
    </w:p>
    <w:p w:rsidR="00F509C3" w:rsidRDefault="00F509C3" w:rsidP="005736DA">
      <w:pPr>
        <w:spacing w:before="1320" w:after="0" w:line="240" w:lineRule="auto"/>
        <w:rPr>
          <w:rFonts w:ascii="Arial" w:hAnsi="Arial"/>
          <w:b/>
          <w:sz w:val="52"/>
          <w:szCs w:val="20"/>
        </w:rPr>
        <w:sectPr w:rsidR="00F509C3" w:rsidSect="00A101CB">
          <w:headerReference w:type="even" r:id="rId14"/>
          <w:headerReference w:type="default" r:id="rId15"/>
          <w:type w:val="oddPage"/>
          <w:pgSz w:w="11906" w:h="16838" w:code="9"/>
          <w:pgMar w:top="2466" w:right="2098" w:bottom="2466" w:left="2098" w:header="1899" w:footer="1899" w:gutter="0"/>
          <w:cols w:space="708"/>
          <w:titlePg/>
          <w:docGrid w:linePitch="360"/>
        </w:sectPr>
      </w:pPr>
    </w:p>
    <w:p w:rsidR="005736DA" w:rsidRDefault="005736DA" w:rsidP="005736DA">
      <w:pPr>
        <w:spacing w:before="1320" w:after="0" w:line="240" w:lineRule="auto"/>
        <w:rPr>
          <w:rFonts w:ascii="Arial" w:hAnsi="Arial"/>
          <w:b/>
          <w:sz w:val="52"/>
          <w:szCs w:val="20"/>
        </w:rPr>
      </w:pPr>
    </w:p>
    <w:bookmarkEnd w:id="0"/>
    <w:p w:rsidR="00E05452" w:rsidRPr="00930B30" w:rsidRDefault="00E05452" w:rsidP="002B2C50">
      <w:pPr>
        <w:spacing w:before="40" w:after="120"/>
        <w:rPr>
          <w:sz w:val="20"/>
          <w:szCs w:val="20"/>
        </w:rPr>
      </w:pPr>
    </w:p>
    <w:sectPr w:rsidR="00E05452" w:rsidRPr="00930B30" w:rsidSect="00CB78E0">
      <w:headerReference w:type="even" r:id="rId16"/>
      <w:headerReference w:type="default" r:id="rId17"/>
      <w:headerReference w:type="first" r:id="rId18"/>
      <w:pgSz w:w="11906" w:h="16838" w:code="9"/>
      <w:pgMar w:top="2466" w:right="2098" w:bottom="2466" w:left="2098" w:header="1899" w:footer="189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8DC" w:rsidRDefault="00A778DC" w:rsidP="001D7EBC">
      <w:r>
        <w:separator/>
      </w:r>
    </w:p>
  </w:endnote>
  <w:endnote w:type="continuationSeparator" w:id="0">
    <w:p w:rsidR="00A778DC" w:rsidRDefault="00A778DC" w:rsidP="001D7E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altName w:val="Times New Roman"/>
    <w:panose1 w:val="020B0704020202020204"/>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8DC" w:rsidRDefault="00A778DC" w:rsidP="001D7EBC">
      <w:r>
        <w:separator/>
      </w:r>
    </w:p>
  </w:footnote>
  <w:footnote w:type="continuationSeparator" w:id="0">
    <w:p w:rsidR="00A778DC" w:rsidRDefault="00A778DC" w:rsidP="001D7E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A101CB" w:rsidRDefault="00A778DC" w:rsidP="00A101CB">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5736DA" w:rsidRDefault="00A778DC" w:rsidP="003864FA">
    <w:pPr>
      <w:pStyle w:val="Header"/>
    </w:pPr>
    <w:r>
      <w:t>AEC Budget Statements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DA17B2">
    <w:pPr>
      <w:pStyle w:val="HeaderOdd"/>
      <w:ind w:left="5103"/>
      <w:jc w:val="left"/>
    </w:pPr>
    <w:r>
      <w:t>AEC Budget Statements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pPr>
    <w:r>
      <w:t>Glossary</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Default="00A778DC" w:rsidP="00840A68">
    <w:pPr>
      <w:pStyle w:val="HeaderEven"/>
      <w:jc w:val="right"/>
    </w:pPr>
    <w:r>
      <w:t>Glossary</w:t>
    </w:r>
  </w:p>
  <w:p w:rsidR="00A778DC" w:rsidRPr="00840A68" w:rsidRDefault="00A778DC" w:rsidP="00840A68">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8DC" w:rsidRPr="001968CF" w:rsidRDefault="00A778DC" w:rsidP="001968C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75D4"/>
    <w:multiLevelType w:val="hybridMultilevel"/>
    <w:tmpl w:val="1DC8CD10"/>
    <w:lvl w:ilvl="0" w:tplc="C0BC642A">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B003A64"/>
    <w:multiLevelType w:val="hybridMultilevel"/>
    <w:tmpl w:val="C2E6A71A"/>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BE0468A"/>
    <w:multiLevelType w:val="hybridMultilevel"/>
    <w:tmpl w:val="9CCA9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E8B1916"/>
    <w:multiLevelType w:val="hybridMultilevel"/>
    <w:tmpl w:val="17346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7">
    <w:nsid w:val="11150D84"/>
    <w:multiLevelType w:val="hybridMultilevel"/>
    <w:tmpl w:val="D746585E"/>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2212D5A"/>
    <w:multiLevelType w:val="hybridMultilevel"/>
    <w:tmpl w:val="752A5C64"/>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8BA52C9"/>
    <w:multiLevelType w:val="hybridMultilevel"/>
    <w:tmpl w:val="DF824252"/>
    <w:lvl w:ilvl="0" w:tplc="C340292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1E8C13F8"/>
    <w:multiLevelType w:val="hybridMultilevel"/>
    <w:tmpl w:val="BD5CE524"/>
    <w:lvl w:ilvl="0" w:tplc="41FA6406">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F3E38D8"/>
    <w:multiLevelType w:val="hybridMultilevel"/>
    <w:tmpl w:val="9724E81A"/>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FCE61C6"/>
    <w:multiLevelType w:val="hybridMultilevel"/>
    <w:tmpl w:val="512A183C"/>
    <w:lvl w:ilvl="0" w:tplc="FAE83AE0">
      <w:start w:val="1"/>
      <w:numFmt w:val="lowerLetter"/>
      <w:lvlText w:val="(%1)"/>
      <w:lvlJc w:val="left"/>
      <w:pPr>
        <w:ind w:left="360" w:hanging="360"/>
      </w:pPr>
      <w:rPr>
        <w:rFonts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64E4A8F"/>
    <w:multiLevelType w:val="hybridMultilevel"/>
    <w:tmpl w:val="E8CA2398"/>
    <w:lvl w:ilvl="0" w:tplc="07080BA6">
      <w:start w:val="1"/>
      <w:numFmt w:val="bullet"/>
      <w:lvlText w:val=""/>
      <w:lvlJc w:val="left"/>
      <w:pPr>
        <w:ind w:left="36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7035C5D"/>
    <w:multiLevelType w:val="hybridMultilevel"/>
    <w:tmpl w:val="CCA209C2"/>
    <w:lvl w:ilvl="0" w:tplc="BF06E728">
      <w:start w:val="1"/>
      <w:numFmt w:val="lowerLetter"/>
      <w:lvlText w:val="(%1)"/>
      <w:lvlJc w:val="left"/>
      <w:pPr>
        <w:ind w:left="720" w:hanging="360"/>
      </w:pPr>
      <w:rPr>
        <w:rFonts w:ascii="Arial" w:eastAsia="Times New Roman" w:hAnsi="Arial" w:cs="Arial"/>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8586FE4"/>
    <w:multiLevelType w:val="hybridMultilevel"/>
    <w:tmpl w:val="7AFA3634"/>
    <w:lvl w:ilvl="0" w:tplc="C30AE5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28922994"/>
    <w:multiLevelType w:val="hybridMultilevel"/>
    <w:tmpl w:val="787CB68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2A5D6091"/>
    <w:multiLevelType w:val="hybridMultilevel"/>
    <w:tmpl w:val="EF0C40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9">
    <w:nsid w:val="318A2FB6"/>
    <w:multiLevelType w:val="hybridMultilevel"/>
    <w:tmpl w:val="2CCA9CE2"/>
    <w:lvl w:ilvl="0" w:tplc="F75AFC7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7014FF1"/>
    <w:multiLevelType w:val="hybridMultilevel"/>
    <w:tmpl w:val="2D04700A"/>
    <w:name w:val="ExampleTextBullet2"/>
    <w:lvl w:ilvl="0" w:tplc="944A5BDC">
      <w:start w:val="1"/>
      <w:numFmt w:val="lowerLetter"/>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21">
    <w:nsid w:val="370878E0"/>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394E3632"/>
    <w:multiLevelType w:val="hybridMultilevel"/>
    <w:tmpl w:val="D0EA3228"/>
    <w:lvl w:ilvl="0" w:tplc="554A4A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B2E19AC"/>
    <w:multiLevelType w:val="singleLevel"/>
    <w:tmpl w:val="00062756"/>
    <w:lvl w:ilvl="0">
      <w:start w:val="1"/>
      <w:numFmt w:val="lowerLetter"/>
      <w:lvlRestart w:val="0"/>
      <w:pStyle w:val="ChartandTableFootnoteAlpha"/>
      <w:lvlText w:val="(%1)"/>
      <w:lvlJc w:val="left"/>
      <w:pPr>
        <w:tabs>
          <w:tab w:val="num" w:pos="284"/>
        </w:tabs>
        <w:ind w:left="284" w:hanging="284"/>
      </w:pPr>
      <w:rPr>
        <w:rFonts w:ascii="Arial" w:hAnsi="Arial" w:cs="Arial" w:hint="default"/>
        <w:b w:val="0"/>
        <w:i w:val="0"/>
        <w:color w:val="000000"/>
        <w:sz w:val="16"/>
      </w:rPr>
    </w:lvl>
  </w:abstractNum>
  <w:abstractNum w:abstractNumId="24">
    <w:nsid w:val="3C427C96"/>
    <w:multiLevelType w:val="hybridMultilevel"/>
    <w:tmpl w:val="6A0A5B62"/>
    <w:lvl w:ilvl="0" w:tplc="49EE8A4E">
      <w:start w:val="1"/>
      <w:numFmt w:val="lowerLetter"/>
      <w:lvlText w:val="(%1)"/>
      <w:lvlJc w:val="left"/>
      <w:pPr>
        <w:ind w:left="360" w:hanging="360"/>
      </w:pPr>
      <w:rPr>
        <w:rFonts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3E047112"/>
    <w:multiLevelType w:val="hybridMultilevel"/>
    <w:tmpl w:val="5278394E"/>
    <w:lvl w:ilvl="0" w:tplc="E8B03840">
      <w:start w:val="1"/>
      <w:numFmt w:val="lowerLetter"/>
      <w:lvlText w:val="(%1)"/>
      <w:lvlJc w:val="left"/>
      <w:pPr>
        <w:ind w:left="928"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2574E4C"/>
    <w:multiLevelType w:val="hybridMultilevel"/>
    <w:tmpl w:val="F822DC02"/>
    <w:lvl w:ilvl="0" w:tplc="9C18EFC2">
      <w:start w:val="1"/>
      <w:numFmt w:val="bullet"/>
      <w:lvlText w:val=""/>
      <w:lvlJc w:val="left"/>
      <w:pPr>
        <w:ind w:left="360" w:hanging="360"/>
      </w:pPr>
      <w:rPr>
        <w:rFonts w:ascii="Symbol" w:hAnsi="Symbol" w:hint="default"/>
        <w:color w:val="auto"/>
      </w:rPr>
    </w:lvl>
    <w:lvl w:ilvl="1" w:tplc="1C46F364">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28">
    <w:nsid w:val="4B7054EE"/>
    <w:multiLevelType w:val="hybridMultilevel"/>
    <w:tmpl w:val="6E260260"/>
    <w:lvl w:ilvl="0" w:tplc="0C090001">
      <w:start w:val="1"/>
      <w:numFmt w:val="bullet"/>
      <w:lvlText w:val=""/>
      <w:lvlJc w:val="left"/>
      <w:pPr>
        <w:ind w:left="360" w:hanging="360"/>
      </w:pPr>
      <w:rPr>
        <w:rFonts w:ascii="Symbol" w:hAnsi="Symbol" w:hint="default"/>
      </w:rPr>
    </w:lvl>
    <w:lvl w:ilvl="1" w:tplc="21D40EDC">
      <w:start w:val="1"/>
      <w:numFmt w:val="bullet"/>
      <w:lvlText w:val="–"/>
      <w:lvlJc w:val="left"/>
      <w:pPr>
        <w:ind w:left="501" w:hanging="360"/>
      </w:pPr>
      <w:rPr>
        <w:rFonts w:ascii="Calibri" w:hAnsi="Calibri" w:hint="default"/>
        <w:b w:val="0"/>
        <w:color w:val="auto"/>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9">
    <w:nsid w:val="51C5322A"/>
    <w:multiLevelType w:val="hybridMultilevel"/>
    <w:tmpl w:val="57FA6FA8"/>
    <w:lvl w:ilvl="0" w:tplc="21D40EDC">
      <w:start w:val="1"/>
      <w:numFmt w:val="bullet"/>
      <w:lvlText w:val="–"/>
      <w:lvlJc w:val="left"/>
      <w:pPr>
        <w:ind w:left="927" w:hanging="360"/>
      </w:pPr>
      <w:rPr>
        <w:rFonts w:ascii="Calibri" w:hAnsi="Calibri" w:hint="default"/>
        <w:b w:val="0"/>
        <w:color w:val="auto"/>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0">
    <w:nsid w:val="51E57F69"/>
    <w:multiLevelType w:val="hybridMultilevel"/>
    <w:tmpl w:val="B80407B0"/>
    <w:lvl w:ilvl="0" w:tplc="0928A022">
      <w:start w:val="1"/>
      <w:numFmt w:val="lowerLetter"/>
      <w:lvlText w:val="(%1)"/>
      <w:lvlJc w:val="left"/>
      <w:pPr>
        <w:ind w:left="72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31">
    <w:nsid w:val="53CD3643"/>
    <w:multiLevelType w:val="hybridMultilevel"/>
    <w:tmpl w:val="BA305E0A"/>
    <w:lvl w:ilvl="0" w:tplc="60D8CA4A">
      <w:start w:val="1"/>
      <w:numFmt w:val="bullet"/>
      <w:lvlText w:val="-"/>
      <w:lvlJc w:val="left"/>
      <w:pPr>
        <w:ind w:left="360" w:hanging="360"/>
      </w:pPr>
      <w:rPr>
        <w:rFonts w:ascii="Courier New" w:hAnsi="Courier New" w:hint="default"/>
      </w:rPr>
    </w:lvl>
    <w:lvl w:ilvl="1" w:tplc="CC602444">
      <w:start w:val="1"/>
      <w:numFmt w:val="bullet"/>
      <w:lvlText w:val=""/>
      <w:lvlJc w:val="left"/>
      <w:pPr>
        <w:ind w:left="1080" w:hanging="360"/>
      </w:pPr>
      <w:rPr>
        <w:rFonts w:ascii="Symbol" w:hAnsi="Symbol" w:hint="default"/>
      </w:rPr>
    </w:lvl>
    <w:lvl w:ilvl="2" w:tplc="60D8CA4A">
      <w:start w:val="1"/>
      <w:numFmt w:val="bullet"/>
      <w:lvlText w:val="-"/>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5A84F27"/>
    <w:multiLevelType w:val="hybridMultilevel"/>
    <w:tmpl w:val="1B24882C"/>
    <w:lvl w:ilvl="0" w:tplc="7A0806D4">
      <w:start w:val="1"/>
      <w:numFmt w:val="lowerLetter"/>
      <w:lvlText w:val="(%1)"/>
      <w:lvlJc w:val="left"/>
      <w:pPr>
        <w:ind w:left="360" w:hanging="360"/>
      </w:pPr>
      <w:rPr>
        <w:rFonts w:ascii="Arial" w:hAnsi="Arial" w:cs="Arial" w:hint="default"/>
        <w:b w:val="0"/>
        <w:i w:val="0"/>
        <w:color w:val="auto"/>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56065998"/>
    <w:multiLevelType w:val="hybridMultilevel"/>
    <w:tmpl w:val="CFFEF168"/>
    <w:lvl w:ilvl="0" w:tplc="3918AE4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35">
    <w:nsid w:val="599D1829"/>
    <w:multiLevelType w:val="hybridMultilevel"/>
    <w:tmpl w:val="35623AD0"/>
    <w:lvl w:ilvl="0" w:tplc="0928A022">
      <w:start w:val="1"/>
      <w:numFmt w:val="lowerLetter"/>
      <w:lvlText w:val="(%1)"/>
      <w:lvlJc w:val="left"/>
      <w:pPr>
        <w:ind w:left="750" w:hanging="360"/>
      </w:pPr>
      <w:rPr>
        <w:rFonts w:hint="default"/>
      </w:r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36">
    <w:nsid w:val="5CA0378B"/>
    <w:multiLevelType w:val="hybridMultilevel"/>
    <w:tmpl w:val="20FE29B4"/>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D892CF9"/>
    <w:multiLevelType w:val="hybridMultilevel"/>
    <w:tmpl w:val="BB22A8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3BF683F"/>
    <w:multiLevelType w:val="hybridMultilevel"/>
    <w:tmpl w:val="888C07EE"/>
    <w:lvl w:ilvl="0" w:tplc="0C090001">
      <w:start w:val="1"/>
      <w:numFmt w:val="bullet"/>
      <w:lvlText w:val=""/>
      <w:lvlJc w:val="left"/>
      <w:pPr>
        <w:ind w:left="758" w:hanging="360"/>
      </w:pPr>
      <w:rPr>
        <w:rFonts w:ascii="Symbol" w:hAnsi="Symbol" w:hint="default"/>
      </w:rPr>
    </w:lvl>
    <w:lvl w:ilvl="1" w:tplc="0C090003" w:tentative="1">
      <w:start w:val="1"/>
      <w:numFmt w:val="bullet"/>
      <w:lvlText w:val="o"/>
      <w:lvlJc w:val="left"/>
      <w:pPr>
        <w:ind w:left="1478" w:hanging="360"/>
      </w:pPr>
      <w:rPr>
        <w:rFonts w:ascii="Courier New" w:hAnsi="Courier New" w:cs="Courier New" w:hint="default"/>
      </w:rPr>
    </w:lvl>
    <w:lvl w:ilvl="2" w:tplc="0C090005" w:tentative="1">
      <w:start w:val="1"/>
      <w:numFmt w:val="bullet"/>
      <w:lvlText w:val=""/>
      <w:lvlJc w:val="left"/>
      <w:pPr>
        <w:ind w:left="2198" w:hanging="360"/>
      </w:pPr>
      <w:rPr>
        <w:rFonts w:ascii="Wingdings" w:hAnsi="Wingdings" w:hint="default"/>
      </w:rPr>
    </w:lvl>
    <w:lvl w:ilvl="3" w:tplc="0C090001" w:tentative="1">
      <w:start w:val="1"/>
      <w:numFmt w:val="bullet"/>
      <w:lvlText w:val=""/>
      <w:lvlJc w:val="left"/>
      <w:pPr>
        <w:ind w:left="2918" w:hanging="360"/>
      </w:pPr>
      <w:rPr>
        <w:rFonts w:ascii="Symbol" w:hAnsi="Symbol" w:hint="default"/>
      </w:rPr>
    </w:lvl>
    <w:lvl w:ilvl="4" w:tplc="0C090003" w:tentative="1">
      <w:start w:val="1"/>
      <w:numFmt w:val="bullet"/>
      <w:lvlText w:val="o"/>
      <w:lvlJc w:val="left"/>
      <w:pPr>
        <w:ind w:left="3638" w:hanging="360"/>
      </w:pPr>
      <w:rPr>
        <w:rFonts w:ascii="Courier New" w:hAnsi="Courier New" w:cs="Courier New" w:hint="default"/>
      </w:rPr>
    </w:lvl>
    <w:lvl w:ilvl="5" w:tplc="0C090005" w:tentative="1">
      <w:start w:val="1"/>
      <w:numFmt w:val="bullet"/>
      <w:lvlText w:val=""/>
      <w:lvlJc w:val="left"/>
      <w:pPr>
        <w:ind w:left="4358" w:hanging="360"/>
      </w:pPr>
      <w:rPr>
        <w:rFonts w:ascii="Wingdings" w:hAnsi="Wingdings" w:hint="default"/>
      </w:rPr>
    </w:lvl>
    <w:lvl w:ilvl="6" w:tplc="0C090001" w:tentative="1">
      <w:start w:val="1"/>
      <w:numFmt w:val="bullet"/>
      <w:lvlText w:val=""/>
      <w:lvlJc w:val="left"/>
      <w:pPr>
        <w:ind w:left="5078" w:hanging="360"/>
      </w:pPr>
      <w:rPr>
        <w:rFonts w:ascii="Symbol" w:hAnsi="Symbol" w:hint="default"/>
      </w:rPr>
    </w:lvl>
    <w:lvl w:ilvl="7" w:tplc="0C090003" w:tentative="1">
      <w:start w:val="1"/>
      <w:numFmt w:val="bullet"/>
      <w:lvlText w:val="o"/>
      <w:lvlJc w:val="left"/>
      <w:pPr>
        <w:ind w:left="5798" w:hanging="360"/>
      </w:pPr>
      <w:rPr>
        <w:rFonts w:ascii="Courier New" w:hAnsi="Courier New" w:cs="Courier New" w:hint="default"/>
      </w:rPr>
    </w:lvl>
    <w:lvl w:ilvl="8" w:tplc="0C090005" w:tentative="1">
      <w:start w:val="1"/>
      <w:numFmt w:val="bullet"/>
      <w:lvlText w:val=""/>
      <w:lvlJc w:val="left"/>
      <w:pPr>
        <w:ind w:left="6518" w:hanging="360"/>
      </w:pPr>
      <w:rPr>
        <w:rFonts w:ascii="Wingdings" w:hAnsi="Wingdings" w:hint="default"/>
      </w:rPr>
    </w:lvl>
  </w:abstractNum>
  <w:abstractNum w:abstractNumId="39">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0">
    <w:nsid w:val="6B6957C0"/>
    <w:multiLevelType w:val="hybridMultilevel"/>
    <w:tmpl w:val="F808EADE"/>
    <w:lvl w:ilvl="0" w:tplc="5BBC9562">
      <w:start w:val="1"/>
      <w:numFmt w:val="bullet"/>
      <w:lvlText w:val=""/>
      <w:lvlJc w:val="left"/>
      <w:pPr>
        <w:ind w:left="502" w:hanging="360"/>
      </w:pPr>
      <w:rPr>
        <w:rFonts w:ascii="Symbol" w:hAnsi="Symbol" w:hint="default"/>
        <w:color w:val="auto"/>
        <w:sz w:val="16"/>
        <w:szCs w:val="16"/>
      </w:rPr>
    </w:lvl>
    <w:lvl w:ilvl="1" w:tplc="0C090003">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1">
    <w:nsid w:val="6E4B0815"/>
    <w:multiLevelType w:val="hybridMultilevel"/>
    <w:tmpl w:val="FF02A3F8"/>
    <w:lvl w:ilvl="0" w:tplc="0928A0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F0E29DB"/>
    <w:multiLevelType w:val="hybridMultilevel"/>
    <w:tmpl w:val="A678EE02"/>
    <w:lvl w:ilvl="0" w:tplc="56DEEDF2">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234078E"/>
    <w:multiLevelType w:val="hybridMultilevel"/>
    <w:tmpl w:val="1F263B7E"/>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3DE62F5"/>
    <w:multiLevelType w:val="hybridMultilevel"/>
    <w:tmpl w:val="3820800A"/>
    <w:lvl w:ilvl="0" w:tplc="51D25B3E">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46">
    <w:nsid w:val="7BB050F6"/>
    <w:multiLevelType w:val="hybridMultilevel"/>
    <w:tmpl w:val="A3046458"/>
    <w:lvl w:ilvl="0" w:tplc="0D5E4B76">
      <w:start w:val="1"/>
      <w:numFmt w:val="lowerLetter"/>
      <w:lvlText w:val="(%1)"/>
      <w:lvlJc w:val="left"/>
      <w:pPr>
        <w:ind w:left="644" w:hanging="360"/>
      </w:pPr>
      <w:rPr>
        <w:rFonts w:ascii="Arial" w:eastAsia="Times New Roman" w:hAnsi="Arial" w:cs="Arial"/>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7">
    <w:nsid w:val="7EB126DE"/>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7"/>
  </w:num>
  <w:num w:numId="2">
    <w:abstractNumId w:val="5"/>
  </w:num>
  <w:num w:numId="3">
    <w:abstractNumId w:val="39"/>
  </w:num>
  <w:num w:numId="4">
    <w:abstractNumId w:val="45"/>
  </w:num>
  <w:num w:numId="5">
    <w:abstractNumId w:val="18"/>
  </w:num>
  <w:num w:numId="6">
    <w:abstractNumId w:val="34"/>
  </w:num>
  <w:num w:numId="7">
    <w:abstractNumId w:val="23"/>
    <w:lvlOverride w:ilvl="0">
      <w:startOverride w:val="1"/>
    </w:lvlOverride>
  </w:num>
  <w:num w:numId="8">
    <w:abstractNumId w:val="37"/>
  </w:num>
  <w:num w:numId="9">
    <w:abstractNumId w:val="38"/>
  </w:num>
  <w:num w:numId="10">
    <w:abstractNumId w:val="4"/>
  </w:num>
  <w:num w:numId="11">
    <w:abstractNumId w:val="40"/>
  </w:num>
  <w:num w:numId="12">
    <w:abstractNumId w:val="28"/>
  </w:num>
  <w:num w:numId="13">
    <w:abstractNumId w:val="2"/>
  </w:num>
  <w:num w:numId="14">
    <w:abstractNumId w:val="0"/>
  </w:num>
  <w:num w:numId="15">
    <w:abstractNumId w:val="12"/>
  </w:num>
  <w:num w:numId="16">
    <w:abstractNumId w:val="25"/>
  </w:num>
  <w:num w:numId="17">
    <w:abstractNumId w:val="32"/>
  </w:num>
  <w:num w:numId="18">
    <w:abstractNumId w:val="24"/>
  </w:num>
  <w:num w:numId="19">
    <w:abstractNumId w:val="23"/>
  </w:num>
  <w:num w:numId="20">
    <w:abstractNumId w:val="23"/>
    <w:lvlOverride w:ilvl="0">
      <w:startOverride w:val="1"/>
    </w:lvlOverride>
  </w:num>
  <w:num w:numId="21">
    <w:abstractNumId w:val="23"/>
    <w:lvlOverride w:ilvl="0">
      <w:startOverride w:val="1"/>
    </w:lvlOverride>
  </w:num>
  <w:num w:numId="22">
    <w:abstractNumId w:val="10"/>
  </w:num>
  <w:num w:numId="23">
    <w:abstractNumId w:val="14"/>
  </w:num>
  <w:num w:numId="24">
    <w:abstractNumId w:val="30"/>
  </w:num>
  <w:num w:numId="25">
    <w:abstractNumId w:val="21"/>
  </w:num>
  <w:num w:numId="26">
    <w:abstractNumId w:val="41"/>
  </w:num>
  <w:num w:numId="27">
    <w:abstractNumId w:val="23"/>
    <w:lvlOverride w:ilvl="0">
      <w:startOverride w:val="1"/>
    </w:lvlOverride>
  </w:num>
  <w:num w:numId="28">
    <w:abstractNumId w:val="23"/>
    <w:lvlOverride w:ilvl="0">
      <w:startOverride w:val="1"/>
    </w:lvlOverride>
  </w:num>
  <w:num w:numId="29">
    <w:abstractNumId w:val="42"/>
  </w:num>
  <w:num w:numId="30">
    <w:abstractNumId w:val="33"/>
  </w:num>
  <w:num w:numId="31">
    <w:abstractNumId w:val="16"/>
  </w:num>
  <w:num w:numId="32">
    <w:abstractNumId w:val="43"/>
  </w:num>
  <w:num w:numId="33">
    <w:abstractNumId w:val="36"/>
  </w:num>
  <w:num w:numId="34">
    <w:abstractNumId w:val="7"/>
  </w:num>
  <w:num w:numId="35">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6"/>
  </w:num>
  <w:num w:numId="37">
    <w:abstractNumId w:val="29"/>
  </w:num>
  <w:num w:numId="38">
    <w:abstractNumId w:val="47"/>
  </w:num>
  <w:num w:numId="39">
    <w:abstractNumId w:val="35"/>
  </w:num>
  <w:num w:numId="40">
    <w:abstractNumId w:val="44"/>
  </w:num>
  <w:num w:numId="41">
    <w:abstractNumId w:val="11"/>
  </w:num>
  <w:num w:numId="42">
    <w:abstractNumId w:val="31"/>
  </w:num>
  <w:num w:numId="43">
    <w:abstractNumId w:val="9"/>
  </w:num>
  <w:num w:numId="44">
    <w:abstractNumId w:val="3"/>
  </w:num>
  <w:num w:numId="45">
    <w:abstractNumId w:val="17"/>
  </w:num>
  <w:num w:numId="46">
    <w:abstractNumId w:val="13"/>
  </w:num>
  <w:num w:numId="47">
    <w:abstractNumId w:val="8"/>
  </w:num>
  <w:num w:numId="48">
    <w:abstractNumId w:val="22"/>
  </w:num>
  <w:num w:numId="49">
    <w:abstractNumId w:val="19"/>
  </w:num>
  <w:num w:numId="50">
    <w:abstractNumId w:val="1"/>
  </w:num>
  <w:num w:numId="51">
    <w:abstractNumId w:val="26"/>
  </w:num>
  <w:num w:numId="52">
    <w:abstractNumId w:val="23"/>
    <w:lvlOverride w:ilvl="0">
      <w:startOverride w:val="1"/>
    </w:lvlOverride>
  </w:num>
  <w:num w:numId="53">
    <w:abstractNumId w:val="15"/>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attachedTemplate r:id="rId1"/>
  <w:stylePaneFormatFilter w:val="7004"/>
  <w:defaultTabStop w:val="567"/>
  <w:evenAndOddHeaders/>
  <w:drawingGridHorizontalSpacing w:val="80"/>
  <w:displayHorizontalDrawingGridEvery w:val="2"/>
  <w:noPunctuationKerning/>
  <w:characterSpacingControl w:val="doNotCompress"/>
  <w:hdrShapeDefaults>
    <o:shapedefaults v:ext="edit" spidmax="2056"/>
  </w:hdrShapeDefaults>
  <w:footnotePr>
    <w:footnote w:id="-1"/>
    <w:footnote w:id="0"/>
  </w:footnotePr>
  <w:endnotePr>
    <w:endnote w:id="-1"/>
    <w:endnote w:id="0"/>
  </w:endnotePr>
  <w:compat/>
  <w:rsids>
    <w:rsidRoot w:val="0010657F"/>
    <w:rsid w:val="000000C3"/>
    <w:rsid w:val="00001912"/>
    <w:rsid w:val="00003393"/>
    <w:rsid w:val="00003873"/>
    <w:rsid w:val="00003AC4"/>
    <w:rsid w:val="00004085"/>
    <w:rsid w:val="00004BDE"/>
    <w:rsid w:val="00006AE4"/>
    <w:rsid w:val="0000711B"/>
    <w:rsid w:val="00012BB0"/>
    <w:rsid w:val="000138F2"/>
    <w:rsid w:val="00013D25"/>
    <w:rsid w:val="0001438C"/>
    <w:rsid w:val="00016D95"/>
    <w:rsid w:val="00017619"/>
    <w:rsid w:val="00020573"/>
    <w:rsid w:val="000208FD"/>
    <w:rsid w:val="000215A8"/>
    <w:rsid w:val="000216BF"/>
    <w:rsid w:val="000217A0"/>
    <w:rsid w:val="00021DA6"/>
    <w:rsid w:val="000220B0"/>
    <w:rsid w:val="00026D32"/>
    <w:rsid w:val="00027945"/>
    <w:rsid w:val="000300D7"/>
    <w:rsid w:val="00030FDA"/>
    <w:rsid w:val="00032565"/>
    <w:rsid w:val="000330D1"/>
    <w:rsid w:val="00033673"/>
    <w:rsid w:val="00035E52"/>
    <w:rsid w:val="00036095"/>
    <w:rsid w:val="000364F3"/>
    <w:rsid w:val="000366AE"/>
    <w:rsid w:val="000369AC"/>
    <w:rsid w:val="00036DF3"/>
    <w:rsid w:val="0003724F"/>
    <w:rsid w:val="00037BA1"/>
    <w:rsid w:val="00037BEE"/>
    <w:rsid w:val="000413D4"/>
    <w:rsid w:val="0004164F"/>
    <w:rsid w:val="000428FC"/>
    <w:rsid w:val="00042B8D"/>
    <w:rsid w:val="00042FDD"/>
    <w:rsid w:val="00044271"/>
    <w:rsid w:val="00045667"/>
    <w:rsid w:val="000519DC"/>
    <w:rsid w:val="00051F38"/>
    <w:rsid w:val="00051F7B"/>
    <w:rsid w:val="00053AB1"/>
    <w:rsid w:val="00054A04"/>
    <w:rsid w:val="00054CC3"/>
    <w:rsid w:val="0005600E"/>
    <w:rsid w:val="00056260"/>
    <w:rsid w:val="00056627"/>
    <w:rsid w:val="0005667B"/>
    <w:rsid w:val="00057224"/>
    <w:rsid w:val="0005722F"/>
    <w:rsid w:val="00060890"/>
    <w:rsid w:val="00061038"/>
    <w:rsid w:val="00063C44"/>
    <w:rsid w:val="00063CE1"/>
    <w:rsid w:val="0006455C"/>
    <w:rsid w:val="00065053"/>
    <w:rsid w:val="000655E4"/>
    <w:rsid w:val="00065658"/>
    <w:rsid w:val="000656AD"/>
    <w:rsid w:val="00065C71"/>
    <w:rsid w:val="00066BBA"/>
    <w:rsid w:val="00067B6F"/>
    <w:rsid w:val="00067D19"/>
    <w:rsid w:val="00067E1D"/>
    <w:rsid w:val="0007064C"/>
    <w:rsid w:val="000712EE"/>
    <w:rsid w:val="000725C0"/>
    <w:rsid w:val="00074CE6"/>
    <w:rsid w:val="0007582E"/>
    <w:rsid w:val="000768A5"/>
    <w:rsid w:val="00076EFB"/>
    <w:rsid w:val="00077277"/>
    <w:rsid w:val="0007743A"/>
    <w:rsid w:val="000774D2"/>
    <w:rsid w:val="00080069"/>
    <w:rsid w:val="00080F4F"/>
    <w:rsid w:val="00081BF9"/>
    <w:rsid w:val="00082159"/>
    <w:rsid w:val="00082A6E"/>
    <w:rsid w:val="00082C86"/>
    <w:rsid w:val="00082E7F"/>
    <w:rsid w:val="00082FCA"/>
    <w:rsid w:val="0008449F"/>
    <w:rsid w:val="00085AB4"/>
    <w:rsid w:val="00085F3F"/>
    <w:rsid w:val="000863E5"/>
    <w:rsid w:val="000867A0"/>
    <w:rsid w:val="00086FF5"/>
    <w:rsid w:val="0009201C"/>
    <w:rsid w:val="000924A7"/>
    <w:rsid w:val="00094B28"/>
    <w:rsid w:val="00094E56"/>
    <w:rsid w:val="00096568"/>
    <w:rsid w:val="0009661B"/>
    <w:rsid w:val="000966C1"/>
    <w:rsid w:val="00096867"/>
    <w:rsid w:val="00096DEE"/>
    <w:rsid w:val="0009701D"/>
    <w:rsid w:val="00097063"/>
    <w:rsid w:val="00097336"/>
    <w:rsid w:val="00097A4B"/>
    <w:rsid w:val="000A1227"/>
    <w:rsid w:val="000A1A89"/>
    <w:rsid w:val="000A1C91"/>
    <w:rsid w:val="000A24C4"/>
    <w:rsid w:val="000A345B"/>
    <w:rsid w:val="000A372A"/>
    <w:rsid w:val="000A395D"/>
    <w:rsid w:val="000A4147"/>
    <w:rsid w:val="000A4FE4"/>
    <w:rsid w:val="000A532C"/>
    <w:rsid w:val="000A56A5"/>
    <w:rsid w:val="000A5C86"/>
    <w:rsid w:val="000A6897"/>
    <w:rsid w:val="000A6DBE"/>
    <w:rsid w:val="000A6F20"/>
    <w:rsid w:val="000A6F85"/>
    <w:rsid w:val="000B0E3C"/>
    <w:rsid w:val="000B1766"/>
    <w:rsid w:val="000B1FC4"/>
    <w:rsid w:val="000B21D6"/>
    <w:rsid w:val="000B2404"/>
    <w:rsid w:val="000B36D8"/>
    <w:rsid w:val="000B3B7D"/>
    <w:rsid w:val="000B3F0E"/>
    <w:rsid w:val="000B514C"/>
    <w:rsid w:val="000B56C8"/>
    <w:rsid w:val="000C056F"/>
    <w:rsid w:val="000C0D74"/>
    <w:rsid w:val="000C1928"/>
    <w:rsid w:val="000C19B3"/>
    <w:rsid w:val="000C19EF"/>
    <w:rsid w:val="000C2D7D"/>
    <w:rsid w:val="000C2FA8"/>
    <w:rsid w:val="000C3B86"/>
    <w:rsid w:val="000C3F25"/>
    <w:rsid w:val="000C4851"/>
    <w:rsid w:val="000C5F91"/>
    <w:rsid w:val="000C6166"/>
    <w:rsid w:val="000C69F2"/>
    <w:rsid w:val="000C6A39"/>
    <w:rsid w:val="000C6FB8"/>
    <w:rsid w:val="000D0E4D"/>
    <w:rsid w:val="000D13E5"/>
    <w:rsid w:val="000D28C8"/>
    <w:rsid w:val="000D3B63"/>
    <w:rsid w:val="000D43DE"/>
    <w:rsid w:val="000D43E2"/>
    <w:rsid w:val="000D458E"/>
    <w:rsid w:val="000D58A1"/>
    <w:rsid w:val="000D7E54"/>
    <w:rsid w:val="000E0A85"/>
    <w:rsid w:val="000E12DE"/>
    <w:rsid w:val="000E2F5F"/>
    <w:rsid w:val="000E3AF4"/>
    <w:rsid w:val="000E537F"/>
    <w:rsid w:val="000E5E2E"/>
    <w:rsid w:val="000E68E3"/>
    <w:rsid w:val="000E6DDB"/>
    <w:rsid w:val="000E74A6"/>
    <w:rsid w:val="000F03B1"/>
    <w:rsid w:val="000F08AE"/>
    <w:rsid w:val="000F1580"/>
    <w:rsid w:val="000F15EB"/>
    <w:rsid w:val="000F2D33"/>
    <w:rsid w:val="000F43F4"/>
    <w:rsid w:val="000F440E"/>
    <w:rsid w:val="000F6647"/>
    <w:rsid w:val="000F73B7"/>
    <w:rsid w:val="000F746C"/>
    <w:rsid w:val="000F7E7B"/>
    <w:rsid w:val="001002F8"/>
    <w:rsid w:val="00102654"/>
    <w:rsid w:val="001028CC"/>
    <w:rsid w:val="00102922"/>
    <w:rsid w:val="00102934"/>
    <w:rsid w:val="00102A4B"/>
    <w:rsid w:val="00102CAD"/>
    <w:rsid w:val="001045F9"/>
    <w:rsid w:val="0010472B"/>
    <w:rsid w:val="00104CEC"/>
    <w:rsid w:val="00105B67"/>
    <w:rsid w:val="00106277"/>
    <w:rsid w:val="0010657F"/>
    <w:rsid w:val="001065ED"/>
    <w:rsid w:val="001105CA"/>
    <w:rsid w:val="00111159"/>
    <w:rsid w:val="00111F74"/>
    <w:rsid w:val="00112B8E"/>
    <w:rsid w:val="00112D0F"/>
    <w:rsid w:val="00112F43"/>
    <w:rsid w:val="001133E0"/>
    <w:rsid w:val="001155DB"/>
    <w:rsid w:val="00115DE5"/>
    <w:rsid w:val="001163D6"/>
    <w:rsid w:val="0011726A"/>
    <w:rsid w:val="0011797A"/>
    <w:rsid w:val="0012022D"/>
    <w:rsid w:val="00120B5E"/>
    <w:rsid w:val="00121EB0"/>
    <w:rsid w:val="0012228D"/>
    <w:rsid w:val="001226F3"/>
    <w:rsid w:val="00122930"/>
    <w:rsid w:val="001230E2"/>
    <w:rsid w:val="00123218"/>
    <w:rsid w:val="00123925"/>
    <w:rsid w:val="00126641"/>
    <w:rsid w:val="00132F17"/>
    <w:rsid w:val="00133D3A"/>
    <w:rsid w:val="00134700"/>
    <w:rsid w:val="001352EE"/>
    <w:rsid w:val="00135314"/>
    <w:rsid w:val="00135505"/>
    <w:rsid w:val="001364A7"/>
    <w:rsid w:val="00136827"/>
    <w:rsid w:val="001375D4"/>
    <w:rsid w:val="00140DAB"/>
    <w:rsid w:val="00143E88"/>
    <w:rsid w:val="001455D8"/>
    <w:rsid w:val="00145B5E"/>
    <w:rsid w:val="00145CCC"/>
    <w:rsid w:val="00145FDE"/>
    <w:rsid w:val="0014790A"/>
    <w:rsid w:val="001503F0"/>
    <w:rsid w:val="00151736"/>
    <w:rsid w:val="00151ABB"/>
    <w:rsid w:val="0015364F"/>
    <w:rsid w:val="00154447"/>
    <w:rsid w:val="001549BE"/>
    <w:rsid w:val="00154CDE"/>
    <w:rsid w:val="00154F5B"/>
    <w:rsid w:val="0015511B"/>
    <w:rsid w:val="001562DF"/>
    <w:rsid w:val="00157BC7"/>
    <w:rsid w:val="00160B7D"/>
    <w:rsid w:val="00161DAC"/>
    <w:rsid w:val="00162B55"/>
    <w:rsid w:val="00162D8B"/>
    <w:rsid w:val="00163101"/>
    <w:rsid w:val="00163479"/>
    <w:rsid w:val="001638E9"/>
    <w:rsid w:val="001641DD"/>
    <w:rsid w:val="00164742"/>
    <w:rsid w:val="00164B9D"/>
    <w:rsid w:val="00165243"/>
    <w:rsid w:val="00165824"/>
    <w:rsid w:val="001666EA"/>
    <w:rsid w:val="00170D51"/>
    <w:rsid w:val="00171052"/>
    <w:rsid w:val="00171A85"/>
    <w:rsid w:val="00172005"/>
    <w:rsid w:val="001721F2"/>
    <w:rsid w:val="00174565"/>
    <w:rsid w:val="0017515A"/>
    <w:rsid w:val="00175BB3"/>
    <w:rsid w:val="00177A9A"/>
    <w:rsid w:val="001808A4"/>
    <w:rsid w:val="001815A5"/>
    <w:rsid w:val="00182740"/>
    <w:rsid w:val="00184071"/>
    <w:rsid w:val="001847FC"/>
    <w:rsid w:val="00184B69"/>
    <w:rsid w:val="0018513F"/>
    <w:rsid w:val="00186850"/>
    <w:rsid w:val="0018714F"/>
    <w:rsid w:val="001904A5"/>
    <w:rsid w:val="00190FE8"/>
    <w:rsid w:val="001923C8"/>
    <w:rsid w:val="001933CF"/>
    <w:rsid w:val="001939FF"/>
    <w:rsid w:val="00193C18"/>
    <w:rsid w:val="0019428D"/>
    <w:rsid w:val="00194DE8"/>
    <w:rsid w:val="0019523E"/>
    <w:rsid w:val="0019539C"/>
    <w:rsid w:val="001968CF"/>
    <w:rsid w:val="00197990"/>
    <w:rsid w:val="001A0106"/>
    <w:rsid w:val="001A02CB"/>
    <w:rsid w:val="001A0333"/>
    <w:rsid w:val="001A0642"/>
    <w:rsid w:val="001A0EBB"/>
    <w:rsid w:val="001A11DB"/>
    <w:rsid w:val="001A217E"/>
    <w:rsid w:val="001A2B82"/>
    <w:rsid w:val="001A33F4"/>
    <w:rsid w:val="001A4B6A"/>
    <w:rsid w:val="001A6256"/>
    <w:rsid w:val="001A6EC9"/>
    <w:rsid w:val="001A6F29"/>
    <w:rsid w:val="001A789B"/>
    <w:rsid w:val="001A7D6D"/>
    <w:rsid w:val="001B03CC"/>
    <w:rsid w:val="001B0C75"/>
    <w:rsid w:val="001B1409"/>
    <w:rsid w:val="001B368E"/>
    <w:rsid w:val="001B44C2"/>
    <w:rsid w:val="001B4EC1"/>
    <w:rsid w:val="001B659F"/>
    <w:rsid w:val="001B7399"/>
    <w:rsid w:val="001B7655"/>
    <w:rsid w:val="001B7BAD"/>
    <w:rsid w:val="001B7F09"/>
    <w:rsid w:val="001C1166"/>
    <w:rsid w:val="001C261E"/>
    <w:rsid w:val="001C2C14"/>
    <w:rsid w:val="001C3AC7"/>
    <w:rsid w:val="001C4F17"/>
    <w:rsid w:val="001C7B78"/>
    <w:rsid w:val="001C7FB4"/>
    <w:rsid w:val="001D013E"/>
    <w:rsid w:val="001D089D"/>
    <w:rsid w:val="001D0BA6"/>
    <w:rsid w:val="001D1814"/>
    <w:rsid w:val="001D1903"/>
    <w:rsid w:val="001D1942"/>
    <w:rsid w:val="001D1BEA"/>
    <w:rsid w:val="001D1DDB"/>
    <w:rsid w:val="001D3DD7"/>
    <w:rsid w:val="001D4988"/>
    <w:rsid w:val="001D53EA"/>
    <w:rsid w:val="001D6F7C"/>
    <w:rsid w:val="001D7EBC"/>
    <w:rsid w:val="001E0654"/>
    <w:rsid w:val="001E12A5"/>
    <w:rsid w:val="001E1BF9"/>
    <w:rsid w:val="001E1EDB"/>
    <w:rsid w:val="001E20DE"/>
    <w:rsid w:val="001E22D5"/>
    <w:rsid w:val="001E2321"/>
    <w:rsid w:val="001E3111"/>
    <w:rsid w:val="001E3A18"/>
    <w:rsid w:val="001E3D9F"/>
    <w:rsid w:val="001E48E1"/>
    <w:rsid w:val="001E5DAA"/>
    <w:rsid w:val="001E7001"/>
    <w:rsid w:val="001E7093"/>
    <w:rsid w:val="001E717D"/>
    <w:rsid w:val="001E71F5"/>
    <w:rsid w:val="001E7D86"/>
    <w:rsid w:val="001F1161"/>
    <w:rsid w:val="001F1488"/>
    <w:rsid w:val="001F162C"/>
    <w:rsid w:val="001F1AB8"/>
    <w:rsid w:val="001F255D"/>
    <w:rsid w:val="001F377B"/>
    <w:rsid w:val="001F3CF9"/>
    <w:rsid w:val="001F4A78"/>
    <w:rsid w:val="001F55E5"/>
    <w:rsid w:val="001F5CB9"/>
    <w:rsid w:val="001F730B"/>
    <w:rsid w:val="001F7504"/>
    <w:rsid w:val="0020065B"/>
    <w:rsid w:val="00200DC3"/>
    <w:rsid w:val="002011E2"/>
    <w:rsid w:val="0020160F"/>
    <w:rsid w:val="00201BB9"/>
    <w:rsid w:val="002025EE"/>
    <w:rsid w:val="00202925"/>
    <w:rsid w:val="00202C70"/>
    <w:rsid w:val="00202DDA"/>
    <w:rsid w:val="00204F6B"/>
    <w:rsid w:val="002050B0"/>
    <w:rsid w:val="00205D80"/>
    <w:rsid w:val="00206DE7"/>
    <w:rsid w:val="002074F9"/>
    <w:rsid w:val="00207BFA"/>
    <w:rsid w:val="00210874"/>
    <w:rsid w:val="0021093F"/>
    <w:rsid w:val="002133CA"/>
    <w:rsid w:val="00214369"/>
    <w:rsid w:val="00214F9A"/>
    <w:rsid w:val="00215783"/>
    <w:rsid w:val="00216071"/>
    <w:rsid w:val="0021644B"/>
    <w:rsid w:val="00216DC9"/>
    <w:rsid w:val="00217CA0"/>
    <w:rsid w:val="002202EB"/>
    <w:rsid w:val="00220FCF"/>
    <w:rsid w:val="00221705"/>
    <w:rsid w:val="00222391"/>
    <w:rsid w:val="002247B5"/>
    <w:rsid w:val="0022503D"/>
    <w:rsid w:val="00231CCE"/>
    <w:rsid w:val="002322A1"/>
    <w:rsid w:val="002329C3"/>
    <w:rsid w:val="00232CC4"/>
    <w:rsid w:val="002332AE"/>
    <w:rsid w:val="002333C2"/>
    <w:rsid w:val="00233486"/>
    <w:rsid w:val="00234040"/>
    <w:rsid w:val="00234EA0"/>
    <w:rsid w:val="00235D67"/>
    <w:rsid w:val="0023626B"/>
    <w:rsid w:val="00244D22"/>
    <w:rsid w:val="002457F3"/>
    <w:rsid w:val="00246C09"/>
    <w:rsid w:val="00247262"/>
    <w:rsid w:val="0025262D"/>
    <w:rsid w:val="0025292D"/>
    <w:rsid w:val="00254F6C"/>
    <w:rsid w:val="0025616B"/>
    <w:rsid w:val="0025684F"/>
    <w:rsid w:val="00257285"/>
    <w:rsid w:val="0025784D"/>
    <w:rsid w:val="00257FF4"/>
    <w:rsid w:val="002602D3"/>
    <w:rsid w:val="002606CB"/>
    <w:rsid w:val="002608CE"/>
    <w:rsid w:val="00261813"/>
    <w:rsid w:val="0026279C"/>
    <w:rsid w:val="00262CD3"/>
    <w:rsid w:val="002640E5"/>
    <w:rsid w:val="00265289"/>
    <w:rsid w:val="00266613"/>
    <w:rsid w:val="00266FE9"/>
    <w:rsid w:val="002676AB"/>
    <w:rsid w:val="00267875"/>
    <w:rsid w:val="00270155"/>
    <w:rsid w:val="00270D82"/>
    <w:rsid w:val="0027168C"/>
    <w:rsid w:val="00271FC7"/>
    <w:rsid w:val="00272396"/>
    <w:rsid w:val="0027614D"/>
    <w:rsid w:val="0027651A"/>
    <w:rsid w:val="0028001E"/>
    <w:rsid w:val="002800DD"/>
    <w:rsid w:val="00280510"/>
    <w:rsid w:val="00281673"/>
    <w:rsid w:val="00281CF6"/>
    <w:rsid w:val="0028359B"/>
    <w:rsid w:val="00284DDC"/>
    <w:rsid w:val="002857FE"/>
    <w:rsid w:val="00285F5A"/>
    <w:rsid w:val="00287C57"/>
    <w:rsid w:val="00291E57"/>
    <w:rsid w:val="00292D6A"/>
    <w:rsid w:val="00292ECC"/>
    <w:rsid w:val="0029312A"/>
    <w:rsid w:val="0029325C"/>
    <w:rsid w:val="00293B2D"/>
    <w:rsid w:val="00293B46"/>
    <w:rsid w:val="00294092"/>
    <w:rsid w:val="00294854"/>
    <w:rsid w:val="002960B7"/>
    <w:rsid w:val="00297643"/>
    <w:rsid w:val="00297824"/>
    <w:rsid w:val="002A153F"/>
    <w:rsid w:val="002A3B50"/>
    <w:rsid w:val="002A40DC"/>
    <w:rsid w:val="002A465D"/>
    <w:rsid w:val="002A5329"/>
    <w:rsid w:val="002A55B5"/>
    <w:rsid w:val="002A5C2D"/>
    <w:rsid w:val="002A61E5"/>
    <w:rsid w:val="002A6AF1"/>
    <w:rsid w:val="002A7BD3"/>
    <w:rsid w:val="002A7FC8"/>
    <w:rsid w:val="002B0133"/>
    <w:rsid w:val="002B0A81"/>
    <w:rsid w:val="002B1CE7"/>
    <w:rsid w:val="002B2C50"/>
    <w:rsid w:val="002B2F0F"/>
    <w:rsid w:val="002B4ED5"/>
    <w:rsid w:val="002B595D"/>
    <w:rsid w:val="002B5F6A"/>
    <w:rsid w:val="002B779E"/>
    <w:rsid w:val="002B7D6F"/>
    <w:rsid w:val="002B7D78"/>
    <w:rsid w:val="002C0552"/>
    <w:rsid w:val="002C1CF7"/>
    <w:rsid w:val="002C25D0"/>
    <w:rsid w:val="002C280B"/>
    <w:rsid w:val="002C2B39"/>
    <w:rsid w:val="002C2DB0"/>
    <w:rsid w:val="002C72F9"/>
    <w:rsid w:val="002C75B0"/>
    <w:rsid w:val="002C7703"/>
    <w:rsid w:val="002C7A63"/>
    <w:rsid w:val="002D0153"/>
    <w:rsid w:val="002D403A"/>
    <w:rsid w:val="002D4262"/>
    <w:rsid w:val="002D4C10"/>
    <w:rsid w:val="002D4DB4"/>
    <w:rsid w:val="002E1017"/>
    <w:rsid w:val="002E1064"/>
    <w:rsid w:val="002E1A4D"/>
    <w:rsid w:val="002E323F"/>
    <w:rsid w:val="002E5554"/>
    <w:rsid w:val="002E58D0"/>
    <w:rsid w:val="002E615F"/>
    <w:rsid w:val="002E6DAD"/>
    <w:rsid w:val="002E70EB"/>
    <w:rsid w:val="002F0614"/>
    <w:rsid w:val="002F1606"/>
    <w:rsid w:val="002F1B12"/>
    <w:rsid w:val="002F1ED4"/>
    <w:rsid w:val="002F591B"/>
    <w:rsid w:val="002F6EE2"/>
    <w:rsid w:val="002F7485"/>
    <w:rsid w:val="002F7704"/>
    <w:rsid w:val="002F7B47"/>
    <w:rsid w:val="00300013"/>
    <w:rsid w:val="00300334"/>
    <w:rsid w:val="003006F8"/>
    <w:rsid w:val="00300BF2"/>
    <w:rsid w:val="00301199"/>
    <w:rsid w:val="003016C4"/>
    <w:rsid w:val="00301A44"/>
    <w:rsid w:val="003027C1"/>
    <w:rsid w:val="00302A25"/>
    <w:rsid w:val="00304676"/>
    <w:rsid w:val="00304BB6"/>
    <w:rsid w:val="00304C13"/>
    <w:rsid w:val="00305718"/>
    <w:rsid w:val="00305EC5"/>
    <w:rsid w:val="00306107"/>
    <w:rsid w:val="003068C0"/>
    <w:rsid w:val="00306975"/>
    <w:rsid w:val="003077B8"/>
    <w:rsid w:val="003111F8"/>
    <w:rsid w:val="0031204A"/>
    <w:rsid w:val="0031272B"/>
    <w:rsid w:val="00312DEE"/>
    <w:rsid w:val="00315435"/>
    <w:rsid w:val="0031598E"/>
    <w:rsid w:val="00316AB7"/>
    <w:rsid w:val="0032038C"/>
    <w:rsid w:val="00320C0D"/>
    <w:rsid w:val="00321889"/>
    <w:rsid w:val="0032269F"/>
    <w:rsid w:val="0032417E"/>
    <w:rsid w:val="00325494"/>
    <w:rsid w:val="00325C5E"/>
    <w:rsid w:val="0032738E"/>
    <w:rsid w:val="0032742E"/>
    <w:rsid w:val="003303E4"/>
    <w:rsid w:val="00330A59"/>
    <w:rsid w:val="003311DD"/>
    <w:rsid w:val="00331B40"/>
    <w:rsid w:val="00331C5F"/>
    <w:rsid w:val="00332A05"/>
    <w:rsid w:val="00333074"/>
    <w:rsid w:val="00333223"/>
    <w:rsid w:val="00333875"/>
    <w:rsid w:val="00333D6D"/>
    <w:rsid w:val="003345A1"/>
    <w:rsid w:val="003347F8"/>
    <w:rsid w:val="00334AB4"/>
    <w:rsid w:val="00334F7E"/>
    <w:rsid w:val="003364C1"/>
    <w:rsid w:val="00337F82"/>
    <w:rsid w:val="00340640"/>
    <w:rsid w:val="003435D6"/>
    <w:rsid w:val="00344D99"/>
    <w:rsid w:val="003458E0"/>
    <w:rsid w:val="00345CCD"/>
    <w:rsid w:val="00347BEF"/>
    <w:rsid w:val="003511CE"/>
    <w:rsid w:val="0035163E"/>
    <w:rsid w:val="00351909"/>
    <w:rsid w:val="00352BE0"/>
    <w:rsid w:val="0035333E"/>
    <w:rsid w:val="00353420"/>
    <w:rsid w:val="003538F0"/>
    <w:rsid w:val="00354A26"/>
    <w:rsid w:val="00356026"/>
    <w:rsid w:val="00357DAE"/>
    <w:rsid w:val="003602A5"/>
    <w:rsid w:val="003606A2"/>
    <w:rsid w:val="00361259"/>
    <w:rsid w:val="00361429"/>
    <w:rsid w:val="00361734"/>
    <w:rsid w:val="003624D6"/>
    <w:rsid w:val="00362AA7"/>
    <w:rsid w:val="00364EF7"/>
    <w:rsid w:val="00364F11"/>
    <w:rsid w:val="00365C6C"/>
    <w:rsid w:val="003662DA"/>
    <w:rsid w:val="003705BF"/>
    <w:rsid w:val="00370935"/>
    <w:rsid w:val="00370E97"/>
    <w:rsid w:val="00371C1A"/>
    <w:rsid w:val="003730A0"/>
    <w:rsid w:val="00375E52"/>
    <w:rsid w:val="00377BC4"/>
    <w:rsid w:val="003807C9"/>
    <w:rsid w:val="00380D9F"/>
    <w:rsid w:val="00381383"/>
    <w:rsid w:val="00381C30"/>
    <w:rsid w:val="003821EB"/>
    <w:rsid w:val="00382234"/>
    <w:rsid w:val="003822E4"/>
    <w:rsid w:val="00382408"/>
    <w:rsid w:val="00384BB1"/>
    <w:rsid w:val="003859AA"/>
    <w:rsid w:val="003864FA"/>
    <w:rsid w:val="0038672F"/>
    <w:rsid w:val="00386BC9"/>
    <w:rsid w:val="00386F24"/>
    <w:rsid w:val="00387957"/>
    <w:rsid w:val="00387A6E"/>
    <w:rsid w:val="00387CC2"/>
    <w:rsid w:val="0039053D"/>
    <w:rsid w:val="00392B4E"/>
    <w:rsid w:val="0039449C"/>
    <w:rsid w:val="00395A1E"/>
    <w:rsid w:val="0039684C"/>
    <w:rsid w:val="003A0290"/>
    <w:rsid w:val="003A0981"/>
    <w:rsid w:val="003A25BB"/>
    <w:rsid w:val="003A3E7B"/>
    <w:rsid w:val="003A55C1"/>
    <w:rsid w:val="003A7067"/>
    <w:rsid w:val="003B0197"/>
    <w:rsid w:val="003B026F"/>
    <w:rsid w:val="003B036A"/>
    <w:rsid w:val="003B09F6"/>
    <w:rsid w:val="003B0B7B"/>
    <w:rsid w:val="003B0D03"/>
    <w:rsid w:val="003B16A2"/>
    <w:rsid w:val="003B1C7A"/>
    <w:rsid w:val="003B1C96"/>
    <w:rsid w:val="003B1F0A"/>
    <w:rsid w:val="003B24C9"/>
    <w:rsid w:val="003B2C1F"/>
    <w:rsid w:val="003B5319"/>
    <w:rsid w:val="003B5533"/>
    <w:rsid w:val="003B5A85"/>
    <w:rsid w:val="003B71EE"/>
    <w:rsid w:val="003B73C9"/>
    <w:rsid w:val="003B7621"/>
    <w:rsid w:val="003B7C64"/>
    <w:rsid w:val="003C0593"/>
    <w:rsid w:val="003C13A6"/>
    <w:rsid w:val="003C1EB4"/>
    <w:rsid w:val="003C223B"/>
    <w:rsid w:val="003D0B10"/>
    <w:rsid w:val="003D1E47"/>
    <w:rsid w:val="003D28F5"/>
    <w:rsid w:val="003D3662"/>
    <w:rsid w:val="003D3C14"/>
    <w:rsid w:val="003D4557"/>
    <w:rsid w:val="003D543D"/>
    <w:rsid w:val="003D59FD"/>
    <w:rsid w:val="003D76E3"/>
    <w:rsid w:val="003E0318"/>
    <w:rsid w:val="003E05AC"/>
    <w:rsid w:val="003E10B8"/>
    <w:rsid w:val="003E1222"/>
    <w:rsid w:val="003E122D"/>
    <w:rsid w:val="003E13F5"/>
    <w:rsid w:val="003E3492"/>
    <w:rsid w:val="003E3FF4"/>
    <w:rsid w:val="003E4E15"/>
    <w:rsid w:val="003E51AD"/>
    <w:rsid w:val="003E549B"/>
    <w:rsid w:val="003E5AE8"/>
    <w:rsid w:val="003E7507"/>
    <w:rsid w:val="003E7B05"/>
    <w:rsid w:val="003F07EE"/>
    <w:rsid w:val="003F29F2"/>
    <w:rsid w:val="003F47DF"/>
    <w:rsid w:val="003F496D"/>
    <w:rsid w:val="003F6209"/>
    <w:rsid w:val="004003E3"/>
    <w:rsid w:val="0040314A"/>
    <w:rsid w:val="004036D4"/>
    <w:rsid w:val="0040496B"/>
    <w:rsid w:val="00405A32"/>
    <w:rsid w:val="00405DAB"/>
    <w:rsid w:val="00405E90"/>
    <w:rsid w:val="004065CE"/>
    <w:rsid w:val="00407C84"/>
    <w:rsid w:val="004105DD"/>
    <w:rsid w:val="00410C3B"/>
    <w:rsid w:val="00410DCE"/>
    <w:rsid w:val="004114DA"/>
    <w:rsid w:val="00413AD1"/>
    <w:rsid w:val="0041404E"/>
    <w:rsid w:val="0041429D"/>
    <w:rsid w:val="004147D0"/>
    <w:rsid w:val="00414E1F"/>
    <w:rsid w:val="00416BB8"/>
    <w:rsid w:val="00416DE0"/>
    <w:rsid w:val="0041765C"/>
    <w:rsid w:val="00420837"/>
    <w:rsid w:val="00421EEC"/>
    <w:rsid w:val="00422933"/>
    <w:rsid w:val="00422F4B"/>
    <w:rsid w:val="004230EA"/>
    <w:rsid w:val="004248B4"/>
    <w:rsid w:val="00424C66"/>
    <w:rsid w:val="0042526D"/>
    <w:rsid w:val="004254A2"/>
    <w:rsid w:val="00426D71"/>
    <w:rsid w:val="00427415"/>
    <w:rsid w:val="00430256"/>
    <w:rsid w:val="0043105E"/>
    <w:rsid w:val="00431BF1"/>
    <w:rsid w:val="00432809"/>
    <w:rsid w:val="00432E37"/>
    <w:rsid w:val="004338B9"/>
    <w:rsid w:val="00433D22"/>
    <w:rsid w:val="004342F8"/>
    <w:rsid w:val="00434A2F"/>
    <w:rsid w:val="0043578E"/>
    <w:rsid w:val="0044083A"/>
    <w:rsid w:val="004408FA"/>
    <w:rsid w:val="00441B0C"/>
    <w:rsid w:val="00443B4A"/>
    <w:rsid w:val="00443D0C"/>
    <w:rsid w:val="0044552A"/>
    <w:rsid w:val="00445663"/>
    <w:rsid w:val="00445CA2"/>
    <w:rsid w:val="00447949"/>
    <w:rsid w:val="00447B6D"/>
    <w:rsid w:val="0045006A"/>
    <w:rsid w:val="00450E44"/>
    <w:rsid w:val="00451501"/>
    <w:rsid w:val="0045239E"/>
    <w:rsid w:val="004528D0"/>
    <w:rsid w:val="00453C86"/>
    <w:rsid w:val="00454564"/>
    <w:rsid w:val="004562E5"/>
    <w:rsid w:val="0045777B"/>
    <w:rsid w:val="00457BC3"/>
    <w:rsid w:val="00457E42"/>
    <w:rsid w:val="0046034D"/>
    <w:rsid w:val="00462272"/>
    <w:rsid w:val="0046390C"/>
    <w:rsid w:val="00464279"/>
    <w:rsid w:val="004645D8"/>
    <w:rsid w:val="00465D4E"/>
    <w:rsid w:val="00466646"/>
    <w:rsid w:val="004677D4"/>
    <w:rsid w:val="00467B1A"/>
    <w:rsid w:val="00467BDD"/>
    <w:rsid w:val="00471640"/>
    <w:rsid w:val="004717F6"/>
    <w:rsid w:val="004720FA"/>
    <w:rsid w:val="0047364D"/>
    <w:rsid w:val="00474471"/>
    <w:rsid w:val="0047481E"/>
    <w:rsid w:val="00474918"/>
    <w:rsid w:val="00475EAF"/>
    <w:rsid w:val="00477055"/>
    <w:rsid w:val="004775DD"/>
    <w:rsid w:val="00480B92"/>
    <w:rsid w:val="00481429"/>
    <w:rsid w:val="004815F8"/>
    <w:rsid w:val="00481E32"/>
    <w:rsid w:val="004831ED"/>
    <w:rsid w:val="004836A7"/>
    <w:rsid w:val="004847B4"/>
    <w:rsid w:val="00484915"/>
    <w:rsid w:val="00484921"/>
    <w:rsid w:val="004849E3"/>
    <w:rsid w:val="004856B8"/>
    <w:rsid w:val="00486614"/>
    <w:rsid w:val="00487304"/>
    <w:rsid w:val="00487E11"/>
    <w:rsid w:val="00487FB8"/>
    <w:rsid w:val="00490D2E"/>
    <w:rsid w:val="004910D9"/>
    <w:rsid w:val="004916DE"/>
    <w:rsid w:val="004919D4"/>
    <w:rsid w:val="00491FB2"/>
    <w:rsid w:val="0049212C"/>
    <w:rsid w:val="004942D5"/>
    <w:rsid w:val="004943C4"/>
    <w:rsid w:val="00495045"/>
    <w:rsid w:val="00495C39"/>
    <w:rsid w:val="00497E89"/>
    <w:rsid w:val="004A060A"/>
    <w:rsid w:val="004A0D5C"/>
    <w:rsid w:val="004A1224"/>
    <w:rsid w:val="004A247B"/>
    <w:rsid w:val="004A28C5"/>
    <w:rsid w:val="004A2BB1"/>
    <w:rsid w:val="004A660C"/>
    <w:rsid w:val="004A6B22"/>
    <w:rsid w:val="004A6B44"/>
    <w:rsid w:val="004A7DBD"/>
    <w:rsid w:val="004B08BB"/>
    <w:rsid w:val="004B0B19"/>
    <w:rsid w:val="004B2539"/>
    <w:rsid w:val="004B2603"/>
    <w:rsid w:val="004B27AE"/>
    <w:rsid w:val="004B2C20"/>
    <w:rsid w:val="004B2E73"/>
    <w:rsid w:val="004B35F0"/>
    <w:rsid w:val="004B37A7"/>
    <w:rsid w:val="004B4426"/>
    <w:rsid w:val="004B5F2A"/>
    <w:rsid w:val="004B74B2"/>
    <w:rsid w:val="004B796A"/>
    <w:rsid w:val="004C0CD0"/>
    <w:rsid w:val="004C1399"/>
    <w:rsid w:val="004C1C09"/>
    <w:rsid w:val="004C2A17"/>
    <w:rsid w:val="004C2B0E"/>
    <w:rsid w:val="004C5507"/>
    <w:rsid w:val="004C6877"/>
    <w:rsid w:val="004C7954"/>
    <w:rsid w:val="004D1B70"/>
    <w:rsid w:val="004D1E1A"/>
    <w:rsid w:val="004D1EFF"/>
    <w:rsid w:val="004D20AD"/>
    <w:rsid w:val="004D23A9"/>
    <w:rsid w:val="004D2683"/>
    <w:rsid w:val="004D26C3"/>
    <w:rsid w:val="004D29F5"/>
    <w:rsid w:val="004D2F90"/>
    <w:rsid w:val="004D34B2"/>
    <w:rsid w:val="004D39F1"/>
    <w:rsid w:val="004D419B"/>
    <w:rsid w:val="004D7591"/>
    <w:rsid w:val="004D7804"/>
    <w:rsid w:val="004D7AFE"/>
    <w:rsid w:val="004E0308"/>
    <w:rsid w:val="004E2825"/>
    <w:rsid w:val="004E3079"/>
    <w:rsid w:val="004E3276"/>
    <w:rsid w:val="004E44BD"/>
    <w:rsid w:val="004E518B"/>
    <w:rsid w:val="004E62E4"/>
    <w:rsid w:val="004E74EB"/>
    <w:rsid w:val="004F0669"/>
    <w:rsid w:val="004F0E90"/>
    <w:rsid w:val="004F0F5B"/>
    <w:rsid w:val="004F1DA3"/>
    <w:rsid w:val="004F22B8"/>
    <w:rsid w:val="004F2437"/>
    <w:rsid w:val="004F4624"/>
    <w:rsid w:val="004F5573"/>
    <w:rsid w:val="004F5D8B"/>
    <w:rsid w:val="004F634F"/>
    <w:rsid w:val="004F7556"/>
    <w:rsid w:val="004F7A4C"/>
    <w:rsid w:val="00500700"/>
    <w:rsid w:val="0050141B"/>
    <w:rsid w:val="00502638"/>
    <w:rsid w:val="00502899"/>
    <w:rsid w:val="005029BC"/>
    <w:rsid w:val="0050346A"/>
    <w:rsid w:val="005034C7"/>
    <w:rsid w:val="00503739"/>
    <w:rsid w:val="005037C4"/>
    <w:rsid w:val="005048E3"/>
    <w:rsid w:val="00505A77"/>
    <w:rsid w:val="00505CB3"/>
    <w:rsid w:val="00506408"/>
    <w:rsid w:val="005067C7"/>
    <w:rsid w:val="00506E51"/>
    <w:rsid w:val="00506EB0"/>
    <w:rsid w:val="00507400"/>
    <w:rsid w:val="00507876"/>
    <w:rsid w:val="0050798C"/>
    <w:rsid w:val="00507D84"/>
    <w:rsid w:val="00511DF2"/>
    <w:rsid w:val="0051207B"/>
    <w:rsid w:val="005121AE"/>
    <w:rsid w:val="00513293"/>
    <w:rsid w:val="005136CD"/>
    <w:rsid w:val="0051401E"/>
    <w:rsid w:val="00514B1A"/>
    <w:rsid w:val="00514F84"/>
    <w:rsid w:val="005207F8"/>
    <w:rsid w:val="00521860"/>
    <w:rsid w:val="005222CC"/>
    <w:rsid w:val="00522622"/>
    <w:rsid w:val="00523518"/>
    <w:rsid w:val="00523CC1"/>
    <w:rsid w:val="005250EE"/>
    <w:rsid w:val="005258CE"/>
    <w:rsid w:val="00525AB1"/>
    <w:rsid w:val="00526B01"/>
    <w:rsid w:val="00527492"/>
    <w:rsid w:val="005277F5"/>
    <w:rsid w:val="005310C1"/>
    <w:rsid w:val="00532994"/>
    <w:rsid w:val="005329BE"/>
    <w:rsid w:val="00533515"/>
    <w:rsid w:val="00533D7B"/>
    <w:rsid w:val="005342DE"/>
    <w:rsid w:val="00534AC0"/>
    <w:rsid w:val="005352CC"/>
    <w:rsid w:val="00535557"/>
    <w:rsid w:val="00535C4F"/>
    <w:rsid w:val="0053606A"/>
    <w:rsid w:val="005369C0"/>
    <w:rsid w:val="00537858"/>
    <w:rsid w:val="00537B1F"/>
    <w:rsid w:val="00540D82"/>
    <w:rsid w:val="00540E99"/>
    <w:rsid w:val="00540EEB"/>
    <w:rsid w:val="00541254"/>
    <w:rsid w:val="00541579"/>
    <w:rsid w:val="005421CC"/>
    <w:rsid w:val="005423DF"/>
    <w:rsid w:val="00542BA5"/>
    <w:rsid w:val="00544B8B"/>
    <w:rsid w:val="005459ED"/>
    <w:rsid w:val="0054629D"/>
    <w:rsid w:val="00546797"/>
    <w:rsid w:val="00546FA2"/>
    <w:rsid w:val="00546FBF"/>
    <w:rsid w:val="00547090"/>
    <w:rsid w:val="00547CD4"/>
    <w:rsid w:val="00547EB8"/>
    <w:rsid w:val="00552FC2"/>
    <w:rsid w:val="00553DA2"/>
    <w:rsid w:val="005543FB"/>
    <w:rsid w:val="005546AE"/>
    <w:rsid w:val="00554B1A"/>
    <w:rsid w:val="00555623"/>
    <w:rsid w:val="005562DC"/>
    <w:rsid w:val="00556324"/>
    <w:rsid w:val="00556725"/>
    <w:rsid w:val="00556C4F"/>
    <w:rsid w:val="00557A85"/>
    <w:rsid w:val="005606B5"/>
    <w:rsid w:val="005622CF"/>
    <w:rsid w:val="00562BAD"/>
    <w:rsid w:val="0056365E"/>
    <w:rsid w:val="005656CE"/>
    <w:rsid w:val="00565B98"/>
    <w:rsid w:val="00565C77"/>
    <w:rsid w:val="00566181"/>
    <w:rsid w:val="005668EF"/>
    <w:rsid w:val="00566C45"/>
    <w:rsid w:val="005708BD"/>
    <w:rsid w:val="00571B77"/>
    <w:rsid w:val="00572E61"/>
    <w:rsid w:val="005736DA"/>
    <w:rsid w:val="005737F3"/>
    <w:rsid w:val="00574906"/>
    <w:rsid w:val="00574D8D"/>
    <w:rsid w:val="00574E9E"/>
    <w:rsid w:val="005752BC"/>
    <w:rsid w:val="0057554B"/>
    <w:rsid w:val="0057622F"/>
    <w:rsid w:val="00577817"/>
    <w:rsid w:val="00577977"/>
    <w:rsid w:val="00580854"/>
    <w:rsid w:val="00581017"/>
    <w:rsid w:val="00581719"/>
    <w:rsid w:val="00581D30"/>
    <w:rsid w:val="00583067"/>
    <w:rsid w:val="00584020"/>
    <w:rsid w:val="00584245"/>
    <w:rsid w:val="00584C2D"/>
    <w:rsid w:val="00584D80"/>
    <w:rsid w:val="005855BB"/>
    <w:rsid w:val="00586535"/>
    <w:rsid w:val="00586BB5"/>
    <w:rsid w:val="00586DFB"/>
    <w:rsid w:val="0058701A"/>
    <w:rsid w:val="00587357"/>
    <w:rsid w:val="00587F2B"/>
    <w:rsid w:val="005905BC"/>
    <w:rsid w:val="00590B75"/>
    <w:rsid w:val="00590DAA"/>
    <w:rsid w:val="005914E9"/>
    <w:rsid w:val="0059205C"/>
    <w:rsid w:val="00592349"/>
    <w:rsid w:val="00593F5D"/>
    <w:rsid w:val="00595C73"/>
    <w:rsid w:val="0059682B"/>
    <w:rsid w:val="00596F3F"/>
    <w:rsid w:val="00597EEF"/>
    <w:rsid w:val="005A1A77"/>
    <w:rsid w:val="005A1C4E"/>
    <w:rsid w:val="005A2F2F"/>
    <w:rsid w:val="005A3678"/>
    <w:rsid w:val="005A498A"/>
    <w:rsid w:val="005A4A1A"/>
    <w:rsid w:val="005A57B4"/>
    <w:rsid w:val="005A61D3"/>
    <w:rsid w:val="005A64FF"/>
    <w:rsid w:val="005A7E70"/>
    <w:rsid w:val="005B1A53"/>
    <w:rsid w:val="005B40E8"/>
    <w:rsid w:val="005B6DAA"/>
    <w:rsid w:val="005B7314"/>
    <w:rsid w:val="005B7D8B"/>
    <w:rsid w:val="005C03F6"/>
    <w:rsid w:val="005C0475"/>
    <w:rsid w:val="005C153B"/>
    <w:rsid w:val="005C1569"/>
    <w:rsid w:val="005C4045"/>
    <w:rsid w:val="005C4604"/>
    <w:rsid w:val="005C4BEE"/>
    <w:rsid w:val="005C6366"/>
    <w:rsid w:val="005C63A0"/>
    <w:rsid w:val="005C6E74"/>
    <w:rsid w:val="005C781C"/>
    <w:rsid w:val="005D2FC8"/>
    <w:rsid w:val="005D330E"/>
    <w:rsid w:val="005D4434"/>
    <w:rsid w:val="005D7A35"/>
    <w:rsid w:val="005E034F"/>
    <w:rsid w:val="005E05B0"/>
    <w:rsid w:val="005E09A7"/>
    <w:rsid w:val="005E18E7"/>
    <w:rsid w:val="005E198B"/>
    <w:rsid w:val="005E19D9"/>
    <w:rsid w:val="005E1D35"/>
    <w:rsid w:val="005E2897"/>
    <w:rsid w:val="005E2A31"/>
    <w:rsid w:val="005E3D2F"/>
    <w:rsid w:val="005E442F"/>
    <w:rsid w:val="005E4EEF"/>
    <w:rsid w:val="005E5625"/>
    <w:rsid w:val="005E5820"/>
    <w:rsid w:val="005E61D8"/>
    <w:rsid w:val="005E7891"/>
    <w:rsid w:val="005E7E2C"/>
    <w:rsid w:val="005F0069"/>
    <w:rsid w:val="005F041B"/>
    <w:rsid w:val="005F1ADE"/>
    <w:rsid w:val="005F1AE5"/>
    <w:rsid w:val="005F1DE5"/>
    <w:rsid w:val="005F29CD"/>
    <w:rsid w:val="005F2C5E"/>
    <w:rsid w:val="005F3175"/>
    <w:rsid w:val="005F3436"/>
    <w:rsid w:val="005F41D8"/>
    <w:rsid w:val="005F4739"/>
    <w:rsid w:val="005F48A7"/>
    <w:rsid w:val="005F642B"/>
    <w:rsid w:val="005F67FC"/>
    <w:rsid w:val="005F745C"/>
    <w:rsid w:val="005F74BE"/>
    <w:rsid w:val="00600F1E"/>
    <w:rsid w:val="00601630"/>
    <w:rsid w:val="006026E1"/>
    <w:rsid w:val="006033EF"/>
    <w:rsid w:val="00603A90"/>
    <w:rsid w:val="00605163"/>
    <w:rsid w:val="006065BF"/>
    <w:rsid w:val="0060662B"/>
    <w:rsid w:val="00606786"/>
    <w:rsid w:val="006070EA"/>
    <w:rsid w:val="00607ABE"/>
    <w:rsid w:val="00607AD1"/>
    <w:rsid w:val="00607F53"/>
    <w:rsid w:val="006103D0"/>
    <w:rsid w:val="0061103A"/>
    <w:rsid w:val="00611EAE"/>
    <w:rsid w:val="0061242F"/>
    <w:rsid w:val="0061364A"/>
    <w:rsid w:val="00613B40"/>
    <w:rsid w:val="00613BEA"/>
    <w:rsid w:val="0061402C"/>
    <w:rsid w:val="00614BF4"/>
    <w:rsid w:val="0061595F"/>
    <w:rsid w:val="00615A79"/>
    <w:rsid w:val="00616179"/>
    <w:rsid w:val="0061675B"/>
    <w:rsid w:val="00617374"/>
    <w:rsid w:val="0062052B"/>
    <w:rsid w:val="0062162E"/>
    <w:rsid w:val="00621A86"/>
    <w:rsid w:val="00623401"/>
    <w:rsid w:val="0062363E"/>
    <w:rsid w:val="00625C40"/>
    <w:rsid w:val="00627E7C"/>
    <w:rsid w:val="00631369"/>
    <w:rsid w:val="00631C34"/>
    <w:rsid w:val="00632481"/>
    <w:rsid w:val="0063262D"/>
    <w:rsid w:val="0063268B"/>
    <w:rsid w:val="00632A6D"/>
    <w:rsid w:val="00632C73"/>
    <w:rsid w:val="00633129"/>
    <w:rsid w:val="00634DE5"/>
    <w:rsid w:val="00635B0C"/>
    <w:rsid w:val="006378CA"/>
    <w:rsid w:val="00637BBD"/>
    <w:rsid w:val="00640D17"/>
    <w:rsid w:val="006413C5"/>
    <w:rsid w:val="00641496"/>
    <w:rsid w:val="006419A0"/>
    <w:rsid w:val="00641A99"/>
    <w:rsid w:val="00641C46"/>
    <w:rsid w:val="00642118"/>
    <w:rsid w:val="00642768"/>
    <w:rsid w:val="00644C60"/>
    <w:rsid w:val="00645147"/>
    <w:rsid w:val="00645E69"/>
    <w:rsid w:val="00646130"/>
    <w:rsid w:val="00646ACE"/>
    <w:rsid w:val="006474C0"/>
    <w:rsid w:val="00647927"/>
    <w:rsid w:val="00652B9B"/>
    <w:rsid w:val="00653743"/>
    <w:rsid w:val="00653DD9"/>
    <w:rsid w:val="00654737"/>
    <w:rsid w:val="00654E6A"/>
    <w:rsid w:val="006551FC"/>
    <w:rsid w:val="006575F3"/>
    <w:rsid w:val="006578F5"/>
    <w:rsid w:val="00660871"/>
    <w:rsid w:val="00662809"/>
    <w:rsid w:val="00662C98"/>
    <w:rsid w:val="00664AD0"/>
    <w:rsid w:val="00664E08"/>
    <w:rsid w:val="006650D0"/>
    <w:rsid w:val="006654E9"/>
    <w:rsid w:val="00666874"/>
    <w:rsid w:val="00667603"/>
    <w:rsid w:val="0066774D"/>
    <w:rsid w:val="00667F42"/>
    <w:rsid w:val="006702F3"/>
    <w:rsid w:val="00671284"/>
    <w:rsid w:val="00671D31"/>
    <w:rsid w:val="006727FC"/>
    <w:rsid w:val="00673906"/>
    <w:rsid w:val="00674FC8"/>
    <w:rsid w:val="00675EF7"/>
    <w:rsid w:val="00676E5B"/>
    <w:rsid w:val="00677D6B"/>
    <w:rsid w:val="00680795"/>
    <w:rsid w:val="00681D75"/>
    <w:rsid w:val="00682713"/>
    <w:rsid w:val="00683451"/>
    <w:rsid w:val="00683579"/>
    <w:rsid w:val="006837FB"/>
    <w:rsid w:val="006853B4"/>
    <w:rsid w:val="006854CE"/>
    <w:rsid w:val="00686B47"/>
    <w:rsid w:val="00686B87"/>
    <w:rsid w:val="0068790B"/>
    <w:rsid w:val="006918FA"/>
    <w:rsid w:val="00691B0A"/>
    <w:rsid w:val="00691C64"/>
    <w:rsid w:val="00691E49"/>
    <w:rsid w:val="00693008"/>
    <w:rsid w:val="006941DD"/>
    <w:rsid w:val="0069466B"/>
    <w:rsid w:val="00694D03"/>
    <w:rsid w:val="00695483"/>
    <w:rsid w:val="0069692D"/>
    <w:rsid w:val="00696B84"/>
    <w:rsid w:val="00696CB7"/>
    <w:rsid w:val="00697240"/>
    <w:rsid w:val="00697297"/>
    <w:rsid w:val="00697D42"/>
    <w:rsid w:val="006A257C"/>
    <w:rsid w:val="006A2615"/>
    <w:rsid w:val="006A2FDD"/>
    <w:rsid w:val="006A4158"/>
    <w:rsid w:val="006A4E15"/>
    <w:rsid w:val="006A5866"/>
    <w:rsid w:val="006A641E"/>
    <w:rsid w:val="006A643C"/>
    <w:rsid w:val="006A735F"/>
    <w:rsid w:val="006B062E"/>
    <w:rsid w:val="006B0F54"/>
    <w:rsid w:val="006B415B"/>
    <w:rsid w:val="006B4C95"/>
    <w:rsid w:val="006B4CBA"/>
    <w:rsid w:val="006B5E5A"/>
    <w:rsid w:val="006C0199"/>
    <w:rsid w:val="006C2E46"/>
    <w:rsid w:val="006C3938"/>
    <w:rsid w:val="006C4E45"/>
    <w:rsid w:val="006C5EE1"/>
    <w:rsid w:val="006C61B1"/>
    <w:rsid w:val="006C7898"/>
    <w:rsid w:val="006D0669"/>
    <w:rsid w:val="006D0E5B"/>
    <w:rsid w:val="006D1134"/>
    <w:rsid w:val="006D1D4E"/>
    <w:rsid w:val="006D3333"/>
    <w:rsid w:val="006D3771"/>
    <w:rsid w:val="006D440A"/>
    <w:rsid w:val="006D51EA"/>
    <w:rsid w:val="006D592F"/>
    <w:rsid w:val="006D62BE"/>
    <w:rsid w:val="006D7B71"/>
    <w:rsid w:val="006E0006"/>
    <w:rsid w:val="006E0DF6"/>
    <w:rsid w:val="006E0F43"/>
    <w:rsid w:val="006E1BDE"/>
    <w:rsid w:val="006E2A5F"/>
    <w:rsid w:val="006E336C"/>
    <w:rsid w:val="006E35A9"/>
    <w:rsid w:val="006E3B9E"/>
    <w:rsid w:val="006E4A27"/>
    <w:rsid w:val="006E5828"/>
    <w:rsid w:val="006E6BB9"/>
    <w:rsid w:val="006E715C"/>
    <w:rsid w:val="006E722B"/>
    <w:rsid w:val="006E784F"/>
    <w:rsid w:val="006F0B4F"/>
    <w:rsid w:val="006F0D82"/>
    <w:rsid w:val="006F0E97"/>
    <w:rsid w:val="006F215A"/>
    <w:rsid w:val="006F2DF3"/>
    <w:rsid w:val="006F2DF9"/>
    <w:rsid w:val="006F3865"/>
    <w:rsid w:val="006F3C6F"/>
    <w:rsid w:val="006F41C6"/>
    <w:rsid w:val="006F5DD9"/>
    <w:rsid w:val="006F6FA2"/>
    <w:rsid w:val="006F710F"/>
    <w:rsid w:val="007001D0"/>
    <w:rsid w:val="00700CE3"/>
    <w:rsid w:val="00700DC0"/>
    <w:rsid w:val="00701498"/>
    <w:rsid w:val="007016C1"/>
    <w:rsid w:val="00701E70"/>
    <w:rsid w:val="00703B73"/>
    <w:rsid w:val="00704F47"/>
    <w:rsid w:val="00705776"/>
    <w:rsid w:val="00706350"/>
    <w:rsid w:val="007072C2"/>
    <w:rsid w:val="0070746B"/>
    <w:rsid w:val="007075CA"/>
    <w:rsid w:val="0071123E"/>
    <w:rsid w:val="0071151E"/>
    <w:rsid w:val="007118AC"/>
    <w:rsid w:val="00713EC8"/>
    <w:rsid w:val="0071482B"/>
    <w:rsid w:val="00714866"/>
    <w:rsid w:val="00714C8F"/>
    <w:rsid w:val="00715A32"/>
    <w:rsid w:val="00716F57"/>
    <w:rsid w:val="00717A74"/>
    <w:rsid w:val="00721409"/>
    <w:rsid w:val="00721CE0"/>
    <w:rsid w:val="007221A2"/>
    <w:rsid w:val="00722935"/>
    <w:rsid w:val="00722ADB"/>
    <w:rsid w:val="00722EF9"/>
    <w:rsid w:val="0072464D"/>
    <w:rsid w:val="007264BB"/>
    <w:rsid w:val="00727815"/>
    <w:rsid w:val="00730403"/>
    <w:rsid w:val="00730E31"/>
    <w:rsid w:val="00731675"/>
    <w:rsid w:val="00731C47"/>
    <w:rsid w:val="00731EC9"/>
    <w:rsid w:val="00734E06"/>
    <w:rsid w:val="00734FB5"/>
    <w:rsid w:val="007350BC"/>
    <w:rsid w:val="007351B0"/>
    <w:rsid w:val="00736C95"/>
    <w:rsid w:val="00736E9D"/>
    <w:rsid w:val="007373FA"/>
    <w:rsid w:val="0073757B"/>
    <w:rsid w:val="00737B2A"/>
    <w:rsid w:val="00737D65"/>
    <w:rsid w:val="00737DB3"/>
    <w:rsid w:val="0074063F"/>
    <w:rsid w:val="00740EF1"/>
    <w:rsid w:val="007440D2"/>
    <w:rsid w:val="007444E7"/>
    <w:rsid w:val="00744DBD"/>
    <w:rsid w:val="00745398"/>
    <w:rsid w:val="00745C4D"/>
    <w:rsid w:val="00745E84"/>
    <w:rsid w:val="0074610F"/>
    <w:rsid w:val="0074791F"/>
    <w:rsid w:val="00751F56"/>
    <w:rsid w:val="00753823"/>
    <w:rsid w:val="00754870"/>
    <w:rsid w:val="007553C3"/>
    <w:rsid w:val="007561F0"/>
    <w:rsid w:val="00756632"/>
    <w:rsid w:val="0075754A"/>
    <w:rsid w:val="00757BCE"/>
    <w:rsid w:val="00760554"/>
    <w:rsid w:val="0076083D"/>
    <w:rsid w:val="00761DC2"/>
    <w:rsid w:val="00762B1E"/>
    <w:rsid w:val="00763442"/>
    <w:rsid w:val="007645C5"/>
    <w:rsid w:val="00764B94"/>
    <w:rsid w:val="00765405"/>
    <w:rsid w:val="00766434"/>
    <w:rsid w:val="007667B9"/>
    <w:rsid w:val="00766B96"/>
    <w:rsid w:val="00766BA9"/>
    <w:rsid w:val="00766EA7"/>
    <w:rsid w:val="00770E10"/>
    <w:rsid w:val="00771061"/>
    <w:rsid w:val="00771E5C"/>
    <w:rsid w:val="00772107"/>
    <w:rsid w:val="00774A83"/>
    <w:rsid w:val="00774D07"/>
    <w:rsid w:val="00775146"/>
    <w:rsid w:val="0077566D"/>
    <w:rsid w:val="00776097"/>
    <w:rsid w:val="007766A5"/>
    <w:rsid w:val="00776E39"/>
    <w:rsid w:val="0078016D"/>
    <w:rsid w:val="00781A69"/>
    <w:rsid w:val="00782098"/>
    <w:rsid w:val="0078315B"/>
    <w:rsid w:val="007833E3"/>
    <w:rsid w:val="00783F17"/>
    <w:rsid w:val="007848A3"/>
    <w:rsid w:val="007861F7"/>
    <w:rsid w:val="00786231"/>
    <w:rsid w:val="00787CF8"/>
    <w:rsid w:val="007900CB"/>
    <w:rsid w:val="007905B2"/>
    <w:rsid w:val="00790E9B"/>
    <w:rsid w:val="007917E7"/>
    <w:rsid w:val="007927C6"/>
    <w:rsid w:val="0079328A"/>
    <w:rsid w:val="0079348E"/>
    <w:rsid w:val="00793EEB"/>
    <w:rsid w:val="0079405B"/>
    <w:rsid w:val="00794288"/>
    <w:rsid w:val="00794C34"/>
    <w:rsid w:val="00795F03"/>
    <w:rsid w:val="00795FDF"/>
    <w:rsid w:val="0079629D"/>
    <w:rsid w:val="0079705F"/>
    <w:rsid w:val="00797E6F"/>
    <w:rsid w:val="007A05F4"/>
    <w:rsid w:val="007A0BB9"/>
    <w:rsid w:val="007A1D73"/>
    <w:rsid w:val="007A4023"/>
    <w:rsid w:val="007A40F4"/>
    <w:rsid w:val="007A5445"/>
    <w:rsid w:val="007A5A94"/>
    <w:rsid w:val="007A5E11"/>
    <w:rsid w:val="007A6118"/>
    <w:rsid w:val="007A6468"/>
    <w:rsid w:val="007A6C47"/>
    <w:rsid w:val="007B0F56"/>
    <w:rsid w:val="007B1577"/>
    <w:rsid w:val="007B19F6"/>
    <w:rsid w:val="007B2608"/>
    <w:rsid w:val="007B31F7"/>
    <w:rsid w:val="007B347F"/>
    <w:rsid w:val="007B37AE"/>
    <w:rsid w:val="007B4A7E"/>
    <w:rsid w:val="007B4AE1"/>
    <w:rsid w:val="007B5A98"/>
    <w:rsid w:val="007B5E30"/>
    <w:rsid w:val="007C0B2E"/>
    <w:rsid w:val="007C133F"/>
    <w:rsid w:val="007C13F8"/>
    <w:rsid w:val="007C16CE"/>
    <w:rsid w:val="007C2270"/>
    <w:rsid w:val="007C27D4"/>
    <w:rsid w:val="007C3359"/>
    <w:rsid w:val="007C3E53"/>
    <w:rsid w:val="007C4CCE"/>
    <w:rsid w:val="007C570A"/>
    <w:rsid w:val="007C7616"/>
    <w:rsid w:val="007C79B5"/>
    <w:rsid w:val="007C7D49"/>
    <w:rsid w:val="007D0EEB"/>
    <w:rsid w:val="007D19FE"/>
    <w:rsid w:val="007D1D99"/>
    <w:rsid w:val="007D427C"/>
    <w:rsid w:val="007D4D2A"/>
    <w:rsid w:val="007D6191"/>
    <w:rsid w:val="007D763D"/>
    <w:rsid w:val="007E00B1"/>
    <w:rsid w:val="007E0749"/>
    <w:rsid w:val="007E1501"/>
    <w:rsid w:val="007E2F87"/>
    <w:rsid w:val="007E334F"/>
    <w:rsid w:val="007E57B5"/>
    <w:rsid w:val="007E5B34"/>
    <w:rsid w:val="007E5D39"/>
    <w:rsid w:val="007E6201"/>
    <w:rsid w:val="007E66C8"/>
    <w:rsid w:val="007E67BD"/>
    <w:rsid w:val="007E6BBD"/>
    <w:rsid w:val="007E7F80"/>
    <w:rsid w:val="007F06E1"/>
    <w:rsid w:val="007F088B"/>
    <w:rsid w:val="007F0C09"/>
    <w:rsid w:val="007F2687"/>
    <w:rsid w:val="007F3AC3"/>
    <w:rsid w:val="007F3E75"/>
    <w:rsid w:val="007F517F"/>
    <w:rsid w:val="007F6391"/>
    <w:rsid w:val="007F6FB8"/>
    <w:rsid w:val="007F7481"/>
    <w:rsid w:val="007F76FF"/>
    <w:rsid w:val="00801491"/>
    <w:rsid w:val="008015A7"/>
    <w:rsid w:val="00802201"/>
    <w:rsid w:val="00803099"/>
    <w:rsid w:val="008031F4"/>
    <w:rsid w:val="00803B03"/>
    <w:rsid w:val="00804214"/>
    <w:rsid w:val="0080489A"/>
    <w:rsid w:val="0080562C"/>
    <w:rsid w:val="008056CA"/>
    <w:rsid w:val="00805906"/>
    <w:rsid w:val="00807658"/>
    <w:rsid w:val="008102EE"/>
    <w:rsid w:val="0081066B"/>
    <w:rsid w:val="00810809"/>
    <w:rsid w:val="00810D40"/>
    <w:rsid w:val="00812350"/>
    <w:rsid w:val="00812369"/>
    <w:rsid w:val="0081268B"/>
    <w:rsid w:val="00812741"/>
    <w:rsid w:val="008128E3"/>
    <w:rsid w:val="00813DAB"/>
    <w:rsid w:val="0081476B"/>
    <w:rsid w:val="00815871"/>
    <w:rsid w:val="00816E4A"/>
    <w:rsid w:val="00821789"/>
    <w:rsid w:val="0082180B"/>
    <w:rsid w:val="0082254F"/>
    <w:rsid w:val="008228BC"/>
    <w:rsid w:val="00824637"/>
    <w:rsid w:val="00825D4F"/>
    <w:rsid w:val="00825E7C"/>
    <w:rsid w:val="00826887"/>
    <w:rsid w:val="00830017"/>
    <w:rsid w:val="00830787"/>
    <w:rsid w:val="00830DC9"/>
    <w:rsid w:val="00830E13"/>
    <w:rsid w:val="00832B7A"/>
    <w:rsid w:val="00833A6A"/>
    <w:rsid w:val="00833E2F"/>
    <w:rsid w:val="0083594F"/>
    <w:rsid w:val="008368F3"/>
    <w:rsid w:val="008400A8"/>
    <w:rsid w:val="0084050E"/>
    <w:rsid w:val="00840976"/>
    <w:rsid w:val="00840A68"/>
    <w:rsid w:val="0084156A"/>
    <w:rsid w:val="008427B1"/>
    <w:rsid w:val="008439CC"/>
    <w:rsid w:val="008443CD"/>
    <w:rsid w:val="008449FF"/>
    <w:rsid w:val="00844B9D"/>
    <w:rsid w:val="0084601D"/>
    <w:rsid w:val="00846C73"/>
    <w:rsid w:val="00847057"/>
    <w:rsid w:val="00847303"/>
    <w:rsid w:val="0085161D"/>
    <w:rsid w:val="00853EAF"/>
    <w:rsid w:val="00854676"/>
    <w:rsid w:val="00855597"/>
    <w:rsid w:val="00855780"/>
    <w:rsid w:val="00856178"/>
    <w:rsid w:val="00856C69"/>
    <w:rsid w:val="008570AB"/>
    <w:rsid w:val="00861094"/>
    <w:rsid w:val="008613AF"/>
    <w:rsid w:val="00862545"/>
    <w:rsid w:val="008638C0"/>
    <w:rsid w:val="00863E43"/>
    <w:rsid w:val="00864B39"/>
    <w:rsid w:val="00865A76"/>
    <w:rsid w:val="008663D7"/>
    <w:rsid w:val="0086730B"/>
    <w:rsid w:val="008679E6"/>
    <w:rsid w:val="00867A0F"/>
    <w:rsid w:val="008704EB"/>
    <w:rsid w:val="00871811"/>
    <w:rsid w:val="00872E1F"/>
    <w:rsid w:val="00873942"/>
    <w:rsid w:val="00873B8D"/>
    <w:rsid w:val="0087580E"/>
    <w:rsid w:val="00875E6B"/>
    <w:rsid w:val="00880558"/>
    <w:rsid w:val="00882B95"/>
    <w:rsid w:val="00885B90"/>
    <w:rsid w:val="00885DA2"/>
    <w:rsid w:val="00885E17"/>
    <w:rsid w:val="00886342"/>
    <w:rsid w:val="008875DE"/>
    <w:rsid w:val="00887CB1"/>
    <w:rsid w:val="0089092F"/>
    <w:rsid w:val="00890A9B"/>
    <w:rsid w:val="008922E4"/>
    <w:rsid w:val="0089302D"/>
    <w:rsid w:val="00893594"/>
    <w:rsid w:val="00893B34"/>
    <w:rsid w:val="008947EA"/>
    <w:rsid w:val="00894A27"/>
    <w:rsid w:val="008960E6"/>
    <w:rsid w:val="00896FF4"/>
    <w:rsid w:val="00897DA0"/>
    <w:rsid w:val="008A02E1"/>
    <w:rsid w:val="008A0E85"/>
    <w:rsid w:val="008A15CB"/>
    <w:rsid w:val="008A1DDE"/>
    <w:rsid w:val="008A20C9"/>
    <w:rsid w:val="008A2D14"/>
    <w:rsid w:val="008A371D"/>
    <w:rsid w:val="008A5443"/>
    <w:rsid w:val="008A5466"/>
    <w:rsid w:val="008A55A8"/>
    <w:rsid w:val="008A5F01"/>
    <w:rsid w:val="008A6B66"/>
    <w:rsid w:val="008A7078"/>
    <w:rsid w:val="008A7559"/>
    <w:rsid w:val="008A7921"/>
    <w:rsid w:val="008A7D27"/>
    <w:rsid w:val="008B0969"/>
    <w:rsid w:val="008B11D0"/>
    <w:rsid w:val="008B217F"/>
    <w:rsid w:val="008B32B6"/>
    <w:rsid w:val="008B3625"/>
    <w:rsid w:val="008B3980"/>
    <w:rsid w:val="008B4464"/>
    <w:rsid w:val="008B4BF2"/>
    <w:rsid w:val="008B56E5"/>
    <w:rsid w:val="008B5AFD"/>
    <w:rsid w:val="008B5B3D"/>
    <w:rsid w:val="008B664C"/>
    <w:rsid w:val="008B6650"/>
    <w:rsid w:val="008B729C"/>
    <w:rsid w:val="008B7A4E"/>
    <w:rsid w:val="008B7AF7"/>
    <w:rsid w:val="008C1353"/>
    <w:rsid w:val="008C1506"/>
    <w:rsid w:val="008C1E3D"/>
    <w:rsid w:val="008C2A8A"/>
    <w:rsid w:val="008C2D30"/>
    <w:rsid w:val="008C33F2"/>
    <w:rsid w:val="008C346A"/>
    <w:rsid w:val="008C3F6C"/>
    <w:rsid w:val="008C44B6"/>
    <w:rsid w:val="008C4734"/>
    <w:rsid w:val="008C4AA6"/>
    <w:rsid w:val="008C5C84"/>
    <w:rsid w:val="008C6C92"/>
    <w:rsid w:val="008C77F7"/>
    <w:rsid w:val="008D0AE4"/>
    <w:rsid w:val="008D16C5"/>
    <w:rsid w:val="008D1A96"/>
    <w:rsid w:val="008D1B0D"/>
    <w:rsid w:val="008D1E8F"/>
    <w:rsid w:val="008D2001"/>
    <w:rsid w:val="008D2A80"/>
    <w:rsid w:val="008D2F52"/>
    <w:rsid w:val="008D3E19"/>
    <w:rsid w:val="008D5335"/>
    <w:rsid w:val="008D57A4"/>
    <w:rsid w:val="008D6661"/>
    <w:rsid w:val="008D6B57"/>
    <w:rsid w:val="008D74C3"/>
    <w:rsid w:val="008D7DFC"/>
    <w:rsid w:val="008E00FD"/>
    <w:rsid w:val="008E07C6"/>
    <w:rsid w:val="008E0C5A"/>
    <w:rsid w:val="008E1B13"/>
    <w:rsid w:val="008E1F87"/>
    <w:rsid w:val="008E33EA"/>
    <w:rsid w:val="008E354A"/>
    <w:rsid w:val="008E3C83"/>
    <w:rsid w:val="008E4180"/>
    <w:rsid w:val="008E5F84"/>
    <w:rsid w:val="008E63D2"/>
    <w:rsid w:val="008E6A1B"/>
    <w:rsid w:val="008E6FF6"/>
    <w:rsid w:val="008E72E5"/>
    <w:rsid w:val="008E73F9"/>
    <w:rsid w:val="008E79F9"/>
    <w:rsid w:val="008F0EA9"/>
    <w:rsid w:val="008F1011"/>
    <w:rsid w:val="008F13CD"/>
    <w:rsid w:val="008F1B1E"/>
    <w:rsid w:val="008F2B7E"/>
    <w:rsid w:val="008F411D"/>
    <w:rsid w:val="008F440E"/>
    <w:rsid w:val="008F4D31"/>
    <w:rsid w:val="008F53F5"/>
    <w:rsid w:val="008F5FF0"/>
    <w:rsid w:val="008F61F2"/>
    <w:rsid w:val="008F63BC"/>
    <w:rsid w:val="008F6485"/>
    <w:rsid w:val="008F693F"/>
    <w:rsid w:val="008F710C"/>
    <w:rsid w:val="008F7B17"/>
    <w:rsid w:val="008F7F78"/>
    <w:rsid w:val="00900316"/>
    <w:rsid w:val="00900461"/>
    <w:rsid w:val="0090122A"/>
    <w:rsid w:val="0090394F"/>
    <w:rsid w:val="0090444A"/>
    <w:rsid w:val="009054D3"/>
    <w:rsid w:val="009073FA"/>
    <w:rsid w:val="00907B9D"/>
    <w:rsid w:val="00910CFA"/>
    <w:rsid w:val="009125D2"/>
    <w:rsid w:val="00915E3F"/>
    <w:rsid w:val="00916744"/>
    <w:rsid w:val="009208A3"/>
    <w:rsid w:val="00920B3C"/>
    <w:rsid w:val="009221AD"/>
    <w:rsid w:val="0092273F"/>
    <w:rsid w:val="009238F1"/>
    <w:rsid w:val="00923F02"/>
    <w:rsid w:val="009249B4"/>
    <w:rsid w:val="00925F57"/>
    <w:rsid w:val="00926387"/>
    <w:rsid w:val="00926716"/>
    <w:rsid w:val="00926D62"/>
    <w:rsid w:val="009270DB"/>
    <w:rsid w:val="009303A2"/>
    <w:rsid w:val="009306DA"/>
    <w:rsid w:val="009309B5"/>
    <w:rsid w:val="00930B30"/>
    <w:rsid w:val="009323DF"/>
    <w:rsid w:val="00932AFC"/>
    <w:rsid w:val="00932D00"/>
    <w:rsid w:val="0093491F"/>
    <w:rsid w:val="00935901"/>
    <w:rsid w:val="00935C11"/>
    <w:rsid w:val="00935E14"/>
    <w:rsid w:val="00936DBA"/>
    <w:rsid w:val="00940B86"/>
    <w:rsid w:val="00940EC7"/>
    <w:rsid w:val="00942454"/>
    <w:rsid w:val="00943D26"/>
    <w:rsid w:val="00943F89"/>
    <w:rsid w:val="00943F9E"/>
    <w:rsid w:val="009442CE"/>
    <w:rsid w:val="0094480E"/>
    <w:rsid w:val="00947A13"/>
    <w:rsid w:val="00947B5B"/>
    <w:rsid w:val="00947C49"/>
    <w:rsid w:val="00951BD3"/>
    <w:rsid w:val="009524D4"/>
    <w:rsid w:val="00952B8F"/>
    <w:rsid w:val="00954B35"/>
    <w:rsid w:val="009559F2"/>
    <w:rsid w:val="00955EDF"/>
    <w:rsid w:val="009571BF"/>
    <w:rsid w:val="00957310"/>
    <w:rsid w:val="0095750D"/>
    <w:rsid w:val="0096289C"/>
    <w:rsid w:val="00962B8F"/>
    <w:rsid w:val="00964464"/>
    <w:rsid w:val="00965665"/>
    <w:rsid w:val="0096632E"/>
    <w:rsid w:val="00966D4F"/>
    <w:rsid w:val="009702F1"/>
    <w:rsid w:val="0097102C"/>
    <w:rsid w:val="00971A21"/>
    <w:rsid w:val="00971F52"/>
    <w:rsid w:val="0097202E"/>
    <w:rsid w:val="00972E0B"/>
    <w:rsid w:val="009738C7"/>
    <w:rsid w:val="00973DC5"/>
    <w:rsid w:val="0097462D"/>
    <w:rsid w:val="009746E5"/>
    <w:rsid w:val="009748F0"/>
    <w:rsid w:val="00974A7C"/>
    <w:rsid w:val="0097587B"/>
    <w:rsid w:val="009766FE"/>
    <w:rsid w:val="00976EE8"/>
    <w:rsid w:val="00977715"/>
    <w:rsid w:val="00980345"/>
    <w:rsid w:val="00980439"/>
    <w:rsid w:val="00981BC8"/>
    <w:rsid w:val="00982444"/>
    <w:rsid w:val="00982BA7"/>
    <w:rsid w:val="00982D92"/>
    <w:rsid w:val="00982F10"/>
    <w:rsid w:val="009834A0"/>
    <w:rsid w:val="00984330"/>
    <w:rsid w:val="009843A8"/>
    <w:rsid w:val="00984939"/>
    <w:rsid w:val="00984956"/>
    <w:rsid w:val="00984993"/>
    <w:rsid w:val="009873E9"/>
    <w:rsid w:val="00990065"/>
    <w:rsid w:val="0099190E"/>
    <w:rsid w:val="00992A5A"/>
    <w:rsid w:val="00992C87"/>
    <w:rsid w:val="00993490"/>
    <w:rsid w:val="00993EA1"/>
    <w:rsid w:val="0099496C"/>
    <w:rsid w:val="00996569"/>
    <w:rsid w:val="009A057B"/>
    <w:rsid w:val="009A06F0"/>
    <w:rsid w:val="009A1110"/>
    <w:rsid w:val="009A14DE"/>
    <w:rsid w:val="009A2EE6"/>
    <w:rsid w:val="009A656D"/>
    <w:rsid w:val="009A7872"/>
    <w:rsid w:val="009A7BC2"/>
    <w:rsid w:val="009A7C63"/>
    <w:rsid w:val="009B0229"/>
    <w:rsid w:val="009B09C8"/>
    <w:rsid w:val="009B1897"/>
    <w:rsid w:val="009B1BB7"/>
    <w:rsid w:val="009B3AE7"/>
    <w:rsid w:val="009B4863"/>
    <w:rsid w:val="009B48D4"/>
    <w:rsid w:val="009B4D84"/>
    <w:rsid w:val="009B7D70"/>
    <w:rsid w:val="009C0992"/>
    <w:rsid w:val="009C0C48"/>
    <w:rsid w:val="009C1830"/>
    <w:rsid w:val="009C23DA"/>
    <w:rsid w:val="009C24B3"/>
    <w:rsid w:val="009C2C09"/>
    <w:rsid w:val="009C2E5A"/>
    <w:rsid w:val="009C2E8A"/>
    <w:rsid w:val="009C3541"/>
    <w:rsid w:val="009C6214"/>
    <w:rsid w:val="009C672A"/>
    <w:rsid w:val="009C7B18"/>
    <w:rsid w:val="009C7D55"/>
    <w:rsid w:val="009C7E61"/>
    <w:rsid w:val="009C7F52"/>
    <w:rsid w:val="009D06B8"/>
    <w:rsid w:val="009D07F2"/>
    <w:rsid w:val="009D0F23"/>
    <w:rsid w:val="009D1852"/>
    <w:rsid w:val="009D1884"/>
    <w:rsid w:val="009D24A3"/>
    <w:rsid w:val="009D2FD6"/>
    <w:rsid w:val="009D3295"/>
    <w:rsid w:val="009D3665"/>
    <w:rsid w:val="009D3C84"/>
    <w:rsid w:val="009D40C6"/>
    <w:rsid w:val="009D627C"/>
    <w:rsid w:val="009D6969"/>
    <w:rsid w:val="009D7470"/>
    <w:rsid w:val="009D7A58"/>
    <w:rsid w:val="009D7F45"/>
    <w:rsid w:val="009E0828"/>
    <w:rsid w:val="009E0CED"/>
    <w:rsid w:val="009E17A2"/>
    <w:rsid w:val="009E17C3"/>
    <w:rsid w:val="009E257B"/>
    <w:rsid w:val="009E2D23"/>
    <w:rsid w:val="009E3F33"/>
    <w:rsid w:val="009E4043"/>
    <w:rsid w:val="009E43C1"/>
    <w:rsid w:val="009F0A91"/>
    <w:rsid w:val="009F22C0"/>
    <w:rsid w:val="009F3BA0"/>
    <w:rsid w:val="009F3F5D"/>
    <w:rsid w:val="009F43CB"/>
    <w:rsid w:val="009F4CB9"/>
    <w:rsid w:val="009F58D1"/>
    <w:rsid w:val="00A01C02"/>
    <w:rsid w:val="00A02D08"/>
    <w:rsid w:val="00A045F8"/>
    <w:rsid w:val="00A05113"/>
    <w:rsid w:val="00A054DC"/>
    <w:rsid w:val="00A063A9"/>
    <w:rsid w:val="00A069AE"/>
    <w:rsid w:val="00A101CB"/>
    <w:rsid w:val="00A10389"/>
    <w:rsid w:val="00A1133E"/>
    <w:rsid w:val="00A11888"/>
    <w:rsid w:val="00A11E62"/>
    <w:rsid w:val="00A11E8F"/>
    <w:rsid w:val="00A12369"/>
    <w:rsid w:val="00A14357"/>
    <w:rsid w:val="00A14C35"/>
    <w:rsid w:val="00A151BD"/>
    <w:rsid w:val="00A1524F"/>
    <w:rsid w:val="00A156CA"/>
    <w:rsid w:val="00A15E2E"/>
    <w:rsid w:val="00A15E63"/>
    <w:rsid w:val="00A1627A"/>
    <w:rsid w:val="00A167D9"/>
    <w:rsid w:val="00A17672"/>
    <w:rsid w:val="00A20C5D"/>
    <w:rsid w:val="00A21C3B"/>
    <w:rsid w:val="00A222CA"/>
    <w:rsid w:val="00A2261E"/>
    <w:rsid w:val="00A22867"/>
    <w:rsid w:val="00A239CC"/>
    <w:rsid w:val="00A23BC2"/>
    <w:rsid w:val="00A2496A"/>
    <w:rsid w:val="00A250EC"/>
    <w:rsid w:val="00A25778"/>
    <w:rsid w:val="00A25AF3"/>
    <w:rsid w:val="00A25C6C"/>
    <w:rsid w:val="00A279AC"/>
    <w:rsid w:val="00A27FDE"/>
    <w:rsid w:val="00A30C5D"/>
    <w:rsid w:val="00A310F1"/>
    <w:rsid w:val="00A31344"/>
    <w:rsid w:val="00A31C68"/>
    <w:rsid w:val="00A326A6"/>
    <w:rsid w:val="00A35FAA"/>
    <w:rsid w:val="00A361FE"/>
    <w:rsid w:val="00A36A17"/>
    <w:rsid w:val="00A40163"/>
    <w:rsid w:val="00A409BC"/>
    <w:rsid w:val="00A42F6D"/>
    <w:rsid w:val="00A44612"/>
    <w:rsid w:val="00A44720"/>
    <w:rsid w:val="00A45B90"/>
    <w:rsid w:val="00A46984"/>
    <w:rsid w:val="00A4741A"/>
    <w:rsid w:val="00A51337"/>
    <w:rsid w:val="00A53F74"/>
    <w:rsid w:val="00A540A5"/>
    <w:rsid w:val="00A54248"/>
    <w:rsid w:val="00A55B6F"/>
    <w:rsid w:val="00A56AD9"/>
    <w:rsid w:val="00A60611"/>
    <w:rsid w:val="00A60821"/>
    <w:rsid w:val="00A61BD0"/>
    <w:rsid w:val="00A62190"/>
    <w:rsid w:val="00A6388E"/>
    <w:rsid w:val="00A640DB"/>
    <w:rsid w:val="00A64FD7"/>
    <w:rsid w:val="00A668AE"/>
    <w:rsid w:val="00A66F43"/>
    <w:rsid w:val="00A70398"/>
    <w:rsid w:val="00A709AD"/>
    <w:rsid w:val="00A72DA9"/>
    <w:rsid w:val="00A733CB"/>
    <w:rsid w:val="00A739DF"/>
    <w:rsid w:val="00A751AD"/>
    <w:rsid w:val="00A773CD"/>
    <w:rsid w:val="00A775CF"/>
    <w:rsid w:val="00A77614"/>
    <w:rsid w:val="00A77853"/>
    <w:rsid w:val="00A778DC"/>
    <w:rsid w:val="00A77FAF"/>
    <w:rsid w:val="00A80C87"/>
    <w:rsid w:val="00A8291E"/>
    <w:rsid w:val="00A837EF"/>
    <w:rsid w:val="00A84503"/>
    <w:rsid w:val="00A847AE"/>
    <w:rsid w:val="00A85EF9"/>
    <w:rsid w:val="00A867DA"/>
    <w:rsid w:val="00A8782F"/>
    <w:rsid w:val="00A90521"/>
    <w:rsid w:val="00A9167D"/>
    <w:rsid w:val="00A91CFD"/>
    <w:rsid w:val="00A9238F"/>
    <w:rsid w:val="00A92D25"/>
    <w:rsid w:val="00A93613"/>
    <w:rsid w:val="00A94689"/>
    <w:rsid w:val="00A94DDB"/>
    <w:rsid w:val="00A94EAE"/>
    <w:rsid w:val="00A965CD"/>
    <w:rsid w:val="00A972AE"/>
    <w:rsid w:val="00A977A6"/>
    <w:rsid w:val="00AA167E"/>
    <w:rsid w:val="00AA27AA"/>
    <w:rsid w:val="00AA2DF3"/>
    <w:rsid w:val="00AA395E"/>
    <w:rsid w:val="00AA3C00"/>
    <w:rsid w:val="00AA4995"/>
    <w:rsid w:val="00AA50BC"/>
    <w:rsid w:val="00AA5BF3"/>
    <w:rsid w:val="00AB1F3B"/>
    <w:rsid w:val="00AB24E7"/>
    <w:rsid w:val="00AB2591"/>
    <w:rsid w:val="00AB3237"/>
    <w:rsid w:val="00AB3917"/>
    <w:rsid w:val="00AB3A2D"/>
    <w:rsid w:val="00AB5DBB"/>
    <w:rsid w:val="00AB5E21"/>
    <w:rsid w:val="00AB75AE"/>
    <w:rsid w:val="00AB76EC"/>
    <w:rsid w:val="00AB7933"/>
    <w:rsid w:val="00AC13C9"/>
    <w:rsid w:val="00AC3A08"/>
    <w:rsid w:val="00AC3D18"/>
    <w:rsid w:val="00AC4596"/>
    <w:rsid w:val="00AD10CF"/>
    <w:rsid w:val="00AD1EF5"/>
    <w:rsid w:val="00AD2FC0"/>
    <w:rsid w:val="00AD35EA"/>
    <w:rsid w:val="00AD3998"/>
    <w:rsid w:val="00AD3BC7"/>
    <w:rsid w:val="00AD4967"/>
    <w:rsid w:val="00AD562E"/>
    <w:rsid w:val="00AD5B1B"/>
    <w:rsid w:val="00AD5C60"/>
    <w:rsid w:val="00AD6025"/>
    <w:rsid w:val="00AD66BE"/>
    <w:rsid w:val="00AD6DB9"/>
    <w:rsid w:val="00AD7BC7"/>
    <w:rsid w:val="00AE0C5E"/>
    <w:rsid w:val="00AE1837"/>
    <w:rsid w:val="00AE2459"/>
    <w:rsid w:val="00AE2875"/>
    <w:rsid w:val="00AE29C2"/>
    <w:rsid w:val="00AE3D23"/>
    <w:rsid w:val="00AE4EC8"/>
    <w:rsid w:val="00AE517C"/>
    <w:rsid w:val="00AE581A"/>
    <w:rsid w:val="00AE5D9F"/>
    <w:rsid w:val="00AE5F15"/>
    <w:rsid w:val="00AE61C0"/>
    <w:rsid w:val="00AE76C9"/>
    <w:rsid w:val="00AE7E9F"/>
    <w:rsid w:val="00AF0C7E"/>
    <w:rsid w:val="00AF0EB2"/>
    <w:rsid w:val="00AF1788"/>
    <w:rsid w:val="00AF2791"/>
    <w:rsid w:val="00AF326B"/>
    <w:rsid w:val="00AF32F0"/>
    <w:rsid w:val="00AF3811"/>
    <w:rsid w:val="00AF418D"/>
    <w:rsid w:val="00AF560E"/>
    <w:rsid w:val="00AF6220"/>
    <w:rsid w:val="00AF68E5"/>
    <w:rsid w:val="00AF70EE"/>
    <w:rsid w:val="00AF733D"/>
    <w:rsid w:val="00AF7618"/>
    <w:rsid w:val="00B00B01"/>
    <w:rsid w:val="00B0115F"/>
    <w:rsid w:val="00B01F19"/>
    <w:rsid w:val="00B01F6E"/>
    <w:rsid w:val="00B03818"/>
    <w:rsid w:val="00B04550"/>
    <w:rsid w:val="00B04964"/>
    <w:rsid w:val="00B04E2F"/>
    <w:rsid w:val="00B06DA5"/>
    <w:rsid w:val="00B10605"/>
    <w:rsid w:val="00B10F95"/>
    <w:rsid w:val="00B11B0A"/>
    <w:rsid w:val="00B12331"/>
    <w:rsid w:val="00B141CD"/>
    <w:rsid w:val="00B14A14"/>
    <w:rsid w:val="00B15B71"/>
    <w:rsid w:val="00B176D9"/>
    <w:rsid w:val="00B21941"/>
    <w:rsid w:val="00B21A4D"/>
    <w:rsid w:val="00B21EB4"/>
    <w:rsid w:val="00B22551"/>
    <w:rsid w:val="00B2394E"/>
    <w:rsid w:val="00B23FDC"/>
    <w:rsid w:val="00B2691D"/>
    <w:rsid w:val="00B26C44"/>
    <w:rsid w:val="00B27820"/>
    <w:rsid w:val="00B27828"/>
    <w:rsid w:val="00B30944"/>
    <w:rsid w:val="00B3267D"/>
    <w:rsid w:val="00B33F4D"/>
    <w:rsid w:val="00B34D2F"/>
    <w:rsid w:val="00B36299"/>
    <w:rsid w:val="00B36CFC"/>
    <w:rsid w:val="00B37148"/>
    <w:rsid w:val="00B37AFC"/>
    <w:rsid w:val="00B4016F"/>
    <w:rsid w:val="00B42B56"/>
    <w:rsid w:val="00B4311D"/>
    <w:rsid w:val="00B43CCD"/>
    <w:rsid w:val="00B457C9"/>
    <w:rsid w:val="00B460B5"/>
    <w:rsid w:val="00B46D91"/>
    <w:rsid w:val="00B47503"/>
    <w:rsid w:val="00B47AD2"/>
    <w:rsid w:val="00B47C72"/>
    <w:rsid w:val="00B47F4C"/>
    <w:rsid w:val="00B50004"/>
    <w:rsid w:val="00B510D4"/>
    <w:rsid w:val="00B51526"/>
    <w:rsid w:val="00B53D3F"/>
    <w:rsid w:val="00B56BA7"/>
    <w:rsid w:val="00B57892"/>
    <w:rsid w:val="00B60F6F"/>
    <w:rsid w:val="00B61A52"/>
    <w:rsid w:val="00B622F9"/>
    <w:rsid w:val="00B6230B"/>
    <w:rsid w:val="00B62ABE"/>
    <w:rsid w:val="00B64DE4"/>
    <w:rsid w:val="00B6582F"/>
    <w:rsid w:val="00B676B8"/>
    <w:rsid w:val="00B70250"/>
    <w:rsid w:val="00B70C9E"/>
    <w:rsid w:val="00B70CFD"/>
    <w:rsid w:val="00B710B9"/>
    <w:rsid w:val="00B71222"/>
    <w:rsid w:val="00B7177E"/>
    <w:rsid w:val="00B71A79"/>
    <w:rsid w:val="00B71C51"/>
    <w:rsid w:val="00B73379"/>
    <w:rsid w:val="00B7358B"/>
    <w:rsid w:val="00B7388C"/>
    <w:rsid w:val="00B73A03"/>
    <w:rsid w:val="00B73E0D"/>
    <w:rsid w:val="00B7522C"/>
    <w:rsid w:val="00B758DA"/>
    <w:rsid w:val="00B81E0C"/>
    <w:rsid w:val="00B829DD"/>
    <w:rsid w:val="00B830A1"/>
    <w:rsid w:val="00B83705"/>
    <w:rsid w:val="00B83CA0"/>
    <w:rsid w:val="00B84243"/>
    <w:rsid w:val="00B85012"/>
    <w:rsid w:val="00B85C34"/>
    <w:rsid w:val="00B86CCD"/>
    <w:rsid w:val="00B876C0"/>
    <w:rsid w:val="00B87DAF"/>
    <w:rsid w:val="00B90671"/>
    <w:rsid w:val="00B9123F"/>
    <w:rsid w:val="00B91A8B"/>
    <w:rsid w:val="00B92307"/>
    <w:rsid w:val="00B9315D"/>
    <w:rsid w:val="00B93884"/>
    <w:rsid w:val="00B943F1"/>
    <w:rsid w:val="00B94A65"/>
    <w:rsid w:val="00B94ADF"/>
    <w:rsid w:val="00B94FB4"/>
    <w:rsid w:val="00B95854"/>
    <w:rsid w:val="00B95D2D"/>
    <w:rsid w:val="00B9676C"/>
    <w:rsid w:val="00BA067E"/>
    <w:rsid w:val="00BA0966"/>
    <w:rsid w:val="00BA0DE9"/>
    <w:rsid w:val="00BA0F2F"/>
    <w:rsid w:val="00BA10D3"/>
    <w:rsid w:val="00BA2783"/>
    <w:rsid w:val="00BA379F"/>
    <w:rsid w:val="00BA4006"/>
    <w:rsid w:val="00BA4952"/>
    <w:rsid w:val="00BA5660"/>
    <w:rsid w:val="00BA66C1"/>
    <w:rsid w:val="00BA6777"/>
    <w:rsid w:val="00BB048B"/>
    <w:rsid w:val="00BB2A98"/>
    <w:rsid w:val="00BB2EB5"/>
    <w:rsid w:val="00BB3AB5"/>
    <w:rsid w:val="00BB3CA7"/>
    <w:rsid w:val="00BB3DA8"/>
    <w:rsid w:val="00BB498B"/>
    <w:rsid w:val="00BB6D23"/>
    <w:rsid w:val="00BB721D"/>
    <w:rsid w:val="00BB7455"/>
    <w:rsid w:val="00BC156E"/>
    <w:rsid w:val="00BC1DBD"/>
    <w:rsid w:val="00BC2C65"/>
    <w:rsid w:val="00BC3CAB"/>
    <w:rsid w:val="00BC42CE"/>
    <w:rsid w:val="00BC6702"/>
    <w:rsid w:val="00BD1B28"/>
    <w:rsid w:val="00BD210E"/>
    <w:rsid w:val="00BD4954"/>
    <w:rsid w:val="00BD4CE9"/>
    <w:rsid w:val="00BD6EF9"/>
    <w:rsid w:val="00BE073D"/>
    <w:rsid w:val="00BE0851"/>
    <w:rsid w:val="00BE0E29"/>
    <w:rsid w:val="00BE1C0C"/>
    <w:rsid w:val="00BE2BB5"/>
    <w:rsid w:val="00BE3E38"/>
    <w:rsid w:val="00BE4DF1"/>
    <w:rsid w:val="00BE537C"/>
    <w:rsid w:val="00BE5454"/>
    <w:rsid w:val="00BE70B3"/>
    <w:rsid w:val="00BE732D"/>
    <w:rsid w:val="00BE7D58"/>
    <w:rsid w:val="00BF0270"/>
    <w:rsid w:val="00BF03BC"/>
    <w:rsid w:val="00BF0E14"/>
    <w:rsid w:val="00BF164E"/>
    <w:rsid w:val="00BF1A33"/>
    <w:rsid w:val="00BF23C3"/>
    <w:rsid w:val="00BF378F"/>
    <w:rsid w:val="00BF37C5"/>
    <w:rsid w:val="00BF3D35"/>
    <w:rsid w:val="00BF456A"/>
    <w:rsid w:val="00BF4C62"/>
    <w:rsid w:val="00BF6D42"/>
    <w:rsid w:val="00BF6F03"/>
    <w:rsid w:val="00BF7842"/>
    <w:rsid w:val="00BF7ED9"/>
    <w:rsid w:val="00C00084"/>
    <w:rsid w:val="00C006AC"/>
    <w:rsid w:val="00C00AA5"/>
    <w:rsid w:val="00C02450"/>
    <w:rsid w:val="00C024A2"/>
    <w:rsid w:val="00C02AB0"/>
    <w:rsid w:val="00C04472"/>
    <w:rsid w:val="00C07DEC"/>
    <w:rsid w:val="00C1005F"/>
    <w:rsid w:val="00C10659"/>
    <w:rsid w:val="00C107D2"/>
    <w:rsid w:val="00C11F05"/>
    <w:rsid w:val="00C11F2F"/>
    <w:rsid w:val="00C12D0A"/>
    <w:rsid w:val="00C13DA0"/>
    <w:rsid w:val="00C15DEF"/>
    <w:rsid w:val="00C1668D"/>
    <w:rsid w:val="00C20196"/>
    <w:rsid w:val="00C2082C"/>
    <w:rsid w:val="00C20E76"/>
    <w:rsid w:val="00C21074"/>
    <w:rsid w:val="00C23647"/>
    <w:rsid w:val="00C23A8F"/>
    <w:rsid w:val="00C23B01"/>
    <w:rsid w:val="00C2476F"/>
    <w:rsid w:val="00C2641F"/>
    <w:rsid w:val="00C276B1"/>
    <w:rsid w:val="00C277D5"/>
    <w:rsid w:val="00C27DA0"/>
    <w:rsid w:val="00C3009E"/>
    <w:rsid w:val="00C30161"/>
    <w:rsid w:val="00C31E81"/>
    <w:rsid w:val="00C3239B"/>
    <w:rsid w:val="00C3324A"/>
    <w:rsid w:val="00C337BF"/>
    <w:rsid w:val="00C342CD"/>
    <w:rsid w:val="00C34390"/>
    <w:rsid w:val="00C3498D"/>
    <w:rsid w:val="00C34C59"/>
    <w:rsid w:val="00C359BA"/>
    <w:rsid w:val="00C35C04"/>
    <w:rsid w:val="00C36699"/>
    <w:rsid w:val="00C36775"/>
    <w:rsid w:val="00C37070"/>
    <w:rsid w:val="00C40689"/>
    <w:rsid w:val="00C407C3"/>
    <w:rsid w:val="00C40D42"/>
    <w:rsid w:val="00C412EC"/>
    <w:rsid w:val="00C41D55"/>
    <w:rsid w:val="00C4236E"/>
    <w:rsid w:val="00C428E6"/>
    <w:rsid w:val="00C42D37"/>
    <w:rsid w:val="00C431A3"/>
    <w:rsid w:val="00C44BE3"/>
    <w:rsid w:val="00C44C1D"/>
    <w:rsid w:val="00C450A9"/>
    <w:rsid w:val="00C45903"/>
    <w:rsid w:val="00C46968"/>
    <w:rsid w:val="00C46D0E"/>
    <w:rsid w:val="00C471E0"/>
    <w:rsid w:val="00C50CF4"/>
    <w:rsid w:val="00C50EAA"/>
    <w:rsid w:val="00C53EF2"/>
    <w:rsid w:val="00C544C7"/>
    <w:rsid w:val="00C547E0"/>
    <w:rsid w:val="00C55846"/>
    <w:rsid w:val="00C574B8"/>
    <w:rsid w:val="00C6305B"/>
    <w:rsid w:val="00C630DC"/>
    <w:rsid w:val="00C63109"/>
    <w:rsid w:val="00C632C4"/>
    <w:rsid w:val="00C63C1F"/>
    <w:rsid w:val="00C63ED7"/>
    <w:rsid w:val="00C6568C"/>
    <w:rsid w:val="00C660C1"/>
    <w:rsid w:val="00C66EB8"/>
    <w:rsid w:val="00C71E48"/>
    <w:rsid w:val="00C727FF"/>
    <w:rsid w:val="00C73423"/>
    <w:rsid w:val="00C73911"/>
    <w:rsid w:val="00C74126"/>
    <w:rsid w:val="00C74C39"/>
    <w:rsid w:val="00C74DA9"/>
    <w:rsid w:val="00C74E83"/>
    <w:rsid w:val="00C7638D"/>
    <w:rsid w:val="00C763EA"/>
    <w:rsid w:val="00C801E7"/>
    <w:rsid w:val="00C8049D"/>
    <w:rsid w:val="00C81D03"/>
    <w:rsid w:val="00C8215F"/>
    <w:rsid w:val="00C854F5"/>
    <w:rsid w:val="00C85652"/>
    <w:rsid w:val="00C85E77"/>
    <w:rsid w:val="00C8748F"/>
    <w:rsid w:val="00C87FB8"/>
    <w:rsid w:val="00C910C7"/>
    <w:rsid w:val="00C919F4"/>
    <w:rsid w:val="00C91CF4"/>
    <w:rsid w:val="00C92123"/>
    <w:rsid w:val="00C94F67"/>
    <w:rsid w:val="00C95497"/>
    <w:rsid w:val="00C95596"/>
    <w:rsid w:val="00C95850"/>
    <w:rsid w:val="00C95B85"/>
    <w:rsid w:val="00C97F24"/>
    <w:rsid w:val="00CA009A"/>
    <w:rsid w:val="00CA0B5E"/>
    <w:rsid w:val="00CA0F4F"/>
    <w:rsid w:val="00CA15D7"/>
    <w:rsid w:val="00CA1646"/>
    <w:rsid w:val="00CA1E27"/>
    <w:rsid w:val="00CA2F21"/>
    <w:rsid w:val="00CA3214"/>
    <w:rsid w:val="00CA41B0"/>
    <w:rsid w:val="00CA450E"/>
    <w:rsid w:val="00CA474A"/>
    <w:rsid w:val="00CA475B"/>
    <w:rsid w:val="00CA4819"/>
    <w:rsid w:val="00CA49A3"/>
    <w:rsid w:val="00CA600B"/>
    <w:rsid w:val="00CA709C"/>
    <w:rsid w:val="00CB1F59"/>
    <w:rsid w:val="00CB40F7"/>
    <w:rsid w:val="00CB423E"/>
    <w:rsid w:val="00CB4589"/>
    <w:rsid w:val="00CB45BE"/>
    <w:rsid w:val="00CB48FC"/>
    <w:rsid w:val="00CB54F0"/>
    <w:rsid w:val="00CB62C0"/>
    <w:rsid w:val="00CB77A4"/>
    <w:rsid w:val="00CB78E0"/>
    <w:rsid w:val="00CB795F"/>
    <w:rsid w:val="00CC0486"/>
    <w:rsid w:val="00CC0B67"/>
    <w:rsid w:val="00CC29F4"/>
    <w:rsid w:val="00CC2C6F"/>
    <w:rsid w:val="00CC4693"/>
    <w:rsid w:val="00CC4867"/>
    <w:rsid w:val="00CC5AB0"/>
    <w:rsid w:val="00CC678E"/>
    <w:rsid w:val="00CC6AFF"/>
    <w:rsid w:val="00CC7ED8"/>
    <w:rsid w:val="00CC7F08"/>
    <w:rsid w:val="00CD054D"/>
    <w:rsid w:val="00CD1BF3"/>
    <w:rsid w:val="00CD3382"/>
    <w:rsid w:val="00CD4B53"/>
    <w:rsid w:val="00CD4E98"/>
    <w:rsid w:val="00CD4EE0"/>
    <w:rsid w:val="00CD5B1A"/>
    <w:rsid w:val="00CD64D0"/>
    <w:rsid w:val="00CD7E08"/>
    <w:rsid w:val="00CE0085"/>
    <w:rsid w:val="00CE0472"/>
    <w:rsid w:val="00CE2B6C"/>
    <w:rsid w:val="00CE2C1A"/>
    <w:rsid w:val="00CE3F53"/>
    <w:rsid w:val="00CE4132"/>
    <w:rsid w:val="00CE4134"/>
    <w:rsid w:val="00CE47BC"/>
    <w:rsid w:val="00CE533B"/>
    <w:rsid w:val="00CE558E"/>
    <w:rsid w:val="00CE5774"/>
    <w:rsid w:val="00CE5D77"/>
    <w:rsid w:val="00CE7933"/>
    <w:rsid w:val="00CF164C"/>
    <w:rsid w:val="00CF2C6F"/>
    <w:rsid w:val="00CF4131"/>
    <w:rsid w:val="00CF4BDD"/>
    <w:rsid w:val="00CF4C04"/>
    <w:rsid w:val="00CF5085"/>
    <w:rsid w:val="00CF5FDC"/>
    <w:rsid w:val="00CF6A09"/>
    <w:rsid w:val="00CF78F4"/>
    <w:rsid w:val="00D00382"/>
    <w:rsid w:val="00D0086A"/>
    <w:rsid w:val="00D024C7"/>
    <w:rsid w:val="00D02EF1"/>
    <w:rsid w:val="00D042D9"/>
    <w:rsid w:val="00D05719"/>
    <w:rsid w:val="00D07857"/>
    <w:rsid w:val="00D07A8D"/>
    <w:rsid w:val="00D1024D"/>
    <w:rsid w:val="00D10861"/>
    <w:rsid w:val="00D120BF"/>
    <w:rsid w:val="00D12303"/>
    <w:rsid w:val="00D12D32"/>
    <w:rsid w:val="00D143EC"/>
    <w:rsid w:val="00D15A50"/>
    <w:rsid w:val="00D1741D"/>
    <w:rsid w:val="00D174C3"/>
    <w:rsid w:val="00D17D15"/>
    <w:rsid w:val="00D17E55"/>
    <w:rsid w:val="00D2179B"/>
    <w:rsid w:val="00D22699"/>
    <w:rsid w:val="00D2316C"/>
    <w:rsid w:val="00D23D16"/>
    <w:rsid w:val="00D23F08"/>
    <w:rsid w:val="00D2444F"/>
    <w:rsid w:val="00D24FF4"/>
    <w:rsid w:val="00D250AB"/>
    <w:rsid w:val="00D272A8"/>
    <w:rsid w:val="00D27502"/>
    <w:rsid w:val="00D27839"/>
    <w:rsid w:val="00D303B7"/>
    <w:rsid w:val="00D30A84"/>
    <w:rsid w:val="00D30CBA"/>
    <w:rsid w:val="00D32116"/>
    <w:rsid w:val="00D323B5"/>
    <w:rsid w:val="00D327B7"/>
    <w:rsid w:val="00D339A5"/>
    <w:rsid w:val="00D3487B"/>
    <w:rsid w:val="00D36333"/>
    <w:rsid w:val="00D378B4"/>
    <w:rsid w:val="00D37C36"/>
    <w:rsid w:val="00D40590"/>
    <w:rsid w:val="00D4187B"/>
    <w:rsid w:val="00D428B3"/>
    <w:rsid w:val="00D43E58"/>
    <w:rsid w:val="00D44D21"/>
    <w:rsid w:val="00D456C4"/>
    <w:rsid w:val="00D459CF"/>
    <w:rsid w:val="00D46A7B"/>
    <w:rsid w:val="00D46F71"/>
    <w:rsid w:val="00D50755"/>
    <w:rsid w:val="00D50C9B"/>
    <w:rsid w:val="00D51331"/>
    <w:rsid w:val="00D52493"/>
    <w:rsid w:val="00D53F56"/>
    <w:rsid w:val="00D549BF"/>
    <w:rsid w:val="00D54B63"/>
    <w:rsid w:val="00D551E1"/>
    <w:rsid w:val="00D55693"/>
    <w:rsid w:val="00D55763"/>
    <w:rsid w:val="00D56EA2"/>
    <w:rsid w:val="00D5708A"/>
    <w:rsid w:val="00D576B5"/>
    <w:rsid w:val="00D57849"/>
    <w:rsid w:val="00D579C5"/>
    <w:rsid w:val="00D60439"/>
    <w:rsid w:val="00D6070D"/>
    <w:rsid w:val="00D6119D"/>
    <w:rsid w:val="00D6199A"/>
    <w:rsid w:val="00D62AB4"/>
    <w:rsid w:val="00D634BA"/>
    <w:rsid w:val="00D64114"/>
    <w:rsid w:val="00D65203"/>
    <w:rsid w:val="00D6661E"/>
    <w:rsid w:val="00D677D2"/>
    <w:rsid w:val="00D678C7"/>
    <w:rsid w:val="00D70909"/>
    <w:rsid w:val="00D70BF5"/>
    <w:rsid w:val="00D70EB2"/>
    <w:rsid w:val="00D715EF"/>
    <w:rsid w:val="00D720BB"/>
    <w:rsid w:val="00D724E0"/>
    <w:rsid w:val="00D72CE1"/>
    <w:rsid w:val="00D7374C"/>
    <w:rsid w:val="00D7406E"/>
    <w:rsid w:val="00D748AE"/>
    <w:rsid w:val="00D74CA6"/>
    <w:rsid w:val="00D75924"/>
    <w:rsid w:val="00D75DD0"/>
    <w:rsid w:val="00D7602E"/>
    <w:rsid w:val="00D76996"/>
    <w:rsid w:val="00D77711"/>
    <w:rsid w:val="00D80872"/>
    <w:rsid w:val="00D81071"/>
    <w:rsid w:val="00D819DB"/>
    <w:rsid w:val="00D825B8"/>
    <w:rsid w:val="00D82879"/>
    <w:rsid w:val="00D82CDB"/>
    <w:rsid w:val="00D83B82"/>
    <w:rsid w:val="00D84B3E"/>
    <w:rsid w:val="00D85D3F"/>
    <w:rsid w:val="00D8626F"/>
    <w:rsid w:val="00D87479"/>
    <w:rsid w:val="00D87DF3"/>
    <w:rsid w:val="00D90403"/>
    <w:rsid w:val="00D90585"/>
    <w:rsid w:val="00D90695"/>
    <w:rsid w:val="00D907B4"/>
    <w:rsid w:val="00D90BBA"/>
    <w:rsid w:val="00D9150D"/>
    <w:rsid w:val="00D92B42"/>
    <w:rsid w:val="00D9553D"/>
    <w:rsid w:val="00D961F2"/>
    <w:rsid w:val="00D9729A"/>
    <w:rsid w:val="00D97687"/>
    <w:rsid w:val="00D9775E"/>
    <w:rsid w:val="00DA1610"/>
    <w:rsid w:val="00DA17B2"/>
    <w:rsid w:val="00DA1A11"/>
    <w:rsid w:val="00DA1BEF"/>
    <w:rsid w:val="00DA28A8"/>
    <w:rsid w:val="00DA3143"/>
    <w:rsid w:val="00DA3875"/>
    <w:rsid w:val="00DA4794"/>
    <w:rsid w:val="00DA4EAE"/>
    <w:rsid w:val="00DA6854"/>
    <w:rsid w:val="00DA6B89"/>
    <w:rsid w:val="00DA6D4F"/>
    <w:rsid w:val="00DA6FB4"/>
    <w:rsid w:val="00DA7558"/>
    <w:rsid w:val="00DA7AC3"/>
    <w:rsid w:val="00DB10A8"/>
    <w:rsid w:val="00DB4C98"/>
    <w:rsid w:val="00DB584E"/>
    <w:rsid w:val="00DB68F4"/>
    <w:rsid w:val="00DB69D9"/>
    <w:rsid w:val="00DC32EC"/>
    <w:rsid w:val="00DC37CC"/>
    <w:rsid w:val="00DC4099"/>
    <w:rsid w:val="00DC4790"/>
    <w:rsid w:val="00DC6737"/>
    <w:rsid w:val="00DC6D42"/>
    <w:rsid w:val="00DD051E"/>
    <w:rsid w:val="00DD0BA0"/>
    <w:rsid w:val="00DD105A"/>
    <w:rsid w:val="00DD1172"/>
    <w:rsid w:val="00DD1688"/>
    <w:rsid w:val="00DD314A"/>
    <w:rsid w:val="00DD3E55"/>
    <w:rsid w:val="00DD472E"/>
    <w:rsid w:val="00DD4DF3"/>
    <w:rsid w:val="00DD4F6D"/>
    <w:rsid w:val="00DD7B40"/>
    <w:rsid w:val="00DE062B"/>
    <w:rsid w:val="00DE117E"/>
    <w:rsid w:val="00DE1987"/>
    <w:rsid w:val="00DE2A71"/>
    <w:rsid w:val="00DE32AD"/>
    <w:rsid w:val="00DE36CF"/>
    <w:rsid w:val="00DE3D40"/>
    <w:rsid w:val="00DE42BA"/>
    <w:rsid w:val="00DE50C2"/>
    <w:rsid w:val="00DE566F"/>
    <w:rsid w:val="00DE5DF9"/>
    <w:rsid w:val="00DE5E0C"/>
    <w:rsid w:val="00DF0056"/>
    <w:rsid w:val="00DF0728"/>
    <w:rsid w:val="00DF0B03"/>
    <w:rsid w:val="00DF1145"/>
    <w:rsid w:val="00DF1ADC"/>
    <w:rsid w:val="00DF2249"/>
    <w:rsid w:val="00DF2347"/>
    <w:rsid w:val="00DF30D5"/>
    <w:rsid w:val="00DF35BA"/>
    <w:rsid w:val="00DF363A"/>
    <w:rsid w:val="00DF4173"/>
    <w:rsid w:val="00DF4E57"/>
    <w:rsid w:val="00DF5B04"/>
    <w:rsid w:val="00DF5DBE"/>
    <w:rsid w:val="00DF61C8"/>
    <w:rsid w:val="00DF6323"/>
    <w:rsid w:val="00DF6B26"/>
    <w:rsid w:val="00DF744E"/>
    <w:rsid w:val="00E00258"/>
    <w:rsid w:val="00E0068F"/>
    <w:rsid w:val="00E01B7C"/>
    <w:rsid w:val="00E02425"/>
    <w:rsid w:val="00E02AC1"/>
    <w:rsid w:val="00E04F31"/>
    <w:rsid w:val="00E0522C"/>
    <w:rsid w:val="00E05452"/>
    <w:rsid w:val="00E054BA"/>
    <w:rsid w:val="00E05967"/>
    <w:rsid w:val="00E06F9F"/>
    <w:rsid w:val="00E074F9"/>
    <w:rsid w:val="00E07556"/>
    <w:rsid w:val="00E1099E"/>
    <w:rsid w:val="00E10D3F"/>
    <w:rsid w:val="00E1129E"/>
    <w:rsid w:val="00E121DD"/>
    <w:rsid w:val="00E1318C"/>
    <w:rsid w:val="00E13A4E"/>
    <w:rsid w:val="00E15A7E"/>
    <w:rsid w:val="00E16188"/>
    <w:rsid w:val="00E1675C"/>
    <w:rsid w:val="00E16977"/>
    <w:rsid w:val="00E16BE1"/>
    <w:rsid w:val="00E17DAB"/>
    <w:rsid w:val="00E20628"/>
    <w:rsid w:val="00E2103B"/>
    <w:rsid w:val="00E214BB"/>
    <w:rsid w:val="00E22A07"/>
    <w:rsid w:val="00E23888"/>
    <w:rsid w:val="00E253F7"/>
    <w:rsid w:val="00E26003"/>
    <w:rsid w:val="00E27231"/>
    <w:rsid w:val="00E273FF"/>
    <w:rsid w:val="00E27B91"/>
    <w:rsid w:val="00E30E1D"/>
    <w:rsid w:val="00E30FE2"/>
    <w:rsid w:val="00E3337B"/>
    <w:rsid w:val="00E335C8"/>
    <w:rsid w:val="00E34020"/>
    <w:rsid w:val="00E341B1"/>
    <w:rsid w:val="00E35264"/>
    <w:rsid w:val="00E35549"/>
    <w:rsid w:val="00E3652F"/>
    <w:rsid w:val="00E37BA9"/>
    <w:rsid w:val="00E37C28"/>
    <w:rsid w:val="00E37F9B"/>
    <w:rsid w:val="00E41AE7"/>
    <w:rsid w:val="00E421A2"/>
    <w:rsid w:val="00E42411"/>
    <w:rsid w:val="00E42C8A"/>
    <w:rsid w:val="00E43965"/>
    <w:rsid w:val="00E43E3B"/>
    <w:rsid w:val="00E4452C"/>
    <w:rsid w:val="00E4582E"/>
    <w:rsid w:val="00E4600F"/>
    <w:rsid w:val="00E461BB"/>
    <w:rsid w:val="00E46611"/>
    <w:rsid w:val="00E46AB8"/>
    <w:rsid w:val="00E46D63"/>
    <w:rsid w:val="00E473B3"/>
    <w:rsid w:val="00E512E4"/>
    <w:rsid w:val="00E51878"/>
    <w:rsid w:val="00E51F1C"/>
    <w:rsid w:val="00E52082"/>
    <w:rsid w:val="00E54185"/>
    <w:rsid w:val="00E542E5"/>
    <w:rsid w:val="00E55ABA"/>
    <w:rsid w:val="00E572D1"/>
    <w:rsid w:val="00E57451"/>
    <w:rsid w:val="00E57CA7"/>
    <w:rsid w:val="00E6086A"/>
    <w:rsid w:val="00E62415"/>
    <w:rsid w:val="00E62B36"/>
    <w:rsid w:val="00E62DF5"/>
    <w:rsid w:val="00E647C8"/>
    <w:rsid w:val="00E67C82"/>
    <w:rsid w:val="00E702CE"/>
    <w:rsid w:val="00E70F0A"/>
    <w:rsid w:val="00E71844"/>
    <w:rsid w:val="00E731D7"/>
    <w:rsid w:val="00E73765"/>
    <w:rsid w:val="00E74ACE"/>
    <w:rsid w:val="00E75C60"/>
    <w:rsid w:val="00E77072"/>
    <w:rsid w:val="00E77C06"/>
    <w:rsid w:val="00E8088C"/>
    <w:rsid w:val="00E815C7"/>
    <w:rsid w:val="00E82C92"/>
    <w:rsid w:val="00E831F7"/>
    <w:rsid w:val="00E835D7"/>
    <w:rsid w:val="00E84172"/>
    <w:rsid w:val="00E855E0"/>
    <w:rsid w:val="00E860B7"/>
    <w:rsid w:val="00E8656E"/>
    <w:rsid w:val="00E8780D"/>
    <w:rsid w:val="00E8785F"/>
    <w:rsid w:val="00E878FA"/>
    <w:rsid w:val="00E87B89"/>
    <w:rsid w:val="00E9004D"/>
    <w:rsid w:val="00E9226A"/>
    <w:rsid w:val="00E92B5A"/>
    <w:rsid w:val="00E92EF3"/>
    <w:rsid w:val="00E95596"/>
    <w:rsid w:val="00E95DB8"/>
    <w:rsid w:val="00E95E3B"/>
    <w:rsid w:val="00E97527"/>
    <w:rsid w:val="00E97A3D"/>
    <w:rsid w:val="00EA08C4"/>
    <w:rsid w:val="00EA186C"/>
    <w:rsid w:val="00EA2057"/>
    <w:rsid w:val="00EA53A3"/>
    <w:rsid w:val="00EA5A9E"/>
    <w:rsid w:val="00EA6556"/>
    <w:rsid w:val="00EA6842"/>
    <w:rsid w:val="00EB161A"/>
    <w:rsid w:val="00EB1A66"/>
    <w:rsid w:val="00EB1B80"/>
    <w:rsid w:val="00EB3442"/>
    <w:rsid w:val="00EB4A1B"/>
    <w:rsid w:val="00EB4C26"/>
    <w:rsid w:val="00EB5127"/>
    <w:rsid w:val="00EB53F2"/>
    <w:rsid w:val="00EB5826"/>
    <w:rsid w:val="00EB5F41"/>
    <w:rsid w:val="00EB6125"/>
    <w:rsid w:val="00EB7803"/>
    <w:rsid w:val="00EB787F"/>
    <w:rsid w:val="00EC0295"/>
    <w:rsid w:val="00EC0454"/>
    <w:rsid w:val="00EC19FA"/>
    <w:rsid w:val="00EC26A1"/>
    <w:rsid w:val="00EC3CA5"/>
    <w:rsid w:val="00EC3D04"/>
    <w:rsid w:val="00EC4346"/>
    <w:rsid w:val="00EC5F86"/>
    <w:rsid w:val="00EC7F39"/>
    <w:rsid w:val="00ED0940"/>
    <w:rsid w:val="00ED1190"/>
    <w:rsid w:val="00ED15DA"/>
    <w:rsid w:val="00ED25CE"/>
    <w:rsid w:val="00ED3A55"/>
    <w:rsid w:val="00ED3FE1"/>
    <w:rsid w:val="00ED402C"/>
    <w:rsid w:val="00ED511B"/>
    <w:rsid w:val="00ED5CE5"/>
    <w:rsid w:val="00ED71A4"/>
    <w:rsid w:val="00EE0ACF"/>
    <w:rsid w:val="00EE16BD"/>
    <w:rsid w:val="00EE2A28"/>
    <w:rsid w:val="00EE37DE"/>
    <w:rsid w:val="00EE4623"/>
    <w:rsid w:val="00EE67C5"/>
    <w:rsid w:val="00EF0051"/>
    <w:rsid w:val="00EF18EF"/>
    <w:rsid w:val="00EF1F08"/>
    <w:rsid w:val="00EF4031"/>
    <w:rsid w:val="00EF4D17"/>
    <w:rsid w:val="00EF5D9E"/>
    <w:rsid w:val="00EF61B1"/>
    <w:rsid w:val="00EF7A8D"/>
    <w:rsid w:val="00F01FF7"/>
    <w:rsid w:val="00F0279F"/>
    <w:rsid w:val="00F02EC1"/>
    <w:rsid w:val="00F034F1"/>
    <w:rsid w:val="00F05891"/>
    <w:rsid w:val="00F05908"/>
    <w:rsid w:val="00F06516"/>
    <w:rsid w:val="00F10081"/>
    <w:rsid w:val="00F10305"/>
    <w:rsid w:val="00F1076B"/>
    <w:rsid w:val="00F10AD7"/>
    <w:rsid w:val="00F10D71"/>
    <w:rsid w:val="00F10DF6"/>
    <w:rsid w:val="00F11B9B"/>
    <w:rsid w:val="00F11D20"/>
    <w:rsid w:val="00F120D0"/>
    <w:rsid w:val="00F13E0D"/>
    <w:rsid w:val="00F1421D"/>
    <w:rsid w:val="00F17AB4"/>
    <w:rsid w:val="00F20B6E"/>
    <w:rsid w:val="00F20FF5"/>
    <w:rsid w:val="00F248EC"/>
    <w:rsid w:val="00F24BCF"/>
    <w:rsid w:val="00F24C64"/>
    <w:rsid w:val="00F25ABC"/>
    <w:rsid w:val="00F2639B"/>
    <w:rsid w:val="00F26B48"/>
    <w:rsid w:val="00F276EE"/>
    <w:rsid w:val="00F3042A"/>
    <w:rsid w:val="00F30CF5"/>
    <w:rsid w:val="00F3255F"/>
    <w:rsid w:val="00F33271"/>
    <w:rsid w:val="00F3510E"/>
    <w:rsid w:val="00F35B8D"/>
    <w:rsid w:val="00F373DC"/>
    <w:rsid w:val="00F37EF3"/>
    <w:rsid w:val="00F400A3"/>
    <w:rsid w:val="00F403D6"/>
    <w:rsid w:val="00F4062A"/>
    <w:rsid w:val="00F40782"/>
    <w:rsid w:val="00F422EF"/>
    <w:rsid w:val="00F42894"/>
    <w:rsid w:val="00F4597E"/>
    <w:rsid w:val="00F45CF2"/>
    <w:rsid w:val="00F47B25"/>
    <w:rsid w:val="00F47B5C"/>
    <w:rsid w:val="00F506AE"/>
    <w:rsid w:val="00F509C3"/>
    <w:rsid w:val="00F51346"/>
    <w:rsid w:val="00F5235B"/>
    <w:rsid w:val="00F52A5E"/>
    <w:rsid w:val="00F53A98"/>
    <w:rsid w:val="00F54947"/>
    <w:rsid w:val="00F54AD8"/>
    <w:rsid w:val="00F54B9C"/>
    <w:rsid w:val="00F54F7B"/>
    <w:rsid w:val="00F55A7E"/>
    <w:rsid w:val="00F55CD7"/>
    <w:rsid w:val="00F560DC"/>
    <w:rsid w:val="00F56863"/>
    <w:rsid w:val="00F56916"/>
    <w:rsid w:val="00F56AD0"/>
    <w:rsid w:val="00F56CB1"/>
    <w:rsid w:val="00F56D24"/>
    <w:rsid w:val="00F610CA"/>
    <w:rsid w:val="00F626C2"/>
    <w:rsid w:val="00F63F85"/>
    <w:rsid w:val="00F6520B"/>
    <w:rsid w:val="00F65819"/>
    <w:rsid w:val="00F67804"/>
    <w:rsid w:val="00F67A6B"/>
    <w:rsid w:val="00F67E91"/>
    <w:rsid w:val="00F72C27"/>
    <w:rsid w:val="00F72D23"/>
    <w:rsid w:val="00F73CFD"/>
    <w:rsid w:val="00F7423B"/>
    <w:rsid w:val="00F74CB0"/>
    <w:rsid w:val="00F75495"/>
    <w:rsid w:val="00F75A08"/>
    <w:rsid w:val="00F765EB"/>
    <w:rsid w:val="00F773A0"/>
    <w:rsid w:val="00F81C9E"/>
    <w:rsid w:val="00F81CE4"/>
    <w:rsid w:val="00F83602"/>
    <w:rsid w:val="00F83935"/>
    <w:rsid w:val="00F8471E"/>
    <w:rsid w:val="00F84CE8"/>
    <w:rsid w:val="00F8673B"/>
    <w:rsid w:val="00F86989"/>
    <w:rsid w:val="00F908F8"/>
    <w:rsid w:val="00F92442"/>
    <w:rsid w:val="00F9247A"/>
    <w:rsid w:val="00F9267D"/>
    <w:rsid w:val="00F926C8"/>
    <w:rsid w:val="00F937B0"/>
    <w:rsid w:val="00F93C2F"/>
    <w:rsid w:val="00F96350"/>
    <w:rsid w:val="00F96C05"/>
    <w:rsid w:val="00F97494"/>
    <w:rsid w:val="00F97D2D"/>
    <w:rsid w:val="00FA040D"/>
    <w:rsid w:val="00FA05A4"/>
    <w:rsid w:val="00FA1103"/>
    <w:rsid w:val="00FA172D"/>
    <w:rsid w:val="00FA1AF5"/>
    <w:rsid w:val="00FA2F87"/>
    <w:rsid w:val="00FA3020"/>
    <w:rsid w:val="00FA30C2"/>
    <w:rsid w:val="00FA372A"/>
    <w:rsid w:val="00FA4313"/>
    <w:rsid w:val="00FA63B6"/>
    <w:rsid w:val="00FA7135"/>
    <w:rsid w:val="00FA784C"/>
    <w:rsid w:val="00FB058F"/>
    <w:rsid w:val="00FB06E1"/>
    <w:rsid w:val="00FB0ADC"/>
    <w:rsid w:val="00FB0CA2"/>
    <w:rsid w:val="00FB471F"/>
    <w:rsid w:val="00FB481E"/>
    <w:rsid w:val="00FB6912"/>
    <w:rsid w:val="00FB703A"/>
    <w:rsid w:val="00FC00DD"/>
    <w:rsid w:val="00FC0A72"/>
    <w:rsid w:val="00FC1247"/>
    <w:rsid w:val="00FC13EC"/>
    <w:rsid w:val="00FC14D9"/>
    <w:rsid w:val="00FC1C66"/>
    <w:rsid w:val="00FC27D4"/>
    <w:rsid w:val="00FC2A79"/>
    <w:rsid w:val="00FC3CD4"/>
    <w:rsid w:val="00FC4E2A"/>
    <w:rsid w:val="00FC5020"/>
    <w:rsid w:val="00FC55BF"/>
    <w:rsid w:val="00FC5D80"/>
    <w:rsid w:val="00FC60FB"/>
    <w:rsid w:val="00FC6ACE"/>
    <w:rsid w:val="00FC6F4F"/>
    <w:rsid w:val="00FC785E"/>
    <w:rsid w:val="00FD1B30"/>
    <w:rsid w:val="00FD3D3E"/>
    <w:rsid w:val="00FD4E9B"/>
    <w:rsid w:val="00FD5051"/>
    <w:rsid w:val="00FD5958"/>
    <w:rsid w:val="00FD5A0F"/>
    <w:rsid w:val="00FD756D"/>
    <w:rsid w:val="00FD7972"/>
    <w:rsid w:val="00FE059A"/>
    <w:rsid w:val="00FE0781"/>
    <w:rsid w:val="00FE0FB2"/>
    <w:rsid w:val="00FE1692"/>
    <w:rsid w:val="00FE29AF"/>
    <w:rsid w:val="00FE3D65"/>
    <w:rsid w:val="00FE54AE"/>
    <w:rsid w:val="00FE7586"/>
    <w:rsid w:val="00FF0A6A"/>
    <w:rsid w:val="00FF19F0"/>
    <w:rsid w:val="00FF1A8D"/>
    <w:rsid w:val="00FF1E56"/>
    <w:rsid w:val="00FF2339"/>
    <w:rsid w:val="00FF2430"/>
    <w:rsid w:val="00FF26B9"/>
    <w:rsid w:val="00FF2DDB"/>
    <w:rsid w:val="00FF33AA"/>
    <w:rsid w:val="00FF371D"/>
    <w:rsid w:val="00FF4B33"/>
    <w:rsid w:val="00FF5F0D"/>
    <w:rsid w:val="00FF637D"/>
    <w:rsid w:val="00FF64CF"/>
    <w:rsid w:val="00FF6B5D"/>
    <w:rsid w:val="00FF75B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rules v:ext="edit">
        <o:r id="V:Rule8" type="connector" idref="#_x0000_s1332"/>
        <o:r id="V:Rule9" type="connector" idref="#_x0000_s1394"/>
        <o:r id="V:Rule10" type="connector" idref="#_x0000_s1328"/>
        <o:r id="V:Rule11" type="connector" idref="#_x0000_s1331"/>
        <o:r id="V:Rule12" type="connector" idref="#_x0000_s1333"/>
        <o:r id="V:Rule13" type="connector" idref="#_x0000_s1329"/>
        <o:r id="V:Rule14" type="connector" idref="#_x0000_s13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w:uiPriority="99"/>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7EBC"/>
    <w:pPr>
      <w:spacing w:after="240" w:line="260" w:lineRule="exact"/>
      <w:jc w:val="center"/>
    </w:pPr>
    <w:rPr>
      <w:rFonts w:ascii="Arial Narrow" w:hAnsi="Arial Narrow"/>
      <w:sz w:val="16"/>
      <w:szCs w:val="16"/>
    </w:rPr>
  </w:style>
  <w:style w:type="paragraph" w:styleId="Heading1">
    <w:name w:val="heading 1"/>
    <w:basedOn w:val="HeadingBase"/>
    <w:next w:val="Normal"/>
    <w:qFormat/>
    <w:rsid w:val="00EC5F86"/>
    <w:pPr>
      <w:spacing w:after="240"/>
      <w:jc w:val="center"/>
      <w:outlineLvl w:val="0"/>
    </w:pPr>
    <w:rPr>
      <w:b/>
      <w:smallCaps/>
      <w:kern w:val="28"/>
      <w:sz w:val="34"/>
    </w:rPr>
  </w:style>
  <w:style w:type="paragraph" w:styleId="Heading2">
    <w:name w:val="heading 2"/>
    <w:basedOn w:val="HeadingBase"/>
    <w:next w:val="Normal"/>
    <w:link w:val="Heading2Char"/>
    <w:qFormat/>
    <w:rsid w:val="00EC5F86"/>
    <w:pPr>
      <w:spacing w:before="360" w:after="360"/>
      <w:outlineLvl w:val="1"/>
    </w:pPr>
    <w:rPr>
      <w:sz w:val="30"/>
    </w:rPr>
  </w:style>
  <w:style w:type="paragraph" w:styleId="Heading3">
    <w:name w:val="heading 3"/>
    <w:basedOn w:val="HeadingBase"/>
    <w:next w:val="Normal"/>
    <w:link w:val="Heading3Char"/>
    <w:qFormat/>
    <w:rsid w:val="00EC5F86"/>
    <w:pPr>
      <w:tabs>
        <w:tab w:val="left" w:pos="709"/>
      </w:tabs>
      <w:spacing w:before="240" w:after="240"/>
      <w:outlineLvl w:val="2"/>
    </w:pPr>
    <w:rPr>
      <w:b/>
      <w:smallCaps/>
      <w:sz w:val="26"/>
    </w:rPr>
  </w:style>
  <w:style w:type="paragraph" w:styleId="Heading4">
    <w:name w:val="heading 4"/>
    <w:basedOn w:val="HeadingBase"/>
    <w:next w:val="Normal"/>
    <w:qFormat/>
    <w:rsid w:val="00EC5F86"/>
    <w:pPr>
      <w:tabs>
        <w:tab w:val="left" w:pos="709"/>
      </w:tabs>
      <w:spacing w:before="120" w:after="120"/>
      <w:outlineLvl w:val="3"/>
    </w:pPr>
    <w:rPr>
      <w:b/>
      <w:sz w:val="22"/>
    </w:rPr>
  </w:style>
  <w:style w:type="paragraph" w:styleId="Heading5">
    <w:name w:val="heading 5"/>
    <w:basedOn w:val="HeadingBase"/>
    <w:next w:val="Normal"/>
    <w:qFormat/>
    <w:rsid w:val="00EC5F86"/>
    <w:pPr>
      <w:spacing w:after="120"/>
      <w:outlineLvl w:val="4"/>
    </w:pPr>
    <w:rPr>
      <w:b/>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qFormat/>
    <w:rsid w:val="00EC5F86"/>
    <w:pPr>
      <w:spacing w:after="100"/>
      <w:outlineLvl w:val="6"/>
    </w:pPr>
    <w:rPr>
      <w:sz w:val="18"/>
      <w:szCs w:val="24"/>
    </w:rPr>
  </w:style>
  <w:style w:type="paragraph" w:styleId="Heading8">
    <w:name w:val="heading 8"/>
    <w:basedOn w:val="HeadingBase"/>
    <w:next w:val="Normal"/>
    <w:qFormat/>
    <w:rsid w:val="00EC5F86"/>
    <w:pPr>
      <w:spacing w:before="240" w:after="60"/>
      <w:outlineLvl w:val="7"/>
    </w:pPr>
    <w:rPr>
      <w:rFonts w:ascii="Times New Roman" w:hAnsi="Times New Roman"/>
      <w:i/>
      <w:i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EC5F86"/>
    <w:pPr>
      <w:spacing w:before="120" w:after="20"/>
    </w:pPr>
    <w:rPr>
      <w:b/>
    </w:rPr>
  </w:style>
  <w:style w:type="paragraph" w:customStyle="1" w:styleId="HeadingBase">
    <w:name w:val="Heading Base"/>
    <w:link w:val="HeadingBaseChar"/>
    <w:rsid w:val="00EC5F86"/>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rsid w:val="00EC5F86"/>
    <w:pPr>
      <w:numPr>
        <w:numId w:val="2"/>
      </w:numPr>
    </w:p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EC5F86"/>
    <w:pPr>
      <w:numPr>
        <w:numId w:val="19"/>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EC5F86"/>
    <w:pPr>
      <w:tabs>
        <w:tab w:val="left" w:pos="284"/>
      </w:tabs>
      <w:ind w:left="284" w:hanging="284"/>
      <w:jc w:val="both"/>
    </w:pPr>
    <w:rPr>
      <w:sz w:val="16"/>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6"/>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EC5F86"/>
    <w:pPr>
      <w:spacing w:after="360"/>
      <w:jc w:val="center"/>
    </w:pPr>
    <w:rPr>
      <w:b/>
      <w:smallCaps/>
      <w:sz w:val="34"/>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rsid w:val="00EC5F86"/>
    <w:pPr>
      <w:numPr>
        <w:numId w:val="4"/>
      </w:numPr>
    </w:pPr>
  </w:style>
  <w:style w:type="paragraph" w:styleId="Title">
    <w:name w:val="Title"/>
    <w:basedOn w:val="Normal"/>
    <w:qFormat/>
    <w:rsid w:val="004B0B19"/>
    <w:pPr>
      <w:spacing w:after="0" w:line="240" w:lineRule="auto"/>
      <w:outlineLvl w:val="0"/>
    </w:pPr>
    <w:rPr>
      <w:rFonts w:ascii="Arial" w:hAnsi="Arial" w:cs="Arial"/>
      <w:b/>
      <w:bCs/>
      <w:caps/>
      <w:kern w:val="28"/>
      <w:sz w:val="52"/>
      <w:szCs w:val="32"/>
    </w:rPr>
  </w:style>
  <w:style w:type="paragraph" w:customStyle="1" w:styleId="TableHeadingcontinued">
    <w:name w:val="Table Heading continued"/>
    <w:basedOn w:val="HeadingBase"/>
    <w:next w:val="TableGraphic"/>
    <w:rsid w:val="00EC5F86"/>
    <w:pPr>
      <w:spacing w:before="120" w:after="20"/>
    </w:pPr>
    <w:rPr>
      <w:rFonts w:ascii="Arial Bold" w:hAnsi="Arial Bold"/>
      <w:b/>
      <w:sz w:val="20"/>
    </w:rPr>
  </w:style>
  <w:style w:type="paragraph" w:customStyle="1" w:styleId="TPHeading1">
    <w:name w:val="TP Heading 1"/>
    <w:basedOn w:val="HeadingBase"/>
    <w:rsid w:val="00EC5F86"/>
    <w:rPr>
      <w:b/>
      <w:caps/>
      <w:sz w:val="52"/>
    </w:rPr>
  </w:style>
  <w:style w:type="paragraph" w:customStyle="1" w:styleId="TPHeading2">
    <w:name w:val="TP Heading 2"/>
    <w:basedOn w:val="HeadingBase"/>
    <w:rsid w:val="0032738E"/>
    <w:pPr>
      <w:jc w:val="center"/>
    </w:pPr>
    <w:rPr>
      <w:rFonts w:ascii="Georgia" w:hAnsi="Georgia"/>
      <w:caps/>
    </w:rPr>
  </w:style>
  <w:style w:type="paragraph" w:customStyle="1" w:styleId="TPHeading3">
    <w:name w:val="TP Heading 3"/>
    <w:basedOn w:val="HeadingBase"/>
    <w:rsid w:val="0032738E"/>
    <w:rPr>
      <w:rFonts w:ascii="Georgia" w:hAnsi="Georgia"/>
      <w:caps/>
    </w:rPr>
  </w:style>
  <w:style w:type="paragraph" w:customStyle="1" w:styleId="HeaderBase">
    <w:name w:val="Header Base"/>
    <w:rsid w:val="00EC5F86"/>
    <w:rPr>
      <w:rFonts w:ascii="Book Antiqua" w:hAnsi="Book Antiqua"/>
      <w:i/>
    </w:rPr>
  </w:style>
  <w:style w:type="paragraph" w:customStyle="1" w:styleId="HeaderEven">
    <w:name w:val="Header Even"/>
    <w:basedOn w:val="HeaderBase"/>
    <w:rsid w:val="00EC5F86"/>
  </w:style>
  <w:style w:type="paragraph" w:customStyle="1" w:styleId="HeaderOdd">
    <w:name w:val="Header Odd"/>
    <w:basedOn w:val="HeaderBase"/>
    <w:rsid w:val="00EC5F86"/>
    <w:pPr>
      <w:jc w:val="right"/>
    </w:pPr>
  </w:style>
  <w:style w:type="paragraph" w:styleId="Header">
    <w:name w:val="header"/>
    <w:basedOn w:val="HeaderBase"/>
    <w:link w:val="HeaderChar"/>
    <w:uiPriority w:val="99"/>
    <w:rsid w:val="00EC5F86"/>
    <w:pPr>
      <w:tabs>
        <w:tab w:val="center" w:pos="4153"/>
        <w:tab w:val="right" w:pos="8306"/>
      </w:tabs>
    </w:p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style>
  <w:style w:type="paragraph" w:styleId="BalloonText">
    <w:name w:val="Balloon Text"/>
    <w:basedOn w:val="Normal"/>
    <w:semiHidden/>
    <w:rsid w:val="00EC5F86"/>
    <w:rPr>
      <w:rFonts w:ascii="Tahoma" w:hAnsi="Tahoma" w:cs="Tahoma"/>
    </w:rPr>
  </w:style>
  <w:style w:type="paragraph" w:styleId="Caption">
    <w:name w:val="caption"/>
    <w:basedOn w:val="Normal"/>
    <w:next w:val="Normal"/>
    <w:qFormat/>
    <w:rsid w:val="00EC5F86"/>
    <w:rPr>
      <w:b/>
      <w:bCs/>
    </w:rPr>
  </w:style>
  <w:style w:type="character" w:styleId="CommentReference">
    <w:name w:val="annotation reference"/>
    <w:uiPriority w:val="99"/>
    <w:semiHidden/>
    <w:rsid w:val="00EC5F86"/>
    <w:rPr>
      <w:sz w:val="16"/>
      <w:szCs w:val="16"/>
    </w:rPr>
  </w:style>
  <w:style w:type="paragraph" w:styleId="CommentText">
    <w:name w:val="annotation text"/>
    <w:basedOn w:val="Normal"/>
    <w:link w:val="CommentTextChar"/>
    <w:uiPriority w:val="99"/>
    <w:semiHidden/>
    <w:rsid w:val="00EC5F86"/>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EC5F86"/>
    <w:pPr>
      <w:tabs>
        <w:tab w:val="right" w:leader="dot" w:pos="7700"/>
      </w:tabs>
      <w:spacing w:before="240"/>
      <w:ind w:right="851"/>
    </w:pPr>
    <w:rPr>
      <w:rFonts w:ascii="Arial" w:hAnsi="Arial"/>
      <w:b/>
      <w:i w:val="0"/>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rsid w:val="00EC5F86"/>
    <w:pPr>
      <w:tabs>
        <w:tab w:val="right" w:leader="dot" w:pos="7700"/>
      </w:tabs>
      <w:spacing w:before="120"/>
      <w:ind w:right="851"/>
    </w:pPr>
    <w:rPr>
      <w:b/>
      <w:sz w:val="20"/>
    </w:rPr>
  </w:style>
  <w:style w:type="paragraph" w:styleId="TOC4">
    <w:name w:val="toc 4"/>
    <w:basedOn w:val="HeadingBase"/>
    <w:next w:val="Normal"/>
    <w:rsid w:val="00EC5F86"/>
    <w:pPr>
      <w:tabs>
        <w:tab w:val="right" w:leader="dot" w:pos="7700"/>
      </w:tabs>
      <w:spacing w:before="40"/>
      <w:ind w:right="851"/>
    </w:pPr>
    <w:rPr>
      <w:sz w:val="20"/>
    </w:rPr>
  </w:style>
  <w:style w:type="paragraph" w:styleId="TOC5">
    <w:name w:val="toc 5"/>
    <w:basedOn w:val="Normal"/>
    <w:next w:val="Normal"/>
    <w:autoRedefine/>
    <w:semiHidden/>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semiHidden/>
    <w:rsid w:val="00EC5F86"/>
    <w:rPr>
      <w:i/>
    </w:rPr>
  </w:style>
  <w:style w:type="character" w:styleId="PageNumber">
    <w:name w:val="page number"/>
    <w:rsid w:val="00EC5F86"/>
    <w:rPr>
      <w:rFonts w:ascii="Arial" w:hAnsi="Arial" w:cs="Arial"/>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pPr>
    <w:rPr>
      <w:rFonts w:ascii="Arial" w:hAnsi="Arial"/>
      <w:b/>
    </w:rPr>
  </w:style>
  <w:style w:type="table" w:styleId="TableGrid">
    <w:name w:val="Table Grid"/>
    <w:basedOn w:val="TableNormal"/>
    <w:rsid w:val="00EC5F86"/>
    <w:pPr>
      <w:spacing w:after="240" w:line="260"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rPr>
      <w:rFonts w:ascii="Arial" w:hAnsi="Arial"/>
      <w:caps/>
    </w:rPr>
  </w:style>
  <w:style w:type="paragraph" w:customStyle="1" w:styleId="Part">
    <w:name w:val="Part"/>
    <w:basedOn w:val="Title"/>
    <w:next w:val="Normal"/>
    <w:rsid w:val="00EC5F86"/>
    <w:rPr>
      <w:caps w:val="0"/>
      <w:smallCaps/>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D50C9B"/>
    <w:rPr>
      <w:rFonts w:ascii="Book Antiqua" w:hAnsi="Book Antiqua"/>
      <w:i/>
      <w:color w:val="FF0000"/>
      <w:lang w:val="en-AU" w:eastAsia="en-AU" w:bidi="ar-SA"/>
    </w:rPr>
  </w:style>
  <w:style w:type="paragraph" w:customStyle="1" w:styleId="Crest">
    <w:name w:val="Crest"/>
    <w:basedOn w:val="Normal"/>
    <w:next w:val="TransmittalStyle1"/>
    <w:rsid w:val="00021DA6"/>
    <w:pPr>
      <w:spacing w:after="0" w:line="240" w:lineRule="auto"/>
    </w:pPr>
  </w:style>
  <w:style w:type="character" w:styleId="Hyperlink">
    <w:name w:val="Hyperlink"/>
    <w:uiPriority w:val="99"/>
    <w:rsid w:val="00AA27AA"/>
    <w:rPr>
      <w:color w:val="0000FF"/>
      <w:u w:val="singl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pPr>
  </w:style>
  <w:style w:type="paragraph" w:customStyle="1" w:styleId="TableTextBullet">
    <w:name w:val="Table Text Bullet"/>
    <w:basedOn w:val="TableTextBase"/>
    <w:link w:val="TableTextBulletChar"/>
    <w:rsid w:val="00EC5F86"/>
    <w:pPr>
      <w:numPr>
        <w:numId w:val="5"/>
      </w:numPr>
    </w:pPr>
  </w:style>
  <w:style w:type="paragraph" w:customStyle="1" w:styleId="Exampletextdash">
    <w:name w:val="Example text dash"/>
    <w:basedOn w:val="Exampletextbullet"/>
    <w:rsid w:val="00EC5F86"/>
    <w:pPr>
      <w:numPr>
        <w:ilvl w:val="1"/>
      </w:numPr>
    </w:pPr>
  </w:style>
  <w:style w:type="character" w:customStyle="1" w:styleId="HeadingBaseChar">
    <w:name w:val="Heading Base Char"/>
    <w:link w:val="HeadingBase"/>
    <w:rsid w:val="00574E9E"/>
    <w:rPr>
      <w:rFonts w:ascii="Arial" w:hAnsi="Arial"/>
      <w:sz w:val="24"/>
      <w:lang w:val="en-AU" w:eastAsia="en-AU" w:bidi="ar-SA"/>
    </w:rPr>
  </w:style>
  <w:style w:type="character" w:customStyle="1" w:styleId="TableHeadingChar">
    <w:name w:val="Table Heading Char"/>
    <w:link w:val="TableHeading"/>
    <w:rsid w:val="00574E9E"/>
    <w:rPr>
      <w:rFonts w:ascii="Arial" w:hAnsi="Arial"/>
      <w:b/>
      <w:sz w:val="24"/>
      <w:lang w:val="en-AU" w:eastAsia="en-AU" w:bidi="ar-SA"/>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NAST Quote,List Paragraph11,Bullet point,L,bullet point list,1 heading,Bulleted Para,Bullet points,Content descriptions,Bullet Point,FooterText,numbered,Paragraphe de liste1,列出段落,列出段落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5"/>
      </w:numPr>
    </w:pPr>
  </w:style>
  <w:style w:type="character" w:customStyle="1" w:styleId="ChartandTableFootnoteChar">
    <w:name w:val="Chart and Table Footnote Char"/>
    <w:link w:val="ChartandTableFootnote"/>
    <w:rsid w:val="005606B5"/>
    <w:rPr>
      <w:rFonts w:ascii="Arial" w:hAnsi="Arial"/>
      <w:sz w:val="16"/>
      <w:lang w:val="en-AU" w:eastAsia="en-AU" w:bidi="ar-SA"/>
    </w:rPr>
  </w:style>
  <w:style w:type="paragraph" w:customStyle="1" w:styleId="PartHeading">
    <w:name w:val="Part Heading"/>
    <w:basedOn w:val="Part"/>
    <w:next w:val="Normal"/>
    <w:rsid w:val="00EC5F86"/>
  </w:style>
  <w:style w:type="character" w:customStyle="1" w:styleId="BulletChar">
    <w:name w:val="Bullet Char"/>
    <w:link w:val="Bullet"/>
    <w:rsid w:val="00FD5958"/>
    <w:rPr>
      <w:rFonts w:ascii="Arial Narrow" w:hAnsi="Arial Narrow"/>
      <w:sz w:val="16"/>
      <w:szCs w:val="16"/>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6"/>
      </w:numPr>
    </w:pPr>
    <w:rPr>
      <w:color w:val="000000"/>
    </w:rPr>
  </w:style>
  <w:style w:type="paragraph" w:customStyle="1" w:styleId="BoxDoubleDot">
    <w:name w:val="Box Double Dot"/>
    <w:basedOn w:val="BoxTextBase"/>
    <w:rsid w:val="00EC5F86"/>
    <w:pPr>
      <w:numPr>
        <w:ilvl w:val="2"/>
        <w:numId w:val="6"/>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C7638D"/>
    <w:rPr>
      <w:rFonts w:ascii="Arial" w:hAnsi="Arial"/>
      <w:b/>
      <w:smallCaps/>
      <w:sz w:val="26"/>
      <w:lang w:val="en-AU" w:eastAsia="en-AU" w:bidi="ar-SA"/>
    </w:rPr>
  </w:style>
  <w:style w:type="character" w:customStyle="1" w:styleId="CommentTextChar">
    <w:name w:val="Comment Text Char"/>
    <w:link w:val="CommentText"/>
    <w:uiPriority w:val="99"/>
    <w:semiHidden/>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C42D37"/>
    <w:rPr>
      <w:rFonts w:ascii="Book Antiqua" w:hAnsi="Book Antiqua"/>
      <w:i/>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qFormat/>
    <w:rsid w:val="00B2691D"/>
    <w:rPr>
      <w:b/>
      <w:bCs/>
    </w:rPr>
  </w:style>
  <w:style w:type="paragraph" w:styleId="BodyText">
    <w:name w:val="Body Text"/>
    <w:basedOn w:val="Normal"/>
    <w:link w:val="BodyTextChar"/>
    <w:uiPriority w:val="99"/>
    <w:rsid w:val="002A55B5"/>
    <w:pPr>
      <w:spacing w:after="120"/>
    </w:pPr>
  </w:style>
  <w:style w:type="character" w:customStyle="1" w:styleId="BodyTextChar">
    <w:name w:val="Body Text Char"/>
    <w:basedOn w:val="DefaultParagraphFont"/>
    <w:link w:val="BodyText"/>
    <w:rsid w:val="002A55B5"/>
    <w:rPr>
      <w:rFonts w:ascii="Book Antiqua" w:hAnsi="Book Antiqua"/>
    </w:rPr>
  </w:style>
  <w:style w:type="paragraph" w:customStyle="1" w:styleId="Default">
    <w:name w:val="Default"/>
    <w:rsid w:val="00487304"/>
    <w:pPr>
      <w:autoSpaceDE w:val="0"/>
      <w:autoSpaceDN w:val="0"/>
      <w:adjustRightInd w:val="0"/>
    </w:pPr>
    <w:rPr>
      <w:rFonts w:ascii="Book Antiqua" w:hAnsi="Book Antiqua" w:cs="Book Antiqua"/>
      <w:color w:val="000000"/>
      <w:sz w:val="24"/>
      <w:szCs w:val="24"/>
    </w:rPr>
  </w:style>
  <w:style w:type="character" w:customStyle="1" w:styleId="Heading2Char">
    <w:name w:val="Heading 2 Char"/>
    <w:basedOn w:val="DefaultParagraphFont"/>
    <w:link w:val="Heading2"/>
    <w:rsid w:val="00B01F19"/>
    <w:rPr>
      <w:rFonts w:ascii="Arial" w:hAnsi="Arial"/>
      <w:sz w:val="30"/>
    </w:rPr>
  </w:style>
  <w:style w:type="character" w:customStyle="1" w:styleId="ListParagraphChar">
    <w:name w:val="List Paragraph Char"/>
    <w:aliases w:val="NFP GP Bulleted List Char,List Paragraph1 Char,Recommendation Char,NAST Quote Char,List Paragraph11 Char,Bullet point Char,L Char,bullet point list Char,1 heading Char,Bulleted Para Char,Bullet points Char,Content descriptions Char"/>
    <w:basedOn w:val="DefaultParagraphFont"/>
    <w:link w:val="ListParagraph"/>
    <w:uiPriority w:val="34"/>
    <w:locked/>
    <w:rsid w:val="000217A0"/>
    <w:rPr>
      <w:rFonts w:ascii="Calibri" w:eastAsia="Calibri" w:hAnsi="Calibri"/>
      <w:sz w:val="22"/>
      <w:szCs w:val="22"/>
      <w:lang w:val="en-US" w:eastAsia="en-US"/>
    </w:rPr>
  </w:style>
  <w:style w:type="paragraph" w:customStyle="1" w:styleId="HeadingMin">
    <w:name w:val="HeadingMin"/>
    <w:basedOn w:val="Normal"/>
    <w:rsid w:val="00F4062A"/>
    <w:pPr>
      <w:spacing w:after="0" w:line="240" w:lineRule="auto"/>
    </w:pPr>
    <w:rPr>
      <w:rFonts w:ascii="Arial" w:hAnsi="Arial"/>
      <w:caps/>
      <w:spacing w:val="20"/>
      <w:sz w:val="40"/>
      <w:szCs w:val="24"/>
    </w:rPr>
  </w:style>
  <w:style w:type="paragraph" w:customStyle="1" w:styleId="HeadingOffice">
    <w:name w:val="HeadingOffice"/>
    <w:basedOn w:val="Normal"/>
    <w:rsid w:val="00F4062A"/>
    <w:pPr>
      <w:spacing w:after="0" w:line="240" w:lineRule="auto"/>
    </w:pPr>
    <w:rPr>
      <w:rFonts w:ascii="Arial" w:hAnsi="Arial"/>
      <w:spacing w:val="10"/>
      <w:sz w:val="28"/>
      <w:szCs w:val="24"/>
    </w:rPr>
  </w:style>
  <w:style w:type="character" w:styleId="PlaceholderText">
    <w:name w:val="Placeholder Text"/>
    <w:basedOn w:val="DefaultParagraphFont"/>
    <w:uiPriority w:val="99"/>
    <w:semiHidden/>
    <w:rsid w:val="00F4062A"/>
    <w:rPr>
      <w:color w:val="808080"/>
    </w:rPr>
  </w:style>
  <w:style w:type="character" w:styleId="Emphasis">
    <w:name w:val="Emphasis"/>
    <w:basedOn w:val="DefaultParagraphFont"/>
    <w:uiPriority w:val="20"/>
    <w:qFormat/>
    <w:rsid w:val="00A77614"/>
    <w:rPr>
      <w:i/>
      <w:iCs/>
    </w:rPr>
  </w:style>
  <w:style w:type="paragraph" w:styleId="NormalWeb">
    <w:name w:val="Normal (Web)"/>
    <w:basedOn w:val="Normal"/>
    <w:uiPriority w:val="99"/>
    <w:unhideWhenUsed/>
    <w:rsid w:val="00EB5F41"/>
    <w:pPr>
      <w:spacing w:before="100" w:beforeAutospacing="1" w:after="100" w:afterAutospacing="1" w:line="240" w:lineRule="auto"/>
      <w:jc w:val="left"/>
    </w:pPr>
    <w:rPr>
      <w:rFonts w:ascii="Times New Roman" w:hAnsi="Times New Roman"/>
      <w:sz w:val="24"/>
      <w:szCs w:val="24"/>
    </w:rPr>
  </w:style>
  <w:style w:type="character" w:customStyle="1" w:styleId="TableTextBulletChar">
    <w:name w:val="Table Text Bullet Char"/>
    <w:link w:val="TableTextBullet"/>
    <w:rsid w:val="00B2394E"/>
    <w:rPr>
      <w:rFonts w:ascii="Arial" w:hAnsi="Arial"/>
      <w:sz w:val="18"/>
      <w:szCs w:val="16"/>
    </w:rPr>
  </w:style>
</w:styles>
</file>

<file path=word/webSettings.xml><?xml version="1.0" encoding="utf-8"?>
<w:webSettings xmlns:r="http://schemas.openxmlformats.org/officeDocument/2006/relationships" xmlns:w="http://schemas.openxmlformats.org/wordprocessingml/2006/main">
  <w:divs>
    <w:div w:id="7028163">
      <w:bodyDiv w:val="1"/>
      <w:marLeft w:val="0"/>
      <w:marRight w:val="0"/>
      <w:marTop w:val="0"/>
      <w:marBottom w:val="0"/>
      <w:divBdr>
        <w:top w:val="none" w:sz="0" w:space="0" w:color="auto"/>
        <w:left w:val="none" w:sz="0" w:space="0" w:color="auto"/>
        <w:bottom w:val="none" w:sz="0" w:space="0" w:color="auto"/>
        <w:right w:val="none" w:sz="0" w:space="0" w:color="auto"/>
      </w:divBdr>
    </w:div>
    <w:div w:id="16663730">
      <w:bodyDiv w:val="1"/>
      <w:marLeft w:val="0"/>
      <w:marRight w:val="0"/>
      <w:marTop w:val="0"/>
      <w:marBottom w:val="0"/>
      <w:divBdr>
        <w:top w:val="none" w:sz="0" w:space="0" w:color="auto"/>
        <w:left w:val="none" w:sz="0" w:space="0" w:color="auto"/>
        <w:bottom w:val="none" w:sz="0" w:space="0" w:color="auto"/>
        <w:right w:val="none" w:sz="0" w:space="0" w:color="auto"/>
      </w:divBdr>
    </w:div>
    <w:div w:id="21446347">
      <w:bodyDiv w:val="1"/>
      <w:marLeft w:val="0"/>
      <w:marRight w:val="0"/>
      <w:marTop w:val="0"/>
      <w:marBottom w:val="0"/>
      <w:divBdr>
        <w:top w:val="none" w:sz="0" w:space="0" w:color="auto"/>
        <w:left w:val="none" w:sz="0" w:space="0" w:color="auto"/>
        <w:bottom w:val="none" w:sz="0" w:space="0" w:color="auto"/>
        <w:right w:val="none" w:sz="0" w:space="0" w:color="auto"/>
      </w:divBdr>
    </w:div>
    <w:div w:id="25568745">
      <w:bodyDiv w:val="1"/>
      <w:marLeft w:val="0"/>
      <w:marRight w:val="0"/>
      <w:marTop w:val="0"/>
      <w:marBottom w:val="0"/>
      <w:divBdr>
        <w:top w:val="none" w:sz="0" w:space="0" w:color="auto"/>
        <w:left w:val="none" w:sz="0" w:space="0" w:color="auto"/>
        <w:bottom w:val="none" w:sz="0" w:space="0" w:color="auto"/>
        <w:right w:val="none" w:sz="0" w:space="0" w:color="auto"/>
      </w:divBdr>
    </w:div>
    <w:div w:id="69162172">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9399748">
      <w:bodyDiv w:val="1"/>
      <w:marLeft w:val="0"/>
      <w:marRight w:val="0"/>
      <w:marTop w:val="0"/>
      <w:marBottom w:val="0"/>
      <w:divBdr>
        <w:top w:val="none" w:sz="0" w:space="0" w:color="auto"/>
        <w:left w:val="none" w:sz="0" w:space="0" w:color="auto"/>
        <w:bottom w:val="none" w:sz="0" w:space="0" w:color="auto"/>
        <w:right w:val="none" w:sz="0" w:space="0" w:color="auto"/>
      </w:divBdr>
    </w:div>
    <w:div w:id="116679048">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047508">
      <w:bodyDiv w:val="1"/>
      <w:marLeft w:val="0"/>
      <w:marRight w:val="0"/>
      <w:marTop w:val="0"/>
      <w:marBottom w:val="0"/>
      <w:divBdr>
        <w:top w:val="none" w:sz="0" w:space="0" w:color="auto"/>
        <w:left w:val="none" w:sz="0" w:space="0" w:color="auto"/>
        <w:bottom w:val="none" w:sz="0" w:space="0" w:color="auto"/>
        <w:right w:val="none" w:sz="0" w:space="0" w:color="auto"/>
      </w:divBdr>
    </w:div>
    <w:div w:id="193620055">
      <w:bodyDiv w:val="1"/>
      <w:marLeft w:val="0"/>
      <w:marRight w:val="0"/>
      <w:marTop w:val="0"/>
      <w:marBottom w:val="0"/>
      <w:divBdr>
        <w:top w:val="none" w:sz="0" w:space="0" w:color="auto"/>
        <w:left w:val="none" w:sz="0" w:space="0" w:color="auto"/>
        <w:bottom w:val="none" w:sz="0" w:space="0" w:color="auto"/>
        <w:right w:val="none" w:sz="0" w:space="0" w:color="auto"/>
      </w:divBdr>
    </w:div>
    <w:div w:id="225648232">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39560816">
      <w:bodyDiv w:val="1"/>
      <w:marLeft w:val="0"/>
      <w:marRight w:val="0"/>
      <w:marTop w:val="0"/>
      <w:marBottom w:val="0"/>
      <w:divBdr>
        <w:top w:val="none" w:sz="0" w:space="0" w:color="auto"/>
        <w:left w:val="none" w:sz="0" w:space="0" w:color="auto"/>
        <w:bottom w:val="none" w:sz="0" w:space="0" w:color="auto"/>
        <w:right w:val="none" w:sz="0" w:space="0" w:color="auto"/>
      </w:divBdr>
    </w:div>
    <w:div w:id="260837839">
      <w:bodyDiv w:val="1"/>
      <w:marLeft w:val="0"/>
      <w:marRight w:val="0"/>
      <w:marTop w:val="0"/>
      <w:marBottom w:val="0"/>
      <w:divBdr>
        <w:top w:val="none" w:sz="0" w:space="0" w:color="auto"/>
        <w:left w:val="none" w:sz="0" w:space="0" w:color="auto"/>
        <w:bottom w:val="none" w:sz="0" w:space="0" w:color="auto"/>
        <w:right w:val="none" w:sz="0" w:space="0" w:color="auto"/>
      </w:divBdr>
    </w:div>
    <w:div w:id="262959491">
      <w:bodyDiv w:val="1"/>
      <w:marLeft w:val="0"/>
      <w:marRight w:val="0"/>
      <w:marTop w:val="0"/>
      <w:marBottom w:val="0"/>
      <w:divBdr>
        <w:top w:val="none" w:sz="0" w:space="0" w:color="auto"/>
        <w:left w:val="none" w:sz="0" w:space="0" w:color="auto"/>
        <w:bottom w:val="none" w:sz="0" w:space="0" w:color="auto"/>
        <w:right w:val="none" w:sz="0" w:space="0" w:color="auto"/>
      </w:divBdr>
    </w:div>
    <w:div w:id="264269688">
      <w:bodyDiv w:val="1"/>
      <w:marLeft w:val="0"/>
      <w:marRight w:val="0"/>
      <w:marTop w:val="0"/>
      <w:marBottom w:val="0"/>
      <w:divBdr>
        <w:top w:val="none" w:sz="0" w:space="0" w:color="auto"/>
        <w:left w:val="none" w:sz="0" w:space="0" w:color="auto"/>
        <w:bottom w:val="none" w:sz="0" w:space="0" w:color="auto"/>
        <w:right w:val="none" w:sz="0" w:space="0" w:color="auto"/>
      </w:divBdr>
    </w:div>
    <w:div w:id="267859145">
      <w:bodyDiv w:val="1"/>
      <w:marLeft w:val="0"/>
      <w:marRight w:val="0"/>
      <w:marTop w:val="0"/>
      <w:marBottom w:val="0"/>
      <w:divBdr>
        <w:top w:val="none" w:sz="0" w:space="0" w:color="auto"/>
        <w:left w:val="none" w:sz="0" w:space="0" w:color="auto"/>
        <w:bottom w:val="none" w:sz="0" w:space="0" w:color="auto"/>
        <w:right w:val="none" w:sz="0" w:space="0" w:color="auto"/>
      </w:divBdr>
    </w:div>
    <w:div w:id="2872057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9024744">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6150256">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56781055">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389615222">
      <w:bodyDiv w:val="1"/>
      <w:marLeft w:val="0"/>
      <w:marRight w:val="0"/>
      <w:marTop w:val="0"/>
      <w:marBottom w:val="0"/>
      <w:divBdr>
        <w:top w:val="none" w:sz="0" w:space="0" w:color="auto"/>
        <w:left w:val="none" w:sz="0" w:space="0" w:color="auto"/>
        <w:bottom w:val="none" w:sz="0" w:space="0" w:color="auto"/>
        <w:right w:val="none" w:sz="0" w:space="0" w:color="auto"/>
      </w:divBdr>
      <w:divsChild>
        <w:div w:id="2072389081">
          <w:marLeft w:val="0"/>
          <w:marRight w:val="0"/>
          <w:marTop w:val="0"/>
          <w:marBottom w:val="0"/>
          <w:divBdr>
            <w:top w:val="none" w:sz="0" w:space="0" w:color="auto"/>
            <w:left w:val="none" w:sz="0" w:space="0" w:color="auto"/>
            <w:bottom w:val="none" w:sz="0" w:space="0" w:color="auto"/>
            <w:right w:val="none" w:sz="0" w:space="0" w:color="auto"/>
          </w:divBdr>
          <w:divsChild>
            <w:div w:id="1117480423">
              <w:marLeft w:val="0"/>
              <w:marRight w:val="0"/>
              <w:marTop w:val="0"/>
              <w:marBottom w:val="0"/>
              <w:divBdr>
                <w:top w:val="none" w:sz="0" w:space="0" w:color="auto"/>
                <w:left w:val="none" w:sz="0" w:space="0" w:color="auto"/>
                <w:bottom w:val="none" w:sz="0" w:space="0" w:color="auto"/>
                <w:right w:val="none" w:sz="0" w:space="0" w:color="auto"/>
              </w:divBdr>
              <w:divsChild>
                <w:div w:id="993534433">
                  <w:marLeft w:val="107"/>
                  <w:marRight w:val="107"/>
                  <w:marTop w:val="0"/>
                  <w:marBottom w:val="0"/>
                  <w:divBdr>
                    <w:top w:val="none" w:sz="0" w:space="0" w:color="auto"/>
                    <w:left w:val="none" w:sz="0" w:space="0" w:color="auto"/>
                    <w:bottom w:val="none" w:sz="0" w:space="0" w:color="auto"/>
                    <w:right w:val="none" w:sz="0" w:space="0" w:color="auto"/>
                  </w:divBdr>
                  <w:divsChild>
                    <w:div w:id="162013758">
                      <w:marLeft w:val="0"/>
                      <w:marRight w:val="0"/>
                      <w:marTop w:val="0"/>
                      <w:marBottom w:val="0"/>
                      <w:divBdr>
                        <w:top w:val="none" w:sz="0" w:space="0" w:color="auto"/>
                        <w:left w:val="none" w:sz="0" w:space="0" w:color="auto"/>
                        <w:bottom w:val="none" w:sz="0" w:space="0" w:color="auto"/>
                        <w:right w:val="none" w:sz="0" w:space="0" w:color="auto"/>
                      </w:divBdr>
                      <w:divsChild>
                        <w:div w:id="864560875">
                          <w:marLeft w:val="0"/>
                          <w:marRight w:val="0"/>
                          <w:marTop w:val="0"/>
                          <w:marBottom w:val="0"/>
                          <w:divBdr>
                            <w:top w:val="none" w:sz="0" w:space="0" w:color="auto"/>
                            <w:left w:val="none" w:sz="0" w:space="0" w:color="auto"/>
                            <w:bottom w:val="none" w:sz="0" w:space="0" w:color="auto"/>
                            <w:right w:val="none" w:sz="0" w:space="0" w:color="auto"/>
                          </w:divBdr>
                          <w:divsChild>
                            <w:div w:id="560602706">
                              <w:marLeft w:val="0"/>
                              <w:marRight w:val="0"/>
                              <w:marTop w:val="0"/>
                              <w:marBottom w:val="0"/>
                              <w:divBdr>
                                <w:top w:val="none" w:sz="0" w:space="0" w:color="auto"/>
                                <w:left w:val="none" w:sz="0" w:space="0" w:color="auto"/>
                                <w:bottom w:val="none" w:sz="0" w:space="0" w:color="auto"/>
                                <w:right w:val="none" w:sz="0" w:space="0" w:color="auto"/>
                              </w:divBdr>
                              <w:divsChild>
                                <w:div w:id="128014463">
                                  <w:marLeft w:val="0"/>
                                  <w:marRight w:val="0"/>
                                  <w:marTop w:val="0"/>
                                  <w:marBottom w:val="0"/>
                                  <w:divBdr>
                                    <w:top w:val="none" w:sz="0" w:space="0" w:color="auto"/>
                                    <w:left w:val="none" w:sz="0" w:space="0" w:color="auto"/>
                                    <w:bottom w:val="none" w:sz="0" w:space="0" w:color="auto"/>
                                    <w:right w:val="none" w:sz="0" w:space="0" w:color="auto"/>
                                  </w:divBdr>
                                  <w:divsChild>
                                    <w:div w:id="491141161">
                                      <w:marLeft w:val="0"/>
                                      <w:marRight w:val="0"/>
                                      <w:marTop w:val="0"/>
                                      <w:marBottom w:val="0"/>
                                      <w:divBdr>
                                        <w:top w:val="none" w:sz="0" w:space="0" w:color="auto"/>
                                        <w:left w:val="none" w:sz="0" w:space="0" w:color="auto"/>
                                        <w:bottom w:val="none" w:sz="0" w:space="0" w:color="auto"/>
                                        <w:right w:val="none" w:sz="0" w:space="0" w:color="auto"/>
                                      </w:divBdr>
                                      <w:divsChild>
                                        <w:div w:id="314603609">
                                          <w:marLeft w:val="0"/>
                                          <w:marRight w:val="0"/>
                                          <w:marTop w:val="0"/>
                                          <w:marBottom w:val="0"/>
                                          <w:divBdr>
                                            <w:top w:val="none" w:sz="0" w:space="0" w:color="auto"/>
                                            <w:left w:val="none" w:sz="0" w:space="0" w:color="auto"/>
                                            <w:bottom w:val="none" w:sz="0" w:space="0" w:color="auto"/>
                                            <w:right w:val="none" w:sz="0" w:space="0" w:color="auto"/>
                                          </w:divBdr>
                                          <w:divsChild>
                                            <w:div w:id="327170516">
                                              <w:marLeft w:val="0"/>
                                              <w:marRight w:val="0"/>
                                              <w:marTop w:val="0"/>
                                              <w:marBottom w:val="0"/>
                                              <w:divBdr>
                                                <w:top w:val="none" w:sz="0" w:space="0" w:color="auto"/>
                                                <w:left w:val="none" w:sz="0" w:space="0" w:color="auto"/>
                                                <w:bottom w:val="none" w:sz="0" w:space="0" w:color="auto"/>
                                                <w:right w:val="none" w:sz="0" w:space="0" w:color="auto"/>
                                              </w:divBdr>
                                              <w:divsChild>
                                                <w:div w:id="1884440631">
                                                  <w:marLeft w:val="0"/>
                                                  <w:marRight w:val="0"/>
                                                  <w:marTop w:val="0"/>
                                                  <w:marBottom w:val="0"/>
                                                  <w:divBdr>
                                                    <w:top w:val="none" w:sz="0" w:space="0" w:color="auto"/>
                                                    <w:left w:val="none" w:sz="0" w:space="0" w:color="auto"/>
                                                    <w:bottom w:val="none" w:sz="0" w:space="0" w:color="auto"/>
                                                    <w:right w:val="none" w:sz="0" w:space="0" w:color="auto"/>
                                                  </w:divBdr>
                                                  <w:divsChild>
                                                    <w:div w:id="1094594796">
                                                      <w:marLeft w:val="0"/>
                                                      <w:marRight w:val="0"/>
                                                      <w:marTop w:val="0"/>
                                                      <w:marBottom w:val="0"/>
                                                      <w:divBdr>
                                                        <w:top w:val="none" w:sz="0" w:space="0" w:color="auto"/>
                                                        <w:left w:val="none" w:sz="0" w:space="0" w:color="auto"/>
                                                        <w:bottom w:val="none" w:sz="0" w:space="0" w:color="auto"/>
                                                        <w:right w:val="none" w:sz="0" w:space="0" w:color="auto"/>
                                                      </w:divBdr>
                                                      <w:divsChild>
                                                        <w:div w:id="55065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9159277">
      <w:bodyDiv w:val="1"/>
      <w:marLeft w:val="0"/>
      <w:marRight w:val="0"/>
      <w:marTop w:val="0"/>
      <w:marBottom w:val="0"/>
      <w:divBdr>
        <w:top w:val="none" w:sz="0" w:space="0" w:color="auto"/>
        <w:left w:val="none" w:sz="0" w:space="0" w:color="auto"/>
        <w:bottom w:val="none" w:sz="0" w:space="0" w:color="auto"/>
        <w:right w:val="none" w:sz="0" w:space="0" w:color="auto"/>
      </w:divBdr>
    </w:div>
    <w:div w:id="411972345">
      <w:bodyDiv w:val="1"/>
      <w:marLeft w:val="0"/>
      <w:marRight w:val="0"/>
      <w:marTop w:val="0"/>
      <w:marBottom w:val="0"/>
      <w:divBdr>
        <w:top w:val="none" w:sz="0" w:space="0" w:color="auto"/>
        <w:left w:val="none" w:sz="0" w:space="0" w:color="auto"/>
        <w:bottom w:val="none" w:sz="0" w:space="0" w:color="auto"/>
        <w:right w:val="none" w:sz="0" w:space="0" w:color="auto"/>
      </w:divBdr>
    </w:div>
    <w:div w:id="438257794">
      <w:bodyDiv w:val="1"/>
      <w:marLeft w:val="0"/>
      <w:marRight w:val="0"/>
      <w:marTop w:val="0"/>
      <w:marBottom w:val="0"/>
      <w:divBdr>
        <w:top w:val="none" w:sz="0" w:space="0" w:color="auto"/>
        <w:left w:val="none" w:sz="0" w:space="0" w:color="auto"/>
        <w:bottom w:val="none" w:sz="0" w:space="0" w:color="auto"/>
        <w:right w:val="none" w:sz="0" w:space="0" w:color="auto"/>
      </w:divBdr>
    </w:div>
    <w:div w:id="450781602">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13881330">
      <w:bodyDiv w:val="1"/>
      <w:marLeft w:val="0"/>
      <w:marRight w:val="0"/>
      <w:marTop w:val="0"/>
      <w:marBottom w:val="0"/>
      <w:divBdr>
        <w:top w:val="none" w:sz="0" w:space="0" w:color="auto"/>
        <w:left w:val="none" w:sz="0" w:space="0" w:color="auto"/>
        <w:bottom w:val="none" w:sz="0" w:space="0" w:color="auto"/>
        <w:right w:val="none" w:sz="0" w:space="0" w:color="auto"/>
      </w:divBdr>
    </w:div>
    <w:div w:id="520239193">
      <w:bodyDiv w:val="1"/>
      <w:marLeft w:val="0"/>
      <w:marRight w:val="0"/>
      <w:marTop w:val="0"/>
      <w:marBottom w:val="0"/>
      <w:divBdr>
        <w:top w:val="none" w:sz="0" w:space="0" w:color="auto"/>
        <w:left w:val="none" w:sz="0" w:space="0" w:color="auto"/>
        <w:bottom w:val="none" w:sz="0" w:space="0" w:color="auto"/>
        <w:right w:val="none" w:sz="0" w:space="0" w:color="auto"/>
      </w:divBdr>
    </w:div>
    <w:div w:id="579097585">
      <w:bodyDiv w:val="1"/>
      <w:marLeft w:val="0"/>
      <w:marRight w:val="0"/>
      <w:marTop w:val="0"/>
      <w:marBottom w:val="0"/>
      <w:divBdr>
        <w:top w:val="none" w:sz="0" w:space="0" w:color="auto"/>
        <w:left w:val="none" w:sz="0" w:space="0" w:color="auto"/>
        <w:bottom w:val="none" w:sz="0" w:space="0" w:color="auto"/>
        <w:right w:val="none" w:sz="0" w:space="0" w:color="auto"/>
      </w:divBdr>
    </w:div>
    <w:div w:id="590433672">
      <w:bodyDiv w:val="1"/>
      <w:marLeft w:val="0"/>
      <w:marRight w:val="0"/>
      <w:marTop w:val="0"/>
      <w:marBottom w:val="0"/>
      <w:divBdr>
        <w:top w:val="none" w:sz="0" w:space="0" w:color="auto"/>
        <w:left w:val="none" w:sz="0" w:space="0" w:color="auto"/>
        <w:bottom w:val="none" w:sz="0" w:space="0" w:color="auto"/>
        <w:right w:val="none" w:sz="0" w:space="0" w:color="auto"/>
      </w:divBdr>
    </w:div>
    <w:div w:id="591939012">
      <w:bodyDiv w:val="1"/>
      <w:marLeft w:val="0"/>
      <w:marRight w:val="0"/>
      <w:marTop w:val="0"/>
      <w:marBottom w:val="0"/>
      <w:divBdr>
        <w:top w:val="none" w:sz="0" w:space="0" w:color="auto"/>
        <w:left w:val="none" w:sz="0" w:space="0" w:color="auto"/>
        <w:bottom w:val="none" w:sz="0" w:space="0" w:color="auto"/>
        <w:right w:val="none" w:sz="0" w:space="0" w:color="auto"/>
      </w:divBdr>
    </w:div>
    <w:div w:id="592058023">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01305977">
      <w:bodyDiv w:val="1"/>
      <w:marLeft w:val="0"/>
      <w:marRight w:val="0"/>
      <w:marTop w:val="0"/>
      <w:marBottom w:val="0"/>
      <w:divBdr>
        <w:top w:val="none" w:sz="0" w:space="0" w:color="auto"/>
        <w:left w:val="none" w:sz="0" w:space="0" w:color="auto"/>
        <w:bottom w:val="none" w:sz="0" w:space="0" w:color="auto"/>
        <w:right w:val="none" w:sz="0" w:space="0" w:color="auto"/>
      </w:divBdr>
      <w:divsChild>
        <w:div w:id="2043358796">
          <w:marLeft w:val="0"/>
          <w:marRight w:val="0"/>
          <w:marTop w:val="0"/>
          <w:marBottom w:val="0"/>
          <w:divBdr>
            <w:top w:val="none" w:sz="0" w:space="0" w:color="auto"/>
            <w:left w:val="none" w:sz="0" w:space="0" w:color="auto"/>
            <w:bottom w:val="none" w:sz="0" w:space="0" w:color="auto"/>
            <w:right w:val="none" w:sz="0" w:space="0" w:color="auto"/>
          </w:divBdr>
          <w:divsChild>
            <w:div w:id="979920066">
              <w:marLeft w:val="0"/>
              <w:marRight w:val="0"/>
              <w:marTop w:val="0"/>
              <w:marBottom w:val="0"/>
              <w:divBdr>
                <w:top w:val="none" w:sz="0" w:space="0" w:color="auto"/>
                <w:left w:val="none" w:sz="0" w:space="0" w:color="auto"/>
                <w:bottom w:val="none" w:sz="0" w:space="0" w:color="auto"/>
                <w:right w:val="none" w:sz="0" w:space="0" w:color="auto"/>
              </w:divBdr>
              <w:divsChild>
                <w:div w:id="1730225433">
                  <w:marLeft w:val="107"/>
                  <w:marRight w:val="107"/>
                  <w:marTop w:val="0"/>
                  <w:marBottom w:val="0"/>
                  <w:divBdr>
                    <w:top w:val="none" w:sz="0" w:space="0" w:color="auto"/>
                    <w:left w:val="none" w:sz="0" w:space="0" w:color="auto"/>
                    <w:bottom w:val="none" w:sz="0" w:space="0" w:color="auto"/>
                    <w:right w:val="none" w:sz="0" w:space="0" w:color="auto"/>
                  </w:divBdr>
                  <w:divsChild>
                    <w:div w:id="707409646">
                      <w:marLeft w:val="0"/>
                      <w:marRight w:val="0"/>
                      <w:marTop w:val="0"/>
                      <w:marBottom w:val="0"/>
                      <w:divBdr>
                        <w:top w:val="none" w:sz="0" w:space="0" w:color="auto"/>
                        <w:left w:val="none" w:sz="0" w:space="0" w:color="auto"/>
                        <w:bottom w:val="none" w:sz="0" w:space="0" w:color="auto"/>
                        <w:right w:val="none" w:sz="0" w:space="0" w:color="auto"/>
                      </w:divBdr>
                      <w:divsChild>
                        <w:div w:id="1218055747">
                          <w:marLeft w:val="0"/>
                          <w:marRight w:val="0"/>
                          <w:marTop w:val="0"/>
                          <w:marBottom w:val="0"/>
                          <w:divBdr>
                            <w:top w:val="none" w:sz="0" w:space="0" w:color="auto"/>
                            <w:left w:val="none" w:sz="0" w:space="0" w:color="auto"/>
                            <w:bottom w:val="none" w:sz="0" w:space="0" w:color="auto"/>
                            <w:right w:val="none" w:sz="0" w:space="0" w:color="auto"/>
                          </w:divBdr>
                          <w:divsChild>
                            <w:div w:id="1254512011">
                              <w:marLeft w:val="0"/>
                              <w:marRight w:val="0"/>
                              <w:marTop w:val="0"/>
                              <w:marBottom w:val="0"/>
                              <w:divBdr>
                                <w:top w:val="none" w:sz="0" w:space="0" w:color="auto"/>
                                <w:left w:val="none" w:sz="0" w:space="0" w:color="auto"/>
                                <w:bottom w:val="none" w:sz="0" w:space="0" w:color="auto"/>
                                <w:right w:val="none" w:sz="0" w:space="0" w:color="auto"/>
                              </w:divBdr>
                              <w:divsChild>
                                <w:div w:id="1581867694">
                                  <w:marLeft w:val="0"/>
                                  <w:marRight w:val="0"/>
                                  <w:marTop w:val="0"/>
                                  <w:marBottom w:val="0"/>
                                  <w:divBdr>
                                    <w:top w:val="none" w:sz="0" w:space="0" w:color="auto"/>
                                    <w:left w:val="none" w:sz="0" w:space="0" w:color="auto"/>
                                    <w:bottom w:val="none" w:sz="0" w:space="0" w:color="auto"/>
                                    <w:right w:val="none" w:sz="0" w:space="0" w:color="auto"/>
                                  </w:divBdr>
                                  <w:divsChild>
                                    <w:div w:id="1011226171">
                                      <w:marLeft w:val="0"/>
                                      <w:marRight w:val="0"/>
                                      <w:marTop w:val="0"/>
                                      <w:marBottom w:val="0"/>
                                      <w:divBdr>
                                        <w:top w:val="none" w:sz="0" w:space="0" w:color="auto"/>
                                        <w:left w:val="none" w:sz="0" w:space="0" w:color="auto"/>
                                        <w:bottom w:val="none" w:sz="0" w:space="0" w:color="auto"/>
                                        <w:right w:val="none" w:sz="0" w:space="0" w:color="auto"/>
                                      </w:divBdr>
                                      <w:divsChild>
                                        <w:div w:id="272909635">
                                          <w:marLeft w:val="0"/>
                                          <w:marRight w:val="0"/>
                                          <w:marTop w:val="0"/>
                                          <w:marBottom w:val="0"/>
                                          <w:divBdr>
                                            <w:top w:val="none" w:sz="0" w:space="0" w:color="auto"/>
                                            <w:left w:val="none" w:sz="0" w:space="0" w:color="auto"/>
                                            <w:bottom w:val="none" w:sz="0" w:space="0" w:color="auto"/>
                                            <w:right w:val="none" w:sz="0" w:space="0" w:color="auto"/>
                                          </w:divBdr>
                                          <w:divsChild>
                                            <w:div w:id="2003850523">
                                              <w:marLeft w:val="0"/>
                                              <w:marRight w:val="0"/>
                                              <w:marTop w:val="0"/>
                                              <w:marBottom w:val="0"/>
                                              <w:divBdr>
                                                <w:top w:val="none" w:sz="0" w:space="0" w:color="auto"/>
                                                <w:left w:val="none" w:sz="0" w:space="0" w:color="auto"/>
                                                <w:bottom w:val="none" w:sz="0" w:space="0" w:color="auto"/>
                                                <w:right w:val="none" w:sz="0" w:space="0" w:color="auto"/>
                                              </w:divBdr>
                                              <w:divsChild>
                                                <w:div w:id="318113989">
                                                  <w:marLeft w:val="0"/>
                                                  <w:marRight w:val="0"/>
                                                  <w:marTop w:val="0"/>
                                                  <w:marBottom w:val="0"/>
                                                  <w:divBdr>
                                                    <w:top w:val="none" w:sz="0" w:space="0" w:color="auto"/>
                                                    <w:left w:val="none" w:sz="0" w:space="0" w:color="auto"/>
                                                    <w:bottom w:val="none" w:sz="0" w:space="0" w:color="auto"/>
                                                    <w:right w:val="none" w:sz="0" w:space="0" w:color="auto"/>
                                                  </w:divBdr>
                                                  <w:divsChild>
                                                    <w:div w:id="550338269">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40577124">
      <w:bodyDiv w:val="1"/>
      <w:marLeft w:val="0"/>
      <w:marRight w:val="0"/>
      <w:marTop w:val="0"/>
      <w:marBottom w:val="0"/>
      <w:divBdr>
        <w:top w:val="none" w:sz="0" w:space="0" w:color="auto"/>
        <w:left w:val="none" w:sz="0" w:space="0" w:color="auto"/>
        <w:bottom w:val="none" w:sz="0" w:space="0" w:color="auto"/>
        <w:right w:val="none" w:sz="0" w:space="0" w:color="auto"/>
      </w:divBdr>
    </w:div>
    <w:div w:id="659845856">
      <w:bodyDiv w:val="1"/>
      <w:marLeft w:val="0"/>
      <w:marRight w:val="0"/>
      <w:marTop w:val="0"/>
      <w:marBottom w:val="0"/>
      <w:divBdr>
        <w:top w:val="none" w:sz="0" w:space="0" w:color="auto"/>
        <w:left w:val="none" w:sz="0" w:space="0" w:color="auto"/>
        <w:bottom w:val="none" w:sz="0" w:space="0" w:color="auto"/>
        <w:right w:val="none" w:sz="0" w:space="0" w:color="auto"/>
      </w:divBdr>
      <w:divsChild>
        <w:div w:id="1458455404">
          <w:marLeft w:val="0"/>
          <w:marRight w:val="0"/>
          <w:marTop w:val="0"/>
          <w:marBottom w:val="0"/>
          <w:divBdr>
            <w:top w:val="none" w:sz="0" w:space="0" w:color="auto"/>
            <w:left w:val="none" w:sz="0" w:space="0" w:color="auto"/>
            <w:bottom w:val="none" w:sz="0" w:space="0" w:color="auto"/>
            <w:right w:val="none" w:sz="0" w:space="0" w:color="auto"/>
          </w:divBdr>
          <w:divsChild>
            <w:div w:id="853954147">
              <w:marLeft w:val="0"/>
              <w:marRight w:val="0"/>
              <w:marTop w:val="0"/>
              <w:marBottom w:val="0"/>
              <w:divBdr>
                <w:top w:val="none" w:sz="0" w:space="0" w:color="auto"/>
                <w:left w:val="none" w:sz="0" w:space="0" w:color="auto"/>
                <w:bottom w:val="none" w:sz="0" w:space="0" w:color="auto"/>
                <w:right w:val="none" w:sz="0" w:space="0" w:color="auto"/>
              </w:divBdr>
              <w:divsChild>
                <w:div w:id="1593735291">
                  <w:marLeft w:val="107"/>
                  <w:marRight w:val="107"/>
                  <w:marTop w:val="0"/>
                  <w:marBottom w:val="0"/>
                  <w:divBdr>
                    <w:top w:val="none" w:sz="0" w:space="0" w:color="auto"/>
                    <w:left w:val="none" w:sz="0" w:space="0" w:color="auto"/>
                    <w:bottom w:val="none" w:sz="0" w:space="0" w:color="auto"/>
                    <w:right w:val="none" w:sz="0" w:space="0" w:color="auto"/>
                  </w:divBdr>
                  <w:divsChild>
                    <w:div w:id="102263941">
                      <w:marLeft w:val="0"/>
                      <w:marRight w:val="0"/>
                      <w:marTop w:val="0"/>
                      <w:marBottom w:val="0"/>
                      <w:divBdr>
                        <w:top w:val="none" w:sz="0" w:space="0" w:color="auto"/>
                        <w:left w:val="none" w:sz="0" w:space="0" w:color="auto"/>
                        <w:bottom w:val="none" w:sz="0" w:space="0" w:color="auto"/>
                        <w:right w:val="none" w:sz="0" w:space="0" w:color="auto"/>
                      </w:divBdr>
                      <w:divsChild>
                        <w:div w:id="230624861">
                          <w:marLeft w:val="0"/>
                          <w:marRight w:val="0"/>
                          <w:marTop w:val="0"/>
                          <w:marBottom w:val="0"/>
                          <w:divBdr>
                            <w:top w:val="none" w:sz="0" w:space="0" w:color="auto"/>
                            <w:left w:val="none" w:sz="0" w:space="0" w:color="auto"/>
                            <w:bottom w:val="none" w:sz="0" w:space="0" w:color="auto"/>
                            <w:right w:val="none" w:sz="0" w:space="0" w:color="auto"/>
                          </w:divBdr>
                          <w:divsChild>
                            <w:div w:id="1560746243">
                              <w:marLeft w:val="0"/>
                              <w:marRight w:val="0"/>
                              <w:marTop w:val="0"/>
                              <w:marBottom w:val="0"/>
                              <w:divBdr>
                                <w:top w:val="none" w:sz="0" w:space="0" w:color="auto"/>
                                <w:left w:val="none" w:sz="0" w:space="0" w:color="auto"/>
                                <w:bottom w:val="none" w:sz="0" w:space="0" w:color="auto"/>
                                <w:right w:val="none" w:sz="0" w:space="0" w:color="auto"/>
                              </w:divBdr>
                              <w:divsChild>
                                <w:div w:id="186875128">
                                  <w:marLeft w:val="0"/>
                                  <w:marRight w:val="0"/>
                                  <w:marTop w:val="0"/>
                                  <w:marBottom w:val="0"/>
                                  <w:divBdr>
                                    <w:top w:val="none" w:sz="0" w:space="0" w:color="auto"/>
                                    <w:left w:val="none" w:sz="0" w:space="0" w:color="auto"/>
                                    <w:bottom w:val="none" w:sz="0" w:space="0" w:color="auto"/>
                                    <w:right w:val="none" w:sz="0" w:space="0" w:color="auto"/>
                                  </w:divBdr>
                                  <w:divsChild>
                                    <w:div w:id="922689238">
                                      <w:marLeft w:val="0"/>
                                      <w:marRight w:val="0"/>
                                      <w:marTop w:val="0"/>
                                      <w:marBottom w:val="0"/>
                                      <w:divBdr>
                                        <w:top w:val="none" w:sz="0" w:space="0" w:color="auto"/>
                                        <w:left w:val="none" w:sz="0" w:space="0" w:color="auto"/>
                                        <w:bottom w:val="none" w:sz="0" w:space="0" w:color="auto"/>
                                        <w:right w:val="none" w:sz="0" w:space="0" w:color="auto"/>
                                      </w:divBdr>
                                      <w:divsChild>
                                        <w:div w:id="162934342">
                                          <w:marLeft w:val="0"/>
                                          <w:marRight w:val="0"/>
                                          <w:marTop w:val="0"/>
                                          <w:marBottom w:val="0"/>
                                          <w:divBdr>
                                            <w:top w:val="none" w:sz="0" w:space="0" w:color="auto"/>
                                            <w:left w:val="none" w:sz="0" w:space="0" w:color="auto"/>
                                            <w:bottom w:val="none" w:sz="0" w:space="0" w:color="auto"/>
                                            <w:right w:val="none" w:sz="0" w:space="0" w:color="auto"/>
                                          </w:divBdr>
                                          <w:divsChild>
                                            <w:div w:id="1183394542">
                                              <w:marLeft w:val="0"/>
                                              <w:marRight w:val="0"/>
                                              <w:marTop w:val="0"/>
                                              <w:marBottom w:val="0"/>
                                              <w:divBdr>
                                                <w:top w:val="none" w:sz="0" w:space="0" w:color="auto"/>
                                                <w:left w:val="none" w:sz="0" w:space="0" w:color="auto"/>
                                                <w:bottom w:val="none" w:sz="0" w:space="0" w:color="auto"/>
                                                <w:right w:val="none" w:sz="0" w:space="0" w:color="auto"/>
                                              </w:divBdr>
                                              <w:divsChild>
                                                <w:div w:id="1097675454">
                                                  <w:marLeft w:val="0"/>
                                                  <w:marRight w:val="0"/>
                                                  <w:marTop w:val="0"/>
                                                  <w:marBottom w:val="0"/>
                                                  <w:divBdr>
                                                    <w:top w:val="none" w:sz="0" w:space="0" w:color="auto"/>
                                                    <w:left w:val="none" w:sz="0" w:space="0" w:color="auto"/>
                                                    <w:bottom w:val="none" w:sz="0" w:space="0" w:color="auto"/>
                                                    <w:right w:val="none" w:sz="0" w:space="0" w:color="auto"/>
                                                  </w:divBdr>
                                                  <w:divsChild>
                                                    <w:div w:id="854684371">
                                                      <w:marLeft w:val="0"/>
                                                      <w:marRight w:val="0"/>
                                                      <w:marTop w:val="0"/>
                                                      <w:marBottom w:val="0"/>
                                                      <w:divBdr>
                                                        <w:top w:val="none" w:sz="0" w:space="0" w:color="auto"/>
                                                        <w:left w:val="none" w:sz="0" w:space="0" w:color="auto"/>
                                                        <w:bottom w:val="none" w:sz="0" w:space="0" w:color="auto"/>
                                                        <w:right w:val="none" w:sz="0" w:space="0" w:color="auto"/>
                                                      </w:divBdr>
                                                      <w:divsChild>
                                                        <w:div w:id="148373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76349116">
      <w:bodyDiv w:val="1"/>
      <w:marLeft w:val="0"/>
      <w:marRight w:val="0"/>
      <w:marTop w:val="0"/>
      <w:marBottom w:val="0"/>
      <w:divBdr>
        <w:top w:val="none" w:sz="0" w:space="0" w:color="auto"/>
        <w:left w:val="none" w:sz="0" w:space="0" w:color="auto"/>
        <w:bottom w:val="none" w:sz="0" w:space="0" w:color="auto"/>
        <w:right w:val="none" w:sz="0" w:space="0" w:color="auto"/>
      </w:divBdr>
    </w:div>
    <w:div w:id="684794929">
      <w:bodyDiv w:val="1"/>
      <w:marLeft w:val="0"/>
      <w:marRight w:val="0"/>
      <w:marTop w:val="0"/>
      <w:marBottom w:val="0"/>
      <w:divBdr>
        <w:top w:val="none" w:sz="0" w:space="0" w:color="auto"/>
        <w:left w:val="none" w:sz="0" w:space="0" w:color="auto"/>
        <w:bottom w:val="none" w:sz="0" w:space="0" w:color="auto"/>
        <w:right w:val="none" w:sz="0" w:space="0" w:color="auto"/>
      </w:divBdr>
    </w:div>
    <w:div w:id="744032436">
      <w:bodyDiv w:val="1"/>
      <w:marLeft w:val="0"/>
      <w:marRight w:val="0"/>
      <w:marTop w:val="0"/>
      <w:marBottom w:val="0"/>
      <w:divBdr>
        <w:top w:val="none" w:sz="0" w:space="0" w:color="auto"/>
        <w:left w:val="none" w:sz="0" w:space="0" w:color="auto"/>
        <w:bottom w:val="none" w:sz="0" w:space="0" w:color="auto"/>
        <w:right w:val="none" w:sz="0" w:space="0" w:color="auto"/>
      </w:divBdr>
    </w:div>
    <w:div w:id="750662747">
      <w:bodyDiv w:val="1"/>
      <w:marLeft w:val="0"/>
      <w:marRight w:val="0"/>
      <w:marTop w:val="0"/>
      <w:marBottom w:val="0"/>
      <w:divBdr>
        <w:top w:val="none" w:sz="0" w:space="0" w:color="auto"/>
        <w:left w:val="none" w:sz="0" w:space="0" w:color="auto"/>
        <w:bottom w:val="none" w:sz="0" w:space="0" w:color="auto"/>
        <w:right w:val="none" w:sz="0" w:space="0" w:color="auto"/>
      </w:divBdr>
    </w:div>
    <w:div w:id="754127549">
      <w:bodyDiv w:val="1"/>
      <w:marLeft w:val="0"/>
      <w:marRight w:val="0"/>
      <w:marTop w:val="0"/>
      <w:marBottom w:val="0"/>
      <w:divBdr>
        <w:top w:val="none" w:sz="0" w:space="0" w:color="auto"/>
        <w:left w:val="none" w:sz="0" w:space="0" w:color="auto"/>
        <w:bottom w:val="none" w:sz="0" w:space="0" w:color="auto"/>
        <w:right w:val="none" w:sz="0" w:space="0" w:color="auto"/>
      </w:divBdr>
    </w:div>
    <w:div w:id="782501583">
      <w:bodyDiv w:val="1"/>
      <w:marLeft w:val="0"/>
      <w:marRight w:val="0"/>
      <w:marTop w:val="0"/>
      <w:marBottom w:val="0"/>
      <w:divBdr>
        <w:top w:val="none" w:sz="0" w:space="0" w:color="auto"/>
        <w:left w:val="none" w:sz="0" w:space="0" w:color="auto"/>
        <w:bottom w:val="none" w:sz="0" w:space="0" w:color="auto"/>
        <w:right w:val="none" w:sz="0" w:space="0" w:color="auto"/>
      </w:divBdr>
    </w:div>
    <w:div w:id="788742222">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52643857">
      <w:bodyDiv w:val="1"/>
      <w:marLeft w:val="0"/>
      <w:marRight w:val="0"/>
      <w:marTop w:val="0"/>
      <w:marBottom w:val="0"/>
      <w:divBdr>
        <w:top w:val="none" w:sz="0" w:space="0" w:color="auto"/>
        <w:left w:val="none" w:sz="0" w:space="0" w:color="auto"/>
        <w:bottom w:val="none" w:sz="0" w:space="0" w:color="auto"/>
        <w:right w:val="none" w:sz="0" w:space="0" w:color="auto"/>
      </w:divBdr>
    </w:div>
    <w:div w:id="861435130">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65947731">
      <w:bodyDiv w:val="1"/>
      <w:marLeft w:val="0"/>
      <w:marRight w:val="0"/>
      <w:marTop w:val="0"/>
      <w:marBottom w:val="0"/>
      <w:divBdr>
        <w:top w:val="none" w:sz="0" w:space="0" w:color="auto"/>
        <w:left w:val="none" w:sz="0" w:space="0" w:color="auto"/>
        <w:bottom w:val="none" w:sz="0" w:space="0" w:color="auto"/>
        <w:right w:val="none" w:sz="0" w:space="0" w:color="auto"/>
      </w:divBdr>
    </w:div>
    <w:div w:id="866212374">
      <w:bodyDiv w:val="1"/>
      <w:marLeft w:val="0"/>
      <w:marRight w:val="0"/>
      <w:marTop w:val="0"/>
      <w:marBottom w:val="0"/>
      <w:divBdr>
        <w:top w:val="none" w:sz="0" w:space="0" w:color="auto"/>
        <w:left w:val="none" w:sz="0" w:space="0" w:color="auto"/>
        <w:bottom w:val="none" w:sz="0" w:space="0" w:color="auto"/>
        <w:right w:val="none" w:sz="0" w:space="0" w:color="auto"/>
      </w:divBdr>
    </w:div>
    <w:div w:id="888807871">
      <w:bodyDiv w:val="1"/>
      <w:marLeft w:val="0"/>
      <w:marRight w:val="0"/>
      <w:marTop w:val="0"/>
      <w:marBottom w:val="0"/>
      <w:divBdr>
        <w:top w:val="none" w:sz="0" w:space="0" w:color="auto"/>
        <w:left w:val="none" w:sz="0" w:space="0" w:color="auto"/>
        <w:bottom w:val="none" w:sz="0" w:space="0" w:color="auto"/>
        <w:right w:val="none" w:sz="0" w:space="0" w:color="auto"/>
      </w:divBdr>
    </w:div>
    <w:div w:id="899243466">
      <w:bodyDiv w:val="1"/>
      <w:marLeft w:val="0"/>
      <w:marRight w:val="0"/>
      <w:marTop w:val="0"/>
      <w:marBottom w:val="0"/>
      <w:divBdr>
        <w:top w:val="none" w:sz="0" w:space="0" w:color="auto"/>
        <w:left w:val="none" w:sz="0" w:space="0" w:color="auto"/>
        <w:bottom w:val="none" w:sz="0" w:space="0" w:color="auto"/>
        <w:right w:val="none" w:sz="0" w:space="0" w:color="auto"/>
      </w:divBdr>
      <w:divsChild>
        <w:div w:id="786125858">
          <w:marLeft w:val="0"/>
          <w:marRight w:val="0"/>
          <w:marTop w:val="0"/>
          <w:marBottom w:val="0"/>
          <w:divBdr>
            <w:top w:val="none" w:sz="0" w:space="0" w:color="auto"/>
            <w:left w:val="none" w:sz="0" w:space="0" w:color="auto"/>
            <w:bottom w:val="none" w:sz="0" w:space="0" w:color="auto"/>
            <w:right w:val="none" w:sz="0" w:space="0" w:color="auto"/>
          </w:divBdr>
          <w:divsChild>
            <w:div w:id="1599942527">
              <w:marLeft w:val="0"/>
              <w:marRight w:val="0"/>
              <w:marTop w:val="0"/>
              <w:marBottom w:val="0"/>
              <w:divBdr>
                <w:top w:val="none" w:sz="0" w:space="0" w:color="auto"/>
                <w:left w:val="none" w:sz="0" w:space="0" w:color="auto"/>
                <w:bottom w:val="none" w:sz="0" w:space="0" w:color="auto"/>
                <w:right w:val="none" w:sz="0" w:space="0" w:color="auto"/>
              </w:divBdr>
              <w:divsChild>
                <w:div w:id="1702169703">
                  <w:marLeft w:val="107"/>
                  <w:marRight w:val="107"/>
                  <w:marTop w:val="0"/>
                  <w:marBottom w:val="0"/>
                  <w:divBdr>
                    <w:top w:val="none" w:sz="0" w:space="0" w:color="auto"/>
                    <w:left w:val="none" w:sz="0" w:space="0" w:color="auto"/>
                    <w:bottom w:val="none" w:sz="0" w:space="0" w:color="auto"/>
                    <w:right w:val="none" w:sz="0" w:space="0" w:color="auto"/>
                  </w:divBdr>
                  <w:divsChild>
                    <w:div w:id="670762410">
                      <w:marLeft w:val="0"/>
                      <w:marRight w:val="0"/>
                      <w:marTop w:val="0"/>
                      <w:marBottom w:val="0"/>
                      <w:divBdr>
                        <w:top w:val="none" w:sz="0" w:space="0" w:color="auto"/>
                        <w:left w:val="none" w:sz="0" w:space="0" w:color="auto"/>
                        <w:bottom w:val="none" w:sz="0" w:space="0" w:color="auto"/>
                        <w:right w:val="none" w:sz="0" w:space="0" w:color="auto"/>
                      </w:divBdr>
                      <w:divsChild>
                        <w:div w:id="1604872787">
                          <w:marLeft w:val="0"/>
                          <w:marRight w:val="0"/>
                          <w:marTop w:val="0"/>
                          <w:marBottom w:val="0"/>
                          <w:divBdr>
                            <w:top w:val="none" w:sz="0" w:space="0" w:color="auto"/>
                            <w:left w:val="none" w:sz="0" w:space="0" w:color="auto"/>
                            <w:bottom w:val="none" w:sz="0" w:space="0" w:color="auto"/>
                            <w:right w:val="none" w:sz="0" w:space="0" w:color="auto"/>
                          </w:divBdr>
                          <w:divsChild>
                            <w:div w:id="1595094339">
                              <w:marLeft w:val="0"/>
                              <w:marRight w:val="0"/>
                              <w:marTop w:val="0"/>
                              <w:marBottom w:val="0"/>
                              <w:divBdr>
                                <w:top w:val="none" w:sz="0" w:space="0" w:color="auto"/>
                                <w:left w:val="none" w:sz="0" w:space="0" w:color="auto"/>
                                <w:bottom w:val="none" w:sz="0" w:space="0" w:color="auto"/>
                                <w:right w:val="none" w:sz="0" w:space="0" w:color="auto"/>
                              </w:divBdr>
                              <w:divsChild>
                                <w:div w:id="1211453098">
                                  <w:marLeft w:val="0"/>
                                  <w:marRight w:val="0"/>
                                  <w:marTop w:val="0"/>
                                  <w:marBottom w:val="0"/>
                                  <w:divBdr>
                                    <w:top w:val="none" w:sz="0" w:space="0" w:color="auto"/>
                                    <w:left w:val="none" w:sz="0" w:space="0" w:color="auto"/>
                                    <w:bottom w:val="none" w:sz="0" w:space="0" w:color="auto"/>
                                    <w:right w:val="none" w:sz="0" w:space="0" w:color="auto"/>
                                  </w:divBdr>
                                  <w:divsChild>
                                    <w:div w:id="842209066">
                                      <w:marLeft w:val="0"/>
                                      <w:marRight w:val="0"/>
                                      <w:marTop w:val="0"/>
                                      <w:marBottom w:val="0"/>
                                      <w:divBdr>
                                        <w:top w:val="none" w:sz="0" w:space="0" w:color="auto"/>
                                        <w:left w:val="none" w:sz="0" w:space="0" w:color="auto"/>
                                        <w:bottom w:val="none" w:sz="0" w:space="0" w:color="auto"/>
                                        <w:right w:val="none" w:sz="0" w:space="0" w:color="auto"/>
                                      </w:divBdr>
                                      <w:divsChild>
                                        <w:div w:id="362901506">
                                          <w:marLeft w:val="0"/>
                                          <w:marRight w:val="0"/>
                                          <w:marTop w:val="0"/>
                                          <w:marBottom w:val="0"/>
                                          <w:divBdr>
                                            <w:top w:val="none" w:sz="0" w:space="0" w:color="auto"/>
                                            <w:left w:val="none" w:sz="0" w:space="0" w:color="auto"/>
                                            <w:bottom w:val="none" w:sz="0" w:space="0" w:color="auto"/>
                                            <w:right w:val="none" w:sz="0" w:space="0" w:color="auto"/>
                                          </w:divBdr>
                                          <w:divsChild>
                                            <w:div w:id="633289035">
                                              <w:marLeft w:val="0"/>
                                              <w:marRight w:val="0"/>
                                              <w:marTop w:val="0"/>
                                              <w:marBottom w:val="0"/>
                                              <w:divBdr>
                                                <w:top w:val="none" w:sz="0" w:space="0" w:color="auto"/>
                                                <w:left w:val="none" w:sz="0" w:space="0" w:color="auto"/>
                                                <w:bottom w:val="none" w:sz="0" w:space="0" w:color="auto"/>
                                                <w:right w:val="none" w:sz="0" w:space="0" w:color="auto"/>
                                              </w:divBdr>
                                              <w:divsChild>
                                                <w:div w:id="1142969474">
                                                  <w:marLeft w:val="0"/>
                                                  <w:marRight w:val="0"/>
                                                  <w:marTop w:val="0"/>
                                                  <w:marBottom w:val="0"/>
                                                  <w:divBdr>
                                                    <w:top w:val="none" w:sz="0" w:space="0" w:color="auto"/>
                                                    <w:left w:val="none" w:sz="0" w:space="0" w:color="auto"/>
                                                    <w:bottom w:val="none" w:sz="0" w:space="0" w:color="auto"/>
                                                    <w:right w:val="none" w:sz="0" w:space="0" w:color="auto"/>
                                                  </w:divBdr>
                                                  <w:divsChild>
                                                    <w:div w:id="1944994706">
                                                      <w:marLeft w:val="0"/>
                                                      <w:marRight w:val="0"/>
                                                      <w:marTop w:val="0"/>
                                                      <w:marBottom w:val="0"/>
                                                      <w:divBdr>
                                                        <w:top w:val="none" w:sz="0" w:space="0" w:color="auto"/>
                                                        <w:left w:val="none" w:sz="0" w:space="0" w:color="auto"/>
                                                        <w:bottom w:val="none" w:sz="0" w:space="0" w:color="auto"/>
                                                        <w:right w:val="none" w:sz="0" w:space="0" w:color="auto"/>
                                                      </w:divBdr>
                                                      <w:divsChild>
                                                        <w:div w:id="213012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18641610">
      <w:bodyDiv w:val="1"/>
      <w:marLeft w:val="0"/>
      <w:marRight w:val="0"/>
      <w:marTop w:val="0"/>
      <w:marBottom w:val="0"/>
      <w:divBdr>
        <w:top w:val="none" w:sz="0" w:space="0" w:color="auto"/>
        <w:left w:val="none" w:sz="0" w:space="0" w:color="auto"/>
        <w:bottom w:val="none" w:sz="0" w:space="0" w:color="auto"/>
        <w:right w:val="none" w:sz="0" w:space="0" w:color="auto"/>
      </w:divBdr>
    </w:div>
    <w:div w:id="932661661">
      <w:bodyDiv w:val="1"/>
      <w:marLeft w:val="0"/>
      <w:marRight w:val="0"/>
      <w:marTop w:val="0"/>
      <w:marBottom w:val="0"/>
      <w:divBdr>
        <w:top w:val="none" w:sz="0" w:space="0" w:color="auto"/>
        <w:left w:val="none" w:sz="0" w:space="0" w:color="auto"/>
        <w:bottom w:val="none" w:sz="0" w:space="0" w:color="auto"/>
        <w:right w:val="none" w:sz="0" w:space="0" w:color="auto"/>
      </w:divBdr>
    </w:div>
    <w:div w:id="969894624">
      <w:bodyDiv w:val="1"/>
      <w:marLeft w:val="0"/>
      <w:marRight w:val="0"/>
      <w:marTop w:val="0"/>
      <w:marBottom w:val="0"/>
      <w:divBdr>
        <w:top w:val="none" w:sz="0" w:space="0" w:color="auto"/>
        <w:left w:val="none" w:sz="0" w:space="0" w:color="auto"/>
        <w:bottom w:val="none" w:sz="0" w:space="0" w:color="auto"/>
        <w:right w:val="none" w:sz="0" w:space="0" w:color="auto"/>
      </w:divBdr>
    </w:div>
    <w:div w:id="970020691">
      <w:bodyDiv w:val="1"/>
      <w:marLeft w:val="0"/>
      <w:marRight w:val="0"/>
      <w:marTop w:val="0"/>
      <w:marBottom w:val="0"/>
      <w:divBdr>
        <w:top w:val="none" w:sz="0" w:space="0" w:color="auto"/>
        <w:left w:val="none" w:sz="0" w:space="0" w:color="auto"/>
        <w:bottom w:val="none" w:sz="0" w:space="0" w:color="auto"/>
        <w:right w:val="none" w:sz="0" w:space="0" w:color="auto"/>
      </w:divBdr>
    </w:div>
    <w:div w:id="970286134">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14653020">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5759839">
      <w:bodyDiv w:val="1"/>
      <w:marLeft w:val="0"/>
      <w:marRight w:val="0"/>
      <w:marTop w:val="0"/>
      <w:marBottom w:val="0"/>
      <w:divBdr>
        <w:top w:val="none" w:sz="0" w:space="0" w:color="auto"/>
        <w:left w:val="none" w:sz="0" w:space="0" w:color="auto"/>
        <w:bottom w:val="none" w:sz="0" w:space="0" w:color="auto"/>
        <w:right w:val="none" w:sz="0" w:space="0" w:color="auto"/>
      </w:divBdr>
    </w:div>
    <w:div w:id="1088648205">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09080562">
      <w:bodyDiv w:val="1"/>
      <w:marLeft w:val="0"/>
      <w:marRight w:val="0"/>
      <w:marTop w:val="0"/>
      <w:marBottom w:val="0"/>
      <w:divBdr>
        <w:top w:val="none" w:sz="0" w:space="0" w:color="auto"/>
        <w:left w:val="none" w:sz="0" w:space="0" w:color="auto"/>
        <w:bottom w:val="none" w:sz="0" w:space="0" w:color="auto"/>
        <w:right w:val="none" w:sz="0" w:space="0" w:color="auto"/>
      </w:divBdr>
    </w:div>
    <w:div w:id="1121653561">
      <w:bodyDiv w:val="1"/>
      <w:marLeft w:val="0"/>
      <w:marRight w:val="0"/>
      <w:marTop w:val="0"/>
      <w:marBottom w:val="0"/>
      <w:divBdr>
        <w:top w:val="none" w:sz="0" w:space="0" w:color="auto"/>
        <w:left w:val="none" w:sz="0" w:space="0" w:color="auto"/>
        <w:bottom w:val="none" w:sz="0" w:space="0" w:color="auto"/>
        <w:right w:val="none" w:sz="0" w:space="0" w:color="auto"/>
      </w:divBdr>
    </w:div>
    <w:div w:id="1122647562">
      <w:bodyDiv w:val="1"/>
      <w:marLeft w:val="0"/>
      <w:marRight w:val="0"/>
      <w:marTop w:val="0"/>
      <w:marBottom w:val="0"/>
      <w:divBdr>
        <w:top w:val="none" w:sz="0" w:space="0" w:color="auto"/>
        <w:left w:val="none" w:sz="0" w:space="0" w:color="auto"/>
        <w:bottom w:val="none" w:sz="0" w:space="0" w:color="auto"/>
        <w:right w:val="none" w:sz="0" w:space="0" w:color="auto"/>
      </w:divBdr>
    </w:div>
    <w:div w:id="1132746119">
      <w:bodyDiv w:val="1"/>
      <w:marLeft w:val="0"/>
      <w:marRight w:val="0"/>
      <w:marTop w:val="0"/>
      <w:marBottom w:val="0"/>
      <w:divBdr>
        <w:top w:val="none" w:sz="0" w:space="0" w:color="auto"/>
        <w:left w:val="none" w:sz="0" w:space="0" w:color="auto"/>
        <w:bottom w:val="none" w:sz="0" w:space="0" w:color="auto"/>
        <w:right w:val="none" w:sz="0" w:space="0" w:color="auto"/>
      </w:divBdr>
    </w:div>
    <w:div w:id="1152059482">
      <w:bodyDiv w:val="1"/>
      <w:marLeft w:val="0"/>
      <w:marRight w:val="0"/>
      <w:marTop w:val="0"/>
      <w:marBottom w:val="0"/>
      <w:divBdr>
        <w:top w:val="none" w:sz="0" w:space="0" w:color="auto"/>
        <w:left w:val="none" w:sz="0" w:space="0" w:color="auto"/>
        <w:bottom w:val="none" w:sz="0" w:space="0" w:color="auto"/>
        <w:right w:val="none" w:sz="0" w:space="0" w:color="auto"/>
      </w:divBdr>
    </w:div>
    <w:div w:id="1164977712">
      <w:bodyDiv w:val="1"/>
      <w:marLeft w:val="0"/>
      <w:marRight w:val="0"/>
      <w:marTop w:val="0"/>
      <w:marBottom w:val="0"/>
      <w:divBdr>
        <w:top w:val="none" w:sz="0" w:space="0" w:color="auto"/>
        <w:left w:val="none" w:sz="0" w:space="0" w:color="auto"/>
        <w:bottom w:val="none" w:sz="0" w:space="0" w:color="auto"/>
        <w:right w:val="none" w:sz="0" w:space="0" w:color="auto"/>
      </w:divBdr>
    </w:div>
    <w:div w:id="1198010602">
      <w:bodyDiv w:val="1"/>
      <w:marLeft w:val="0"/>
      <w:marRight w:val="0"/>
      <w:marTop w:val="0"/>
      <w:marBottom w:val="0"/>
      <w:divBdr>
        <w:top w:val="none" w:sz="0" w:space="0" w:color="auto"/>
        <w:left w:val="none" w:sz="0" w:space="0" w:color="auto"/>
        <w:bottom w:val="none" w:sz="0" w:space="0" w:color="auto"/>
        <w:right w:val="none" w:sz="0" w:space="0" w:color="auto"/>
      </w:divBdr>
    </w:div>
    <w:div w:id="1250886858">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62686252">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93441953">
      <w:bodyDiv w:val="1"/>
      <w:marLeft w:val="0"/>
      <w:marRight w:val="0"/>
      <w:marTop w:val="0"/>
      <w:marBottom w:val="0"/>
      <w:divBdr>
        <w:top w:val="none" w:sz="0" w:space="0" w:color="auto"/>
        <w:left w:val="none" w:sz="0" w:space="0" w:color="auto"/>
        <w:bottom w:val="none" w:sz="0" w:space="0" w:color="auto"/>
        <w:right w:val="none" w:sz="0" w:space="0" w:color="auto"/>
      </w:divBdr>
    </w:div>
    <w:div w:id="1298414687">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27397119">
      <w:bodyDiv w:val="1"/>
      <w:marLeft w:val="0"/>
      <w:marRight w:val="0"/>
      <w:marTop w:val="0"/>
      <w:marBottom w:val="0"/>
      <w:divBdr>
        <w:top w:val="none" w:sz="0" w:space="0" w:color="auto"/>
        <w:left w:val="none" w:sz="0" w:space="0" w:color="auto"/>
        <w:bottom w:val="none" w:sz="0" w:space="0" w:color="auto"/>
        <w:right w:val="none" w:sz="0" w:space="0" w:color="auto"/>
      </w:divBdr>
    </w:div>
    <w:div w:id="1339045046">
      <w:bodyDiv w:val="1"/>
      <w:marLeft w:val="0"/>
      <w:marRight w:val="0"/>
      <w:marTop w:val="0"/>
      <w:marBottom w:val="0"/>
      <w:divBdr>
        <w:top w:val="none" w:sz="0" w:space="0" w:color="auto"/>
        <w:left w:val="none" w:sz="0" w:space="0" w:color="auto"/>
        <w:bottom w:val="none" w:sz="0" w:space="0" w:color="auto"/>
        <w:right w:val="none" w:sz="0" w:space="0" w:color="auto"/>
      </w:divBdr>
    </w:div>
    <w:div w:id="1378747588">
      <w:bodyDiv w:val="1"/>
      <w:marLeft w:val="0"/>
      <w:marRight w:val="0"/>
      <w:marTop w:val="0"/>
      <w:marBottom w:val="0"/>
      <w:divBdr>
        <w:top w:val="none" w:sz="0" w:space="0" w:color="auto"/>
        <w:left w:val="none" w:sz="0" w:space="0" w:color="auto"/>
        <w:bottom w:val="none" w:sz="0" w:space="0" w:color="auto"/>
        <w:right w:val="none" w:sz="0" w:space="0" w:color="auto"/>
      </w:divBdr>
    </w:div>
    <w:div w:id="1393776732">
      <w:bodyDiv w:val="1"/>
      <w:marLeft w:val="0"/>
      <w:marRight w:val="0"/>
      <w:marTop w:val="0"/>
      <w:marBottom w:val="0"/>
      <w:divBdr>
        <w:top w:val="none" w:sz="0" w:space="0" w:color="auto"/>
        <w:left w:val="none" w:sz="0" w:space="0" w:color="auto"/>
        <w:bottom w:val="none" w:sz="0" w:space="0" w:color="auto"/>
        <w:right w:val="none" w:sz="0" w:space="0" w:color="auto"/>
      </w:divBdr>
    </w:div>
    <w:div w:id="1394623008">
      <w:bodyDiv w:val="1"/>
      <w:marLeft w:val="0"/>
      <w:marRight w:val="0"/>
      <w:marTop w:val="0"/>
      <w:marBottom w:val="0"/>
      <w:divBdr>
        <w:top w:val="none" w:sz="0" w:space="0" w:color="auto"/>
        <w:left w:val="none" w:sz="0" w:space="0" w:color="auto"/>
        <w:bottom w:val="none" w:sz="0" w:space="0" w:color="auto"/>
        <w:right w:val="none" w:sz="0" w:space="0" w:color="auto"/>
      </w:divBdr>
    </w:div>
    <w:div w:id="1411973693">
      <w:bodyDiv w:val="1"/>
      <w:marLeft w:val="0"/>
      <w:marRight w:val="0"/>
      <w:marTop w:val="0"/>
      <w:marBottom w:val="0"/>
      <w:divBdr>
        <w:top w:val="none" w:sz="0" w:space="0" w:color="auto"/>
        <w:left w:val="none" w:sz="0" w:space="0" w:color="auto"/>
        <w:bottom w:val="none" w:sz="0" w:space="0" w:color="auto"/>
        <w:right w:val="none" w:sz="0" w:space="0" w:color="auto"/>
      </w:divBdr>
    </w:div>
    <w:div w:id="1412044052">
      <w:bodyDiv w:val="1"/>
      <w:marLeft w:val="0"/>
      <w:marRight w:val="0"/>
      <w:marTop w:val="0"/>
      <w:marBottom w:val="0"/>
      <w:divBdr>
        <w:top w:val="none" w:sz="0" w:space="0" w:color="auto"/>
        <w:left w:val="none" w:sz="0" w:space="0" w:color="auto"/>
        <w:bottom w:val="none" w:sz="0" w:space="0" w:color="auto"/>
        <w:right w:val="none" w:sz="0" w:space="0" w:color="auto"/>
      </w:divBdr>
    </w:div>
    <w:div w:id="1413700735">
      <w:bodyDiv w:val="1"/>
      <w:marLeft w:val="0"/>
      <w:marRight w:val="0"/>
      <w:marTop w:val="0"/>
      <w:marBottom w:val="0"/>
      <w:divBdr>
        <w:top w:val="none" w:sz="0" w:space="0" w:color="auto"/>
        <w:left w:val="none" w:sz="0" w:space="0" w:color="auto"/>
        <w:bottom w:val="none" w:sz="0" w:space="0" w:color="auto"/>
        <w:right w:val="none" w:sz="0" w:space="0" w:color="auto"/>
      </w:divBdr>
    </w:div>
    <w:div w:id="1432555247">
      <w:bodyDiv w:val="1"/>
      <w:marLeft w:val="0"/>
      <w:marRight w:val="0"/>
      <w:marTop w:val="0"/>
      <w:marBottom w:val="0"/>
      <w:divBdr>
        <w:top w:val="none" w:sz="0" w:space="0" w:color="auto"/>
        <w:left w:val="none" w:sz="0" w:space="0" w:color="auto"/>
        <w:bottom w:val="none" w:sz="0" w:space="0" w:color="auto"/>
        <w:right w:val="none" w:sz="0" w:space="0" w:color="auto"/>
      </w:divBdr>
    </w:div>
    <w:div w:id="1452162021">
      <w:bodyDiv w:val="1"/>
      <w:marLeft w:val="0"/>
      <w:marRight w:val="0"/>
      <w:marTop w:val="0"/>
      <w:marBottom w:val="0"/>
      <w:divBdr>
        <w:top w:val="none" w:sz="0" w:space="0" w:color="auto"/>
        <w:left w:val="none" w:sz="0" w:space="0" w:color="auto"/>
        <w:bottom w:val="none" w:sz="0" w:space="0" w:color="auto"/>
        <w:right w:val="none" w:sz="0" w:space="0" w:color="auto"/>
      </w:divBdr>
    </w:div>
    <w:div w:id="1454058228">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370456">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499924402">
      <w:bodyDiv w:val="1"/>
      <w:marLeft w:val="0"/>
      <w:marRight w:val="0"/>
      <w:marTop w:val="0"/>
      <w:marBottom w:val="0"/>
      <w:divBdr>
        <w:top w:val="none" w:sz="0" w:space="0" w:color="auto"/>
        <w:left w:val="none" w:sz="0" w:space="0" w:color="auto"/>
        <w:bottom w:val="none" w:sz="0" w:space="0" w:color="auto"/>
        <w:right w:val="none" w:sz="0" w:space="0" w:color="auto"/>
      </w:divBdr>
    </w:div>
    <w:div w:id="1514685313">
      <w:bodyDiv w:val="1"/>
      <w:marLeft w:val="0"/>
      <w:marRight w:val="0"/>
      <w:marTop w:val="0"/>
      <w:marBottom w:val="0"/>
      <w:divBdr>
        <w:top w:val="none" w:sz="0" w:space="0" w:color="auto"/>
        <w:left w:val="none" w:sz="0" w:space="0" w:color="auto"/>
        <w:bottom w:val="none" w:sz="0" w:space="0" w:color="auto"/>
        <w:right w:val="none" w:sz="0" w:space="0" w:color="auto"/>
      </w:divBdr>
    </w:div>
    <w:div w:id="1526869823">
      <w:bodyDiv w:val="1"/>
      <w:marLeft w:val="0"/>
      <w:marRight w:val="0"/>
      <w:marTop w:val="0"/>
      <w:marBottom w:val="0"/>
      <w:divBdr>
        <w:top w:val="none" w:sz="0" w:space="0" w:color="auto"/>
        <w:left w:val="none" w:sz="0" w:space="0" w:color="auto"/>
        <w:bottom w:val="none" w:sz="0" w:space="0" w:color="auto"/>
        <w:right w:val="none" w:sz="0" w:space="0" w:color="auto"/>
      </w:divBdr>
    </w:div>
    <w:div w:id="1543326612">
      <w:bodyDiv w:val="1"/>
      <w:marLeft w:val="0"/>
      <w:marRight w:val="0"/>
      <w:marTop w:val="0"/>
      <w:marBottom w:val="0"/>
      <w:divBdr>
        <w:top w:val="none" w:sz="0" w:space="0" w:color="auto"/>
        <w:left w:val="none" w:sz="0" w:space="0" w:color="auto"/>
        <w:bottom w:val="none" w:sz="0" w:space="0" w:color="auto"/>
        <w:right w:val="none" w:sz="0" w:space="0" w:color="auto"/>
      </w:divBdr>
    </w:div>
    <w:div w:id="1546015992">
      <w:bodyDiv w:val="1"/>
      <w:marLeft w:val="0"/>
      <w:marRight w:val="0"/>
      <w:marTop w:val="0"/>
      <w:marBottom w:val="0"/>
      <w:divBdr>
        <w:top w:val="none" w:sz="0" w:space="0" w:color="auto"/>
        <w:left w:val="none" w:sz="0" w:space="0" w:color="auto"/>
        <w:bottom w:val="none" w:sz="0" w:space="0" w:color="auto"/>
        <w:right w:val="none" w:sz="0" w:space="0" w:color="auto"/>
      </w:divBdr>
    </w:div>
    <w:div w:id="1567303905">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78977563">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07419160">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45160152">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3111901">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8239081">
      <w:bodyDiv w:val="1"/>
      <w:marLeft w:val="0"/>
      <w:marRight w:val="0"/>
      <w:marTop w:val="0"/>
      <w:marBottom w:val="0"/>
      <w:divBdr>
        <w:top w:val="none" w:sz="0" w:space="0" w:color="auto"/>
        <w:left w:val="none" w:sz="0" w:space="0" w:color="auto"/>
        <w:bottom w:val="none" w:sz="0" w:space="0" w:color="auto"/>
        <w:right w:val="none" w:sz="0" w:space="0" w:color="auto"/>
      </w:divBdr>
    </w:div>
    <w:div w:id="1743406536">
      <w:bodyDiv w:val="1"/>
      <w:marLeft w:val="0"/>
      <w:marRight w:val="0"/>
      <w:marTop w:val="0"/>
      <w:marBottom w:val="0"/>
      <w:divBdr>
        <w:top w:val="none" w:sz="0" w:space="0" w:color="auto"/>
        <w:left w:val="none" w:sz="0" w:space="0" w:color="auto"/>
        <w:bottom w:val="none" w:sz="0" w:space="0" w:color="auto"/>
        <w:right w:val="none" w:sz="0" w:space="0" w:color="auto"/>
      </w:divBdr>
    </w:div>
    <w:div w:id="1743942081">
      <w:bodyDiv w:val="1"/>
      <w:marLeft w:val="0"/>
      <w:marRight w:val="0"/>
      <w:marTop w:val="0"/>
      <w:marBottom w:val="0"/>
      <w:divBdr>
        <w:top w:val="none" w:sz="0" w:space="0" w:color="auto"/>
        <w:left w:val="none" w:sz="0" w:space="0" w:color="auto"/>
        <w:bottom w:val="none" w:sz="0" w:space="0" w:color="auto"/>
        <w:right w:val="none" w:sz="0" w:space="0" w:color="auto"/>
      </w:divBdr>
    </w:div>
    <w:div w:id="1757480104">
      <w:bodyDiv w:val="1"/>
      <w:marLeft w:val="0"/>
      <w:marRight w:val="0"/>
      <w:marTop w:val="0"/>
      <w:marBottom w:val="0"/>
      <w:divBdr>
        <w:top w:val="none" w:sz="0" w:space="0" w:color="auto"/>
        <w:left w:val="none" w:sz="0" w:space="0" w:color="auto"/>
        <w:bottom w:val="none" w:sz="0" w:space="0" w:color="auto"/>
        <w:right w:val="none" w:sz="0" w:space="0" w:color="auto"/>
      </w:divBdr>
    </w:div>
    <w:div w:id="1760325643">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796828326">
      <w:bodyDiv w:val="1"/>
      <w:marLeft w:val="0"/>
      <w:marRight w:val="0"/>
      <w:marTop w:val="0"/>
      <w:marBottom w:val="0"/>
      <w:divBdr>
        <w:top w:val="none" w:sz="0" w:space="0" w:color="auto"/>
        <w:left w:val="none" w:sz="0" w:space="0" w:color="auto"/>
        <w:bottom w:val="none" w:sz="0" w:space="0" w:color="auto"/>
        <w:right w:val="none" w:sz="0" w:space="0" w:color="auto"/>
      </w:divBdr>
    </w:div>
    <w:div w:id="182458841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32258318">
      <w:bodyDiv w:val="1"/>
      <w:marLeft w:val="0"/>
      <w:marRight w:val="0"/>
      <w:marTop w:val="0"/>
      <w:marBottom w:val="0"/>
      <w:divBdr>
        <w:top w:val="none" w:sz="0" w:space="0" w:color="auto"/>
        <w:left w:val="none" w:sz="0" w:space="0" w:color="auto"/>
        <w:bottom w:val="none" w:sz="0" w:space="0" w:color="auto"/>
        <w:right w:val="none" w:sz="0" w:space="0" w:color="auto"/>
      </w:divBdr>
    </w:div>
    <w:div w:id="1864905682">
      <w:bodyDiv w:val="1"/>
      <w:marLeft w:val="0"/>
      <w:marRight w:val="0"/>
      <w:marTop w:val="0"/>
      <w:marBottom w:val="0"/>
      <w:divBdr>
        <w:top w:val="none" w:sz="0" w:space="0" w:color="auto"/>
        <w:left w:val="none" w:sz="0" w:space="0" w:color="auto"/>
        <w:bottom w:val="none" w:sz="0" w:space="0" w:color="auto"/>
        <w:right w:val="none" w:sz="0" w:space="0" w:color="auto"/>
      </w:divBdr>
    </w:div>
    <w:div w:id="1867787136">
      <w:bodyDiv w:val="1"/>
      <w:marLeft w:val="0"/>
      <w:marRight w:val="0"/>
      <w:marTop w:val="0"/>
      <w:marBottom w:val="0"/>
      <w:divBdr>
        <w:top w:val="none" w:sz="0" w:space="0" w:color="auto"/>
        <w:left w:val="none" w:sz="0" w:space="0" w:color="auto"/>
        <w:bottom w:val="none" w:sz="0" w:space="0" w:color="auto"/>
        <w:right w:val="none" w:sz="0" w:space="0" w:color="auto"/>
      </w:divBdr>
    </w:div>
    <w:div w:id="1916622657">
      <w:bodyDiv w:val="1"/>
      <w:marLeft w:val="0"/>
      <w:marRight w:val="0"/>
      <w:marTop w:val="0"/>
      <w:marBottom w:val="0"/>
      <w:divBdr>
        <w:top w:val="none" w:sz="0" w:space="0" w:color="auto"/>
        <w:left w:val="none" w:sz="0" w:space="0" w:color="auto"/>
        <w:bottom w:val="none" w:sz="0" w:space="0" w:color="auto"/>
        <w:right w:val="none" w:sz="0" w:space="0" w:color="auto"/>
      </w:divBdr>
    </w:div>
    <w:div w:id="1921021289">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0306671">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7346221">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0253563">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8718468">
      <w:bodyDiv w:val="1"/>
      <w:marLeft w:val="0"/>
      <w:marRight w:val="0"/>
      <w:marTop w:val="0"/>
      <w:marBottom w:val="0"/>
      <w:divBdr>
        <w:top w:val="none" w:sz="0" w:space="0" w:color="auto"/>
        <w:left w:val="none" w:sz="0" w:space="0" w:color="auto"/>
        <w:bottom w:val="none" w:sz="0" w:space="0" w:color="auto"/>
        <w:right w:val="none" w:sz="0" w:space="0" w:color="auto"/>
      </w:divBdr>
    </w:div>
    <w:div w:id="2114981891">
      <w:bodyDiv w:val="1"/>
      <w:marLeft w:val="0"/>
      <w:marRight w:val="0"/>
      <w:marTop w:val="0"/>
      <w:marBottom w:val="0"/>
      <w:divBdr>
        <w:top w:val="none" w:sz="0" w:space="0" w:color="auto"/>
        <w:left w:val="none" w:sz="0" w:space="0" w:color="auto"/>
        <w:bottom w:val="none" w:sz="0" w:space="0" w:color="auto"/>
        <w:right w:val="none" w:sz="0" w:space="0" w:color="auto"/>
      </w:divBdr>
    </w:div>
    <w:div w:id="2126657627">
      <w:bodyDiv w:val="1"/>
      <w:marLeft w:val="0"/>
      <w:marRight w:val="0"/>
      <w:marTop w:val="0"/>
      <w:marBottom w:val="0"/>
      <w:divBdr>
        <w:top w:val="none" w:sz="0" w:space="0" w:color="auto"/>
        <w:left w:val="none" w:sz="0" w:space="0" w:color="auto"/>
        <w:bottom w:val="none" w:sz="0" w:space="0" w:color="auto"/>
        <w:right w:val="none" w:sz="0" w:space="0" w:color="auto"/>
      </w:divBdr>
    </w:div>
    <w:div w:id="2134403879">
      <w:bodyDiv w:val="1"/>
      <w:marLeft w:val="0"/>
      <w:marRight w:val="0"/>
      <w:marTop w:val="0"/>
      <w:marBottom w:val="0"/>
      <w:divBdr>
        <w:top w:val="none" w:sz="0" w:space="0" w:color="auto"/>
        <w:left w:val="none" w:sz="0" w:space="0" w:color="auto"/>
        <w:bottom w:val="none" w:sz="0" w:space="0" w:color="auto"/>
        <w:right w:val="none" w:sz="0" w:space="0" w:color="auto"/>
      </w:divBdr>
    </w:div>
    <w:div w:id="2136413160">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documentManagement>
    <lb508a4dc5e84436a0fe496b536466aa xmlns="eb47d8b7-fefc-4923-b53c-9685ba6b7210">AE-20337-Destroy 7 years after action completed668ae28e-5138-4c7c-82db-1c8c6afc81a6</lb508a4dc5e84436a0fe496b536466aa>
    <TaxCatchAll xmlns="eb47d8b7-fefc-4923-b53c-9685ba6b7210">
      <Value xmlns="eb47d8b7-fefc-4923-b53c-9685ba6b7210">75</Value>
    </TaxCatchAl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3.xml><?xml version="1.0" encoding="utf-8"?>
<?mso-contentType ?>
<p:Policy xmlns:p="office.server.policy" id="" local="true">
  <p:Name>Treasury Document Audit Policy</p:Name>
  <p:Description/>
  <p:Statement/>
  <p:PolicyItems>
    <p:PolicyItem featureId="Microsoft.Office.RecordsManagement.PolicyFeatures.PolicyAudit" staticId="0x010100605AAC981168BE40A9BD548B81A50DF6|1757814118" UniqueId="dfcffb86-ae69-48ff-b02e-2c46fcd97350">
      <p:Name>Auditing</p:Name>
      <p:Description>Audits user actions on documents and list items to the Audit Log.</p:Description>
      <p:CustomData>
        <Audit>
          <Update/>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5354E2C1A1800A409D686EE5B476D455" ma:contentTypeVersion="11" ma:contentTypeDescription="" ma:contentTypeScope="" ma:versionID="6a8e13556158ed0b49c7399d91712fdb">
  <xsd:schema xmlns:xsd="http://www.w3.org/2001/XMLSchema" xmlns:xs="http://www.w3.org/2001/XMLSchema" xmlns:p="http://schemas.microsoft.com/office/2006/metadata/properties" xmlns:ns1="http://schemas.microsoft.com/sharepoint/v3" xmlns:ns2="eb47d8b7-fefc-4923-b53c-9685ba6b7210" targetNamespace="http://schemas.microsoft.com/office/2006/metadata/properties" ma:root="true" ma:fieldsID="825bfe1b75efa0a7f08aa0a0f7cea6a6" ns1:_="" ns2:_="">
    <xsd:import namespace="http://schemas.microsoft.com/sharepoint/v3"/>
    <xsd:import namespace="eb47d8b7-fefc-4923-b53c-9685ba6b7210"/>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80A0-34CA-4454-8573-C76234108929}">
  <ds:schemaRefs>
    <ds:schemaRef ds:uri="http://schemas.microsoft.com/office/2006/metadata/properties"/>
    <ds:schemaRef ds:uri="eb47d8b7-fefc-4923-b53c-9685ba6b7210"/>
  </ds:schemaRefs>
</ds:datastoreItem>
</file>

<file path=customXml/itemProps2.xml><?xml version="1.0" encoding="utf-8"?>
<ds:datastoreItem xmlns:ds="http://schemas.openxmlformats.org/officeDocument/2006/customXml" ds:itemID="{855133F8-EFF4-4823-BD43-293BB1C3CD60}">
  <ds:schemaRefs>
    <ds:schemaRef ds:uri="http://schemas.microsoft.com/sharepoint/events"/>
  </ds:schemaRefs>
</ds:datastoreItem>
</file>

<file path=customXml/itemProps3.xml><?xml version="1.0" encoding="utf-8"?>
<ds:datastoreItem xmlns:ds="http://schemas.openxmlformats.org/officeDocument/2006/customXml" ds:itemID="{3783EF23-FDE9-4BC4-9D0E-C386C25B28C2}">
  <ds:schemaRefs>
    <ds:schemaRef ds:uri="office.server.policy"/>
  </ds:schemaRefs>
</ds:datastoreItem>
</file>

<file path=customXml/itemProps4.xml><?xml version="1.0" encoding="utf-8"?>
<ds:datastoreItem xmlns:ds="http://schemas.openxmlformats.org/officeDocument/2006/customXml" ds:itemID="{1E0E1FFA-4035-472C-9EAE-D6E0B316A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B1A982B-6B2C-43FC-A1C9-BD2FE7FBE2F0}">
  <ds:schemaRefs>
    <ds:schemaRef ds:uri="http://schemas.microsoft.com/sharepoint/v3/contenttype/forms"/>
  </ds:schemaRefs>
</ds:datastoreItem>
</file>

<file path=customXml/itemProps6.xml><?xml version="1.0" encoding="utf-8"?>
<ds:datastoreItem xmlns:ds="http://schemas.openxmlformats.org/officeDocument/2006/customXml" ds:itemID="{49C55B94-E6CE-48B2-96D1-8F80857E2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1</TotalTime>
  <Pages>24</Pages>
  <Words>3775</Words>
  <Characters>25338</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PORTFOLIO</vt:lpstr>
    </vt:vector>
  </TitlesOfParts>
  <Company>The Treasury</Company>
  <LinksUpToDate>false</LinksUpToDate>
  <CharactersWithSpaces>29055</CharactersWithSpaces>
  <SharedDoc>false</SharedDoc>
  <HLinks>
    <vt:vector size="24" baseType="variant">
      <vt:variant>
        <vt:i4>7471148</vt:i4>
      </vt:variant>
      <vt:variant>
        <vt:i4>29</vt:i4>
      </vt:variant>
      <vt:variant>
        <vt:i4>0</vt:i4>
      </vt:variant>
      <vt:variant>
        <vt:i4>5</vt:i4>
      </vt:variant>
      <vt:variant>
        <vt:lpwstr>http://www.itsanhonour.gov.au/</vt:lpwstr>
      </vt:variant>
      <vt:variant>
        <vt:lpwstr/>
      </vt:variant>
      <vt:variant>
        <vt:i4>5111827</vt:i4>
      </vt:variant>
      <vt:variant>
        <vt:i4>14</vt:i4>
      </vt:variant>
      <vt:variant>
        <vt:i4>0</vt:i4>
      </vt:variant>
      <vt:variant>
        <vt:i4>5</vt:i4>
      </vt:variant>
      <vt:variant>
        <vt:lpwstr>http://creativecommons.org/licenses/by/3.0/au/deed.en</vt:lpwstr>
      </vt:variant>
      <vt:variant>
        <vt:lpwstr/>
      </vt:variant>
      <vt:variant>
        <vt:i4>2687028</vt:i4>
      </vt:variant>
      <vt:variant>
        <vt:i4>9</vt:i4>
      </vt:variant>
      <vt:variant>
        <vt:i4>0</vt:i4>
      </vt:variant>
      <vt:variant>
        <vt:i4>5</vt:i4>
      </vt:variant>
      <vt:variant>
        <vt:lpwstr>http://creativecommons.org/licenses/by/3.0/au/legalcode</vt:lpwstr>
      </vt:variant>
      <vt:variant>
        <vt:lpwstr/>
      </vt:variant>
      <vt:variant>
        <vt:i4>5111827</vt:i4>
      </vt:variant>
      <vt:variant>
        <vt:i4>4</vt:i4>
      </vt:variant>
      <vt:variant>
        <vt:i4>0</vt:i4>
      </vt:variant>
      <vt:variant>
        <vt:i4>5</vt:i4>
      </vt:variant>
      <vt:variant>
        <vt:lpwstr>http://creativecommons.org/licenses/by/3.0/au/deed.en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Electoral Commission</dc:title>
  <dc:creator>Publications Team</dc:creator>
  <cp:lastModifiedBy>LOUISE MCNAUGHTON</cp:lastModifiedBy>
  <cp:revision>3</cp:revision>
  <cp:lastPrinted>2016-04-30T23:35:00Z</cp:lastPrinted>
  <dcterms:created xsi:type="dcterms:W3CDTF">2016-05-02T05:23:00Z</dcterms:created>
  <dcterms:modified xsi:type="dcterms:W3CDTF">2016-05-02T05:24:00Z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ContentTypeId">
    <vt:lpwstr>0x010100605AAC981168BE40A9BD548B81A50DF6005354E2C1A1800A409D686EE5B476D455</vt:lpwstr>
  </property>
  <property fmtid="{D5CDD505-2E9C-101B-9397-08002B2CF9AE}" pid="5" name="TSYRecordClass">
    <vt:lpwstr>75;#AE-20337-Destroy 7 years after action completed|668ae28e-5138-4c7c-82db-1c8c6afc81a6</vt:lpwstr>
  </property>
  <property fmtid="{D5CDD505-2E9C-101B-9397-08002B2CF9AE}" pid="6" name="_dlc_DocIdItemGuid">
    <vt:lpwstr>f2062dbe-9663-4abe-8923-d8e886ea0b01</vt:lpwstr>
  </property>
  <property fmtid="{D5CDD505-2E9C-101B-9397-08002B2CF9AE}" pid="7" name="_dlc_DocId">
    <vt:lpwstr>2014CSSG-727-287</vt:lpwstr>
  </property>
  <property fmtid="{D5CDD505-2E9C-101B-9397-08002B2CF9AE}" pid="8" name="_dlc_DocIdUrl">
    <vt:lpwstr>http://tweb/sites/cssg/mcd/pubs/pt/_layouts/15/DocIdRedir.aspx?ID=2014CSSG-727-287, 2014CSSG-727-287</vt:lpwstr>
  </property>
</Properties>
</file>