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10" w:rsidRDefault="00612710" w:rsidP="00751515">
      <w:pPr>
        <w:pStyle w:val="BodyText"/>
      </w:pPr>
    </w:p>
    <w:p w:rsidR="008A4A81" w:rsidRDefault="008A4A81" w:rsidP="00751515">
      <w:pPr>
        <w:pStyle w:val="BodyText"/>
      </w:pPr>
    </w:p>
    <w:p w:rsidR="008A4A81" w:rsidRDefault="008A4A81" w:rsidP="00751515">
      <w:pPr>
        <w:pStyle w:val="BodyText"/>
      </w:pPr>
    </w:p>
    <w:tbl>
      <w:tblPr>
        <w:tblW w:w="10546" w:type="dxa"/>
        <w:tblInd w:w="-1304" w:type="dxa"/>
        <w:tblLayout w:type="fixed"/>
        <w:tblCellMar>
          <w:left w:w="0" w:type="dxa"/>
          <w:right w:w="0" w:type="dxa"/>
        </w:tblCellMar>
        <w:tblLook w:val="04A0"/>
      </w:tblPr>
      <w:tblGrid>
        <w:gridCol w:w="2041"/>
        <w:gridCol w:w="8505"/>
      </w:tblGrid>
      <w:tr w:rsidR="008A4A81" w:rsidRPr="00591116" w:rsidTr="00591116">
        <w:trPr>
          <w:cantSplit/>
          <w:trHeight w:hRule="exact" w:val="3515"/>
        </w:trPr>
        <w:tc>
          <w:tcPr>
            <w:tcW w:w="2041" w:type="dxa"/>
            <w:tcMar>
              <w:top w:w="680" w:type="dxa"/>
            </w:tcMar>
          </w:tcPr>
          <w:p w:rsidR="008A4A81" w:rsidRPr="00591116" w:rsidRDefault="008A4A81" w:rsidP="008A4A81">
            <w:pPr>
              <w:pStyle w:val="Afterbox"/>
            </w:pPr>
          </w:p>
        </w:tc>
        <w:tc>
          <w:tcPr>
            <w:tcW w:w="8505" w:type="dxa"/>
            <w:tcMar>
              <w:top w:w="680" w:type="dxa"/>
            </w:tcMar>
          </w:tcPr>
          <w:p w:rsidR="008A4A81" w:rsidRPr="00591116" w:rsidRDefault="00731B77" w:rsidP="00751515">
            <w:pPr>
              <w:pStyle w:val="Heading1"/>
            </w:pPr>
            <w:r w:rsidRPr="00731B77">
              <w:t>PSS AND CSS LONG TERM</w:t>
            </w:r>
          </w:p>
          <w:p w:rsidR="008A4A81" w:rsidRPr="00591116" w:rsidRDefault="00731B77" w:rsidP="00751515">
            <w:pPr>
              <w:pStyle w:val="Heading1"/>
            </w:pPr>
            <w:r w:rsidRPr="00731B77">
              <w:t>COST REPORT 2014</w:t>
            </w:r>
          </w:p>
          <w:p w:rsidR="000E6E97" w:rsidRPr="000E6E97" w:rsidRDefault="000E6E97" w:rsidP="00353920">
            <w:pPr>
              <w:pStyle w:val="Heading1"/>
              <w:spacing w:before="200" w:after="300" w:line="300" w:lineRule="atLeast"/>
              <w:rPr>
                <w:rFonts w:eastAsia="MS Gothic"/>
                <w:spacing w:val="5"/>
                <w:kern w:val="28"/>
                <w:sz w:val="24"/>
                <w:szCs w:val="52"/>
              </w:rPr>
            </w:pPr>
            <w:r w:rsidRPr="000E6E97">
              <w:rPr>
                <w:rFonts w:eastAsia="MS Gothic"/>
                <w:spacing w:val="5"/>
                <w:kern w:val="28"/>
                <w:sz w:val="24"/>
                <w:szCs w:val="52"/>
              </w:rPr>
              <w:t xml:space="preserve">A report on the long term cost of the </w:t>
            </w:r>
            <w:r w:rsidR="00353920">
              <w:rPr>
                <w:rFonts w:eastAsia="MS Gothic"/>
                <w:spacing w:val="5"/>
                <w:kern w:val="28"/>
                <w:sz w:val="24"/>
                <w:szCs w:val="52"/>
              </w:rPr>
              <w:t>Public Sector Superannuation Scheme and Commonwealth Superannuation Scheme</w:t>
            </w:r>
          </w:p>
          <w:p w:rsidR="008A4A81" w:rsidRPr="00591116" w:rsidRDefault="00353920" w:rsidP="000E6E97">
            <w:pPr>
              <w:pStyle w:val="Subtitle"/>
              <w:pBdr>
                <w:bottom w:val="none" w:sz="0" w:space="0" w:color="auto"/>
              </w:pBdr>
            </w:pPr>
            <w:r>
              <w:t>Prepared by Mercer Consulting (Australia) Pty Ltd using data as at 30 June 201</w:t>
            </w:r>
            <w:r w:rsidR="00112913">
              <w:t>4</w:t>
            </w:r>
          </w:p>
        </w:tc>
      </w:tr>
      <w:tr w:rsidR="008A4A81" w:rsidRPr="00591116" w:rsidTr="00591116">
        <w:trPr>
          <w:cantSplit/>
          <w:trHeight w:hRule="exact" w:val="7313"/>
        </w:trPr>
        <w:tc>
          <w:tcPr>
            <w:tcW w:w="10546" w:type="dxa"/>
            <w:gridSpan w:val="2"/>
          </w:tcPr>
          <w:p w:rsidR="008A4A81" w:rsidRPr="00591116" w:rsidRDefault="008A4A81" w:rsidP="008A4A81">
            <w:pPr>
              <w:pStyle w:val="BodyText1"/>
            </w:pPr>
          </w:p>
        </w:tc>
      </w:tr>
      <w:tr w:rsidR="008A4A81" w:rsidRPr="00591116" w:rsidTr="00591116">
        <w:trPr>
          <w:cantSplit/>
          <w:trHeight w:val="1010"/>
        </w:trPr>
        <w:tc>
          <w:tcPr>
            <w:tcW w:w="2041" w:type="dxa"/>
          </w:tcPr>
          <w:p w:rsidR="008A4A81" w:rsidRPr="00591116" w:rsidRDefault="008A4A81" w:rsidP="008A4A81">
            <w:pPr>
              <w:pStyle w:val="BodyText1"/>
              <w:rPr>
                <w:color w:val="FFFFFF"/>
              </w:rPr>
            </w:pPr>
          </w:p>
        </w:tc>
        <w:tc>
          <w:tcPr>
            <w:tcW w:w="8505" w:type="dxa"/>
          </w:tcPr>
          <w:p w:rsidR="008A4A81" w:rsidRPr="00591116" w:rsidRDefault="00F549D0" w:rsidP="008A4A81">
            <w:pPr>
              <w:pStyle w:val="Subtitle2"/>
              <w:rPr>
                <w:color w:val="auto"/>
              </w:rPr>
            </w:pPr>
            <w:r>
              <w:rPr>
                <w:color w:val="auto"/>
              </w:rPr>
              <w:t>gOVERNANCE AND RESOURCE MANAGEMENT GROUP</w:t>
            </w:r>
          </w:p>
        </w:tc>
      </w:tr>
    </w:tbl>
    <w:p w:rsidR="008A4A81" w:rsidRDefault="008A4A81" w:rsidP="00230912">
      <w:pPr>
        <w:sectPr w:rsidR="008A4A81" w:rsidSect="007577D4">
          <w:headerReference w:type="default" r:id="rId9"/>
          <w:footerReference w:type="default" r:id="rId10"/>
          <w:type w:val="oddPage"/>
          <w:pgSz w:w="11900" w:h="16840" w:code="9"/>
          <w:pgMar w:top="1701" w:right="1985" w:bottom="1701" w:left="1985" w:header="510" w:footer="510" w:gutter="0"/>
          <w:pgNumType w:start="1"/>
          <w:cols w:space="708"/>
          <w:docGrid w:linePitch="360"/>
        </w:sectPr>
      </w:pPr>
    </w:p>
    <w:p w:rsidR="00F159F2" w:rsidRDefault="00F159F2" w:rsidP="00751515">
      <w:pPr>
        <w:pStyle w:val="BodyText"/>
      </w:pPr>
    </w:p>
    <w:tbl>
      <w:tblPr>
        <w:tblW w:w="10546" w:type="dxa"/>
        <w:tblInd w:w="-1304" w:type="dxa"/>
        <w:tblLayout w:type="fixed"/>
        <w:tblCellMar>
          <w:left w:w="0" w:type="dxa"/>
          <w:right w:w="0" w:type="dxa"/>
        </w:tblCellMar>
        <w:tblLook w:val="04A0"/>
      </w:tblPr>
      <w:tblGrid>
        <w:gridCol w:w="878"/>
        <w:gridCol w:w="9668"/>
      </w:tblGrid>
      <w:tr w:rsidR="00770E40" w:rsidRPr="00770E40" w:rsidTr="00770E40">
        <w:trPr>
          <w:cantSplit/>
          <w:trHeight w:hRule="exact" w:val="3912"/>
        </w:trPr>
        <w:tc>
          <w:tcPr>
            <w:tcW w:w="878" w:type="dxa"/>
            <w:tcMar>
              <w:top w:w="794" w:type="dxa"/>
            </w:tcMar>
          </w:tcPr>
          <w:p w:rsidR="00770E40" w:rsidRPr="00770E40" w:rsidRDefault="00770E40" w:rsidP="00770E40">
            <w:pPr>
              <w:spacing w:after="113" w:line="260" w:lineRule="atLeast"/>
              <w:rPr>
                <w:rFonts w:eastAsia="Times New Roman"/>
                <w:szCs w:val="24"/>
              </w:rPr>
            </w:pPr>
          </w:p>
        </w:tc>
        <w:tc>
          <w:tcPr>
            <w:tcW w:w="9668" w:type="dxa"/>
          </w:tcPr>
          <w:p w:rsidR="00770E40" w:rsidRPr="00770E40" w:rsidRDefault="00770E40" w:rsidP="00770E40">
            <w:pPr>
              <w:pStyle w:val="Heading1"/>
              <w:rPr>
                <w:color w:val="auto"/>
              </w:rPr>
            </w:pPr>
            <w:r w:rsidRPr="00770E40">
              <w:rPr>
                <w:rStyle w:val="Black"/>
                <w:color w:val="auto"/>
              </w:rPr>
              <w:t>PSS AND CSS LONG TERM COST REPORT 2014</w:t>
            </w:r>
          </w:p>
          <w:p w:rsidR="00770E40" w:rsidRPr="004465A8" w:rsidRDefault="00770E40" w:rsidP="004465A8">
            <w:pPr>
              <w:pStyle w:val="Heading1"/>
              <w:spacing w:before="200" w:after="300" w:line="300" w:lineRule="atLeast"/>
              <w:rPr>
                <w:rFonts w:eastAsia="MS Gothic"/>
                <w:color w:val="auto"/>
                <w:spacing w:val="5"/>
                <w:kern w:val="28"/>
                <w:sz w:val="24"/>
                <w:szCs w:val="52"/>
              </w:rPr>
            </w:pPr>
            <w:r w:rsidRPr="004465A8">
              <w:rPr>
                <w:rFonts w:eastAsia="MS Gothic"/>
                <w:color w:val="auto"/>
                <w:spacing w:val="5"/>
                <w:kern w:val="28"/>
                <w:sz w:val="24"/>
                <w:szCs w:val="52"/>
              </w:rPr>
              <w:t>A report on the long term cost of the Public Sector Superannuation Scheme and Commonwealth Superannuation Scheme</w:t>
            </w:r>
          </w:p>
          <w:p w:rsidR="00751515" w:rsidRPr="004465A8" w:rsidRDefault="00770E40" w:rsidP="004465A8">
            <w:pPr>
              <w:pStyle w:val="Heading1"/>
              <w:spacing w:before="200" w:after="300" w:line="300" w:lineRule="atLeast"/>
              <w:rPr>
                <w:rFonts w:eastAsia="MS Gothic"/>
                <w:color w:val="auto"/>
                <w:spacing w:val="5"/>
                <w:kern w:val="28"/>
                <w:sz w:val="24"/>
                <w:szCs w:val="52"/>
              </w:rPr>
            </w:pPr>
            <w:r w:rsidRPr="004465A8">
              <w:rPr>
                <w:rFonts w:eastAsia="MS Gothic"/>
                <w:color w:val="auto"/>
                <w:spacing w:val="5"/>
                <w:kern w:val="28"/>
                <w:sz w:val="24"/>
                <w:szCs w:val="52"/>
              </w:rPr>
              <w:t>Prepared by Mercer Consulting (Australia) Pty Ltd using data as at 30 June 2014</w:t>
            </w:r>
          </w:p>
          <w:p w:rsidR="00770E40" w:rsidRPr="00770E40" w:rsidRDefault="00770E40" w:rsidP="00770E40">
            <w:pPr>
              <w:spacing w:before="284" w:after="300" w:line="300" w:lineRule="atLeast"/>
              <w:contextualSpacing/>
              <w:rPr>
                <w:rFonts w:ascii="Arial" w:eastAsia="MS Gothic" w:hAnsi="Arial"/>
                <w:color w:val="1C2735"/>
                <w:spacing w:val="5"/>
                <w:kern w:val="28"/>
                <w:sz w:val="24"/>
                <w:szCs w:val="52"/>
              </w:rPr>
            </w:pPr>
          </w:p>
        </w:tc>
      </w:tr>
      <w:tr w:rsidR="00770E40" w:rsidRPr="00770E40" w:rsidTr="00770E40">
        <w:trPr>
          <w:cantSplit/>
          <w:trHeight w:hRule="exact" w:val="6804"/>
        </w:trPr>
        <w:tc>
          <w:tcPr>
            <w:tcW w:w="10546" w:type="dxa"/>
            <w:gridSpan w:val="2"/>
          </w:tcPr>
          <w:p w:rsidR="00770E40" w:rsidRPr="00770E40" w:rsidRDefault="00770E40" w:rsidP="00770E40">
            <w:pPr>
              <w:spacing w:after="113" w:line="260" w:lineRule="atLeast"/>
              <w:rPr>
                <w:rFonts w:eastAsia="Times New Roman"/>
                <w:szCs w:val="24"/>
              </w:rPr>
            </w:pPr>
            <w:r>
              <w:rPr>
                <w:rFonts w:eastAsia="Times New Roman"/>
                <w:noProof/>
                <w:szCs w:val="24"/>
                <w:lang w:eastAsia="en-AU"/>
              </w:rPr>
              <w:drawing>
                <wp:inline distT="0" distB="0" distL="0" distR="0">
                  <wp:extent cx="6696710" cy="4302760"/>
                  <wp:effectExtent l="19050" t="0" r="8890" b="0"/>
                  <wp:docPr id="14" name="Picture 14" descr="A4_long_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4_long_blue2"/>
                          <pic:cNvPicPr>
                            <a:picLocks noChangeAspect="1" noChangeArrowheads="1"/>
                          </pic:cNvPicPr>
                        </pic:nvPicPr>
                        <pic:blipFill>
                          <a:blip r:embed="rId11"/>
                          <a:srcRect/>
                          <a:stretch>
                            <a:fillRect/>
                          </a:stretch>
                        </pic:blipFill>
                        <pic:spPr bwMode="auto">
                          <a:xfrm>
                            <a:off x="0" y="0"/>
                            <a:ext cx="6696710" cy="4302760"/>
                          </a:xfrm>
                          <a:prstGeom prst="rect">
                            <a:avLst/>
                          </a:prstGeom>
                          <a:noFill/>
                          <a:ln w="9525">
                            <a:noFill/>
                            <a:miter lim="800000"/>
                            <a:headEnd/>
                            <a:tailEnd/>
                          </a:ln>
                        </pic:spPr>
                      </pic:pic>
                    </a:graphicData>
                  </a:graphic>
                </wp:inline>
              </w:drawing>
            </w:r>
          </w:p>
        </w:tc>
      </w:tr>
    </w:tbl>
    <w:p w:rsidR="00413689" w:rsidRDefault="00413689" w:rsidP="00230912"/>
    <w:p w:rsidR="00413689" w:rsidRDefault="00413689">
      <w:pPr>
        <w:spacing w:after="0"/>
      </w:pPr>
      <w:r>
        <w:br w:type="page"/>
      </w:r>
    </w:p>
    <w:p w:rsidR="008C561F" w:rsidRDefault="008C561F" w:rsidP="008C561F">
      <w:pPr>
        <w:pStyle w:val="Header"/>
      </w:pPr>
    </w:p>
    <w:p w:rsidR="008C561F" w:rsidRDefault="008C561F" w:rsidP="008C561F">
      <w:pPr>
        <w:pStyle w:val="Header"/>
      </w:pPr>
    </w:p>
    <w:p w:rsidR="008C561F" w:rsidRDefault="008C561F" w:rsidP="008C561F">
      <w:pPr>
        <w:pStyle w:val="Header"/>
      </w:pPr>
    </w:p>
    <w:p w:rsidR="008C561F" w:rsidRDefault="008C561F" w:rsidP="008C561F">
      <w:pPr>
        <w:pStyle w:val="Header"/>
      </w:pPr>
    </w:p>
    <w:p w:rsidR="008C561F" w:rsidRDefault="008C561F" w:rsidP="008C561F">
      <w:pPr>
        <w:pStyle w:val="Header"/>
      </w:pPr>
    </w:p>
    <w:p w:rsidR="008C561F" w:rsidRDefault="008C561F" w:rsidP="008C561F">
      <w:pPr>
        <w:pStyle w:val="Header"/>
      </w:pPr>
    </w:p>
    <w:p w:rsidR="008C561F" w:rsidRDefault="008C561F" w:rsidP="008C561F">
      <w:pPr>
        <w:pStyle w:val="Header"/>
      </w:pPr>
    </w:p>
    <w:p w:rsidR="008C561F" w:rsidRDefault="008C561F" w:rsidP="008C561F">
      <w:pPr>
        <w:pStyle w:val="Header"/>
      </w:pPr>
    </w:p>
    <w:p w:rsidR="008C561F" w:rsidRDefault="008C561F" w:rsidP="00911D47">
      <w:pPr>
        <w:pStyle w:val="Header"/>
      </w:pPr>
      <w:r>
        <w:rPr>
          <w:noProof/>
          <w:lang w:eastAsia="en-AU"/>
        </w:rPr>
        <w:drawing>
          <wp:inline distT="0" distB="0" distL="0" distR="0">
            <wp:extent cx="1504950" cy="247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504950" cy="247650"/>
                    </a:xfrm>
                    <a:prstGeom prst="rect">
                      <a:avLst/>
                    </a:prstGeom>
                    <a:noFill/>
                    <a:ln w="9525">
                      <a:noFill/>
                      <a:miter lim="800000"/>
                      <a:headEnd/>
                      <a:tailEnd/>
                    </a:ln>
                  </pic:spPr>
                </pic:pic>
              </a:graphicData>
            </a:graphic>
          </wp:inline>
        </w:drawing>
      </w:r>
    </w:p>
    <w:p w:rsidR="008C561F" w:rsidRPr="00911D47" w:rsidRDefault="00800308" w:rsidP="00911D47">
      <w:pPr>
        <w:rPr>
          <w:rStyle w:val="Line"/>
          <w:rFonts w:ascii="Arial" w:hAnsi="Arial" w:cs="Arial"/>
          <w:sz w:val="18"/>
          <w:szCs w:val="18"/>
        </w:rPr>
      </w:pPr>
      <w:r w:rsidRPr="00800308">
        <w:rPr>
          <w:rFonts w:ascii="Arial" w:hAnsi="Arial" w:cs="Arial"/>
          <w:noProof/>
          <w:lang w:eastAsia="en-AU"/>
        </w:rPr>
        <w:pict>
          <v:group id="MMCPrism" o:spid="_x0000_s1026" style="position:absolute;margin-left:0;margin-top:302.5pt;width:612.3pt;height:485.55pt;z-index:251660288;visibility:hidden;mso-position-horizontal-relative:page;mso-position-vertical-relative:page" coordsize="12246,9711">
            <v:shape id="shape1" o:spid="_x0000_s1027" style="position:absolute;width:1440;height:9711;visibility:hidden" coordsize="1440,9711" path="m,l1440,,794,9711,,9711,,xe" fillcolor="#006d9e" stroked="f">
              <v:path arrowok="t"/>
            </v:shape>
            <v:shape id="shape2" o:spid="_x0000_s1028" style="position:absolute;left:794;width:6463;height:9711;visibility:hidden" coordsize="6463,9711" path="m646,l,9711r6463,l646,xe" fillcolor="#00a8c8" stroked="f">
              <v:path arrowok="t"/>
            </v:shape>
            <v:shape id="shape3" o:spid="_x0000_s1029" style="position:absolute;left:1440;width:9048;height:9711;visibility:hidden" coordsize="9048,9711" path="m,l5817,9711r3231,l,xe" fillcolor="#006d9e" stroked="f">
              <v:path arrowok="t"/>
            </v:shape>
            <v:shape id="shape4" o:spid="_x0000_s1030" style="position:absolute;left:1440;width:10806;height:9711;visibility:hidden" coordsize="10806,9711" path="m,l9048,9711r1758,l10806,1400,,xe" fillcolor="#002c77" stroked="f">
              <v:path arrowok="t"/>
            </v:shape>
            <v:shape id="shape5" o:spid="_x0000_s1031" style="position:absolute;left:1440;width:10806;height:1400;visibility:hidden" coordsize="10806,1400" path="m,l10806,1400r,-703l,xe" fillcolor="#a6e2ef" stroked="f">
              <v:path arrowok="t"/>
            </v:shape>
            <w10:wrap anchorx="page" anchory="page"/>
          </v:group>
        </w:pict>
      </w:r>
      <w:r w:rsidR="008C561F" w:rsidRPr="00911D47">
        <w:rPr>
          <w:rStyle w:val="Line"/>
          <w:rFonts w:ascii="Arial" w:hAnsi="Arial" w:cs="Arial"/>
          <w:sz w:val="18"/>
          <w:szCs w:val="18"/>
        </w:rPr>
        <w:t>Mercer Consulting (Australia) Pty Ltd</w:t>
      </w:r>
    </w:p>
    <w:p w:rsidR="008C561F" w:rsidRPr="00911D47" w:rsidRDefault="008C561F" w:rsidP="00911D47">
      <w:pPr>
        <w:rPr>
          <w:rStyle w:val="Line"/>
          <w:rFonts w:ascii="Arial" w:hAnsi="Arial" w:cs="Arial"/>
          <w:sz w:val="18"/>
          <w:szCs w:val="18"/>
        </w:rPr>
      </w:pPr>
      <w:r w:rsidRPr="00911D47">
        <w:rPr>
          <w:rStyle w:val="Line"/>
          <w:rFonts w:ascii="Arial" w:hAnsi="Arial" w:cs="Arial"/>
          <w:sz w:val="18"/>
          <w:szCs w:val="18"/>
        </w:rPr>
        <w:t>ABN 55 153 168 140 AFS Licence # 411770</w:t>
      </w:r>
    </w:p>
    <w:p w:rsidR="008C561F" w:rsidRPr="00911D47" w:rsidRDefault="008C561F" w:rsidP="00911D47">
      <w:pPr>
        <w:rPr>
          <w:rStyle w:val="Line"/>
          <w:rFonts w:ascii="Arial" w:hAnsi="Arial" w:cs="Arial"/>
          <w:sz w:val="18"/>
          <w:szCs w:val="18"/>
        </w:rPr>
      </w:pPr>
      <w:r w:rsidRPr="00911D47">
        <w:rPr>
          <w:rStyle w:val="Line"/>
          <w:rFonts w:ascii="Arial" w:hAnsi="Arial" w:cs="Arial"/>
          <w:sz w:val="18"/>
          <w:szCs w:val="18"/>
        </w:rPr>
        <w:t>Darling Park Tower 3</w:t>
      </w:r>
    </w:p>
    <w:p w:rsidR="008C561F" w:rsidRPr="00911D47" w:rsidRDefault="008C561F" w:rsidP="00911D47">
      <w:pPr>
        <w:rPr>
          <w:rStyle w:val="Line"/>
          <w:rFonts w:ascii="Arial" w:hAnsi="Arial" w:cs="Arial"/>
          <w:sz w:val="18"/>
          <w:szCs w:val="18"/>
        </w:rPr>
      </w:pPr>
      <w:r w:rsidRPr="00911D47">
        <w:rPr>
          <w:rStyle w:val="Line"/>
          <w:rFonts w:ascii="Arial" w:hAnsi="Arial" w:cs="Arial"/>
          <w:sz w:val="18"/>
          <w:szCs w:val="18"/>
        </w:rPr>
        <w:t>201 Sussex Street Sydney NSW 2000</w:t>
      </w:r>
    </w:p>
    <w:p w:rsidR="008C561F" w:rsidRPr="00911D47" w:rsidRDefault="008C561F" w:rsidP="00911D47">
      <w:pPr>
        <w:rPr>
          <w:rStyle w:val="Line"/>
          <w:rFonts w:ascii="Arial" w:hAnsi="Arial" w:cs="Arial"/>
          <w:sz w:val="18"/>
          <w:szCs w:val="18"/>
        </w:rPr>
      </w:pPr>
      <w:r w:rsidRPr="00911D47">
        <w:rPr>
          <w:rStyle w:val="Line"/>
          <w:rFonts w:ascii="Arial" w:hAnsi="Arial" w:cs="Arial"/>
          <w:sz w:val="18"/>
          <w:szCs w:val="18"/>
        </w:rPr>
        <w:t>GPO Box 9946 Sydney NSW 2001</w:t>
      </w:r>
    </w:p>
    <w:p w:rsidR="008C561F" w:rsidRPr="00911D47" w:rsidRDefault="008C561F" w:rsidP="00911D47">
      <w:pPr>
        <w:rPr>
          <w:rStyle w:val="Line"/>
          <w:rFonts w:ascii="Arial" w:hAnsi="Arial" w:cs="Arial"/>
          <w:sz w:val="18"/>
          <w:szCs w:val="18"/>
        </w:rPr>
      </w:pPr>
      <w:r w:rsidRPr="00911D47">
        <w:rPr>
          <w:rStyle w:val="Line"/>
          <w:rFonts w:ascii="Arial" w:hAnsi="Arial" w:cs="Arial"/>
          <w:sz w:val="18"/>
          <w:szCs w:val="18"/>
        </w:rPr>
        <w:t>+61 2 8864 8888</w:t>
      </w:r>
    </w:p>
    <w:p w:rsidR="008C561F" w:rsidRPr="00911D47" w:rsidRDefault="008C561F" w:rsidP="008C561F">
      <w:pPr>
        <w:rPr>
          <w:rStyle w:val="Line"/>
          <w:rFonts w:ascii="Arial" w:hAnsi="Arial" w:cs="Arial"/>
          <w:sz w:val="18"/>
          <w:szCs w:val="18"/>
        </w:rPr>
      </w:pPr>
    </w:p>
    <w:p w:rsidR="008C561F" w:rsidRPr="00911D47" w:rsidRDefault="008C561F" w:rsidP="008C561F">
      <w:pPr>
        <w:pStyle w:val="Pa3"/>
        <w:spacing w:before="40"/>
        <w:rPr>
          <w:rStyle w:val="Line"/>
          <w:rFonts w:ascii="Arial" w:eastAsia="MS Gothic" w:hAnsi="Arial" w:cs="Arial"/>
          <w:b/>
          <w:sz w:val="18"/>
          <w:szCs w:val="18"/>
          <w:lang w:val="en-GB"/>
        </w:rPr>
      </w:pPr>
      <w:r w:rsidRPr="00911D47">
        <w:rPr>
          <w:rStyle w:val="Line"/>
          <w:rFonts w:ascii="Arial" w:eastAsia="MS Gothic" w:hAnsi="Arial" w:cs="Arial"/>
          <w:b/>
          <w:sz w:val="18"/>
          <w:szCs w:val="18"/>
          <w:lang w:val="en-GB"/>
        </w:rPr>
        <w:t xml:space="preserve">Copyright Notice </w:t>
      </w:r>
    </w:p>
    <w:p w:rsidR="008C561F" w:rsidRPr="00911D47" w:rsidRDefault="008C561F" w:rsidP="008C561F">
      <w:pPr>
        <w:rPr>
          <w:rFonts w:ascii="Arial" w:hAnsi="Arial" w:cs="Arial"/>
          <w:sz w:val="18"/>
          <w:szCs w:val="18"/>
        </w:rPr>
      </w:pP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 Commonwealth of Australia 201</w:t>
      </w:r>
      <w:r w:rsidR="000007EE" w:rsidRPr="00911D47">
        <w:rPr>
          <w:rStyle w:val="Line"/>
          <w:rFonts w:ascii="Arial" w:eastAsia="MS Gothic" w:hAnsi="Arial" w:cs="Arial"/>
          <w:sz w:val="18"/>
          <w:szCs w:val="18"/>
          <w:lang w:val="en-GB"/>
        </w:rPr>
        <w:t>5</w:t>
      </w: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 xml:space="preserve">Department of Finance </w:t>
      </w: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(Governance and Resource Management Group)</w:t>
      </w:r>
    </w:p>
    <w:p w:rsidR="008C561F" w:rsidRPr="00911D47" w:rsidRDefault="008C561F" w:rsidP="008C561F">
      <w:pPr>
        <w:rPr>
          <w:rFonts w:ascii="Arial" w:hAnsi="Arial" w:cs="Arial"/>
          <w:sz w:val="18"/>
          <w:szCs w:val="18"/>
        </w:rPr>
      </w:pP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ISBN 978-1-925205-32-9 (Print)</w:t>
      </w: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ISBN 978-1-925205-33-6 (Online)</w:t>
      </w:r>
    </w:p>
    <w:p w:rsidR="008C561F" w:rsidRPr="00911D47" w:rsidRDefault="008C561F" w:rsidP="008C561F">
      <w:pPr>
        <w:rPr>
          <w:rFonts w:ascii="Arial" w:hAnsi="Arial" w:cs="Arial"/>
          <w:sz w:val="18"/>
          <w:szCs w:val="18"/>
        </w:rPr>
      </w:pP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This work is copyright. Apart from any use as permitted under the Copyright Act 1968, no part</w:t>
      </w:r>
      <w:r w:rsidR="00911D47">
        <w:rPr>
          <w:rStyle w:val="Line"/>
          <w:rFonts w:ascii="Arial" w:eastAsia="MS Gothic" w:hAnsi="Arial" w:cs="Arial"/>
          <w:sz w:val="18"/>
          <w:szCs w:val="18"/>
          <w:lang w:val="en-GB"/>
        </w:rPr>
        <w:t xml:space="preserve"> </w:t>
      </w:r>
      <w:r w:rsidRPr="00911D47">
        <w:rPr>
          <w:rStyle w:val="Line"/>
          <w:rFonts w:ascii="Arial" w:eastAsia="MS Gothic" w:hAnsi="Arial" w:cs="Arial"/>
          <w:sz w:val="18"/>
          <w:szCs w:val="18"/>
          <w:lang w:val="en-GB"/>
        </w:rPr>
        <w:t>may be reproduced by any process without prior written permission from the Commonwealth.</w:t>
      </w:r>
    </w:p>
    <w:p w:rsidR="008C561F" w:rsidRPr="00911D47" w:rsidRDefault="008C561F" w:rsidP="008C561F">
      <w:pPr>
        <w:rPr>
          <w:rFonts w:ascii="Arial" w:hAnsi="Arial" w:cs="Arial"/>
          <w:sz w:val="18"/>
          <w:szCs w:val="18"/>
        </w:rPr>
      </w:pP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 xml:space="preserve">Requests and </w:t>
      </w:r>
      <w:r w:rsidR="00911D47" w:rsidRPr="00911D47">
        <w:rPr>
          <w:rStyle w:val="Line"/>
          <w:rFonts w:ascii="Arial" w:eastAsia="MS Gothic" w:hAnsi="Arial" w:cs="Arial"/>
          <w:sz w:val="18"/>
          <w:szCs w:val="18"/>
          <w:lang w:val="en-GB"/>
        </w:rPr>
        <w:t>enquiries</w:t>
      </w:r>
      <w:r w:rsidRPr="00911D47">
        <w:rPr>
          <w:rStyle w:val="Line"/>
          <w:rFonts w:ascii="Arial" w:eastAsia="MS Gothic" w:hAnsi="Arial" w:cs="Arial"/>
          <w:sz w:val="18"/>
          <w:szCs w:val="18"/>
          <w:lang w:val="en-GB"/>
        </w:rPr>
        <w:t xml:space="preserve"> concerning reproduction and rights should be addressed to:</w:t>
      </w: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Communications and Public Affairs</w:t>
      </w: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 xml:space="preserve">Department of Finance </w:t>
      </w: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John Gorton Building</w:t>
      </w: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King Edward Terrace</w:t>
      </w:r>
    </w:p>
    <w:p w:rsidR="008C561F" w:rsidRPr="00911D47" w:rsidRDefault="008C561F" w:rsidP="008C561F">
      <w:pPr>
        <w:pStyle w:val="Pa3"/>
        <w:spacing w:before="40"/>
        <w:rPr>
          <w:rStyle w:val="Line"/>
          <w:rFonts w:ascii="Arial" w:eastAsia="MS Gothic" w:hAnsi="Arial" w:cs="Arial"/>
          <w:sz w:val="18"/>
          <w:szCs w:val="18"/>
          <w:lang w:val="en-GB"/>
        </w:rPr>
      </w:pPr>
      <w:r w:rsidRPr="00911D47">
        <w:rPr>
          <w:rStyle w:val="Line"/>
          <w:rFonts w:ascii="Arial" w:eastAsia="MS Gothic" w:hAnsi="Arial" w:cs="Arial"/>
          <w:sz w:val="18"/>
          <w:szCs w:val="18"/>
          <w:lang w:val="en-GB"/>
        </w:rPr>
        <w:t>PARKES ACT 2600</w:t>
      </w:r>
    </w:p>
    <w:p w:rsidR="008C561F" w:rsidRPr="00911D47" w:rsidRDefault="008C561F" w:rsidP="008C561F">
      <w:pPr>
        <w:spacing w:after="0"/>
        <w:rPr>
          <w:rStyle w:val="Line"/>
          <w:rFonts w:ascii="Arial" w:hAnsi="Arial" w:cs="Arial"/>
          <w:sz w:val="18"/>
          <w:szCs w:val="18"/>
        </w:rPr>
      </w:pPr>
      <w:proofErr w:type="gramStart"/>
      <w:r w:rsidRPr="00911D47">
        <w:rPr>
          <w:rStyle w:val="Line"/>
          <w:rFonts w:ascii="Arial" w:hAnsi="Arial" w:cs="Arial"/>
          <w:sz w:val="18"/>
          <w:szCs w:val="18"/>
        </w:rPr>
        <w:t>or</w:t>
      </w:r>
      <w:proofErr w:type="gramEnd"/>
      <w:r w:rsidRPr="00911D47">
        <w:rPr>
          <w:rStyle w:val="Line"/>
          <w:rFonts w:ascii="Arial" w:hAnsi="Arial" w:cs="Arial"/>
          <w:sz w:val="18"/>
          <w:szCs w:val="18"/>
        </w:rPr>
        <w:t xml:space="preserve"> emailed to capa@finance.gov.au</w:t>
      </w:r>
    </w:p>
    <w:p w:rsidR="003905F5" w:rsidRDefault="003905F5" w:rsidP="00230912"/>
    <w:p w:rsidR="00F159F2" w:rsidRDefault="00F159F2" w:rsidP="00230912">
      <w:pPr>
        <w:sectPr w:rsidR="00F159F2" w:rsidSect="008A4A81">
          <w:headerReference w:type="default" r:id="rId13"/>
          <w:footerReference w:type="default" r:id="rId14"/>
          <w:pgSz w:w="11900" w:h="16840" w:code="9"/>
          <w:pgMar w:top="1701" w:right="1985" w:bottom="1701" w:left="1985" w:header="510" w:footer="510" w:gutter="0"/>
          <w:pgNumType w:start="1"/>
          <w:cols w:space="708"/>
          <w:docGrid w:linePitch="360"/>
        </w:sectPr>
      </w:pPr>
    </w:p>
    <w:p w:rsidR="00F159F2" w:rsidRPr="00275489" w:rsidRDefault="00F159F2" w:rsidP="0056265C">
      <w:pPr>
        <w:pStyle w:val="contents1"/>
      </w:pPr>
      <w:bookmarkStart w:id="0" w:name="_Toc326738547"/>
      <w:bookmarkStart w:id="1" w:name="_Toc326741616"/>
      <w:bookmarkStart w:id="2" w:name="_Toc326745412"/>
      <w:bookmarkStart w:id="3" w:name="_Toc326763248"/>
      <w:bookmarkStart w:id="4" w:name="_Toc326832289"/>
      <w:r w:rsidRPr="00275489">
        <w:lastRenderedPageBreak/>
        <w:t>Contents</w:t>
      </w:r>
      <w:bookmarkEnd w:id="0"/>
      <w:bookmarkEnd w:id="1"/>
      <w:bookmarkEnd w:id="2"/>
      <w:bookmarkEnd w:id="3"/>
      <w:bookmarkEnd w:id="4"/>
      <w:r w:rsidRPr="00275489">
        <w:t xml:space="preserve"> </w:t>
      </w:r>
    </w:p>
    <w:p w:rsidR="0056265C" w:rsidRDefault="00800308">
      <w:pPr>
        <w:pStyle w:val="TOC1"/>
        <w:rPr>
          <w:rFonts w:asciiTheme="minorHAnsi" w:eastAsiaTheme="minorEastAsia" w:hAnsiTheme="minorHAnsi" w:cstheme="minorBidi"/>
          <w:b w:val="0"/>
          <w:bCs w:val="0"/>
          <w:iCs w:val="0"/>
          <w:color w:val="auto"/>
          <w:spacing w:val="0"/>
          <w:sz w:val="22"/>
          <w:szCs w:val="22"/>
          <w:lang w:eastAsia="en-AU"/>
        </w:rPr>
      </w:pPr>
      <w:r w:rsidRPr="00800308">
        <w:fldChar w:fldCharType="begin"/>
      </w:r>
      <w:r w:rsidR="00143144">
        <w:instrText xml:space="preserve"> TOC \t "Heading 2,1,Heading 3,2,Heading 2 (no numbers),1,Heading 3 (no numbers),2" </w:instrText>
      </w:r>
      <w:r w:rsidRPr="00800308">
        <w:fldChar w:fldCharType="separate"/>
      </w:r>
      <w:r w:rsidR="0056265C">
        <w:t>1.</w:t>
      </w:r>
      <w:r w:rsidR="0056265C">
        <w:rPr>
          <w:rFonts w:asciiTheme="minorHAnsi" w:eastAsiaTheme="minorEastAsia" w:hAnsiTheme="minorHAnsi" w:cstheme="minorBidi"/>
          <w:b w:val="0"/>
          <w:bCs w:val="0"/>
          <w:iCs w:val="0"/>
          <w:color w:val="auto"/>
          <w:spacing w:val="0"/>
          <w:sz w:val="22"/>
          <w:szCs w:val="22"/>
          <w:lang w:eastAsia="en-AU"/>
        </w:rPr>
        <w:tab/>
      </w:r>
      <w:r w:rsidR="0056265C">
        <w:t>Executive Summary</w:t>
      </w:r>
      <w:r w:rsidR="0056265C">
        <w:tab/>
      </w:r>
      <w:r>
        <w:fldChar w:fldCharType="begin"/>
      </w:r>
      <w:r w:rsidR="0056265C">
        <w:instrText xml:space="preserve"> PAGEREF _Toc422302156 \h </w:instrText>
      </w:r>
      <w:r>
        <w:fldChar w:fldCharType="separate"/>
      </w:r>
      <w:r w:rsidR="00472381">
        <w:t>4</w:t>
      </w:r>
      <w:r>
        <w:fldChar w:fldCharType="end"/>
      </w:r>
    </w:p>
    <w:p w:rsidR="0056265C" w:rsidRDefault="0056265C">
      <w:pPr>
        <w:pStyle w:val="TOC1"/>
        <w:rPr>
          <w:rFonts w:asciiTheme="minorHAnsi" w:eastAsiaTheme="minorEastAsia" w:hAnsiTheme="minorHAnsi" w:cstheme="minorBidi"/>
          <w:b w:val="0"/>
          <w:bCs w:val="0"/>
          <w:iCs w:val="0"/>
          <w:color w:val="auto"/>
          <w:spacing w:val="0"/>
          <w:sz w:val="22"/>
          <w:szCs w:val="22"/>
          <w:lang w:eastAsia="en-AU"/>
        </w:rPr>
      </w:pPr>
      <w:r>
        <w:t>2.</w:t>
      </w:r>
      <w:r>
        <w:rPr>
          <w:rFonts w:asciiTheme="minorHAnsi" w:eastAsiaTheme="minorEastAsia" w:hAnsiTheme="minorHAnsi" w:cstheme="minorBidi"/>
          <w:b w:val="0"/>
          <w:bCs w:val="0"/>
          <w:iCs w:val="0"/>
          <w:color w:val="auto"/>
          <w:spacing w:val="0"/>
          <w:sz w:val="22"/>
          <w:szCs w:val="22"/>
          <w:lang w:eastAsia="en-AU"/>
        </w:rPr>
        <w:tab/>
      </w:r>
      <w:r>
        <w:t>Scheme Information and Assets</w:t>
      </w:r>
      <w:r>
        <w:tab/>
      </w:r>
      <w:r w:rsidR="00800308">
        <w:fldChar w:fldCharType="begin"/>
      </w:r>
      <w:r>
        <w:instrText xml:space="preserve"> PAGEREF _Toc422302157 \h </w:instrText>
      </w:r>
      <w:r w:rsidR="00800308">
        <w:fldChar w:fldCharType="separate"/>
      </w:r>
      <w:r w:rsidR="00472381">
        <w:t>9</w:t>
      </w:r>
      <w:r w:rsidR="00800308">
        <w:fldChar w:fldCharType="end"/>
      </w:r>
    </w:p>
    <w:p w:rsidR="0056265C" w:rsidRDefault="0056265C">
      <w:pPr>
        <w:pStyle w:val="TOC1"/>
        <w:rPr>
          <w:rFonts w:asciiTheme="minorHAnsi" w:eastAsiaTheme="minorEastAsia" w:hAnsiTheme="minorHAnsi" w:cstheme="minorBidi"/>
          <w:b w:val="0"/>
          <w:bCs w:val="0"/>
          <w:iCs w:val="0"/>
          <w:color w:val="auto"/>
          <w:spacing w:val="0"/>
          <w:sz w:val="22"/>
          <w:szCs w:val="22"/>
          <w:lang w:eastAsia="en-AU"/>
        </w:rPr>
      </w:pPr>
      <w:r>
        <w:t>3.</w:t>
      </w:r>
      <w:r>
        <w:rPr>
          <w:rFonts w:asciiTheme="minorHAnsi" w:eastAsiaTheme="minorEastAsia" w:hAnsiTheme="minorHAnsi" w:cstheme="minorBidi"/>
          <w:b w:val="0"/>
          <w:bCs w:val="0"/>
          <w:iCs w:val="0"/>
          <w:color w:val="auto"/>
          <w:spacing w:val="0"/>
          <w:sz w:val="22"/>
          <w:szCs w:val="22"/>
          <w:lang w:eastAsia="en-AU"/>
        </w:rPr>
        <w:tab/>
      </w:r>
      <w:r>
        <w:t>Membership and Data</w:t>
      </w:r>
      <w:r>
        <w:tab/>
      </w:r>
      <w:r w:rsidR="00800308">
        <w:fldChar w:fldCharType="begin"/>
      </w:r>
      <w:r>
        <w:instrText xml:space="preserve"> PAGEREF _Toc422302158 \h </w:instrText>
      </w:r>
      <w:r w:rsidR="00800308">
        <w:fldChar w:fldCharType="separate"/>
      </w:r>
      <w:r w:rsidR="00472381">
        <w:t>12</w:t>
      </w:r>
      <w:r w:rsidR="00800308">
        <w:fldChar w:fldCharType="end"/>
      </w:r>
    </w:p>
    <w:p w:rsidR="0056265C" w:rsidRDefault="0056265C">
      <w:pPr>
        <w:pStyle w:val="TOC1"/>
        <w:rPr>
          <w:rFonts w:asciiTheme="minorHAnsi" w:eastAsiaTheme="minorEastAsia" w:hAnsiTheme="minorHAnsi" w:cstheme="minorBidi"/>
          <w:b w:val="0"/>
          <w:bCs w:val="0"/>
          <w:iCs w:val="0"/>
          <w:color w:val="auto"/>
          <w:spacing w:val="0"/>
          <w:sz w:val="22"/>
          <w:szCs w:val="22"/>
          <w:lang w:eastAsia="en-AU"/>
        </w:rPr>
      </w:pPr>
      <w:r>
        <w:t>4.</w:t>
      </w:r>
      <w:r>
        <w:rPr>
          <w:rFonts w:asciiTheme="minorHAnsi" w:eastAsiaTheme="minorEastAsia" w:hAnsiTheme="minorHAnsi" w:cstheme="minorBidi"/>
          <w:b w:val="0"/>
          <w:bCs w:val="0"/>
          <w:iCs w:val="0"/>
          <w:color w:val="auto"/>
          <w:spacing w:val="0"/>
          <w:sz w:val="22"/>
          <w:szCs w:val="22"/>
          <w:lang w:eastAsia="en-AU"/>
        </w:rPr>
        <w:tab/>
      </w:r>
      <w:r>
        <w:t>Assumptions</w:t>
      </w:r>
      <w:r>
        <w:tab/>
      </w:r>
      <w:r w:rsidR="00800308">
        <w:fldChar w:fldCharType="begin"/>
      </w:r>
      <w:r>
        <w:instrText xml:space="preserve"> PAGEREF _Toc422302159 \h </w:instrText>
      </w:r>
      <w:r w:rsidR="00800308">
        <w:fldChar w:fldCharType="separate"/>
      </w:r>
      <w:r w:rsidR="00472381">
        <w:t>16</w:t>
      </w:r>
      <w:r w:rsidR="00800308">
        <w:fldChar w:fldCharType="end"/>
      </w:r>
    </w:p>
    <w:p w:rsidR="0056265C" w:rsidRDefault="0056265C">
      <w:pPr>
        <w:pStyle w:val="TOC1"/>
        <w:rPr>
          <w:rFonts w:asciiTheme="minorHAnsi" w:eastAsiaTheme="minorEastAsia" w:hAnsiTheme="minorHAnsi" w:cstheme="minorBidi"/>
          <w:b w:val="0"/>
          <w:bCs w:val="0"/>
          <w:iCs w:val="0"/>
          <w:color w:val="auto"/>
          <w:spacing w:val="0"/>
          <w:sz w:val="22"/>
          <w:szCs w:val="22"/>
          <w:lang w:eastAsia="en-AU"/>
        </w:rPr>
      </w:pPr>
      <w:r>
        <w:t>5.</w:t>
      </w:r>
      <w:r>
        <w:rPr>
          <w:rFonts w:asciiTheme="minorHAnsi" w:eastAsiaTheme="minorEastAsia" w:hAnsiTheme="minorHAnsi" w:cstheme="minorBidi"/>
          <w:b w:val="0"/>
          <w:bCs w:val="0"/>
          <w:iCs w:val="0"/>
          <w:color w:val="auto"/>
          <w:spacing w:val="0"/>
          <w:sz w:val="22"/>
          <w:szCs w:val="22"/>
          <w:lang w:eastAsia="en-AU"/>
        </w:rPr>
        <w:tab/>
      </w:r>
      <w:r>
        <w:t>Unfunded Liability</w:t>
      </w:r>
      <w:r>
        <w:tab/>
      </w:r>
      <w:r w:rsidR="00800308">
        <w:fldChar w:fldCharType="begin"/>
      </w:r>
      <w:r>
        <w:instrText xml:space="preserve"> PAGEREF _Toc422302160 \h </w:instrText>
      </w:r>
      <w:r w:rsidR="00800308">
        <w:fldChar w:fldCharType="separate"/>
      </w:r>
      <w:r w:rsidR="00472381">
        <w:t>25</w:t>
      </w:r>
      <w:r w:rsidR="00800308">
        <w:fldChar w:fldCharType="end"/>
      </w:r>
    </w:p>
    <w:p w:rsidR="0056265C" w:rsidRDefault="0056265C">
      <w:pPr>
        <w:pStyle w:val="TOC1"/>
        <w:rPr>
          <w:rFonts w:asciiTheme="minorHAnsi" w:eastAsiaTheme="minorEastAsia" w:hAnsiTheme="minorHAnsi" w:cstheme="minorBidi"/>
          <w:b w:val="0"/>
          <w:bCs w:val="0"/>
          <w:iCs w:val="0"/>
          <w:color w:val="auto"/>
          <w:spacing w:val="0"/>
          <w:sz w:val="22"/>
          <w:szCs w:val="22"/>
          <w:lang w:eastAsia="en-AU"/>
        </w:rPr>
      </w:pPr>
      <w:r>
        <w:t>6.</w:t>
      </w:r>
      <w:r>
        <w:rPr>
          <w:rFonts w:asciiTheme="minorHAnsi" w:eastAsiaTheme="minorEastAsia" w:hAnsiTheme="minorHAnsi" w:cstheme="minorBidi"/>
          <w:b w:val="0"/>
          <w:bCs w:val="0"/>
          <w:iCs w:val="0"/>
          <w:color w:val="auto"/>
          <w:spacing w:val="0"/>
          <w:sz w:val="22"/>
          <w:szCs w:val="22"/>
          <w:lang w:eastAsia="en-AU"/>
        </w:rPr>
        <w:tab/>
      </w:r>
      <w:r>
        <w:t>Projected Outlays</w:t>
      </w:r>
      <w:r>
        <w:tab/>
      </w:r>
      <w:r w:rsidR="00800308">
        <w:fldChar w:fldCharType="begin"/>
      </w:r>
      <w:r>
        <w:instrText xml:space="preserve"> PAGEREF _Toc422302161 \h </w:instrText>
      </w:r>
      <w:r w:rsidR="00800308">
        <w:fldChar w:fldCharType="separate"/>
      </w:r>
      <w:r w:rsidR="00472381">
        <w:t>29</w:t>
      </w:r>
      <w:r w:rsidR="00800308">
        <w:fldChar w:fldCharType="end"/>
      </w:r>
    </w:p>
    <w:p w:rsidR="0056265C" w:rsidRDefault="0056265C">
      <w:pPr>
        <w:pStyle w:val="TOC1"/>
        <w:rPr>
          <w:rFonts w:asciiTheme="minorHAnsi" w:eastAsiaTheme="minorEastAsia" w:hAnsiTheme="minorHAnsi" w:cstheme="minorBidi"/>
          <w:b w:val="0"/>
          <w:bCs w:val="0"/>
          <w:iCs w:val="0"/>
          <w:color w:val="auto"/>
          <w:spacing w:val="0"/>
          <w:sz w:val="22"/>
          <w:szCs w:val="22"/>
          <w:lang w:eastAsia="en-AU"/>
        </w:rPr>
      </w:pPr>
      <w:r>
        <w:rPr>
          <w:lang w:eastAsia="en-AU"/>
        </w:rPr>
        <w:t>7.</w:t>
      </w:r>
      <w:r>
        <w:rPr>
          <w:rFonts w:asciiTheme="minorHAnsi" w:eastAsiaTheme="minorEastAsia" w:hAnsiTheme="minorHAnsi" w:cstheme="minorBidi"/>
          <w:b w:val="0"/>
          <w:bCs w:val="0"/>
          <w:iCs w:val="0"/>
          <w:color w:val="auto"/>
          <w:spacing w:val="0"/>
          <w:sz w:val="22"/>
          <w:szCs w:val="22"/>
          <w:lang w:eastAsia="en-AU"/>
        </w:rPr>
        <w:tab/>
      </w:r>
      <w:r>
        <w:rPr>
          <w:lang w:eastAsia="en-AU"/>
        </w:rPr>
        <w:t>Notional Employer Contribution Rates</w:t>
      </w:r>
      <w:r>
        <w:tab/>
      </w:r>
      <w:r w:rsidR="00800308">
        <w:fldChar w:fldCharType="begin"/>
      </w:r>
      <w:r>
        <w:instrText xml:space="preserve"> PAGEREF _Toc422302162 \h </w:instrText>
      </w:r>
      <w:r w:rsidR="00800308">
        <w:fldChar w:fldCharType="separate"/>
      </w:r>
      <w:r w:rsidR="00472381">
        <w:t>33</w:t>
      </w:r>
      <w:r w:rsidR="00800308">
        <w:fldChar w:fldCharType="end"/>
      </w:r>
    </w:p>
    <w:p w:rsidR="0056265C" w:rsidRDefault="0056265C">
      <w:pPr>
        <w:pStyle w:val="TOC1"/>
        <w:rPr>
          <w:rFonts w:asciiTheme="minorHAnsi" w:eastAsiaTheme="minorEastAsia" w:hAnsiTheme="minorHAnsi" w:cstheme="minorBidi"/>
          <w:b w:val="0"/>
          <w:bCs w:val="0"/>
          <w:iCs w:val="0"/>
          <w:color w:val="auto"/>
          <w:spacing w:val="0"/>
          <w:sz w:val="22"/>
          <w:szCs w:val="22"/>
          <w:lang w:eastAsia="en-AU"/>
        </w:rPr>
      </w:pPr>
      <w:r>
        <w:rPr>
          <w:lang w:eastAsia="en-AU"/>
        </w:rPr>
        <w:t>8.</w:t>
      </w:r>
      <w:r>
        <w:rPr>
          <w:rFonts w:asciiTheme="minorHAnsi" w:eastAsiaTheme="minorEastAsia" w:hAnsiTheme="minorHAnsi" w:cstheme="minorBidi"/>
          <w:b w:val="0"/>
          <w:bCs w:val="0"/>
          <w:iCs w:val="0"/>
          <w:color w:val="auto"/>
          <w:spacing w:val="0"/>
          <w:sz w:val="22"/>
          <w:szCs w:val="22"/>
          <w:lang w:eastAsia="en-AU"/>
        </w:rPr>
        <w:tab/>
      </w:r>
      <w:r>
        <w:rPr>
          <w:lang w:eastAsia="en-AU"/>
        </w:rPr>
        <w:t>Sensitivity Analysis</w:t>
      </w:r>
      <w:r>
        <w:tab/>
      </w:r>
      <w:r w:rsidR="00800308">
        <w:fldChar w:fldCharType="begin"/>
      </w:r>
      <w:r>
        <w:instrText xml:space="preserve"> PAGEREF _Toc422302163 \h </w:instrText>
      </w:r>
      <w:r w:rsidR="00800308">
        <w:fldChar w:fldCharType="separate"/>
      </w:r>
      <w:r w:rsidR="00472381">
        <w:t>35</w:t>
      </w:r>
      <w:r w:rsidR="00800308">
        <w:fldChar w:fldCharType="end"/>
      </w:r>
    </w:p>
    <w:p w:rsidR="0056265C" w:rsidRDefault="0056265C">
      <w:pPr>
        <w:pStyle w:val="TOC1"/>
        <w:rPr>
          <w:rFonts w:asciiTheme="minorHAnsi" w:eastAsiaTheme="minorEastAsia" w:hAnsiTheme="minorHAnsi" w:cstheme="minorBidi"/>
          <w:b w:val="0"/>
          <w:bCs w:val="0"/>
          <w:iCs w:val="0"/>
          <w:color w:val="auto"/>
          <w:spacing w:val="0"/>
          <w:sz w:val="22"/>
          <w:szCs w:val="22"/>
          <w:lang w:eastAsia="en-AU"/>
        </w:rPr>
      </w:pPr>
      <w:r>
        <w:t>Appendix A: Summary of Benefit Provisions</w:t>
      </w:r>
      <w:r>
        <w:tab/>
      </w:r>
      <w:r w:rsidR="00800308">
        <w:fldChar w:fldCharType="begin"/>
      </w:r>
      <w:r>
        <w:instrText xml:space="preserve"> PAGEREF _Toc422302164 \h </w:instrText>
      </w:r>
      <w:r w:rsidR="00800308">
        <w:fldChar w:fldCharType="separate"/>
      </w:r>
      <w:r w:rsidR="00472381">
        <w:t>44</w:t>
      </w:r>
      <w:r w:rsidR="00800308">
        <w:fldChar w:fldCharType="end"/>
      </w:r>
    </w:p>
    <w:p w:rsidR="0056265C" w:rsidRDefault="0056265C">
      <w:pPr>
        <w:pStyle w:val="TOC1"/>
        <w:rPr>
          <w:rFonts w:asciiTheme="minorHAnsi" w:eastAsiaTheme="minorEastAsia" w:hAnsiTheme="minorHAnsi" w:cstheme="minorBidi"/>
          <w:b w:val="0"/>
          <w:bCs w:val="0"/>
          <w:iCs w:val="0"/>
          <w:color w:val="auto"/>
          <w:spacing w:val="0"/>
          <w:sz w:val="22"/>
          <w:szCs w:val="22"/>
          <w:lang w:eastAsia="en-AU"/>
        </w:rPr>
      </w:pPr>
      <w:r>
        <w:t>Appendix B: Detailed Assumptions</w:t>
      </w:r>
      <w:r>
        <w:tab/>
      </w:r>
      <w:r w:rsidR="00800308">
        <w:fldChar w:fldCharType="begin"/>
      </w:r>
      <w:r>
        <w:instrText xml:space="preserve"> PAGEREF _Toc422302165 \h </w:instrText>
      </w:r>
      <w:r w:rsidR="00800308">
        <w:fldChar w:fldCharType="separate"/>
      </w:r>
      <w:r w:rsidR="00472381">
        <w:t>51</w:t>
      </w:r>
      <w:r w:rsidR="00800308">
        <w:fldChar w:fldCharType="end"/>
      </w:r>
    </w:p>
    <w:p w:rsidR="0056265C" w:rsidRDefault="0056265C">
      <w:pPr>
        <w:pStyle w:val="TOC1"/>
        <w:rPr>
          <w:rFonts w:asciiTheme="minorHAnsi" w:eastAsiaTheme="minorEastAsia" w:hAnsiTheme="minorHAnsi" w:cstheme="minorBidi"/>
          <w:b w:val="0"/>
          <w:bCs w:val="0"/>
          <w:iCs w:val="0"/>
          <w:color w:val="auto"/>
          <w:spacing w:val="0"/>
          <w:sz w:val="22"/>
          <w:szCs w:val="22"/>
          <w:lang w:eastAsia="en-AU"/>
        </w:rPr>
      </w:pPr>
      <w:r>
        <w:t>Appendix C: Actuary’s Certification</w:t>
      </w:r>
      <w:r>
        <w:tab/>
      </w:r>
      <w:r w:rsidR="00800308">
        <w:fldChar w:fldCharType="begin"/>
      </w:r>
      <w:r>
        <w:instrText xml:space="preserve"> PAGEREF _Toc422302166 \h </w:instrText>
      </w:r>
      <w:r w:rsidR="00800308">
        <w:fldChar w:fldCharType="separate"/>
      </w:r>
      <w:r w:rsidR="00472381">
        <w:t>63</w:t>
      </w:r>
      <w:r w:rsidR="00800308">
        <w:fldChar w:fldCharType="end"/>
      </w:r>
    </w:p>
    <w:p w:rsidR="00143144" w:rsidRDefault="00800308" w:rsidP="00143144">
      <w:pPr>
        <w:pStyle w:val="Bodytextbeforebullets"/>
        <w:rPr>
          <w:rFonts w:eastAsia="MS Gothic"/>
        </w:rPr>
      </w:pPr>
      <w:r>
        <w:rPr>
          <w:rFonts w:eastAsia="MS Gothic"/>
        </w:rPr>
        <w:fldChar w:fldCharType="end"/>
      </w:r>
    </w:p>
    <w:p w:rsidR="00BC1AA9" w:rsidRDefault="00BC1AA9" w:rsidP="00770E40">
      <w:pPr>
        <w:pStyle w:val="Sourcenotetext"/>
        <w:sectPr w:rsidR="00BC1AA9" w:rsidSect="00143144">
          <w:headerReference w:type="even" r:id="rId15"/>
          <w:headerReference w:type="default" r:id="rId16"/>
          <w:footerReference w:type="even" r:id="rId17"/>
          <w:pgSz w:w="11900" w:h="16840" w:code="9"/>
          <w:pgMar w:top="1701" w:right="1985" w:bottom="1701" w:left="1985" w:header="510" w:footer="510" w:gutter="0"/>
          <w:cols w:space="708"/>
          <w:docGrid w:linePitch="360"/>
        </w:sectPr>
      </w:pPr>
    </w:p>
    <w:p w:rsidR="004F35A3" w:rsidRDefault="004F35A3" w:rsidP="00DF00E2">
      <w:pPr>
        <w:pStyle w:val="Heading2"/>
        <w:spacing w:after="720"/>
      </w:pPr>
      <w:bookmarkStart w:id="5" w:name="_Toc422302156"/>
      <w:bookmarkStart w:id="6" w:name="_Toc323302560"/>
      <w:r>
        <w:lastRenderedPageBreak/>
        <w:t>Executive Summary</w:t>
      </w:r>
      <w:bookmarkEnd w:id="5"/>
    </w:p>
    <w:p w:rsidR="004F35A3" w:rsidRDefault="004F35A3" w:rsidP="00B25A64">
      <w:pPr>
        <w:pStyle w:val="Numberedpara1stindent"/>
      </w:pPr>
      <w:r w:rsidRPr="00CC38D3">
        <w:t xml:space="preserve">We are pleased to present this </w:t>
      </w:r>
      <w:r>
        <w:t>R</w:t>
      </w:r>
      <w:r w:rsidRPr="00CC38D3">
        <w:t>eport on the actuarial investigation of the long term costs of the Public Sector Superannuation Scheme (PSS) and the Commonwealth Superannuation Scheme (CSS</w:t>
      </w:r>
      <w:r>
        <w:t xml:space="preserve">), </w:t>
      </w:r>
      <w:r w:rsidRPr="00CC38D3">
        <w:t>prepared at the request of the Department of Finance</w:t>
      </w:r>
      <w:r>
        <w:t xml:space="preserve">. </w:t>
      </w:r>
      <w:r w:rsidRPr="00CC38D3">
        <w:t xml:space="preserve">This </w:t>
      </w:r>
      <w:r>
        <w:t>Report</w:t>
      </w:r>
      <w:r w:rsidRPr="00CC38D3">
        <w:t xml:space="preserve"> has been carried out based on membership data as at 30 June </w:t>
      </w:r>
      <w:r>
        <w:t>2014</w:t>
      </w:r>
      <w:r w:rsidRPr="00CC38D3">
        <w:t>.</w:t>
      </w:r>
    </w:p>
    <w:p w:rsidR="004F35A3" w:rsidRPr="007E3448" w:rsidRDefault="004F35A3" w:rsidP="00E125B0">
      <w:pPr>
        <w:pStyle w:val="Heading3nonumbers"/>
      </w:pPr>
      <w:r w:rsidRPr="007E3448">
        <w:t>Previous PSS and CSS Long Term Cost Report</w:t>
      </w:r>
    </w:p>
    <w:p w:rsidR="004F35A3" w:rsidRPr="00F414F0" w:rsidRDefault="00B25A64" w:rsidP="00B25A64">
      <w:pPr>
        <w:pStyle w:val="Numberedpara1stindent"/>
      </w:pPr>
      <w:r w:rsidRPr="00B25A64">
        <w:t>The previous</w:t>
      </w:r>
      <w:r w:rsidRPr="00F55F51">
        <w:t xml:space="preserve"> actuarial investigation into the long term costs of the PSS and CSS w</w:t>
      </w:r>
      <w:r w:rsidRPr="00B25A64">
        <w:t xml:space="preserve">as </w:t>
      </w:r>
      <w:r w:rsidRPr="00F55F51">
        <w:t>undertaken by</w:t>
      </w:r>
      <w:r w:rsidRPr="00CC38D3">
        <w:t xml:space="preserve"> </w:t>
      </w:r>
      <w:r w:rsidRPr="00B25A64">
        <w:t>Mercer Consulting (Australia) Pty Limited</w:t>
      </w:r>
      <w:r>
        <w:t xml:space="preserve"> </w:t>
      </w:r>
      <w:r w:rsidRPr="00CC38D3">
        <w:t>based on data as at 30 June </w:t>
      </w:r>
      <w:r>
        <w:t xml:space="preserve">2011. The outcomes of this investigation are outlined in the </w:t>
      </w:r>
      <w:r w:rsidRPr="00B25A64">
        <w:t xml:space="preserve">PSS and CSS Long Term Cost Report 2011 </w:t>
      </w:r>
      <w:r>
        <w:t>(2011 Report) dated 14 April 2012.</w:t>
      </w:r>
    </w:p>
    <w:p w:rsidR="00B25A64" w:rsidRPr="007E3448" w:rsidRDefault="00B25A64" w:rsidP="00E125B0">
      <w:pPr>
        <w:pStyle w:val="Heading3nonumbers"/>
      </w:pPr>
      <w:r w:rsidRPr="007E3448">
        <w:t>Purpose of the Report</w:t>
      </w:r>
    </w:p>
    <w:p w:rsidR="00B25A64" w:rsidRDefault="00B25A64" w:rsidP="00BB234C">
      <w:pPr>
        <w:pStyle w:val="Numberedpara1stindent"/>
        <w:spacing w:after="120"/>
      </w:pPr>
      <w:r w:rsidRPr="00AA56D7">
        <w:t xml:space="preserve">This </w:t>
      </w:r>
      <w:r>
        <w:t>R</w:t>
      </w:r>
      <w:r w:rsidRPr="00AA56D7">
        <w:t xml:space="preserve">eport estimates the long term cost of providing superannuation benefits to members of the </w:t>
      </w:r>
      <w:r>
        <w:t>PSS</w:t>
      </w:r>
      <w:r w:rsidRPr="00AA56D7">
        <w:t xml:space="preserve"> and the </w:t>
      </w:r>
      <w:r>
        <w:t xml:space="preserve">CSS. </w:t>
      </w:r>
      <w:r w:rsidRPr="00AA4052">
        <w:t xml:space="preserve">The </w:t>
      </w:r>
      <w:r>
        <w:t xml:space="preserve">scheme </w:t>
      </w:r>
      <w:r w:rsidRPr="00AA4052">
        <w:t>cost</w:t>
      </w:r>
      <w:r>
        <w:t>s</w:t>
      </w:r>
      <w:r w:rsidRPr="00AA4052">
        <w:t xml:space="preserve"> have been estimated </w:t>
      </w:r>
      <w:r>
        <w:t>in the following ways:</w:t>
      </w:r>
    </w:p>
    <w:p w:rsidR="00B25A64" w:rsidRDefault="00B25A64" w:rsidP="00BB234C">
      <w:pPr>
        <w:pStyle w:val="Numberedpara2ndindent"/>
        <w:spacing w:after="120"/>
      </w:pPr>
      <w:r w:rsidRPr="00B25A64">
        <w:t>Unfunded Liability</w:t>
      </w:r>
      <w:r>
        <w:t>;</w:t>
      </w:r>
    </w:p>
    <w:p w:rsidR="00B25A64" w:rsidRDefault="00B25A64" w:rsidP="00BB234C">
      <w:pPr>
        <w:pStyle w:val="Numberedpara2ndindent"/>
        <w:spacing w:after="120"/>
      </w:pPr>
      <w:r w:rsidRPr="00B25A64">
        <w:t>Projected Outlays</w:t>
      </w:r>
      <w:r>
        <w:t>; and</w:t>
      </w:r>
    </w:p>
    <w:p w:rsidR="00B25A64" w:rsidRDefault="00B25A64" w:rsidP="00B25A64">
      <w:pPr>
        <w:pStyle w:val="Numberedpara2ndindent"/>
      </w:pPr>
      <w:r w:rsidRPr="00B25A64">
        <w:t>Notional Employer Contribution Rates</w:t>
      </w:r>
      <w:r>
        <w:t>.</w:t>
      </w:r>
    </w:p>
    <w:p w:rsidR="00B25A64" w:rsidRPr="007E3448" w:rsidRDefault="00B25A64" w:rsidP="00E125B0">
      <w:pPr>
        <w:pStyle w:val="Heading3nonumbers"/>
      </w:pPr>
      <w:r w:rsidRPr="007E3448">
        <w:t xml:space="preserve">Unfunded Liability </w:t>
      </w:r>
    </w:p>
    <w:p w:rsidR="00B25A64" w:rsidRDefault="00B25A64" w:rsidP="00D75375">
      <w:pPr>
        <w:pStyle w:val="Numberedpara1stindent"/>
        <w:spacing w:after="240"/>
      </w:pPr>
      <w:r w:rsidRPr="006C0B20">
        <w:t>The Unfunded Liability as at 30 June 201</w:t>
      </w:r>
      <w:r>
        <w:t>4</w:t>
      </w:r>
      <w:r w:rsidRPr="006C0B20">
        <w:t xml:space="preserve"> for current </w:t>
      </w:r>
      <w:r>
        <w:t>contributors in respect of service up to 30 June 2014</w:t>
      </w:r>
      <w:r w:rsidRPr="006C0B20">
        <w:t xml:space="preserve">, preserved members and pensioners has </w:t>
      </w:r>
      <w:r w:rsidRPr="00FB2C86">
        <w:t>been</w:t>
      </w:r>
      <w:r>
        <w:t xml:space="preserve"> calculated to be $109.8 billion. This</w:t>
      </w:r>
      <w:r w:rsidRPr="006B0EDF">
        <w:t xml:space="preserve"> represents an estimate of the </w:t>
      </w:r>
      <w:r>
        <w:t>present value of the superannuation liability less the fair value of scheme assets</w:t>
      </w:r>
      <w:r w:rsidR="00D75375">
        <w:t>.</w:t>
      </w:r>
    </w:p>
    <w:p w:rsidR="00B25A64" w:rsidRDefault="00B25A64" w:rsidP="00266A7E">
      <w:pPr>
        <w:pStyle w:val="Numberedpara1stindent"/>
        <w:spacing w:after="120"/>
      </w:pPr>
      <w:r>
        <w:t>A breakdown of the Unfunded Liability by scheme and prior years’ estimates are outlined below:</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B25A64" w:rsidRPr="006E6EA4" w:rsidTr="00B25A64">
        <w:tc>
          <w:tcPr>
            <w:tcW w:w="2245" w:type="dxa"/>
            <w:vMerge w:val="restart"/>
            <w:shd w:val="clear" w:color="auto" w:fill="DDF3FA"/>
            <w:vAlign w:val="center"/>
          </w:tcPr>
          <w:p w:rsidR="00B25A64" w:rsidRPr="006E6EA4" w:rsidRDefault="00B25A64" w:rsidP="00B25A64">
            <w:pPr>
              <w:pStyle w:val="Tablecolumnheading"/>
              <w:spacing w:line="220" w:lineRule="atLeast"/>
              <w:jc w:val="center"/>
              <w:rPr>
                <w:rFonts w:cs="Arial"/>
              </w:rPr>
            </w:pPr>
            <w:r w:rsidRPr="006E6EA4">
              <w:rPr>
                <w:rFonts w:cs="Arial"/>
              </w:rPr>
              <w:t>Report as at</w:t>
            </w:r>
          </w:p>
        </w:tc>
        <w:tc>
          <w:tcPr>
            <w:tcW w:w="5685" w:type="dxa"/>
            <w:gridSpan w:val="3"/>
            <w:shd w:val="clear" w:color="auto" w:fill="DDF3FA"/>
          </w:tcPr>
          <w:p w:rsidR="00B25A64" w:rsidRPr="006E6EA4" w:rsidRDefault="00B25A64" w:rsidP="00B25A64">
            <w:pPr>
              <w:pStyle w:val="Tablecolumnheading"/>
              <w:spacing w:line="220" w:lineRule="atLeast"/>
              <w:jc w:val="center"/>
              <w:rPr>
                <w:rFonts w:cs="Arial"/>
              </w:rPr>
            </w:pPr>
            <w:r w:rsidRPr="006E6EA4">
              <w:rPr>
                <w:rFonts w:cs="Arial"/>
              </w:rPr>
              <w:t>Accrued Unfunded Liability ($ billions)</w:t>
            </w:r>
          </w:p>
        </w:tc>
      </w:tr>
      <w:tr w:rsidR="00B25A64" w:rsidRPr="006E6EA4" w:rsidTr="00B25A64">
        <w:tc>
          <w:tcPr>
            <w:tcW w:w="2245" w:type="dxa"/>
            <w:vMerge/>
            <w:shd w:val="clear" w:color="auto" w:fill="DDF3FA"/>
          </w:tcPr>
          <w:p w:rsidR="00B25A64" w:rsidRPr="006E6EA4" w:rsidRDefault="00B25A64" w:rsidP="007C6040">
            <w:pPr>
              <w:pStyle w:val="Tablecolumnheading"/>
              <w:spacing w:line="220" w:lineRule="atLeast"/>
              <w:rPr>
                <w:rFonts w:cs="Arial"/>
              </w:rPr>
            </w:pPr>
          </w:p>
        </w:tc>
        <w:tc>
          <w:tcPr>
            <w:tcW w:w="1895" w:type="dxa"/>
            <w:shd w:val="clear" w:color="auto" w:fill="DDF3FA"/>
          </w:tcPr>
          <w:p w:rsidR="00B25A64" w:rsidRPr="006E6EA4" w:rsidRDefault="00B25A64" w:rsidP="00B25A64">
            <w:pPr>
              <w:pStyle w:val="Tablecolumnheading"/>
              <w:spacing w:line="220" w:lineRule="atLeast"/>
              <w:jc w:val="center"/>
              <w:rPr>
                <w:rFonts w:cs="Arial"/>
              </w:rPr>
            </w:pPr>
            <w:r w:rsidRPr="006E6EA4">
              <w:rPr>
                <w:rFonts w:cs="Arial"/>
              </w:rPr>
              <w:t>PSS</w:t>
            </w:r>
          </w:p>
        </w:tc>
        <w:tc>
          <w:tcPr>
            <w:tcW w:w="1895" w:type="dxa"/>
            <w:shd w:val="clear" w:color="auto" w:fill="DDF3FA"/>
          </w:tcPr>
          <w:p w:rsidR="00B25A64" w:rsidRPr="006E6EA4" w:rsidRDefault="00B25A64" w:rsidP="00B25A64">
            <w:pPr>
              <w:pStyle w:val="Tablecolumnheading"/>
              <w:spacing w:line="220" w:lineRule="atLeast"/>
              <w:jc w:val="center"/>
              <w:rPr>
                <w:rFonts w:cs="Arial"/>
              </w:rPr>
            </w:pPr>
            <w:r w:rsidRPr="006E6EA4">
              <w:rPr>
                <w:rFonts w:cs="Arial"/>
              </w:rPr>
              <w:t>CSS</w:t>
            </w:r>
          </w:p>
        </w:tc>
        <w:tc>
          <w:tcPr>
            <w:tcW w:w="1895" w:type="dxa"/>
            <w:shd w:val="clear" w:color="auto" w:fill="DDF3FA"/>
          </w:tcPr>
          <w:p w:rsidR="00B25A64" w:rsidRPr="006E6EA4" w:rsidRDefault="00B25A64" w:rsidP="00B25A64">
            <w:pPr>
              <w:pStyle w:val="Tablecolumnheading"/>
              <w:spacing w:line="220" w:lineRule="atLeast"/>
              <w:jc w:val="center"/>
              <w:rPr>
                <w:rFonts w:cs="Arial"/>
              </w:rPr>
            </w:pPr>
            <w:r w:rsidRPr="006E6EA4">
              <w:rPr>
                <w:rFonts w:cs="Arial"/>
              </w:rPr>
              <w:t>Combined</w:t>
            </w:r>
          </w:p>
        </w:tc>
      </w:tr>
      <w:tr w:rsidR="00B25A64" w:rsidRPr="006E6EA4" w:rsidTr="00B25A64">
        <w:tc>
          <w:tcPr>
            <w:tcW w:w="2245" w:type="dxa"/>
          </w:tcPr>
          <w:p w:rsidR="00B25A64" w:rsidRPr="006E6EA4" w:rsidRDefault="00B25A64" w:rsidP="00711F2B">
            <w:pPr>
              <w:pStyle w:val="Tablebodytext"/>
            </w:pPr>
            <w:r w:rsidRPr="006E6EA4">
              <w:t>30 June 2002</w:t>
            </w:r>
          </w:p>
        </w:tc>
        <w:tc>
          <w:tcPr>
            <w:tcW w:w="1895" w:type="dxa"/>
          </w:tcPr>
          <w:p w:rsidR="00B25A64" w:rsidRPr="006E6EA4" w:rsidRDefault="00B25A64" w:rsidP="00711F2B">
            <w:pPr>
              <w:pStyle w:val="Tablebodytext"/>
            </w:pPr>
            <w:r w:rsidRPr="006E6EA4">
              <w:t>9.1</w:t>
            </w:r>
          </w:p>
        </w:tc>
        <w:tc>
          <w:tcPr>
            <w:tcW w:w="1895" w:type="dxa"/>
          </w:tcPr>
          <w:p w:rsidR="00B25A64" w:rsidRPr="006E6EA4" w:rsidRDefault="00B25A64" w:rsidP="00711F2B">
            <w:pPr>
              <w:pStyle w:val="Tablebodytext"/>
            </w:pPr>
            <w:r w:rsidRPr="006E6EA4">
              <w:t>49.3</w:t>
            </w:r>
          </w:p>
        </w:tc>
        <w:tc>
          <w:tcPr>
            <w:tcW w:w="1895" w:type="dxa"/>
          </w:tcPr>
          <w:p w:rsidR="00B25A64" w:rsidRPr="006E6EA4" w:rsidRDefault="00B25A64" w:rsidP="00711F2B">
            <w:pPr>
              <w:pStyle w:val="Tablebodytext"/>
            </w:pPr>
            <w:r w:rsidRPr="006E6EA4">
              <w:t>58.4</w:t>
            </w:r>
          </w:p>
        </w:tc>
      </w:tr>
      <w:tr w:rsidR="00B25A64" w:rsidRPr="006E6EA4" w:rsidTr="00B25A64">
        <w:tc>
          <w:tcPr>
            <w:tcW w:w="2245" w:type="dxa"/>
          </w:tcPr>
          <w:p w:rsidR="00B25A64" w:rsidRPr="006E6EA4" w:rsidRDefault="00B25A64" w:rsidP="00711F2B">
            <w:pPr>
              <w:pStyle w:val="Tablebodytext"/>
            </w:pPr>
            <w:r w:rsidRPr="006E6EA4">
              <w:t>30 June 2005</w:t>
            </w:r>
          </w:p>
        </w:tc>
        <w:tc>
          <w:tcPr>
            <w:tcW w:w="1895" w:type="dxa"/>
          </w:tcPr>
          <w:p w:rsidR="00B25A64" w:rsidRPr="006E6EA4" w:rsidRDefault="00B25A64" w:rsidP="00711F2B">
            <w:pPr>
              <w:pStyle w:val="Tablebodytext"/>
            </w:pPr>
            <w:r w:rsidRPr="006E6EA4">
              <w:t>13.8</w:t>
            </w:r>
          </w:p>
        </w:tc>
        <w:tc>
          <w:tcPr>
            <w:tcW w:w="1895" w:type="dxa"/>
          </w:tcPr>
          <w:p w:rsidR="00B25A64" w:rsidRPr="006E6EA4" w:rsidRDefault="00B25A64" w:rsidP="00711F2B">
            <w:pPr>
              <w:pStyle w:val="Tablebodytext"/>
            </w:pPr>
            <w:r w:rsidRPr="006E6EA4">
              <w:t>50.6</w:t>
            </w:r>
          </w:p>
        </w:tc>
        <w:tc>
          <w:tcPr>
            <w:tcW w:w="1895" w:type="dxa"/>
          </w:tcPr>
          <w:p w:rsidR="00B25A64" w:rsidRPr="006E6EA4" w:rsidRDefault="00B25A64" w:rsidP="00711F2B">
            <w:pPr>
              <w:pStyle w:val="Tablebodytext"/>
            </w:pPr>
            <w:r w:rsidRPr="006E6EA4">
              <w:t>64.4</w:t>
            </w:r>
          </w:p>
        </w:tc>
      </w:tr>
      <w:tr w:rsidR="00B25A64" w:rsidRPr="006E6EA4" w:rsidTr="00B25A64">
        <w:tc>
          <w:tcPr>
            <w:tcW w:w="2245" w:type="dxa"/>
          </w:tcPr>
          <w:p w:rsidR="00B25A64" w:rsidRPr="006E6EA4" w:rsidRDefault="00B25A64" w:rsidP="00711F2B">
            <w:pPr>
              <w:pStyle w:val="Tablebodytext"/>
            </w:pPr>
            <w:r w:rsidRPr="006E6EA4">
              <w:t>30 June 2008</w:t>
            </w:r>
          </w:p>
        </w:tc>
        <w:tc>
          <w:tcPr>
            <w:tcW w:w="1895" w:type="dxa"/>
          </w:tcPr>
          <w:p w:rsidR="00B25A64" w:rsidRPr="006E6EA4" w:rsidRDefault="00B25A64" w:rsidP="00711F2B">
            <w:pPr>
              <w:pStyle w:val="Tablebodytext"/>
            </w:pPr>
            <w:r w:rsidRPr="006E6EA4">
              <w:t>20.9</w:t>
            </w:r>
          </w:p>
        </w:tc>
        <w:tc>
          <w:tcPr>
            <w:tcW w:w="1895" w:type="dxa"/>
          </w:tcPr>
          <w:p w:rsidR="00B25A64" w:rsidRPr="006E6EA4" w:rsidRDefault="00B25A64" w:rsidP="00711F2B">
            <w:pPr>
              <w:pStyle w:val="Tablebodytext"/>
            </w:pPr>
            <w:r w:rsidRPr="006E6EA4">
              <w:t>59.2</w:t>
            </w:r>
          </w:p>
        </w:tc>
        <w:tc>
          <w:tcPr>
            <w:tcW w:w="1895" w:type="dxa"/>
          </w:tcPr>
          <w:p w:rsidR="00B25A64" w:rsidRPr="006E6EA4" w:rsidRDefault="00B25A64" w:rsidP="00711F2B">
            <w:pPr>
              <w:pStyle w:val="Tablebodytext"/>
            </w:pPr>
            <w:r w:rsidRPr="006E6EA4">
              <w:t>80.1</w:t>
            </w:r>
          </w:p>
        </w:tc>
      </w:tr>
      <w:tr w:rsidR="00B25A64" w:rsidRPr="006E6EA4" w:rsidTr="00B25A64">
        <w:tc>
          <w:tcPr>
            <w:tcW w:w="2245" w:type="dxa"/>
          </w:tcPr>
          <w:p w:rsidR="00B25A64" w:rsidRPr="006E6EA4" w:rsidRDefault="00B25A64" w:rsidP="00711F2B">
            <w:pPr>
              <w:pStyle w:val="Tablebodytext"/>
            </w:pPr>
            <w:r w:rsidRPr="006E6EA4">
              <w:t>30 June 2011</w:t>
            </w:r>
          </w:p>
        </w:tc>
        <w:tc>
          <w:tcPr>
            <w:tcW w:w="1895" w:type="dxa"/>
          </w:tcPr>
          <w:p w:rsidR="00B25A64" w:rsidRPr="006E6EA4" w:rsidRDefault="00B25A64" w:rsidP="00711F2B">
            <w:pPr>
              <w:pStyle w:val="Tablebodytext"/>
            </w:pPr>
            <w:r w:rsidRPr="006E6EA4">
              <w:t>33.1</w:t>
            </w:r>
          </w:p>
        </w:tc>
        <w:tc>
          <w:tcPr>
            <w:tcW w:w="1895" w:type="dxa"/>
          </w:tcPr>
          <w:p w:rsidR="00B25A64" w:rsidRPr="006E6EA4" w:rsidRDefault="00B25A64" w:rsidP="00711F2B">
            <w:pPr>
              <w:pStyle w:val="Tablebodytext"/>
            </w:pPr>
            <w:r w:rsidRPr="006E6EA4">
              <w:t>59.9</w:t>
            </w:r>
          </w:p>
        </w:tc>
        <w:tc>
          <w:tcPr>
            <w:tcW w:w="1895" w:type="dxa"/>
          </w:tcPr>
          <w:p w:rsidR="00B25A64" w:rsidRPr="006E6EA4" w:rsidRDefault="00B25A64" w:rsidP="00711F2B">
            <w:pPr>
              <w:pStyle w:val="Tablebodytext"/>
            </w:pPr>
            <w:r w:rsidRPr="006E6EA4">
              <w:t>93.0</w:t>
            </w:r>
          </w:p>
        </w:tc>
      </w:tr>
      <w:tr w:rsidR="00B25A64" w:rsidRPr="006E6EA4" w:rsidTr="003B5F8F">
        <w:tc>
          <w:tcPr>
            <w:tcW w:w="2245" w:type="dxa"/>
            <w:tcBorders>
              <w:bottom w:val="single" w:sz="2" w:space="0" w:color="A7B4BE"/>
            </w:tcBorders>
          </w:tcPr>
          <w:p w:rsidR="00B25A64" w:rsidRPr="006E6EA4" w:rsidRDefault="00B25A64" w:rsidP="00711F2B">
            <w:pPr>
              <w:pStyle w:val="Tablebodytext"/>
            </w:pPr>
            <w:r w:rsidRPr="006E6EA4">
              <w:t>30 June 2014</w:t>
            </w:r>
          </w:p>
        </w:tc>
        <w:tc>
          <w:tcPr>
            <w:tcW w:w="1895" w:type="dxa"/>
            <w:tcBorders>
              <w:bottom w:val="single" w:sz="2" w:space="0" w:color="A7B4BE"/>
            </w:tcBorders>
          </w:tcPr>
          <w:p w:rsidR="00B25A64" w:rsidRPr="006E6EA4" w:rsidRDefault="00B25A64" w:rsidP="00711F2B">
            <w:pPr>
              <w:pStyle w:val="Tablebodytext"/>
            </w:pPr>
            <w:r w:rsidRPr="006E6EA4">
              <w:t>46.9</w:t>
            </w:r>
          </w:p>
        </w:tc>
        <w:tc>
          <w:tcPr>
            <w:tcW w:w="1895" w:type="dxa"/>
            <w:tcBorders>
              <w:bottom w:val="single" w:sz="2" w:space="0" w:color="A7B4BE"/>
            </w:tcBorders>
          </w:tcPr>
          <w:p w:rsidR="00B25A64" w:rsidRPr="006E6EA4" w:rsidRDefault="00B25A64" w:rsidP="00711F2B">
            <w:pPr>
              <w:pStyle w:val="Tablebodytext"/>
            </w:pPr>
            <w:r w:rsidRPr="006E6EA4">
              <w:t>62.9</w:t>
            </w:r>
          </w:p>
        </w:tc>
        <w:tc>
          <w:tcPr>
            <w:tcW w:w="1895" w:type="dxa"/>
            <w:tcBorders>
              <w:bottom w:val="single" w:sz="2" w:space="0" w:color="A7B4BE"/>
            </w:tcBorders>
          </w:tcPr>
          <w:p w:rsidR="00B25A64" w:rsidRPr="006E6EA4" w:rsidRDefault="00B25A64" w:rsidP="00711F2B">
            <w:pPr>
              <w:pStyle w:val="Tablebodytext"/>
            </w:pPr>
            <w:r w:rsidRPr="006E6EA4">
              <w:t>109.8</w:t>
            </w:r>
          </w:p>
        </w:tc>
      </w:tr>
      <w:tr w:rsidR="003B5F8F" w:rsidRPr="006E6EA4" w:rsidTr="007C6040">
        <w:tc>
          <w:tcPr>
            <w:tcW w:w="7930" w:type="dxa"/>
            <w:gridSpan w:val="4"/>
            <w:tcBorders>
              <w:bottom w:val="nil"/>
            </w:tcBorders>
          </w:tcPr>
          <w:p w:rsidR="003B5F8F" w:rsidRPr="00611DD7" w:rsidRDefault="003B5F8F" w:rsidP="00611DD7">
            <w:pPr>
              <w:pStyle w:val="Sourcenotetext"/>
            </w:pPr>
            <w:r w:rsidRPr="00611DD7">
              <w:t>Note:</w:t>
            </w:r>
            <w:r w:rsidRPr="00611DD7">
              <w:tab/>
              <w:t>The prior year figures have not been adjusted to 2014 dollars</w:t>
            </w:r>
          </w:p>
        </w:tc>
      </w:tr>
    </w:tbl>
    <w:p w:rsidR="001A11B3" w:rsidRDefault="001A11B3" w:rsidP="001A11B3">
      <w:pPr>
        <w:pStyle w:val="Numberedpara1stindent"/>
        <w:numPr>
          <w:ilvl w:val="0"/>
          <w:numId w:val="0"/>
        </w:numPr>
        <w:spacing w:after="120"/>
        <w:ind w:left="567"/>
      </w:pPr>
    </w:p>
    <w:p w:rsidR="003B5F8F" w:rsidRDefault="003B5F8F" w:rsidP="00BB234C">
      <w:pPr>
        <w:pStyle w:val="Numberedpara1stindent"/>
        <w:spacing w:after="120"/>
      </w:pPr>
      <w:r w:rsidRPr="003B5F8F">
        <w:lastRenderedPageBreak/>
        <w:t>The 2011 Report projected that the Unfunded Liability would be $102.5 billion as at 30 June 2014, approximately $7.3 billion less than the current estimate of $109.8 billion calculated in this report. The factors leading to the higher than previously projected Unfunded Liability include</w:t>
      </w:r>
      <w:r>
        <w:t>:</w:t>
      </w:r>
    </w:p>
    <w:p w:rsidR="003B5F8F" w:rsidRDefault="003B5F8F" w:rsidP="00BB234C">
      <w:pPr>
        <w:pStyle w:val="Numberedpara2ndindent"/>
        <w:spacing w:after="120"/>
      </w:pPr>
      <w:r>
        <w:t xml:space="preserve">Increases in pension </w:t>
      </w:r>
      <w:r w:rsidRPr="00A22FE5">
        <w:t xml:space="preserve">take-up </w:t>
      </w:r>
      <w:r>
        <w:t xml:space="preserve">assumptions for the </w:t>
      </w:r>
      <w:r w:rsidRPr="00A22FE5">
        <w:t xml:space="preserve">PSS pensions </w:t>
      </w:r>
      <w:r>
        <w:t>and CSS non-indexed pensions reflecting the continuing increasing trend observed in recent member behaviours;</w:t>
      </w:r>
    </w:p>
    <w:p w:rsidR="003B5F8F" w:rsidRDefault="003B5F8F" w:rsidP="00BB234C">
      <w:pPr>
        <w:pStyle w:val="Numberedpara2ndindent"/>
        <w:spacing w:after="120"/>
      </w:pPr>
      <w:r>
        <w:t>Continuing improvements in pensioner mortality rates:</w:t>
      </w:r>
    </w:p>
    <w:p w:rsidR="003B5F8F" w:rsidRDefault="003B5F8F" w:rsidP="00BB234C">
      <w:pPr>
        <w:pStyle w:val="Numberedpara2ndindent"/>
        <w:spacing w:after="120"/>
      </w:pPr>
      <w:r>
        <w:t>Member movements different from those expected, notably higher pension liabilities for the new pensioners than expected; and</w:t>
      </w:r>
    </w:p>
    <w:p w:rsidR="003B5F8F" w:rsidRDefault="003B5F8F" w:rsidP="00D75375">
      <w:pPr>
        <w:pStyle w:val="Numberedpara2ndindent"/>
        <w:spacing w:after="240"/>
      </w:pPr>
      <w:r w:rsidRPr="00A22FE5">
        <w:t>PSS members contributing at rates higher than assumed</w:t>
      </w:r>
      <w:r>
        <w:t>,</w:t>
      </w:r>
      <w:r w:rsidRPr="00A22FE5">
        <w:t xml:space="preserve"> </w:t>
      </w:r>
      <w:r>
        <w:t>leading to higher benefit accruals than expected.</w:t>
      </w:r>
    </w:p>
    <w:p w:rsidR="00D75375" w:rsidRDefault="007C6040" w:rsidP="00D75375">
      <w:pPr>
        <w:pStyle w:val="Numberedpara1stindent"/>
      </w:pPr>
      <w:r>
        <w:t xml:space="preserve">Further detail regarding the Unfunded Liability is contained in </w:t>
      </w:r>
      <w:r w:rsidRPr="00F34C4A">
        <w:t xml:space="preserve">Section </w:t>
      </w:r>
      <w:r w:rsidR="00D75375">
        <w:t>5 of this Report.</w:t>
      </w:r>
    </w:p>
    <w:p w:rsidR="00D75375" w:rsidRPr="007E3448" w:rsidRDefault="00D75375" w:rsidP="00E125B0">
      <w:pPr>
        <w:pStyle w:val="Heading3nonumbers"/>
      </w:pPr>
      <w:r w:rsidRPr="007E3448">
        <w:t>Projected Outlays</w:t>
      </w:r>
    </w:p>
    <w:p w:rsidR="00D75375" w:rsidRDefault="00D75375" w:rsidP="00BB234C">
      <w:pPr>
        <w:pStyle w:val="Numberedpara1stindent"/>
        <w:spacing w:after="120"/>
      </w:pPr>
      <w:r w:rsidRPr="00D75375">
        <w:t xml:space="preserve"> The annual projected outlays associated with the PSS and CSS are calculated as follows</w:t>
      </w:r>
      <w:r>
        <w:t>:</w:t>
      </w:r>
    </w:p>
    <w:p w:rsidR="00D75375" w:rsidRPr="00D75375" w:rsidRDefault="00D75375" w:rsidP="00BB234C">
      <w:pPr>
        <w:pStyle w:val="Numberedpara2ndindent"/>
        <w:spacing w:after="120"/>
      </w:pPr>
      <w:r>
        <w:t xml:space="preserve">productivity superannuation contributions paid by the employer to the PSS and CSS; </w:t>
      </w:r>
      <w:r w:rsidRPr="007A264F">
        <w:rPr>
          <w:i/>
        </w:rPr>
        <w:t>plu</w:t>
      </w:r>
      <w:r>
        <w:rPr>
          <w:i/>
        </w:rPr>
        <w:t>s</w:t>
      </w:r>
    </w:p>
    <w:p w:rsidR="00D75375" w:rsidRDefault="00D75375" w:rsidP="00BB234C">
      <w:pPr>
        <w:pStyle w:val="Numberedpara2ndindent"/>
        <w:spacing w:after="120"/>
      </w:pPr>
      <w:r w:rsidRPr="00FB2C86">
        <w:t>b</w:t>
      </w:r>
      <w:r w:rsidRPr="00F76729">
        <w:t>enefit payments made from</w:t>
      </w:r>
      <w:r w:rsidRPr="00FB2C86">
        <w:t xml:space="preserve"> the </w:t>
      </w:r>
      <w:r>
        <w:t>Consolidated Revenue Fund (CRF)</w:t>
      </w:r>
      <w:r w:rsidRPr="00F76729">
        <w:t xml:space="preserve"> (including payments made under the </w:t>
      </w:r>
      <w:r w:rsidRPr="00745FD9">
        <w:t>Superannuation Act 1922</w:t>
      </w:r>
      <w:r w:rsidRPr="00F76729">
        <w:t>);</w:t>
      </w:r>
      <w:r>
        <w:t xml:space="preserve"> </w:t>
      </w:r>
      <w:r w:rsidRPr="00D75375">
        <w:rPr>
          <w:i/>
        </w:rPr>
        <w:t>less</w:t>
      </w:r>
    </w:p>
    <w:p w:rsidR="00D75375" w:rsidRDefault="00D75375" w:rsidP="00D75375">
      <w:pPr>
        <w:pStyle w:val="Numberedpara2ndindent"/>
        <w:spacing w:after="240"/>
      </w:pPr>
      <w:r>
        <w:t xml:space="preserve">payments made from the PSS </w:t>
      </w:r>
      <w:r w:rsidRPr="00A3224E">
        <w:t xml:space="preserve">and CSS </w:t>
      </w:r>
      <w:r>
        <w:t>to the CRF.</w:t>
      </w:r>
    </w:p>
    <w:p w:rsidR="00D75375" w:rsidRDefault="00D75375" w:rsidP="00D75375">
      <w:pPr>
        <w:pStyle w:val="Numberedpara1stindent"/>
        <w:spacing w:after="240"/>
      </w:pPr>
      <w:r>
        <w:t>The projected outlays are expected to reduce as a percentage of projected Gross Domestic Product (GDP) from 0.28% in the year ending 30 June 2015 to 0.09% in the year ending 30 June 2054.</w:t>
      </w:r>
    </w:p>
    <w:p w:rsidR="00D75375" w:rsidRDefault="00D75375" w:rsidP="00D75375">
      <w:pPr>
        <w:pStyle w:val="Numberedpara1stindent"/>
        <w:spacing w:after="240"/>
      </w:pPr>
      <w:r>
        <w:t>The projected outlays represent the total cost to the Australian Government of funding the PSS and CSS benefits to current and past employees and their dependants. As such the projected outlays are better representations of the expected future contributions required from the Australian Government.  In comparison, the notional employer contribution rates relate to the cost of future benefit accrual for contributors only.</w:t>
      </w:r>
    </w:p>
    <w:p w:rsidR="0071668A" w:rsidRDefault="00D75375" w:rsidP="00D75375">
      <w:pPr>
        <w:pStyle w:val="Numberedpara1stindent"/>
      </w:pPr>
      <w:r>
        <w:t>Further detail regarding the projected outlays is contained in Section 6 of this Report.</w:t>
      </w:r>
    </w:p>
    <w:p w:rsidR="0071668A" w:rsidRPr="007E3448" w:rsidRDefault="0071668A" w:rsidP="00E125B0">
      <w:pPr>
        <w:pStyle w:val="Heading3nonumbers"/>
      </w:pPr>
      <w:r w:rsidRPr="007E3448">
        <w:t>Notional Employer Contribution Rates</w:t>
      </w:r>
    </w:p>
    <w:p w:rsidR="00C24260" w:rsidRDefault="0071668A" w:rsidP="0071668A">
      <w:pPr>
        <w:pStyle w:val="Numberedpara1stindent"/>
        <w:spacing w:after="240"/>
      </w:pPr>
      <w:r>
        <w:t>The Notional Employer Contribution Rates (NECRs) represent the estimated contribution rates that would be required to fund the benefits accruing to contributors over the next three years (from 1 July 2014 to 30 June 2017) based on current projections – that is, if the PSS and CSS schemes were fully funded at the valuation date and contributions were made at their respective NECRs, then the liability for contributors would be expected to be fully funded at the end of the period.</w:t>
      </w:r>
    </w:p>
    <w:p w:rsidR="00C24260" w:rsidRDefault="00C24260" w:rsidP="00C24260">
      <w:pPr>
        <w:pStyle w:val="Numberedpara1stindent"/>
        <w:spacing w:after="240"/>
      </w:pPr>
      <w:r>
        <w:br w:type="page"/>
      </w:r>
      <w:r w:rsidR="00157B01" w:rsidRPr="00157B01">
        <w:lastRenderedPageBreak/>
        <w:t xml:space="preserve">The NECRs disclosed in this Report are determined using long term assumptions as these rates are notional in nature.  These assumptions may differ from current settings – for example the assumed 4 per cent salary growth rate is different </w:t>
      </w:r>
      <w:r w:rsidR="004D2611">
        <w:t>to the Commonwealth Government’s stated intention to keep average annual wage rises across the public service to 1.5 per cent or less over the next three years, as outlined in the 2014-15 Mid-Year Economic and Fiscal Outlook</w:t>
      </w:r>
      <w:r>
        <w:t>.</w:t>
      </w:r>
    </w:p>
    <w:p w:rsidR="0071668A" w:rsidRDefault="0071668A" w:rsidP="00266A7E">
      <w:pPr>
        <w:pStyle w:val="Numberedpara1stindent"/>
        <w:spacing w:after="120"/>
      </w:pPr>
      <w:r>
        <w:t>The NECRs for the two schemes (including allowances for contributions towards the productivity superannuation benefit) are summarised in the following table:</w:t>
      </w:r>
    </w:p>
    <w:p w:rsidR="00E125B0" w:rsidRDefault="00E125B0" w:rsidP="00E125B0">
      <w:pPr>
        <w:pStyle w:val="Heading4nonumbers"/>
      </w:pPr>
      <w:r w:rsidRPr="006E6EA4">
        <w:t xml:space="preserve">Notional Employer Contribution Rates </w:t>
      </w:r>
      <w:r w:rsidRPr="006E6EA4">
        <w:br/>
        <w:t>(% of Superannuation Salaries)</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71668A" w:rsidRPr="006E6EA4" w:rsidTr="00666DF9">
        <w:tc>
          <w:tcPr>
            <w:tcW w:w="2245" w:type="dxa"/>
            <w:shd w:val="clear" w:color="auto" w:fill="DDF3FA"/>
          </w:tcPr>
          <w:p w:rsidR="0071668A" w:rsidRPr="006E6EA4" w:rsidRDefault="0071668A" w:rsidP="00666DF9">
            <w:pPr>
              <w:pStyle w:val="Tablecolumnheading"/>
              <w:spacing w:line="220" w:lineRule="atLeast"/>
              <w:rPr>
                <w:rFonts w:cs="Arial"/>
              </w:rPr>
            </w:pPr>
            <w:r w:rsidRPr="006E6EA4">
              <w:rPr>
                <w:rFonts w:cs="Arial"/>
              </w:rPr>
              <w:t>Report as at</w:t>
            </w:r>
          </w:p>
        </w:tc>
        <w:tc>
          <w:tcPr>
            <w:tcW w:w="1895" w:type="dxa"/>
            <w:shd w:val="clear" w:color="auto" w:fill="DDF3FA"/>
          </w:tcPr>
          <w:p w:rsidR="0071668A" w:rsidRPr="006E6EA4" w:rsidRDefault="0071668A" w:rsidP="00666DF9">
            <w:pPr>
              <w:pStyle w:val="Tablecolumnheading"/>
              <w:spacing w:line="220" w:lineRule="atLeast"/>
              <w:jc w:val="center"/>
              <w:rPr>
                <w:rFonts w:cs="Arial"/>
              </w:rPr>
            </w:pPr>
            <w:r w:rsidRPr="006E6EA4">
              <w:rPr>
                <w:rFonts w:cs="Arial"/>
              </w:rPr>
              <w:t>PSS</w:t>
            </w:r>
          </w:p>
        </w:tc>
        <w:tc>
          <w:tcPr>
            <w:tcW w:w="1895" w:type="dxa"/>
            <w:shd w:val="clear" w:color="auto" w:fill="DDF3FA"/>
          </w:tcPr>
          <w:p w:rsidR="0071668A" w:rsidRPr="006E6EA4" w:rsidRDefault="0071668A" w:rsidP="00666DF9">
            <w:pPr>
              <w:pStyle w:val="Tablecolumnheading"/>
              <w:spacing w:line="220" w:lineRule="atLeast"/>
              <w:jc w:val="center"/>
              <w:rPr>
                <w:rFonts w:cs="Arial"/>
              </w:rPr>
            </w:pPr>
            <w:r w:rsidRPr="006E6EA4">
              <w:rPr>
                <w:rFonts w:cs="Arial"/>
              </w:rPr>
              <w:t>CSS</w:t>
            </w:r>
          </w:p>
        </w:tc>
        <w:tc>
          <w:tcPr>
            <w:tcW w:w="1895" w:type="dxa"/>
            <w:shd w:val="clear" w:color="auto" w:fill="DDF3FA"/>
          </w:tcPr>
          <w:p w:rsidR="0071668A" w:rsidRPr="006E6EA4" w:rsidRDefault="0071668A" w:rsidP="00666DF9">
            <w:pPr>
              <w:pStyle w:val="Tablecolumnheading"/>
              <w:spacing w:line="220" w:lineRule="atLeast"/>
              <w:jc w:val="center"/>
              <w:rPr>
                <w:rFonts w:cs="Arial"/>
              </w:rPr>
            </w:pPr>
            <w:r w:rsidRPr="006E6EA4">
              <w:rPr>
                <w:rFonts w:cs="Arial"/>
              </w:rPr>
              <w:t>Combined</w:t>
            </w:r>
          </w:p>
        </w:tc>
      </w:tr>
      <w:tr w:rsidR="0003409D" w:rsidRPr="006E6EA4" w:rsidTr="00666DF9">
        <w:tc>
          <w:tcPr>
            <w:tcW w:w="2245" w:type="dxa"/>
          </w:tcPr>
          <w:p w:rsidR="0003409D" w:rsidRPr="006E6EA4" w:rsidRDefault="0003409D" w:rsidP="00611DD7">
            <w:pPr>
              <w:pStyle w:val="Tablebodytext"/>
            </w:pPr>
            <w:r w:rsidRPr="006E6EA4">
              <w:t>30 June 2002*</w:t>
            </w:r>
          </w:p>
        </w:tc>
        <w:tc>
          <w:tcPr>
            <w:tcW w:w="1895" w:type="dxa"/>
          </w:tcPr>
          <w:p w:rsidR="0003409D" w:rsidRPr="006E6EA4" w:rsidRDefault="0003409D" w:rsidP="00611DD7">
            <w:pPr>
              <w:pStyle w:val="Tablebodytext"/>
            </w:pPr>
            <w:r w:rsidRPr="006E6EA4">
              <w:t>15.4</w:t>
            </w:r>
          </w:p>
        </w:tc>
        <w:tc>
          <w:tcPr>
            <w:tcW w:w="1895" w:type="dxa"/>
          </w:tcPr>
          <w:p w:rsidR="0003409D" w:rsidRPr="006E6EA4" w:rsidRDefault="0003409D" w:rsidP="00611DD7">
            <w:pPr>
              <w:pStyle w:val="Tablebodytext"/>
            </w:pPr>
            <w:r w:rsidRPr="006E6EA4">
              <w:t>28.3</w:t>
            </w:r>
          </w:p>
        </w:tc>
        <w:tc>
          <w:tcPr>
            <w:tcW w:w="1895" w:type="dxa"/>
          </w:tcPr>
          <w:p w:rsidR="0003409D" w:rsidRPr="006E6EA4" w:rsidRDefault="0003409D" w:rsidP="00611DD7">
            <w:pPr>
              <w:pStyle w:val="Tablebodytext"/>
            </w:pPr>
            <w:r w:rsidRPr="006E6EA4">
              <w:t>19.3</w:t>
            </w:r>
          </w:p>
        </w:tc>
      </w:tr>
      <w:tr w:rsidR="0003409D" w:rsidRPr="006E6EA4" w:rsidTr="00666DF9">
        <w:tc>
          <w:tcPr>
            <w:tcW w:w="2245" w:type="dxa"/>
          </w:tcPr>
          <w:p w:rsidR="0003409D" w:rsidRPr="006E6EA4" w:rsidRDefault="0003409D" w:rsidP="00611DD7">
            <w:pPr>
              <w:pStyle w:val="Tablebodytext"/>
            </w:pPr>
            <w:r w:rsidRPr="006E6EA4">
              <w:t>30 June 2005*</w:t>
            </w:r>
          </w:p>
        </w:tc>
        <w:tc>
          <w:tcPr>
            <w:tcW w:w="1895" w:type="dxa"/>
          </w:tcPr>
          <w:p w:rsidR="0003409D" w:rsidRPr="006E6EA4" w:rsidRDefault="0003409D" w:rsidP="00611DD7">
            <w:pPr>
              <w:pStyle w:val="Tablebodytext"/>
            </w:pPr>
            <w:r w:rsidRPr="006E6EA4">
              <w:t>15.6</w:t>
            </w:r>
          </w:p>
        </w:tc>
        <w:tc>
          <w:tcPr>
            <w:tcW w:w="1895" w:type="dxa"/>
          </w:tcPr>
          <w:p w:rsidR="0003409D" w:rsidRPr="006E6EA4" w:rsidRDefault="0003409D" w:rsidP="00611DD7">
            <w:pPr>
              <w:pStyle w:val="Tablebodytext"/>
            </w:pPr>
            <w:r w:rsidRPr="006E6EA4">
              <w:t>28.2</w:t>
            </w:r>
          </w:p>
        </w:tc>
        <w:tc>
          <w:tcPr>
            <w:tcW w:w="1895" w:type="dxa"/>
          </w:tcPr>
          <w:p w:rsidR="0003409D" w:rsidRPr="006E6EA4" w:rsidRDefault="0003409D" w:rsidP="00611DD7">
            <w:pPr>
              <w:pStyle w:val="Tablebodytext"/>
            </w:pPr>
            <w:r w:rsidRPr="006E6EA4">
              <w:t>18.3</w:t>
            </w:r>
          </w:p>
        </w:tc>
      </w:tr>
      <w:tr w:rsidR="0003409D" w:rsidRPr="006E6EA4" w:rsidTr="00666DF9">
        <w:tc>
          <w:tcPr>
            <w:tcW w:w="2245" w:type="dxa"/>
          </w:tcPr>
          <w:p w:rsidR="0003409D" w:rsidRPr="006E6EA4" w:rsidRDefault="0003409D" w:rsidP="00611DD7">
            <w:pPr>
              <w:pStyle w:val="Tablebodytext"/>
            </w:pPr>
            <w:r w:rsidRPr="006E6EA4">
              <w:t>30 June 2008</w:t>
            </w:r>
          </w:p>
        </w:tc>
        <w:tc>
          <w:tcPr>
            <w:tcW w:w="1895" w:type="dxa"/>
          </w:tcPr>
          <w:p w:rsidR="0003409D" w:rsidRPr="006E6EA4" w:rsidRDefault="0003409D" w:rsidP="00611DD7">
            <w:pPr>
              <w:pStyle w:val="Tablebodytext"/>
            </w:pPr>
            <w:r w:rsidRPr="006E6EA4">
              <w:t>16.3</w:t>
            </w:r>
          </w:p>
        </w:tc>
        <w:tc>
          <w:tcPr>
            <w:tcW w:w="1895" w:type="dxa"/>
          </w:tcPr>
          <w:p w:rsidR="0003409D" w:rsidRPr="006E6EA4" w:rsidRDefault="0003409D" w:rsidP="00611DD7">
            <w:pPr>
              <w:pStyle w:val="Tablebodytext"/>
            </w:pPr>
            <w:r w:rsidRPr="006E6EA4">
              <w:t>21.4</w:t>
            </w:r>
          </w:p>
        </w:tc>
        <w:tc>
          <w:tcPr>
            <w:tcW w:w="1895" w:type="dxa"/>
          </w:tcPr>
          <w:p w:rsidR="0003409D" w:rsidRPr="006E6EA4" w:rsidRDefault="0003409D" w:rsidP="00611DD7">
            <w:pPr>
              <w:pStyle w:val="Tablebodytext"/>
            </w:pPr>
            <w:r w:rsidRPr="006E6EA4">
              <w:t>17.1</w:t>
            </w:r>
          </w:p>
        </w:tc>
      </w:tr>
      <w:tr w:rsidR="0003409D" w:rsidRPr="006E6EA4" w:rsidTr="00666DF9">
        <w:tc>
          <w:tcPr>
            <w:tcW w:w="2245" w:type="dxa"/>
          </w:tcPr>
          <w:p w:rsidR="0003409D" w:rsidRPr="006E6EA4" w:rsidRDefault="0003409D" w:rsidP="00611DD7">
            <w:pPr>
              <w:pStyle w:val="Tablebodytext"/>
            </w:pPr>
            <w:r w:rsidRPr="006E6EA4">
              <w:t>30 June 2011</w:t>
            </w:r>
          </w:p>
        </w:tc>
        <w:tc>
          <w:tcPr>
            <w:tcW w:w="1895" w:type="dxa"/>
          </w:tcPr>
          <w:p w:rsidR="0003409D" w:rsidRPr="006E6EA4" w:rsidRDefault="0003409D" w:rsidP="00611DD7">
            <w:pPr>
              <w:pStyle w:val="Tablebodytext"/>
            </w:pPr>
            <w:r w:rsidRPr="006E6EA4">
              <w:t>18.8</w:t>
            </w:r>
          </w:p>
        </w:tc>
        <w:tc>
          <w:tcPr>
            <w:tcW w:w="1895" w:type="dxa"/>
          </w:tcPr>
          <w:p w:rsidR="0003409D" w:rsidRPr="006E6EA4" w:rsidRDefault="0003409D" w:rsidP="00611DD7">
            <w:pPr>
              <w:pStyle w:val="Tablebodytext"/>
            </w:pPr>
            <w:r w:rsidRPr="006E6EA4">
              <w:t>20.3</w:t>
            </w:r>
          </w:p>
        </w:tc>
        <w:tc>
          <w:tcPr>
            <w:tcW w:w="1895" w:type="dxa"/>
          </w:tcPr>
          <w:p w:rsidR="0003409D" w:rsidRPr="006E6EA4" w:rsidRDefault="0003409D" w:rsidP="00611DD7">
            <w:pPr>
              <w:pStyle w:val="Tablebodytext"/>
            </w:pPr>
            <w:r w:rsidRPr="006E6EA4">
              <w:t>19.0</w:t>
            </w:r>
          </w:p>
        </w:tc>
      </w:tr>
      <w:tr w:rsidR="0003409D" w:rsidRPr="006E6EA4" w:rsidTr="0003409D">
        <w:tc>
          <w:tcPr>
            <w:tcW w:w="2245" w:type="dxa"/>
            <w:tcBorders>
              <w:bottom w:val="single" w:sz="2" w:space="0" w:color="A7B4BE"/>
            </w:tcBorders>
          </w:tcPr>
          <w:p w:rsidR="0003409D" w:rsidRPr="006E6EA4" w:rsidRDefault="0003409D" w:rsidP="00611DD7">
            <w:pPr>
              <w:pStyle w:val="Tablebodytext"/>
            </w:pPr>
            <w:r w:rsidRPr="006E6EA4">
              <w:t>30 June 2014^</w:t>
            </w:r>
          </w:p>
        </w:tc>
        <w:tc>
          <w:tcPr>
            <w:tcW w:w="1895" w:type="dxa"/>
            <w:tcBorders>
              <w:bottom w:val="single" w:sz="2" w:space="0" w:color="A7B4BE"/>
            </w:tcBorders>
          </w:tcPr>
          <w:p w:rsidR="0003409D" w:rsidRPr="006E6EA4" w:rsidRDefault="0003409D" w:rsidP="00611DD7">
            <w:pPr>
              <w:pStyle w:val="Tablebodytext"/>
            </w:pPr>
            <w:r w:rsidRPr="006E6EA4">
              <w:t>22.6</w:t>
            </w:r>
          </w:p>
        </w:tc>
        <w:tc>
          <w:tcPr>
            <w:tcW w:w="1895" w:type="dxa"/>
            <w:tcBorders>
              <w:bottom w:val="single" w:sz="2" w:space="0" w:color="A7B4BE"/>
            </w:tcBorders>
          </w:tcPr>
          <w:p w:rsidR="0003409D" w:rsidRPr="006E6EA4" w:rsidRDefault="0003409D" w:rsidP="00611DD7">
            <w:pPr>
              <w:pStyle w:val="Tablebodytext"/>
            </w:pPr>
            <w:r w:rsidRPr="006E6EA4">
              <w:t>18.3</w:t>
            </w:r>
          </w:p>
        </w:tc>
        <w:tc>
          <w:tcPr>
            <w:tcW w:w="1895" w:type="dxa"/>
            <w:tcBorders>
              <w:bottom w:val="single" w:sz="2" w:space="0" w:color="A7B4BE"/>
            </w:tcBorders>
          </w:tcPr>
          <w:p w:rsidR="0003409D" w:rsidRPr="006E6EA4" w:rsidRDefault="0003409D" w:rsidP="00611DD7">
            <w:pPr>
              <w:pStyle w:val="Tablebodytext"/>
            </w:pPr>
            <w:r w:rsidRPr="006E6EA4">
              <w:t>22.1</w:t>
            </w:r>
          </w:p>
        </w:tc>
      </w:tr>
      <w:tr w:rsidR="0071668A" w:rsidRPr="006E6EA4" w:rsidTr="0003409D">
        <w:tc>
          <w:tcPr>
            <w:tcW w:w="7930" w:type="dxa"/>
            <w:gridSpan w:val="4"/>
            <w:tcBorders>
              <w:bottom w:val="nil"/>
            </w:tcBorders>
          </w:tcPr>
          <w:p w:rsidR="0071668A" w:rsidRPr="006E6EA4" w:rsidRDefault="0003409D" w:rsidP="00611DD7">
            <w:pPr>
              <w:pStyle w:val="Sourcenotetext"/>
            </w:pPr>
            <w:r w:rsidRPr="006E6EA4">
              <w:t xml:space="preserve">* Old methodology </w:t>
            </w:r>
            <w:r w:rsidR="000B5F49" w:rsidRPr="006E6EA4">
              <w:t>– the</w:t>
            </w:r>
            <w:r w:rsidRPr="006E6EA4">
              <w:t xml:space="preserve"> methodology was changed in the 2008 Long Term Cost Report to bring calculations more in line with the approach used in Australian Accounting Standards and the Budget process.  Please refer to the 2008 Long Term Cost Report for further details of the change</w:t>
            </w:r>
          </w:p>
        </w:tc>
      </w:tr>
      <w:tr w:rsidR="0003409D" w:rsidRPr="006E6EA4" w:rsidTr="0003409D">
        <w:tc>
          <w:tcPr>
            <w:tcW w:w="7930" w:type="dxa"/>
            <w:gridSpan w:val="4"/>
            <w:tcBorders>
              <w:top w:val="nil"/>
              <w:bottom w:val="nil"/>
            </w:tcBorders>
          </w:tcPr>
          <w:p w:rsidR="0003409D" w:rsidRPr="006E6EA4" w:rsidRDefault="0003409D" w:rsidP="00611DD7">
            <w:pPr>
              <w:pStyle w:val="Sourcenotetext"/>
            </w:pPr>
            <w:r w:rsidRPr="006E6EA4">
              <w:t>^ The 2014 NECR have been expressed as a percentage of full time equivalent salaries for consistency with NECRs published in previous LTCR reports. If the 2014 NECR were to be expressed as actual salaries (allowing for part-timers) the 2014 NECR would be 23.6% for PSS and 18.5% for CSS</w:t>
            </w:r>
          </w:p>
        </w:tc>
      </w:tr>
      <w:tr w:rsidR="0003409D" w:rsidRPr="006E6EA4" w:rsidTr="0003409D">
        <w:tc>
          <w:tcPr>
            <w:tcW w:w="7930" w:type="dxa"/>
            <w:gridSpan w:val="4"/>
            <w:tcBorders>
              <w:top w:val="nil"/>
              <w:bottom w:val="nil"/>
            </w:tcBorders>
          </w:tcPr>
          <w:p w:rsidR="0003409D" w:rsidRPr="006E6EA4" w:rsidRDefault="0003409D" w:rsidP="00611DD7">
            <w:pPr>
              <w:pStyle w:val="Sourcenotetext"/>
            </w:pPr>
            <w:r w:rsidRPr="006E6EA4">
              <w:t>Note 1: Productivity contributions of approximately 3% were included in the 2002 to 2011 NECRs.  Productivity contributions of approximately 2.6% for PSS and 2.4% for CSS are included in the 2014 NECRs reflecting more accurate allowance for productivity contributions based on salary thresholds</w:t>
            </w:r>
          </w:p>
        </w:tc>
      </w:tr>
      <w:tr w:rsidR="0003409D" w:rsidRPr="006E6EA4" w:rsidTr="0003409D">
        <w:tc>
          <w:tcPr>
            <w:tcW w:w="7930" w:type="dxa"/>
            <w:gridSpan w:val="4"/>
            <w:tcBorders>
              <w:top w:val="nil"/>
              <w:bottom w:val="nil"/>
            </w:tcBorders>
          </w:tcPr>
          <w:p w:rsidR="0003409D" w:rsidRPr="006E6EA4" w:rsidRDefault="0003409D" w:rsidP="00611DD7">
            <w:pPr>
              <w:pStyle w:val="Sourcenotetext"/>
            </w:pPr>
            <w:r w:rsidRPr="006E6EA4">
              <w:t>Note 2: The combined rates are weighted average rates based on the superannuation salaries of the members of the two schemes.</w:t>
            </w:r>
          </w:p>
        </w:tc>
      </w:tr>
      <w:tr w:rsidR="0003409D" w:rsidRPr="006E6EA4" w:rsidTr="0003409D">
        <w:tc>
          <w:tcPr>
            <w:tcW w:w="7930" w:type="dxa"/>
            <w:gridSpan w:val="4"/>
            <w:tcBorders>
              <w:top w:val="nil"/>
              <w:bottom w:val="nil"/>
            </w:tcBorders>
          </w:tcPr>
          <w:p w:rsidR="0003409D" w:rsidRPr="00520A7A" w:rsidRDefault="0003409D" w:rsidP="0003409D">
            <w:pPr>
              <w:pStyle w:val="Numberedpara1stindent"/>
              <w:spacing w:after="240"/>
            </w:pPr>
            <w:r w:rsidRPr="00520A7A">
              <w:t>The contribution rate for the PSS as at 30 June 2014 has increased by 3.8 percentage points of superannuation salaries compared to the rate as at 30 June 2011.  The contribution rate for the CSS as at 30 June 2014 has decreased by 2.0 percentage points compared to the rate as at 30 June 2011.</w:t>
            </w:r>
          </w:p>
        </w:tc>
      </w:tr>
    </w:tbl>
    <w:p w:rsidR="0003409D" w:rsidRDefault="0003409D" w:rsidP="00BB234C">
      <w:pPr>
        <w:pStyle w:val="Numberedpara1stindent"/>
        <w:spacing w:after="120"/>
      </w:pPr>
      <w:r w:rsidRPr="0003409D">
        <w:t>The significant increase in the NECR for PSS is primarily due to changes in assumptions, based on observed member behaviour, relating to</w:t>
      </w:r>
      <w:r>
        <w:t>:</w:t>
      </w:r>
    </w:p>
    <w:p w:rsidR="0003409D" w:rsidRDefault="0003409D" w:rsidP="00BB234C">
      <w:pPr>
        <w:pStyle w:val="Numberedpara2ndindent"/>
        <w:spacing w:after="120"/>
      </w:pPr>
      <w:r w:rsidRPr="006943B3">
        <w:t xml:space="preserve">Increase in the proportion of PSS benefits taken as a pension from </w:t>
      </w:r>
      <w:r>
        <w:t>70</w:t>
      </w:r>
      <w:r w:rsidRPr="00FB2C86">
        <w:t xml:space="preserve">% </w:t>
      </w:r>
      <w:r w:rsidRPr="006943B3">
        <w:t xml:space="preserve">to </w:t>
      </w:r>
      <w:r>
        <w:t>80</w:t>
      </w:r>
      <w:r w:rsidRPr="00FB2C86">
        <w:t>%</w:t>
      </w:r>
      <w:r w:rsidRPr="006943B3">
        <w:t xml:space="preserve">.  </w:t>
      </w:r>
      <w:r>
        <w:t>Under the assumptions made in this actuarial investigation, a</w:t>
      </w:r>
      <w:r w:rsidRPr="00893B43">
        <w:t xml:space="preserve"> member electing to take </w:t>
      </w:r>
      <w:r>
        <w:t xml:space="preserve">their benefit as </w:t>
      </w:r>
      <w:r w:rsidRPr="00893B43">
        <w:t xml:space="preserve">a pension leads to </w:t>
      </w:r>
      <w:r>
        <w:t xml:space="preserve">a </w:t>
      </w:r>
      <w:r w:rsidRPr="00893B43">
        <w:t>more valuable benefit</w:t>
      </w:r>
      <w:r>
        <w:t>: and</w:t>
      </w:r>
    </w:p>
    <w:p w:rsidR="00F81F11" w:rsidRDefault="0003409D" w:rsidP="00120569">
      <w:pPr>
        <w:pStyle w:val="Numberedpara2ndindent"/>
        <w:spacing w:after="240"/>
      </w:pPr>
      <w:r w:rsidRPr="0003409D">
        <w:t>Introducing age-based member contribution rates reflecting the observation that as members age they increase their member contribution rates.  Higher member contribution rates lead to a higher accrual of benefits and therefore more valuable benefits</w:t>
      </w:r>
      <w:r>
        <w:t>.</w:t>
      </w:r>
    </w:p>
    <w:p w:rsidR="00F81F11" w:rsidRDefault="00F81F11">
      <w:pPr>
        <w:spacing w:after="0"/>
        <w:rPr>
          <w:rFonts w:eastAsia="Times New Roman"/>
          <w:szCs w:val="24"/>
        </w:rPr>
      </w:pPr>
      <w:r>
        <w:br w:type="page"/>
      </w:r>
    </w:p>
    <w:p w:rsidR="00120569" w:rsidRDefault="00120569" w:rsidP="00120569">
      <w:pPr>
        <w:pStyle w:val="Numberedpara1stindent"/>
        <w:spacing w:after="240"/>
      </w:pPr>
      <w:r>
        <w:lastRenderedPageBreak/>
        <w:t>The decrease in the NECR for the CSS is due to the nature of the benefit design whereby the rate of benefit accrual declines with length of membership. The more accurate allowance for productivity contributions has also reduced the NECR.</w:t>
      </w:r>
    </w:p>
    <w:p w:rsidR="0038208A" w:rsidRDefault="00120569" w:rsidP="00120569">
      <w:pPr>
        <w:pStyle w:val="Numberedpara1stindent"/>
      </w:pPr>
      <w:r>
        <w:t>Further detail regarding the NECRs is contained in Section 7 of this Report.</w:t>
      </w:r>
    </w:p>
    <w:p w:rsidR="0038208A" w:rsidRPr="007E3448" w:rsidRDefault="0038208A" w:rsidP="00E125B0">
      <w:pPr>
        <w:pStyle w:val="Heading3nonumbers"/>
      </w:pPr>
      <w:r w:rsidRPr="007E3448">
        <w:t>Scheme Membership</w:t>
      </w:r>
    </w:p>
    <w:p w:rsidR="0038208A" w:rsidRDefault="0038208A" w:rsidP="00266A7E">
      <w:pPr>
        <w:pStyle w:val="Numberedpara1stindent"/>
        <w:spacing w:after="120"/>
      </w:pPr>
      <w:r w:rsidRPr="00936A44">
        <w:t>The table below summarise</w:t>
      </w:r>
      <w:r>
        <w:t>s</w:t>
      </w:r>
      <w:r w:rsidRPr="00936A44">
        <w:t xml:space="preserve"> the total membership of the PSS and CSS as at 30 June </w:t>
      </w:r>
      <w:r>
        <w:t>2014:</w:t>
      </w:r>
    </w:p>
    <w:p w:rsidR="00E125B0" w:rsidRDefault="00E125B0" w:rsidP="00E125B0">
      <w:pPr>
        <w:pStyle w:val="Heading4nonumbers"/>
      </w:pPr>
      <w:r w:rsidRPr="006E6EA4">
        <w:t>Membership as at 30 June 2014</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38208A" w:rsidRPr="006E6EA4" w:rsidTr="00666DF9">
        <w:tc>
          <w:tcPr>
            <w:tcW w:w="2245" w:type="dxa"/>
            <w:shd w:val="clear" w:color="auto" w:fill="DDF3FA"/>
          </w:tcPr>
          <w:p w:rsidR="0038208A" w:rsidRPr="006E6EA4" w:rsidRDefault="0038208A" w:rsidP="00666DF9">
            <w:pPr>
              <w:pStyle w:val="Tablecolumnheading"/>
              <w:spacing w:line="220" w:lineRule="atLeast"/>
              <w:rPr>
                <w:rFonts w:cs="Arial"/>
              </w:rPr>
            </w:pPr>
            <w:r w:rsidRPr="006E6EA4">
              <w:rPr>
                <w:rFonts w:cs="Arial"/>
              </w:rPr>
              <w:t>Report as at</w:t>
            </w:r>
          </w:p>
        </w:tc>
        <w:tc>
          <w:tcPr>
            <w:tcW w:w="1895" w:type="dxa"/>
            <w:shd w:val="clear" w:color="auto" w:fill="DDF3FA"/>
          </w:tcPr>
          <w:p w:rsidR="0038208A" w:rsidRPr="006E6EA4" w:rsidRDefault="0038208A" w:rsidP="00666DF9">
            <w:pPr>
              <w:pStyle w:val="Tablecolumnheading"/>
              <w:spacing w:line="220" w:lineRule="atLeast"/>
              <w:jc w:val="center"/>
              <w:rPr>
                <w:rFonts w:cs="Arial"/>
              </w:rPr>
            </w:pPr>
            <w:r w:rsidRPr="006E6EA4">
              <w:rPr>
                <w:rFonts w:cs="Arial"/>
              </w:rPr>
              <w:t>PSS</w:t>
            </w:r>
          </w:p>
        </w:tc>
        <w:tc>
          <w:tcPr>
            <w:tcW w:w="1895" w:type="dxa"/>
            <w:shd w:val="clear" w:color="auto" w:fill="DDF3FA"/>
          </w:tcPr>
          <w:p w:rsidR="0038208A" w:rsidRPr="006E6EA4" w:rsidRDefault="0038208A" w:rsidP="00666DF9">
            <w:pPr>
              <w:pStyle w:val="Tablecolumnheading"/>
              <w:spacing w:line="220" w:lineRule="atLeast"/>
              <w:jc w:val="center"/>
              <w:rPr>
                <w:rFonts w:cs="Arial"/>
              </w:rPr>
            </w:pPr>
            <w:r w:rsidRPr="006E6EA4">
              <w:rPr>
                <w:rFonts w:cs="Arial"/>
              </w:rPr>
              <w:t>CSS</w:t>
            </w:r>
          </w:p>
        </w:tc>
        <w:tc>
          <w:tcPr>
            <w:tcW w:w="1895" w:type="dxa"/>
            <w:shd w:val="clear" w:color="auto" w:fill="DDF3FA"/>
          </w:tcPr>
          <w:p w:rsidR="0038208A" w:rsidRPr="006E6EA4" w:rsidRDefault="0038208A" w:rsidP="00666DF9">
            <w:pPr>
              <w:pStyle w:val="Tablecolumnheading"/>
              <w:spacing w:line="220" w:lineRule="atLeast"/>
              <w:jc w:val="center"/>
              <w:rPr>
                <w:rFonts w:cs="Arial"/>
              </w:rPr>
            </w:pPr>
            <w:r w:rsidRPr="006E6EA4">
              <w:rPr>
                <w:rFonts w:cs="Arial"/>
              </w:rPr>
              <w:t>Combined</w:t>
            </w:r>
          </w:p>
        </w:tc>
      </w:tr>
      <w:tr w:rsidR="0038208A" w:rsidRPr="006E6EA4" w:rsidTr="00666DF9">
        <w:tc>
          <w:tcPr>
            <w:tcW w:w="2245" w:type="dxa"/>
          </w:tcPr>
          <w:p w:rsidR="0038208A" w:rsidRPr="00611DD7" w:rsidRDefault="0038208A" w:rsidP="00611DD7">
            <w:pPr>
              <w:pStyle w:val="Tablebodytext"/>
              <w:rPr>
                <w:b/>
              </w:rPr>
            </w:pPr>
            <w:r w:rsidRPr="00611DD7">
              <w:rPr>
                <w:b/>
              </w:rPr>
              <w:t>Number of Contributors</w:t>
            </w:r>
          </w:p>
        </w:tc>
        <w:tc>
          <w:tcPr>
            <w:tcW w:w="1895" w:type="dxa"/>
          </w:tcPr>
          <w:p w:rsidR="0038208A" w:rsidRPr="006E6EA4" w:rsidRDefault="0038208A" w:rsidP="00611DD7">
            <w:pPr>
              <w:pStyle w:val="Tablebodytext"/>
            </w:pPr>
            <w:r w:rsidRPr="006E6EA4">
              <w:t>96,049</w:t>
            </w:r>
          </w:p>
        </w:tc>
        <w:tc>
          <w:tcPr>
            <w:tcW w:w="1895" w:type="dxa"/>
          </w:tcPr>
          <w:p w:rsidR="0038208A" w:rsidRPr="006E6EA4" w:rsidRDefault="0038208A" w:rsidP="00611DD7">
            <w:pPr>
              <w:pStyle w:val="Tablebodytext"/>
            </w:pPr>
            <w:r w:rsidRPr="006E6EA4">
              <w:t>10,548</w:t>
            </w:r>
          </w:p>
        </w:tc>
        <w:tc>
          <w:tcPr>
            <w:tcW w:w="1895" w:type="dxa"/>
          </w:tcPr>
          <w:p w:rsidR="0038208A" w:rsidRPr="006E6EA4" w:rsidRDefault="0038208A" w:rsidP="00611DD7">
            <w:pPr>
              <w:pStyle w:val="Tablebodytext"/>
            </w:pPr>
            <w:r w:rsidRPr="006E6EA4">
              <w:t>106,597</w:t>
            </w:r>
          </w:p>
        </w:tc>
      </w:tr>
      <w:tr w:rsidR="0038208A" w:rsidRPr="006E6EA4" w:rsidTr="00666DF9">
        <w:tc>
          <w:tcPr>
            <w:tcW w:w="2245" w:type="dxa"/>
          </w:tcPr>
          <w:p w:rsidR="0038208A" w:rsidRPr="00611DD7" w:rsidRDefault="0038208A" w:rsidP="00611DD7">
            <w:pPr>
              <w:pStyle w:val="Tablebodytext"/>
              <w:rPr>
                <w:b/>
              </w:rPr>
            </w:pPr>
            <w:r w:rsidRPr="00611DD7">
              <w:rPr>
                <w:b/>
              </w:rPr>
              <w:t>Total Salaries of Contributors</w:t>
            </w:r>
          </w:p>
        </w:tc>
        <w:tc>
          <w:tcPr>
            <w:tcW w:w="1895" w:type="dxa"/>
          </w:tcPr>
          <w:p w:rsidR="0038208A" w:rsidRPr="006E6EA4" w:rsidRDefault="0038208A" w:rsidP="00611DD7">
            <w:pPr>
              <w:pStyle w:val="Tablebodytext"/>
            </w:pPr>
            <w:r w:rsidRPr="006E6EA4">
              <w:t>$9,239m</w:t>
            </w:r>
          </w:p>
        </w:tc>
        <w:tc>
          <w:tcPr>
            <w:tcW w:w="1895" w:type="dxa"/>
          </w:tcPr>
          <w:p w:rsidR="0038208A" w:rsidRPr="006E6EA4" w:rsidRDefault="0038208A" w:rsidP="00611DD7">
            <w:pPr>
              <w:pStyle w:val="Tablebodytext"/>
            </w:pPr>
            <w:r w:rsidRPr="006E6EA4">
              <w:t>$1,210m</w:t>
            </w:r>
          </w:p>
        </w:tc>
        <w:tc>
          <w:tcPr>
            <w:tcW w:w="1895" w:type="dxa"/>
          </w:tcPr>
          <w:p w:rsidR="0038208A" w:rsidRPr="006E6EA4" w:rsidRDefault="0038208A" w:rsidP="00611DD7">
            <w:pPr>
              <w:pStyle w:val="Tablebodytext"/>
            </w:pPr>
            <w:r w:rsidRPr="006E6EA4">
              <w:t>$10,449m</w:t>
            </w:r>
          </w:p>
        </w:tc>
      </w:tr>
      <w:tr w:rsidR="0038208A" w:rsidRPr="006E6EA4" w:rsidTr="00666DF9">
        <w:tc>
          <w:tcPr>
            <w:tcW w:w="2245" w:type="dxa"/>
          </w:tcPr>
          <w:p w:rsidR="0038208A" w:rsidRPr="00611DD7" w:rsidRDefault="0038208A" w:rsidP="00611DD7">
            <w:pPr>
              <w:pStyle w:val="Tablebodytext"/>
              <w:rPr>
                <w:b/>
              </w:rPr>
            </w:pPr>
            <w:r w:rsidRPr="00611DD7">
              <w:rPr>
                <w:b/>
              </w:rPr>
              <w:t>Number of Preserved Members</w:t>
            </w:r>
          </w:p>
        </w:tc>
        <w:tc>
          <w:tcPr>
            <w:tcW w:w="1895" w:type="dxa"/>
          </w:tcPr>
          <w:p w:rsidR="0038208A" w:rsidRPr="006E6EA4" w:rsidRDefault="0038208A" w:rsidP="00611DD7">
            <w:pPr>
              <w:pStyle w:val="Tablebodytext"/>
            </w:pPr>
            <w:r w:rsidRPr="006E6EA4">
              <w:t>102,906</w:t>
            </w:r>
          </w:p>
        </w:tc>
        <w:tc>
          <w:tcPr>
            <w:tcW w:w="1895" w:type="dxa"/>
          </w:tcPr>
          <w:p w:rsidR="0038208A" w:rsidRPr="006E6EA4" w:rsidRDefault="0038208A" w:rsidP="00611DD7">
            <w:pPr>
              <w:pStyle w:val="Tablebodytext"/>
            </w:pPr>
            <w:r w:rsidRPr="006E6EA4">
              <w:t>6,694</w:t>
            </w:r>
          </w:p>
        </w:tc>
        <w:tc>
          <w:tcPr>
            <w:tcW w:w="1895" w:type="dxa"/>
          </w:tcPr>
          <w:p w:rsidR="0038208A" w:rsidRPr="006E6EA4" w:rsidRDefault="0038208A" w:rsidP="00611DD7">
            <w:pPr>
              <w:pStyle w:val="Tablebodytext"/>
            </w:pPr>
            <w:r w:rsidRPr="006E6EA4">
              <w:t>109,600</w:t>
            </w:r>
          </w:p>
        </w:tc>
      </w:tr>
      <w:tr w:rsidR="0038208A" w:rsidRPr="006E6EA4" w:rsidTr="00666DF9">
        <w:tc>
          <w:tcPr>
            <w:tcW w:w="2245" w:type="dxa"/>
          </w:tcPr>
          <w:p w:rsidR="0038208A" w:rsidRPr="00611DD7" w:rsidRDefault="0038208A" w:rsidP="00611DD7">
            <w:pPr>
              <w:pStyle w:val="Tablebodytext"/>
              <w:rPr>
                <w:b/>
              </w:rPr>
            </w:pPr>
            <w:r w:rsidRPr="00611DD7">
              <w:rPr>
                <w:b/>
              </w:rPr>
              <w:t>Number of Pensioners</w:t>
            </w:r>
          </w:p>
        </w:tc>
        <w:tc>
          <w:tcPr>
            <w:tcW w:w="1895" w:type="dxa"/>
          </w:tcPr>
          <w:p w:rsidR="0038208A" w:rsidRPr="006E6EA4" w:rsidRDefault="0038208A" w:rsidP="00611DD7">
            <w:pPr>
              <w:pStyle w:val="Tablebodytext"/>
            </w:pPr>
            <w:r w:rsidRPr="006E6EA4">
              <w:t>34,314</w:t>
            </w:r>
          </w:p>
        </w:tc>
        <w:tc>
          <w:tcPr>
            <w:tcW w:w="1895" w:type="dxa"/>
          </w:tcPr>
          <w:p w:rsidR="0038208A" w:rsidRPr="006E6EA4" w:rsidRDefault="0038208A" w:rsidP="00611DD7">
            <w:pPr>
              <w:pStyle w:val="Tablebodytext"/>
            </w:pPr>
            <w:r w:rsidRPr="006E6EA4">
              <w:t>113,310</w:t>
            </w:r>
          </w:p>
        </w:tc>
        <w:tc>
          <w:tcPr>
            <w:tcW w:w="1895" w:type="dxa"/>
          </w:tcPr>
          <w:p w:rsidR="0038208A" w:rsidRPr="006E6EA4" w:rsidRDefault="0038208A" w:rsidP="00611DD7">
            <w:pPr>
              <w:pStyle w:val="Tablebodytext"/>
            </w:pPr>
            <w:r w:rsidRPr="006E6EA4">
              <w:t>147,624</w:t>
            </w:r>
          </w:p>
        </w:tc>
      </w:tr>
      <w:tr w:rsidR="0038208A" w:rsidRPr="006E6EA4" w:rsidTr="00666DF9">
        <w:tc>
          <w:tcPr>
            <w:tcW w:w="2245" w:type="dxa"/>
            <w:tcBorders>
              <w:bottom w:val="single" w:sz="2" w:space="0" w:color="A7B4BE"/>
            </w:tcBorders>
          </w:tcPr>
          <w:p w:rsidR="0038208A" w:rsidRPr="00611DD7" w:rsidRDefault="0038208A" w:rsidP="00611DD7">
            <w:pPr>
              <w:pStyle w:val="Tablebodytext"/>
              <w:rPr>
                <w:b/>
              </w:rPr>
            </w:pPr>
            <w:r w:rsidRPr="00611DD7">
              <w:rPr>
                <w:b/>
              </w:rPr>
              <w:t>Total Number of Members</w:t>
            </w:r>
          </w:p>
        </w:tc>
        <w:tc>
          <w:tcPr>
            <w:tcW w:w="1895" w:type="dxa"/>
            <w:tcBorders>
              <w:bottom w:val="single" w:sz="2" w:space="0" w:color="A7B4BE"/>
            </w:tcBorders>
          </w:tcPr>
          <w:p w:rsidR="0038208A" w:rsidRPr="006E6EA4" w:rsidRDefault="0038208A" w:rsidP="00611DD7">
            <w:pPr>
              <w:pStyle w:val="Tablebodytext"/>
            </w:pPr>
            <w:r w:rsidRPr="006E6EA4">
              <w:t>233,269</w:t>
            </w:r>
          </w:p>
        </w:tc>
        <w:tc>
          <w:tcPr>
            <w:tcW w:w="1895" w:type="dxa"/>
            <w:tcBorders>
              <w:bottom w:val="single" w:sz="2" w:space="0" w:color="A7B4BE"/>
            </w:tcBorders>
          </w:tcPr>
          <w:p w:rsidR="0038208A" w:rsidRPr="006E6EA4" w:rsidRDefault="0038208A" w:rsidP="00611DD7">
            <w:pPr>
              <w:pStyle w:val="Tablebodytext"/>
            </w:pPr>
            <w:r w:rsidRPr="006E6EA4">
              <w:t>130,552</w:t>
            </w:r>
          </w:p>
        </w:tc>
        <w:tc>
          <w:tcPr>
            <w:tcW w:w="1895" w:type="dxa"/>
            <w:tcBorders>
              <w:bottom w:val="single" w:sz="2" w:space="0" w:color="A7B4BE"/>
            </w:tcBorders>
          </w:tcPr>
          <w:p w:rsidR="0038208A" w:rsidRPr="006E6EA4" w:rsidRDefault="0038208A" w:rsidP="00611DD7">
            <w:pPr>
              <w:pStyle w:val="Tablebodytext"/>
            </w:pPr>
            <w:r w:rsidRPr="006E6EA4">
              <w:t>363,821</w:t>
            </w:r>
          </w:p>
        </w:tc>
      </w:tr>
    </w:tbl>
    <w:p w:rsidR="00AB3DA9" w:rsidRDefault="00AB3DA9" w:rsidP="00266A7E">
      <w:pPr>
        <w:pStyle w:val="Numberedpara1stindent"/>
        <w:spacing w:before="240" w:after="240"/>
      </w:pPr>
      <w:r>
        <w:t xml:space="preserve">Further detail regarding the schemes’ membership is contained in Section 3 of this Report, </w:t>
      </w:r>
      <w:r w:rsidRPr="00266A7E">
        <w:t>including historical membership figures from previous reports</w:t>
      </w:r>
      <w:r>
        <w:t>.</w:t>
      </w:r>
    </w:p>
    <w:p w:rsidR="00AB3DA9" w:rsidRPr="007E3448" w:rsidRDefault="00AB3DA9" w:rsidP="00E125B0">
      <w:pPr>
        <w:pStyle w:val="Heading3nonumbers"/>
      </w:pPr>
      <w:r w:rsidRPr="007E3448">
        <w:t>Assumptions</w:t>
      </w:r>
    </w:p>
    <w:p w:rsidR="00AB3DA9" w:rsidRDefault="00AB3DA9" w:rsidP="00266A7E">
      <w:pPr>
        <w:pStyle w:val="Numberedpara1stindent"/>
        <w:spacing w:after="120"/>
      </w:pPr>
      <w:r w:rsidRPr="00EC76FF">
        <w:t xml:space="preserve">The key economic assumptions adopted for this </w:t>
      </w:r>
      <w:r>
        <w:t>Report</w:t>
      </w:r>
      <w:r w:rsidRPr="00EC76FF">
        <w:t xml:space="preserve"> are shown in the table below</w:t>
      </w:r>
      <w:r>
        <w:t>. All economic assumptions used to value the unfunded liability and projected outlays are the same as those used in the 2011 Report.</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3607"/>
        <w:gridCol w:w="3607"/>
      </w:tblGrid>
      <w:tr w:rsidR="00AB3DA9" w:rsidRPr="006E6EA4" w:rsidTr="00AB3DA9">
        <w:trPr>
          <w:trHeight w:val="265"/>
        </w:trPr>
        <w:tc>
          <w:tcPr>
            <w:tcW w:w="3607" w:type="dxa"/>
            <w:shd w:val="clear" w:color="auto" w:fill="DDF3FA"/>
          </w:tcPr>
          <w:p w:rsidR="00AB3DA9" w:rsidRPr="006E6EA4" w:rsidRDefault="00AB3DA9" w:rsidP="00E125B0">
            <w:pPr>
              <w:pStyle w:val="Tablecolumnheading"/>
            </w:pPr>
            <w:r w:rsidRPr="006E6EA4">
              <w:t>Item</w:t>
            </w:r>
          </w:p>
        </w:tc>
        <w:tc>
          <w:tcPr>
            <w:tcW w:w="3607" w:type="dxa"/>
            <w:shd w:val="clear" w:color="auto" w:fill="DDF3FA"/>
          </w:tcPr>
          <w:p w:rsidR="00AB3DA9" w:rsidRPr="006E6EA4" w:rsidRDefault="00AB3DA9" w:rsidP="00E125B0">
            <w:pPr>
              <w:pStyle w:val="Tablecolumnheading"/>
            </w:pPr>
            <w:r w:rsidRPr="006E6EA4">
              <w:t>Assumption</w:t>
            </w:r>
          </w:p>
        </w:tc>
      </w:tr>
      <w:tr w:rsidR="00AB3DA9" w:rsidRPr="006E6EA4" w:rsidTr="00AB3DA9">
        <w:trPr>
          <w:trHeight w:val="586"/>
        </w:trPr>
        <w:tc>
          <w:tcPr>
            <w:tcW w:w="3607" w:type="dxa"/>
          </w:tcPr>
          <w:p w:rsidR="00AB3DA9" w:rsidRPr="006E6EA4" w:rsidRDefault="00AB3DA9" w:rsidP="00711F2B">
            <w:pPr>
              <w:pStyle w:val="Tablebodytext"/>
            </w:pPr>
            <w:r w:rsidRPr="006E6EA4">
              <w:t>Investment Return / Discount Rate</w:t>
            </w:r>
          </w:p>
        </w:tc>
        <w:tc>
          <w:tcPr>
            <w:tcW w:w="3607" w:type="dxa"/>
          </w:tcPr>
          <w:p w:rsidR="00AB3DA9" w:rsidRPr="006E6EA4" w:rsidRDefault="00AB3DA9" w:rsidP="00711F2B">
            <w:pPr>
              <w:pStyle w:val="Tablebodytext"/>
            </w:pPr>
            <w:r w:rsidRPr="006E6EA4">
              <w:t>6.0% per annum (nominal)</w:t>
            </w:r>
          </w:p>
          <w:p w:rsidR="00AB3DA9" w:rsidRPr="006E6EA4" w:rsidRDefault="00AB3DA9" w:rsidP="00711F2B">
            <w:pPr>
              <w:pStyle w:val="Tablebodytext"/>
            </w:pPr>
            <w:r w:rsidRPr="006E6EA4">
              <w:t>3.5% per annum (real)</w:t>
            </w:r>
          </w:p>
        </w:tc>
      </w:tr>
      <w:tr w:rsidR="00AB3DA9" w:rsidRPr="006E6EA4" w:rsidTr="00AB3DA9">
        <w:trPr>
          <w:trHeight w:val="586"/>
        </w:trPr>
        <w:tc>
          <w:tcPr>
            <w:tcW w:w="3607" w:type="dxa"/>
          </w:tcPr>
          <w:p w:rsidR="00AB3DA9" w:rsidRPr="006E6EA4" w:rsidRDefault="00AB3DA9" w:rsidP="00711F2B">
            <w:pPr>
              <w:pStyle w:val="Tablebodytext"/>
            </w:pPr>
            <w:r w:rsidRPr="006E6EA4">
              <w:t>General Salary Increases</w:t>
            </w:r>
          </w:p>
        </w:tc>
        <w:tc>
          <w:tcPr>
            <w:tcW w:w="3607" w:type="dxa"/>
          </w:tcPr>
          <w:p w:rsidR="00AB3DA9" w:rsidRPr="006E6EA4" w:rsidRDefault="00AB3DA9" w:rsidP="00711F2B">
            <w:pPr>
              <w:pStyle w:val="Tablebodytext"/>
            </w:pPr>
            <w:r w:rsidRPr="006E6EA4">
              <w:t>4.0% per annum (nominal)</w:t>
            </w:r>
          </w:p>
          <w:p w:rsidR="00AB3DA9" w:rsidRPr="006E6EA4" w:rsidRDefault="00AB3DA9" w:rsidP="00711F2B">
            <w:pPr>
              <w:pStyle w:val="Tablebodytext"/>
            </w:pPr>
            <w:r w:rsidRPr="006E6EA4">
              <w:t>1.5% per annum (real)</w:t>
            </w:r>
          </w:p>
        </w:tc>
      </w:tr>
      <w:tr w:rsidR="00AB3DA9" w:rsidRPr="006E6EA4" w:rsidTr="00711F2B">
        <w:trPr>
          <w:trHeight w:val="338"/>
        </w:trPr>
        <w:tc>
          <w:tcPr>
            <w:tcW w:w="3607" w:type="dxa"/>
          </w:tcPr>
          <w:p w:rsidR="00AB3DA9" w:rsidRPr="006E6EA4" w:rsidRDefault="00AB3DA9" w:rsidP="00711F2B">
            <w:pPr>
              <w:pStyle w:val="Tablebodytext"/>
            </w:pPr>
            <w:r w:rsidRPr="006E6EA4">
              <w:t>CPI Increases</w:t>
            </w:r>
          </w:p>
        </w:tc>
        <w:tc>
          <w:tcPr>
            <w:tcW w:w="3607" w:type="dxa"/>
          </w:tcPr>
          <w:p w:rsidR="00AB3DA9" w:rsidRPr="006E6EA4" w:rsidRDefault="00AB3DA9" w:rsidP="00711F2B">
            <w:pPr>
              <w:pStyle w:val="Tablebodytext"/>
            </w:pPr>
            <w:r w:rsidRPr="006E6EA4">
              <w:t>2.5% per annum</w:t>
            </w:r>
          </w:p>
        </w:tc>
      </w:tr>
    </w:tbl>
    <w:p w:rsidR="00266A7E" w:rsidRDefault="00FC6529" w:rsidP="00266A7E">
      <w:pPr>
        <w:pStyle w:val="Numberedpara1stindent"/>
        <w:spacing w:before="240" w:after="240"/>
      </w:pPr>
      <w:r>
        <w:t xml:space="preserve">Maintaining the long-term assumptions from the 2011 Report (and prior LTCRs) reflects the long term nature of the Schemes’ liabilities.  The use of long-term assumptions continues the underlying principle of not using short and long term assumptions as short-term deviations are expected to be smoothed out in the longer term.  </w:t>
      </w:r>
    </w:p>
    <w:p w:rsidR="00FC6529" w:rsidRDefault="00266A7E" w:rsidP="00266A7E">
      <w:pPr>
        <w:pStyle w:val="Numberedpara1stindent"/>
        <w:spacing w:after="240"/>
      </w:pPr>
      <w:r>
        <w:br w:type="page"/>
      </w:r>
      <w:r w:rsidR="00FC6529">
        <w:lastRenderedPageBreak/>
        <w:t>There has been considerable volatility in financial markets over recent years which has led to greater uncertainty around long-term assumed outcomes.  The existing long-term assumptions remain within that range of outcomes.  We have therefore continued to adopt the same long-term assumptions to provide consistency with prior years.  Further commentary on these assumptions is included in Section 4 of this Report.</w:t>
      </w:r>
    </w:p>
    <w:p w:rsidR="00902F86" w:rsidRDefault="00FC6529" w:rsidP="00FC6529">
      <w:pPr>
        <w:pStyle w:val="Numberedpara1stindent"/>
        <w:spacing w:after="240"/>
      </w:pPr>
      <w:r>
        <w:t>Section 8 of this Report provides sensitivity analysis of the results under different individual assumptions.</w:t>
      </w:r>
    </w:p>
    <w:p w:rsidR="00902F86" w:rsidRDefault="00902F86" w:rsidP="00BB234C">
      <w:pPr>
        <w:pStyle w:val="Numberedpara1stindent"/>
        <w:spacing w:after="120"/>
      </w:pPr>
      <w:r w:rsidRPr="00902F86">
        <w:t>The demographic assumptions have been reviewed based on the experience of the schemes over the eight years to 30 June 2013. This analysis was conducted at the start of 2014 to allow time to analyse the results in detail.  The most significant changes include</w:t>
      </w:r>
      <w:r>
        <w:t>:</w:t>
      </w:r>
    </w:p>
    <w:p w:rsidR="00902F86" w:rsidRDefault="00902F86" w:rsidP="00BB234C">
      <w:pPr>
        <w:pStyle w:val="Numberedpara2ndindent"/>
        <w:spacing w:after="120"/>
      </w:pPr>
      <w:r w:rsidRPr="00902F86">
        <w:t>increases in the pension take-up assumptions for PSS members and CSS members in taking up non-indexed pension benefits</w:t>
      </w:r>
      <w:r>
        <w:t>:</w:t>
      </w:r>
    </w:p>
    <w:p w:rsidR="00902F86" w:rsidRDefault="00902F86" w:rsidP="00BB234C">
      <w:pPr>
        <w:pStyle w:val="Numberedpara2ndindent"/>
        <w:spacing w:after="120"/>
      </w:pPr>
      <w:r>
        <w:t xml:space="preserve">reductions to pensioner mortality rates; and </w:t>
      </w:r>
    </w:p>
    <w:p w:rsidR="00902F86" w:rsidRDefault="00902F86" w:rsidP="00902F86">
      <w:pPr>
        <w:pStyle w:val="Numberedpara2ndindent"/>
        <w:spacing w:after="240"/>
      </w:pPr>
      <w:r>
        <w:t>increases</w:t>
      </w:r>
      <w:r w:rsidRPr="00B83043">
        <w:t xml:space="preserve"> in member contribution rates for PSS members</w:t>
      </w:r>
      <w:r>
        <w:t>.</w:t>
      </w:r>
    </w:p>
    <w:p w:rsidR="00902F86" w:rsidRDefault="00902F86" w:rsidP="00FC6529">
      <w:pPr>
        <w:pStyle w:val="Numberedpara1stindent"/>
        <w:spacing w:after="240"/>
      </w:pPr>
      <w:r w:rsidRPr="00902F86">
        <w:t>Further detail regarding assumptions is contained in Section 4 of this Report</w:t>
      </w:r>
      <w:r>
        <w:t>.</w:t>
      </w:r>
    </w:p>
    <w:p w:rsidR="00902F86" w:rsidRPr="007E3448" w:rsidRDefault="00902F86" w:rsidP="00E125B0">
      <w:pPr>
        <w:pStyle w:val="Heading3nonumbers"/>
      </w:pPr>
      <w:r w:rsidRPr="007E3448">
        <w:t>Post Valuation Date Experience</w:t>
      </w:r>
    </w:p>
    <w:p w:rsidR="00902F86" w:rsidRDefault="00902F86" w:rsidP="00902F86">
      <w:pPr>
        <w:pStyle w:val="Numberedpara1stindent"/>
        <w:spacing w:after="240"/>
      </w:pPr>
      <w:r>
        <w:t xml:space="preserve">Since 30 June 2014, there has been a higher than anticipated number of exits from the schemes. This subsequent experience has not been allowed for in the results or projections of this Report.  </w:t>
      </w:r>
    </w:p>
    <w:p w:rsidR="00D368D0" w:rsidRDefault="00902F86" w:rsidP="00902F86">
      <w:pPr>
        <w:pStyle w:val="Numberedpara1stindent"/>
        <w:spacing w:after="240"/>
      </w:pPr>
      <w:r>
        <w:t>The post valuation date experience is expected to have more significant impact on the pattern of the projected outlays than on the projected unfunded liabilities; further commentary is provided in Section 6 on Projected Outlays.</w:t>
      </w:r>
    </w:p>
    <w:p w:rsidR="00D368D0" w:rsidRDefault="00D368D0" w:rsidP="00DF00E2">
      <w:pPr>
        <w:pStyle w:val="Heading2"/>
        <w:tabs>
          <w:tab w:val="clear" w:pos="567"/>
        </w:tabs>
        <w:spacing w:after="720"/>
      </w:pPr>
      <w:r>
        <w:br w:type="page"/>
      </w:r>
      <w:r w:rsidRPr="00D368D0">
        <w:lastRenderedPageBreak/>
        <w:tab/>
      </w:r>
      <w:bookmarkStart w:id="7" w:name="_Toc422302157"/>
      <w:r w:rsidRPr="00D368D0">
        <w:t>Scheme Information and Assets</w:t>
      </w:r>
      <w:bookmarkEnd w:id="7"/>
      <w:r>
        <w:t xml:space="preserve"> </w:t>
      </w:r>
    </w:p>
    <w:p w:rsidR="00D368D0" w:rsidRPr="007E3448" w:rsidRDefault="00D368D0" w:rsidP="00E125B0">
      <w:pPr>
        <w:pStyle w:val="Heading3nonumbers"/>
      </w:pPr>
      <w:r w:rsidRPr="007E3448">
        <w:t>Introduction</w:t>
      </w:r>
    </w:p>
    <w:p w:rsidR="00D368D0" w:rsidRDefault="00D368D0" w:rsidP="00D368D0">
      <w:pPr>
        <w:pStyle w:val="Numberedpara1stindent"/>
        <w:spacing w:after="240"/>
      </w:pPr>
      <w:r>
        <w:t>The PSS was established on 1 July 1990, following the closure of the CSS on the same date. The Superannuation Act 1990 and a Trust Deed and Rules govern its operations. The PSS was closed to new members from 1 July 2005. Employees of Australian Government agencies prior to 1 July 2005 were eligible for membership of the PSS.</w:t>
      </w:r>
    </w:p>
    <w:p w:rsidR="00D368D0" w:rsidRDefault="00D368D0" w:rsidP="00D368D0">
      <w:pPr>
        <w:pStyle w:val="Numberedpara1stindent"/>
        <w:spacing w:after="240"/>
      </w:pPr>
      <w:r>
        <w:t>Most employees of Australian Government agencies who commence employment on or after 1 July 2005 are eligible to join the Public Sector Superannuation Accumulation Plan (PSSap) that was established on 1 July 2005.</w:t>
      </w:r>
    </w:p>
    <w:p w:rsidR="00D368D0" w:rsidRDefault="00D368D0" w:rsidP="00D368D0">
      <w:pPr>
        <w:pStyle w:val="Numberedpara1stindent"/>
        <w:spacing w:after="240"/>
      </w:pPr>
      <w:r>
        <w:t>The CSS was introduced on 1 July 1976. Its operations are governed by the Superannuation Act 1976, as amended, and associated regulations. The CSS has been closed to new members since 1 July 1990. All CSS contributors at 1 July 1990 were given the option of transferring to the PSS. A further option to transfer to the PSS was provided in 1996 for a limited period of time. The current membership of the CSS covers Australian Government employees who were members on 30 June 1990 and who have not transferred to the PSS.</w:t>
      </w:r>
    </w:p>
    <w:p w:rsidR="00451D70" w:rsidRDefault="00D368D0" w:rsidP="00D368D0">
      <w:pPr>
        <w:pStyle w:val="Numberedpara1stindent"/>
      </w:pPr>
      <w:r>
        <w:t>Prior to July 1976 the superannuation of Australian Government public servants was covered by the Superannuation Act 1922. There are no longer any members contributing under the Superannuation Act 1922. However, some pensioners remain entitled to benefits under this Act and the liabilities in respect of these members are included in the CSS Unfunded Liability.</w:t>
      </w:r>
    </w:p>
    <w:p w:rsidR="00451D70" w:rsidRPr="007E3448" w:rsidRDefault="00451D70" w:rsidP="00E125B0">
      <w:pPr>
        <w:pStyle w:val="Heading3nonumbers"/>
      </w:pPr>
      <w:r w:rsidRPr="007E3448">
        <w:t>Benefits</w:t>
      </w:r>
    </w:p>
    <w:p w:rsidR="00451D70" w:rsidRDefault="001743C3" w:rsidP="001743C3">
      <w:pPr>
        <w:pStyle w:val="Numberedpara1stindent"/>
        <w:spacing w:after="240"/>
      </w:pPr>
      <w:r w:rsidRPr="001743C3">
        <w:t>The PSS and CSS are defined benefit schemes</w:t>
      </w:r>
      <w:r>
        <w:t>.</w:t>
      </w:r>
    </w:p>
    <w:p w:rsidR="00BB234C" w:rsidRDefault="001743C3" w:rsidP="001743C3">
      <w:pPr>
        <w:pStyle w:val="Numberedpara1stindent"/>
        <w:spacing w:after="240"/>
      </w:pPr>
      <w:r w:rsidRPr="001743C3">
        <w:t>In the PSS, the primary benefit is expressed as a lump sum based on a multiple of final average salary that is related to a member’s average contribution rate and total service. On exit, the benefit may be wholly or partially taken as an indexed pension</w:t>
      </w:r>
      <w:r>
        <w:t>.</w:t>
      </w:r>
    </w:p>
    <w:p w:rsidR="001743C3" w:rsidRDefault="00BB234C" w:rsidP="00BB234C">
      <w:pPr>
        <w:pStyle w:val="Numberedpara1stindent"/>
      </w:pPr>
      <w:r>
        <w:br w:type="page"/>
      </w:r>
      <w:r w:rsidR="001743C3" w:rsidRPr="002B77E8">
        <w:lastRenderedPageBreak/>
        <w:t>The CSS provides a retirement benefit equal to the sum of</w:t>
      </w:r>
      <w:r w:rsidR="001743C3">
        <w:t>:</w:t>
      </w:r>
    </w:p>
    <w:p w:rsidR="001743C3" w:rsidRDefault="001743C3" w:rsidP="00BB234C">
      <w:pPr>
        <w:pStyle w:val="Numberedpara2ndindent"/>
        <w:spacing w:after="120"/>
      </w:pPr>
      <w:r w:rsidRPr="002B77E8">
        <w:t>employer-financed indexed pension – being a percentage of final salary based on the period of contributory service and discounted for early retirement before age 65</w:t>
      </w:r>
      <w:r>
        <w:t>:</w:t>
      </w:r>
    </w:p>
    <w:p w:rsidR="001743C3" w:rsidRDefault="001743C3" w:rsidP="00BB234C">
      <w:pPr>
        <w:pStyle w:val="Numberedpara2ndindent"/>
        <w:spacing w:after="120"/>
      </w:pPr>
      <w:r w:rsidRPr="002B77E8">
        <w:t>productivity component – made up of accumulated productivity contributions</w:t>
      </w:r>
      <w:r>
        <w:t>; and</w:t>
      </w:r>
    </w:p>
    <w:p w:rsidR="001743C3" w:rsidRDefault="001743C3" w:rsidP="00BB234C">
      <w:pPr>
        <w:pStyle w:val="Numberedpara2ndindent"/>
        <w:spacing w:after="120"/>
      </w:pPr>
      <w:r w:rsidRPr="002B77E8">
        <w:t>member-financed benefit – made up of accumulated basic and supplementary contributions</w:t>
      </w:r>
      <w:r>
        <w:t>.</w:t>
      </w:r>
    </w:p>
    <w:p w:rsidR="001743C3" w:rsidRDefault="001743C3" w:rsidP="001743C3">
      <w:pPr>
        <w:pStyle w:val="Numberedpara2ndindent"/>
        <w:numPr>
          <w:ilvl w:val="0"/>
          <w:numId w:val="0"/>
        </w:numPr>
        <w:spacing w:after="240"/>
        <w:ind w:left="567"/>
      </w:pPr>
      <w:r w:rsidRPr="002B77E8">
        <w:t>The member can elect to take the productivity component and member-financed benefit either as a non-indexed pension or a lump sum</w:t>
      </w:r>
      <w:r>
        <w:t>.</w:t>
      </w:r>
    </w:p>
    <w:p w:rsidR="001743C3" w:rsidRDefault="001743C3" w:rsidP="00D368D0">
      <w:pPr>
        <w:pStyle w:val="Numberedpara1stindent"/>
      </w:pPr>
      <w:r w:rsidRPr="002B77E8">
        <w:t>Further details of the benefits provided by the PSS and CSS are set out in Appendix A</w:t>
      </w:r>
      <w:r>
        <w:t>.</w:t>
      </w:r>
    </w:p>
    <w:p w:rsidR="001743C3" w:rsidRPr="00EA3B2C" w:rsidRDefault="001743C3" w:rsidP="00E125B0">
      <w:pPr>
        <w:pStyle w:val="Heading3nonumbers"/>
      </w:pPr>
      <w:r w:rsidRPr="00EA3B2C">
        <w:t>Employer Productivity Contributions and Member Contributions</w:t>
      </w:r>
    </w:p>
    <w:p w:rsidR="001743C3" w:rsidRDefault="001743C3" w:rsidP="001743C3">
      <w:pPr>
        <w:pStyle w:val="Numberedpara1stindent"/>
        <w:spacing w:after="240"/>
      </w:pPr>
      <w:r w:rsidRPr="002B77E8">
        <w:t xml:space="preserve">Member and </w:t>
      </w:r>
      <w:r>
        <w:t xml:space="preserve">employer </w:t>
      </w:r>
      <w:r w:rsidRPr="002B77E8">
        <w:t>productivity superannuation contributions paid to the P</w:t>
      </w:r>
      <w:r>
        <w:t>SS and CSS are invested by the t</w:t>
      </w:r>
      <w:r w:rsidRPr="002B77E8">
        <w:t xml:space="preserve">rustee of the two schemes, the </w:t>
      </w:r>
      <w:r>
        <w:t xml:space="preserve">Commonwealth Superannuation Corporation </w:t>
      </w:r>
      <w:r w:rsidRPr="002B77E8">
        <w:t>(</w:t>
      </w:r>
      <w:r>
        <w:t>CSC</w:t>
      </w:r>
      <w:r w:rsidRPr="002B77E8">
        <w:t>)</w:t>
      </w:r>
      <w:r>
        <w:t xml:space="preserve">. These </w:t>
      </w:r>
      <w:r w:rsidRPr="002B77E8">
        <w:t>contributions are accumulated at a crediting rate</w:t>
      </w:r>
      <w:r>
        <w:t xml:space="preserve"> periodically declared by the t</w:t>
      </w:r>
      <w:r w:rsidRPr="002B77E8">
        <w:t>rustee</w:t>
      </w:r>
      <w:r>
        <w:t>.</w:t>
      </w:r>
    </w:p>
    <w:p w:rsidR="001743C3" w:rsidRDefault="001743C3" w:rsidP="001743C3">
      <w:pPr>
        <w:pStyle w:val="Numberedpara1stindent"/>
        <w:spacing w:after="240"/>
      </w:pPr>
      <w:r>
        <w:t xml:space="preserve">Employer productivity contributions are contributions of approximately 2% to 3% (depending on an individual’s salary) of employees’ salaries that employers are required to pay as a result of award negotiations in the late 1980s. They (usually) form part of the scheme benefits. </w:t>
      </w:r>
      <w:r w:rsidRPr="002B77E8">
        <w:t>Generally agencies pay productivity superannuation contributions in respect of their employees to the PSS or CSS</w:t>
      </w:r>
      <w:r>
        <w:t xml:space="preserve">. </w:t>
      </w:r>
      <w:r w:rsidRPr="002B77E8">
        <w:t>However, there are some agencies that have made alternative arrangements in respect of their CSS members</w:t>
      </w:r>
      <w:r>
        <w:t>. These agencies pay their productivity superannuation contributions elsewhere.</w:t>
      </w:r>
    </w:p>
    <w:p w:rsidR="001743C3" w:rsidRDefault="001743C3" w:rsidP="00266A7E">
      <w:pPr>
        <w:pStyle w:val="Numberedpara1stindent"/>
        <w:spacing w:after="120"/>
      </w:pPr>
      <w:r w:rsidRPr="002B77E8">
        <w:t xml:space="preserve">The PSS and CSS are partly funded to the extent that </w:t>
      </w:r>
      <w:r>
        <w:t>actual</w:t>
      </w:r>
      <w:r w:rsidRPr="002B77E8">
        <w:t xml:space="preserve"> assets are held in respect of member contributions and productivity superannuation contributions</w:t>
      </w:r>
      <w:r>
        <w:t xml:space="preserve">. </w:t>
      </w:r>
      <w:r w:rsidRPr="002B77E8">
        <w:t>These assets, as appear</w:t>
      </w:r>
      <w:r>
        <w:t>ed</w:t>
      </w:r>
      <w:r w:rsidRPr="002B77E8">
        <w:t xml:space="preserve"> in the</w:t>
      </w:r>
      <w:r>
        <w:t xml:space="preserve"> financial statements for</w:t>
      </w:r>
      <w:r w:rsidRPr="002B77E8">
        <w:t xml:space="preserve"> the </w:t>
      </w:r>
      <w:r>
        <w:t>schemes</w:t>
      </w:r>
      <w:r w:rsidRPr="002B77E8">
        <w:t>, were</w:t>
      </w:r>
      <w:r>
        <w:t>:</w:t>
      </w:r>
    </w:p>
    <w:p w:rsidR="00E125B0" w:rsidRDefault="00E125B0" w:rsidP="00E125B0">
      <w:pPr>
        <w:pStyle w:val="Heading4nonumbers"/>
      </w:pPr>
      <w:r w:rsidRPr="001743C3">
        <w:t>Assets of the PSS and CSS ($ millions)</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1743C3" w:rsidRPr="00B25A64" w:rsidTr="00666DF9">
        <w:tc>
          <w:tcPr>
            <w:tcW w:w="2245" w:type="dxa"/>
            <w:shd w:val="clear" w:color="auto" w:fill="DDF3FA"/>
          </w:tcPr>
          <w:p w:rsidR="001743C3" w:rsidRPr="0015777B" w:rsidRDefault="001743C3" w:rsidP="00666DF9">
            <w:pPr>
              <w:pStyle w:val="Tablecolumnheading"/>
              <w:spacing w:line="220" w:lineRule="atLeast"/>
            </w:pPr>
            <w:r w:rsidRPr="002B77E8">
              <w:t>Date</w:t>
            </w:r>
          </w:p>
        </w:tc>
        <w:tc>
          <w:tcPr>
            <w:tcW w:w="1895" w:type="dxa"/>
            <w:shd w:val="clear" w:color="auto" w:fill="DDF3FA"/>
          </w:tcPr>
          <w:p w:rsidR="001743C3" w:rsidRPr="00B25A64" w:rsidRDefault="001743C3" w:rsidP="00666DF9">
            <w:pPr>
              <w:pStyle w:val="Tablecolumnheading"/>
              <w:spacing w:line="220" w:lineRule="atLeast"/>
              <w:jc w:val="center"/>
            </w:pPr>
            <w:r>
              <w:t>PSS</w:t>
            </w:r>
          </w:p>
        </w:tc>
        <w:tc>
          <w:tcPr>
            <w:tcW w:w="1895" w:type="dxa"/>
            <w:shd w:val="clear" w:color="auto" w:fill="DDF3FA"/>
          </w:tcPr>
          <w:p w:rsidR="001743C3" w:rsidRPr="00B25A64" w:rsidRDefault="001743C3" w:rsidP="00666DF9">
            <w:pPr>
              <w:pStyle w:val="Tablecolumnheading"/>
              <w:spacing w:line="220" w:lineRule="atLeast"/>
              <w:jc w:val="center"/>
            </w:pPr>
            <w:r w:rsidRPr="00F51315">
              <w:t>CSS</w:t>
            </w:r>
          </w:p>
        </w:tc>
        <w:tc>
          <w:tcPr>
            <w:tcW w:w="1895" w:type="dxa"/>
            <w:shd w:val="clear" w:color="auto" w:fill="DDF3FA"/>
          </w:tcPr>
          <w:p w:rsidR="001743C3" w:rsidRPr="00B25A64" w:rsidRDefault="001743C3" w:rsidP="00666DF9">
            <w:pPr>
              <w:pStyle w:val="Tablecolumnheading"/>
              <w:spacing w:line="220" w:lineRule="atLeast"/>
              <w:jc w:val="center"/>
            </w:pPr>
            <w:r>
              <w:t>Combined</w:t>
            </w:r>
          </w:p>
        </w:tc>
      </w:tr>
      <w:tr w:rsidR="001743C3" w:rsidRPr="001349AA" w:rsidTr="00666DF9">
        <w:tc>
          <w:tcPr>
            <w:tcW w:w="2245" w:type="dxa"/>
          </w:tcPr>
          <w:p w:rsidR="001743C3" w:rsidRPr="00C1720A" w:rsidRDefault="001743C3" w:rsidP="00711F2B">
            <w:pPr>
              <w:pStyle w:val="Tablebodytext"/>
            </w:pPr>
            <w:r w:rsidRPr="00C1720A">
              <w:t>30 June 2002</w:t>
            </w:r>
          </w:p>
        </w:tc>
        <w:tc>
          <w:tcPr>
            <w:tcW w:w="1895" w:type="dxa"/>
          </w:tcPr>
          <w:p w:rsidR="001743C3" w:rsidRPr="00C1720A" w:rsidRDefault="001743C3" w:rsidP="00711F2B">
            <w:pPr>
              <w:pStyle w:val="Tablebodytext"/>
            </w:pPr>
            <w:r w:rsidRPr="00C1720A">
              <w:t>4,468</w:t>
            </w:r>
          </w:p>
        </w:tc>
        <w:tc>
          <w:tcPr>
            <w:tcW w:w="1895" w:type="dxa"/>
          </w:tcPr>
          <w:p w:rsidR="001743C3" w:rsidRPr="00C1720A" w:rsidRDefault="001743C3" w:rsidP="00711F2B">
            <w:pPr>
              <w:pStyle w:val="Tablebodytext"/>
            </w:pPr>
            <w:r w:rsidRPr="00C1720A">
              <w:t>5,337</w:t>
            </w:r>
          </w:p>
        </w:tc>
        <w:tc>
          <w:tcPr>
            <w:tcW w:w="1895" w:type="dxa"/>
          </w:tcPr>
          <w:p w:rsidR="001743C3" w:rsidRPr="00C1720A" w:rsidRDefault="001743C3" w:rsidP="00711F2B">
            <w:pPr>
              <w:pStyle w:val="Tablebodytext"/>
            </w:pPr>
            <w:r w:rsidRPr="00C1720A">
              <w:t>9,805</w:t>
            </w:r>
          </w:p>
        </w:tc>
      </w:tr>
      <w:tr w:rsidR="001743C3" w:rsidRPr="00C816F6" w:rsidTr="00666DF9">
        <w:tc>
          <w:tcPr>
            <w:tcW w:w="2245" w:type="dxa"/>
          </w:tcPr>
          <w:p w:rsidR="001743C3" w:rsidRPr="00C1720A" w:rsidRDefault="001743C3" w:rsidP="00711F2B">
            <w:pPr>
              <w:pStyle w:val="Tablebodytext"/>
            </w:pPr>
            <w:r w:rsidRPr="00C1720A">
              <w:t>30 June 2005</w:t>
            </w:r>
          </w:p>
        </w:tc>
        <w:tc>
          <w:tcPr>
            <w:tcW w:w="1895" w:type="dxa"/>
          </w:tcPr>
          <w:p w:rsidR="001743C3" w:rsidRPr="00C1720A" w:rsidRDefault="001743C3" w:rsidP="00711F2B">
            <w:pPr>
              <w:pStyle w:val="Tablebodytext"/>
            </w:pPr>
            <w:r w:rsidRPr="00C1720A">
              <w:t>7,583</w:t>
            </w:r>
          </w:p>
        </w:tc>
        <w:tc>
          <w:tcPr>
            <w:tcW w:w="1895" w:type="dxa"/>
          </w:tcPr>
          <w:p w:rsidR="001743C3" w:rsidRPr="00C1720A" w:rsidRDefault="001743C3" w:rsidP="00711F2B">
            <w:pPr>
              <w:pStyle w:val="Tablebodytext"/>
            </w:pPr>
            <w:r w:rsidRPr="00C1720A">
              <w:t>6,015</w:t>
            </w:r>
          </w:p>
        </w:tc>
        <w:tc>
          <w:tcPr>
            <w:tcW w:w="1895" w:type="dxa"/>
          </w:tcPr>
          <w:p w:rsidR="001743C3" w:rsidRPr="00C1720A" w:rsidRDefault="001743C3" w:rsidP="00711F2B">
            <w:pPr>
              <w:pStyle w:val="Tablebodytext"/>
            </w:pPr>
            <w:r w:rsidRPr="00C1720A">
              <w:t>13,598</w:t>
            </w:r>
          </w:p>
        </w:tc>
      </w:tr>
      <w:tr w:rsidR="001743C3" w:rsidRPr="001349AA" w:rsidTr="00666DF9">
        <w:tc>
          <w:tcPr>
            <w:tcW w:w="2245" w:type="dxa"/>
          </w:tcPr>
          <w:p w:rsidR="001743C3" w:rsidRPr="00C1720A" w:rsidRDefault="001743C3" w:rsidP="00711F2B">
            <w:pPr>
              <w:pStyle w:val="Tablebodytext"/>
            </w:pPr>
            <w:r w:rsidRPr="00C1720A">
              <w:t>30 June 2008</w:t>
            </w:r>
          </w:p>
        </w:tc>
        <w:tc>
          <w:tcPr>
            <w:tcW w:w="1895" w:type="dxa"/>
          </w:tcPr>
          <w:p w:rsidR="001743C3" w:rsidRPr="00C1720A" w:rsidRDefault="001743C3" w:rsidP="00711F2B">
            <w:pPr>
              <w:pStyle w:val="Tablebodytext"/>
            </w:pPr>
            <w:r w:rsidRPr="00C1720A">
              <w:t>11,346</w:t>
            </w:r>
          </w:p>
        </w:tc>
        <w:tc>
          <w:tcPr>
            <w:tcW w:w="1895" w:type="dxa"/>
          </w:tcPr>
          <w:p w:rsidR="001743C3" w:rsidRPr="00C1720A" w:rsidRDefault="001743C3" w:rsidP="00711F2B">
            <w:pPr>
              <w:pStyle w:val="Tablebodytext"/>
            </w:pPr>
            <w:r w:rsidRPr="00C1720A">
              <w:t>6,073</w:t>
            </w:r>
          </w:p>
        </w:tc>
        <w:tc>
          <w:tcPr>
            <w:tcW w:w="1895" w:type="dxa"/>
          </w:tcPr>
          <w:p w:rsidR="001743C3" w:rsidRPr="00C1720A" w:rsidRDefault="001743C3" w:rsidP="00711F2B">
            <w:pPr>
              <w:pStyle w:val="Tablebodytext"/>
            </w:pPr>
            <w:r w:rsidRPr="00C1720A">
              <w:t>17,419</w:t>
            </w:r>
          </w:p>
        </w:tc>
      </w:tr>
      <w:tr w:rsidR="001743C3" w:rsidRPr="001349AA" w:rsidTr="00666DF9">
        <w:tc>
          <w:tcPr>
            <w:tcW w:w="2245" w:type="dxa"/>
          </w:tcPr>
          <w:p w:rsidR="001743C3" w:rsidRPr="00C1720A" w:rsidRDefault="001743C3" w:rsidP="00711F2B">
            <w:pPr>
              <w:pStyle w:val="Tablebodytext"/>
            </w:pPr>
            <w:r w:rsidRPr="00C1720A">
              <w:t>30 June 2011</w:t>
            </w:r>
          </w:p>
        </w:tc>
        <w:tc>
          <w:tcPr>
            <w:tcW w:w="1895" w:type="dxa"/>
          </w:tcPr>
          <w:p w:rsidR="001743C3" w:rsidRPr="00C1720A" w:rsidRDefault="001743C3" w:rsidP="00711F2B">
            <w:pPr>
              <w:pStyle w:val="Tablebodytext"/>
            </w:pPr>
            <w:r w:rsidRPr="00C1720A">
              <w:t>12,481</w:t>
            </w:r>
          </w:p>
        </w:tc>
        <w:tc>
          <w:tcPr>
            <w:tcW w:w="1895" w:type="dxa"/>
          </w:tcPr>
          <w:p w:rsidR="001743C3" w:rsidRPr="00C1720A" w:rsidRDefault="001743C3" w:rsidP="00711F2B">
            <w:pPr>
              <w:pStyle w:val="Tablebodytext"/>
            </w:pPr>
            <w:r w:rsidRPr="00C1720A">
              <w:t>4,598</w:t>
            </w:r>
          </w:p>
        </w:tc>
        <w:tc>
          <w:tcPr>
            <w:tcW w:w="1895" w:type="dxa"/>
          </w:tcPr>
          <w:p w:rsidR="001743C3" w:rsidRPr="00C1720A" w:rsidRDefault="001743C3" w:rsidP="00711F2B">
            <w:pPr>
              <w:pStyle w:val="Tablebodytext"/>
            </w:pPr>
            <w:r w:rsidRPr="00C1720A">
              <w:t>17,079</w:t>
            </w:r>
          </w:p>
        </w:tc>
      </w:tr>
      <w:tr w:rsidR="001743C3" w:rsidRPr="001349AA" w:rsidTr="00666DF9">
        <w:tc>
          <w:tcPr>
            <w:tcW w:w="2245" w:type="dxa"/>
            <w:tcBorders>
              <w:bottom w:val="single" w:sz="2" w:space="0" w:color="A7B4BE"/>
            </w:tcBorders>
          </w:tcPr>
          <w:p w:rsidR="001743C3" w:rsidRPr="00C1720A" w:rsidRDefault="001743C3" w:rsidP="00711F2B">
            <w:pPr>
              <w:pStyle w:val="Tablebodytext"/>
            </w:pPr>
            <w:r w:rsidRPr="00C1720A">
              <w:t>30 June 2014</w:t>
            </w:r>
          </w:p>
        </w:tc>
        <w:tc>
          <w:tcPr>
            <w:tcW w:w="1895" w:type="dxa"/>
            <w:tcBorders>
              <w:bottom w:val="single" w:sz="2" w:space="0" w:color="A7B4BE"/>
            </w:tcBorders>
          </w:tcPr>
          <w:p w:rsidR="001743C3" w:rsidRPr="00C1720A" w:rsidRDefault="001743C3" w:rsidP="00711F2B">
            <w:pPr>
              <w:pStyle w:val="Tablebodytext"/>
            </w:pPr>
            <w:r w:rsidRPr="00C1720A">
              <w:t>16,563</w:t>
            </w:r>
          </w:p>
        </w:tc>
        <w:tc>
          <w:tcPr>
            <w:tcW w:w="1895" w:type="dxa"/>
            <w:tcBorders>
              <w:bottom w:val="single" w:sz="2" w:space="0" w:color="A7B4BE"/>
            </w:tcBorders>
          </w:tcPr>
          <w:p w:rsidR="001743C3" w:rsidRPr="00C1720A" w:rsidRDefault="001743C3" w:rsidP="00711F2B">
            <w:pPr>
              <w:pStyle w:val="Tablebodytext"/>
            </w:pPr>
            <w:r w:rsidRPr="00C1720A">
              <w:t>4,049</w:t>
            </w:r>
          </w:p>
        </w:tc>
        <w:tc>
          <w:tcPr>
            <w:tcW w:w="1895" w:type="dxa"/>
            <w:tcBorders>
              <w:bottom w:val="single" w:sz="2" w:space="0" w:color="A7B4BE"/>
            </w:tcBorders>
          </w:tcPr>
          <w:p w:rsidR="001743C3" w:rsidRPr="00C1720A" w:rsidRDefault="001743C3" w:rsidP="00711F2B">
            <w:pPr>
              <w:pStyle w:val="Tablebodytext"/>
            </w:pPr>
            <w:r w:rsidRPr="00C1720A">
              <w:t>20,612</w:t>
            </w:r>
          </w:p>
        </w:tc>
      </w:tr>
    </w:tbl>
    <w:p w:rsidR="001743C3" w:rsidRDefault="001743C3" w:rsidP="00BB234C">
      <w:pPr>
        <w:pStyle w:val="Numberedpara1stindent"/>
        <w:spacing w:before="240" w:after="240"/>
      </w:pPr>
      <w:r w:rsidRPr="00AA4052">
        <w:t>The Unfunded Liability is that portion of the total superannuation liability in excess of the assets held in the schemes</w:t>
      </w:r>
      <w:r>
        <w:t xml:space="preserve">. </w:t>
      </w:r>
      <w:r w:rsidRPr="00AA4052">
        <w:t>That is, these assets offset the schemes’ liabilities</w:t>
      </w:r>
      <w:r>
        <w:t>.</w:t>
      </w:r>
    </w:p>
    <w:p w:rsidR="001743C3" w:rsidRPr="007E3448" w:rsidRDefault="001743C3" w:rsidP="00E125B0">
      <w:pPr>
        <w:pStyle w:val="Heading3nonumbers"/>
      </w:pPr>
      <w:r w:rsidRPr="007E3448">
        <w:lastRenderedPageBreak/>
        <w:t>Investment Policy and Earning Rate Policy</w:t>
      </w:r>
    </w:p>
    <w:p w:rsidR="001743C3" w:rsidRDefault="001743C3" w:rsidP="001743C3">
      <w:pPr>
        <w:pStyle w:val="Numberedpara1stindent"/>
        <w:spacing w:after="240"/>
      </w:pPr>
      <w:r>
        <w:t>For PSS contributors, the total benefit is a defined benefit payable from the CRF. Member contributions and productivity contributions, accumulated with investment returns, are paid from the PSS for these contributors into the CRF to offset the cost of benefit payments. Hence, positive investment returns reduce the cost of the scheme to the Government.</w:t>
      </w:r>
    </w:p>
    <w:p w:rsidR="001743C3" w:rsidRDefault="001743C3" w:rsidP="001743C3">
      <w:pPr>
        <w:pStyle w:val="Numberedpara1stindent"/>
        <w:spacing w:after="240"/>
      </w:pPr>
      <w:r>
        <w:t>For PSS preserved members and all CSS members, the member and productivity contributions are accumulated with investment returns to provide part of the eventual benefits. Hence, positive investment returns for these members increase their benefits.</w:t>
      </w:r>
    </w:p>
    <w:p w:rsidR="001743C3" w:rsidRDefault="001743C3" w:rsidP="001743C3">
      <w:pPr>
        <w:pStyle w:val="Numberedpara1stindent"/>
        <w:spacing w:after="240"/>
      </w:pPr>
      <w:r>
        <w:t>We have reviewed the trustee’s investment policy and considered it to be suitable, taking into account the largely unfunded nature of the schemes’ liabilities and the Government’s method of funding outlays from the CRF.</w:t>
      </w:r>
    </w:p>
    <w:p w:rsidR="001743C3" w:rsidRDefault="001743C3" w:rsidP="001743C3">
      <w:pPr>
        <w:pStyle w:val="Numberedpara1stindent"/>
        <w:spacing w:after="240"/>
      </w:pPr>
      <w:r>
        <w:t>The earning rate applied to members’ accruals is effectively the actual rate of investment return, with no smoothing or reserves. The policy is documented and included on the trustee’s website. We consider the trustee’s earning rate policy to be suitable.</w:t>
      </w:r>
    </w:p>
    <w:p w:rsidR="001743C3" w:rsidRPr="007E3448" w:rsidRDefault="001743C3" w:rsidP="00E125B0">
      <w:pPr>
        <w:pStyle w:val="Heading3nonumbers"/>
      </w:pPr>
      <w:r w:rsidRPr="007E3448">
        <w:t>Insurance Policy</w:t>
      </w:r>
    </w:p>
    <w:p w:rsidR="001743C3" w:rsidRDefault="001743C3" w:rsidP="001743C3">
      <w:pPr>
        <w:pStyle w:val="Numberedpara1stindent"/>
        <w:spacing w:after="240"/>
      </w:pPr>
      <w:r w:rsidRPr="00994D20">
        <w:t>Standard death and invalidity benefits in the PSS and CSS are self-insured. We consider this to be appropriate, given the unfunded nature of the schemes, the credit rating of the Australian Government, and the ability to spread any risk over a sizeable population</w:t>
      </w:r>
      <w:r>
        <w:t>.</w:t>
      </w:r>
    </w:p>
    <w:p w:rsidR="001743C3" w:rsidRDefault="001743C3" w:rsidP="001743C3">
      <w:pPr>
        <w:pStyle w:val="Numberedpara1stindent"/>
        <w:spacing w:after="240"/>
      </w:pPr>
      <w:r w:rsidRPr="00994D20">
        <w:t>PSS contributors have the option of taking out additional death and invalidity cover. This additional benefit is covered by an external insurance policy held by CSC</w:t>
      </w:r>
      <w:r>
        <w:t>.</w:t>
      </w:r>
    </w:p>
    <w:p w:rsidR="001743C3" w:rsidRPr="007E3448" w:rsidRDefault="001743C3" w:rsidP="00E125B0">
      <w:pPr>
        <w:pStyle w:val="Heading3nonumbers"/>
      </w:pPr>
      <w:r w:rsidRPr="007E3448">
        <w:t>Changes to Benefits Since 2011</w:t>
      </w:r>
    </w:p>
    <w:p w:rsidR="001743C3" w:rsidRDefault="001743C3" w:rsidP="001743C3">
      <w:pPr>
        <w:pStyle w:val="Numberedpara1stindent"/>
        <w:spacing w:after="240"/>
      </w:pPr>
      <w:r w:rsidRPr="00547D3E">
        <w:t xml:space="preserve">There have been </w:t>
      </w:r>
      <w:r>
        <w:t xml:space="preserve">no material </w:t>
      </w:r>
      <w:r w:rsidRPr="00547D3E">
        <w:t xml:space="preserve">changes to the benefits provided by the PSS and CSS since the previous </w:t>
      </w:r>
      <w:r>
        <w:t xml:space="preserve">Report </w:t>
      </w:r>
      <w:r w:rsidRPr="00547D3E">
        <w:t xml:space="preserve">as at 30 June </w:t>
      </w:r>
      <w:r>
        <w:t>2011.</w:t>
      </w:r>
    </w:p>
    <w:p w:rsidR="001743C3" w:rsidRDefault="001743C3" w:rsidP="001743C3">
      <w:pPr>
        <w:pStyle w:val="Numberedpara1stindent"/>
        <w:spacing w:after="240"/>
      </w:pPr>
      <w:r>
        <w:t>There has been an increase</w:t>
      </w:r>
      <w:r w:rsidRPr="00BF6826">
        <w:t xml:space="preserve"> </w:t>
      </w:r>
      <w:r>
        <w:t xml:space="preserve">in </w:t>
      </w:r>
      <w:r w:rsidRPr="00BF6826">
        <w:t xml:space="preserve">the level of Superannuation Guarantee (SG) from 9% to </w:t>
      </w:r>
      <w:r>
        <w:t>9.5% as at 1 July 2014, with further incremental increases to 12% in future years.</w:t>
      </w:r>
    </w:p>
    <w:p w:rsidR="001743C3" w:rsidRDefault="001743C3" w:rsidP="001743C3">
      <w:pPr>
        <w:pStyle w:val="Numberedpara1stindent"/>
        <w:spacing w:after="240"/>
      </w:pPr>
      <w:r w:rsidRPr="00BF6826">
        <w:t>In defined benefit schemes such as the PSS and CSS, the SG operates by requiring that a minimum level of benefits be provided (instead of a minimum level of contributions)</w:t>
      </w:r>
      <w:r>
        <w:t>. Due to the generous nature of the scheme benefits, the increase in the SG rate does not have a material impact on the valuation results.</w:t>
      </w:r>
    </w:p>
    <w:p w:rsidR="001743C3" w:rsidRDefault="001743C3" w:rsidP="001743C3">
      <w:pPr>
        <w:pStyle w:val="Numberedpara1stindent"/>
        <w:numPr>
          <w:ilvl w:val="0"/>
          <w:numId w:val="0"/>
        </w:numPr>
        <w:spacing w:after="240"/>
        <w:ind w:left="567"/>
      </w:pPr>
      <w:r>
        <w:br w:type="page"/>
      </w:r>
    </w:p>
    <w:p w:rsidR="001743C3" w:rsidRDefault="0001738B" w:rsidP="00DF00E2">
      <w:pPr>
        <w:pStyle w:val="Heading2"/>
        <w:tabs>
          <w:tab w:val="clear" w:pos="567"/>
        </w:tabs>
        <w:spacing w:after="720"/>
      </w:pPr>
      <w:bookmarkStart w:id="8" w:name="_Toc422302158"/>
      <w:r>
        <w:lastRenderedPageBreak/>
        <w:t>Membership and Data</w:t>
      </w:r>
      <w:bookmarkEnd w:id="8"/>
      <w:r>
        <w:t xml:space="preserve"> </w:t>
      </w:r>
    </w:p>
    <w:p w:rsidR="00B90D0A" w:rsidRDefault="00B90D0A" w:rsidP="00DC23AA">
      <w:pPr>
        <w:pStyle w:val="Numberedpara1stindent"/>
        <w:spacing w:after="120"/>
      </w:pPr>
      <w:r w:rsidRPr="00936A44">
        <w:t xml:space="preserve">Data relating to the membership of the PSS and CSS was provided for this </w:t>
      </w:r>
      <w:r>
        <w:t>Report</w:t>
      </w:r>
      <w:r w:rsidRPr="00936A44">
        <w:t xml:space="preserve"> by ComSuper, the schemes’ administra</w:t>
      </w:r>
      <w:r>
        <w:t>tor, on behalf of the schemes’ t</w:t>
      </w:r>
      <w:r w:rsidRPr="00936A44">
        <w:t>rustee</w:t>
      </w:r>
      <w:r>
        <w:t xml:space="preserve">. </w:t>
      </w:r>
      <w:r w:rsidRPr="00936A44">
        <w:t>Data provided included</w:t>
      </w:r>
      <w:r>
        <w:t>:</w:t>
      </w:r>
    </w:p>
    <w:p w:rsidR="00B90D0A" w:rsidRDefault="00B90D0A" w:rsidP="00DC23AA">
      <w:pPr>
        <w:pStyle w:val="Numberedpara2ndindent"/>
        <w:spacing w:after="120"/>
      </w:pPr>
      <w:r>
        <w:t>d</w:t>
      </w:r>
      <w:r w:rsidRPr="00936A44">
        <w:t xml:space="preserve">etails of contributory members, pensioners and preserved members </w:t>
      </w:r>
      <w:r w:rsidRPr="006B0EDF">
        <w:t>(</w:t>
      </w:r>
      <w:r>
        <w:t xml:space="preserve">generally </w:t>
      </w:r>
      <w:r w:rsidRPr="006B0EDF">
        <w:t xml:space="preserve">former contributors who have preserved their benefits) </w:t>
      </w:r>
      <w:r w:rsidRPr="00936A44">
        <w:t>of the PSS and CSS as at 30 June </w:t>
      </w:r>
      <w:r>
        <w:t>2014</w:t>
      </w:r>
      <w:r w:rsidRPr="00936A44">
        <w:t>; an</w:t>
      </w:r>
      <w:r>
        <w:t>d</w:t>
      </w:r>
    </w:p>
    <w:p w:rsidR="00B90D0A" w:rsidRDefault="00B90D0A" w:rsidP="00B90D0A">
      <w:pPr>
        <w:pStyle w:val="Numberedpara2ndindent"/>
        <w:spacing w:after="240"/>
      </w:pPr>
      <w:r>
        <w:t>details of e</w:t>
      </w:r>
      <w:r w:rsidRPr="00936A44">
        <w:t>xits by contributory members and preserved members from the PSS and CSS during the three year period from 1 July </w:t>
      </w:r>
      <w:r>
        <w:t>2011</w:t>
      </w:r>
      <w:r w:rsidRPr="00936A44">
        <w:t xml:space="preserve"> to 30 June </w:t>
      </w:r>
      <w:r>
        <w:t>2014.</w:t>
      </w:r>
    </w:p>
    <w:p w:rsidR="00B90D0A" w:rsidRDefault="00B90D0A" w:rsidP="001743C3">
      <w:pPr>
        <w:pStyle w:val="Numberedpara1stindent"/>
        <w:spacing w:after="240"/>
      </w:pPr>
      <w:r w:rsidRPr="00936A44">
        <w:t xml:space="preserve">A range of validity </w:t>
      </w:r>
      <w:r>
        <w:t xml:space="preserve">data </w:t>
      </w:r>
      <w:r w:rsidRPr="00936A44">
        <w:t xml:space="preserve">checks were conducted by ComSuper </w:t>
      </w:r>
      <w:r>
        <w:t>prior to the data</w:t>
      </w:r>
      <w:r w:rsidRPr="00936A44">
        <w:t xml:space="preserve"> being provided to Mercer</w:t>
      </w:r>
      <w:r>
        <w:t xml:space="preserve">. </w:t>
      </w:r>
      <w:r w:rsidRPr="00936A44">
        <w:t xml:space="preserve">A </w:t>
      </w:r>
      <w:r>
        <w:t>series</w:t>
      </w:r>
      <w:r w:rsidRPr="00936A44">
        <w:t xml:space="preserve"> of checks have </w:t>
      </w:r>
      <w:r>
        <w:t xml:space="preserve">also </w:t>
      </w:r>
      <w:r w:rsidRPr="00936A44">
        <w:t xml:space="preserve">been carried out by </w:t>
      </w:r>
      <w:r>
        <w:t>Mercer</w:t>
      </w:r>
      <w:r w:rsidRPr="00936A44">
        <w:t xml:space="preserve"> to test the integrity of the data and the variation reports produced by ComSuper</w:t>
      </w:r>
      <w:r>
        <w:t xml:space="preserve">. </w:t>
      </w:r>
      <w:r w:rsidRPr="00936A44">
        <w:t xml:space="preserve">In addition, a reconciliation of the current data with the data utilised for the </w:t>
      </w:r>
      <w:r>
        <w:t xml:space="preserve">2011 Report </w:t>
      </w:r>
      <w:r w:rsidRPr="00936A44">
        <w:t>has been carried out</w:t>
      </w:r>
      <w:r>
        <w:t xml:space="preserve">. </w:t>
      </w:r>
      <w:r w:rsidRPr="00936A44">
        <w:t xml:space="preserve">We are satisfied that the data is sufficiently accurate for the purposes of this </w:t>
      </w:r>
      <w:r>
        <w:t>R</w:t>
      </w:r>
      <w:r w:rsidRPr="00936A44">
        <w:t>eport</w:t>
      </w:r>
      <w:r>
        <w:t xml:space="preserve">. However, </w:t>
      </w:r>
      <w:r w:rsidRPr="000256F7">
        <w:t>CSC and ComSuper are ultimately responsible for the validity, accuracy and comprehensiveness of this information</w:t>
      </w:r>
    </w:p>
    <w:p w:rsidR="00B90D0A" w:rsidRDefault="00B90D0A" w:rsidP="001743C3">
      <w:pPr>
        <w:pStyle w:val="Numberedpara1stindent"/>
        <w:spacing w:after="240"/>
      </w:pPr>
      <w:r w:rsidRPr="00130F26">
        <w:t xml:space="preserve">In the PSS, </w:t>
      </w:r>
      <w:r>
        <w:t>more</w:t>
      </w:r>
      <w:r w:rsidRPr="00130F26">
        <w:t xml:space="preserve"> contributory members exited during the period from 1 July </w:t>
      </w:r>
      <w:r w:rsidRPr="004D7236">
        <w:t xml:space="preserve">2011 to 30 June 2014 </w:t>
      </w:r>
      <w:r w:rsidRPr="00130F26">
        <w:t>than anticipated in the actuarial assumptions</w:t>
      </w:r>
      <w:r>
        <w:t>.</w:t>
      </w:r>
      <w:r w:rsidRPr="00130F26">
        <w:t xml:space="preserve"> </w:t>
      </w:r>
      <w:r>
        <w:t xml:space="preserve">However, this was partially offset by previously preserved members re-joining as contributory members. </w:t>
      </w:r>
      <w:r w:rsidRPr="00130F26">
        <w:t xml:space="preserve">In the CSS </w:t>
      </w:r>
      <w:r>
        <w:t xml:space="preserve">the number of </w:t>
      </w:r>
      <w:r w:rsidRPr="00130F26">
        <w:t>contributor exit</w:t>
      </w:r>
      <w:r>
        <w:t>s was comparable to that expected.</w:t>
      </w:r>
      <w:r w:rsidRPr="00130F26">
        <w:t xml:space="preserve"> </w:t>
      </w:r>
      <w:r>
        <w:t>Overall</w:t>
      </w:r>
      <w:r w:rsidRPr="00130F26">
        <w:t xml:space="preserve"> the </w:t>
      </w:r>
      <w:r>
        <w:t>total</w:t>
      </w:r>
      <w:r w:rsidRPr="00130F26">
        <w:t xml:space="preserve"> contributory membership</w:t>
      </w:r>
      <w:r>
        <w:t xml:space="preserve"> for the PSS and CSS</w:t>
      </w:r>
      <w:r w:rsidRPr="00130F26">
        <w:t xml:space="preserve"> at 30 June 2014 was higher than expected</w:t>
      </w:r>
      <w:r>
        <w:t>.</w:t>
      </w:r>
    </w:p>
    <w:p w:rsidR="00823F0C" w:rsidRDefault="00B90D0A" w:rsidP="001743C3">
      <w:pPr>
        <w:pStyle w:val="Numberedpara1stindent"/>
        <w:spacing w:after="240"/>
      </w:pPr>
      <w:r w:rsidRPr="00130F26">
        <w:t xml:space="preserve">The number of PSS preserved members at 30 June 2014 was lower than expected mainly due to </w:t>
      </w:r>
      <w:r>
        <w:t>previously preserved members re-joining contributory membership.</w:t>
      </w:r>
      <w:r w:rsidRPr="00130F26">
        <w:t xml:space="preserve"> The number of CSS preserved members at 30 June 2014 </w:t>
      </w:r>
      <w:r>
        <w:t>was comparable to that expected.</w:t>
      </w:r>
    </w:p>
    <w:p w:rsidR="00E125B0" w:rsidRDefault="00823F0C" w:rsidP="00E125B0">
      <w:pPr>
        <w:pStyle w:val="Numberedpara1stindent"/>
        <w:spacing w:after="120"/>
      </w:pPr>
      <w:r>
        <w:br w:type="page"/>
      </w:r>
      <w:r w:rsidR="00B90D0A" w:rsidRPr="00936A44">
        <w:lastRenderedPageBreak/>
        <w:t xml:space="preserve">The tables below summarise the total membership of the PSS and </w:t>
      </w:r>
      <w:r w:rsidR="00B90D0A">
        <w:t xml:space="preserve">the </w:t>
      </w:r>
      <w:r w:rsidR="00B90D0A" w:rsidRPr="00936A44">
        <w:t>CSS as at 30 June </w:t>
      </w:r>
      <w:r w:rsidR="00B90D0A">
        <w:t>2014:</w:t>
      </w:r>
    </w:p>
    <w:p w:rsidR="00E125B0" w:rsidRDefault="00E125B0" w:rsidP="00E125B0">
      <w:pPr>
        <w:pStyle w:val="Heading4nonumbers"/>
      </w:pPr>
      <w:r w:rsidRPr="00666DF9">
        <w:t>PSS Membership as at 30 June 2014</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B90D0A" w:rsidRPr="00666DF9" w:rsidTr="00666DF9">
        <w:tc>
          <w:tcPr>
            <w:tcW w:w="2245" w:type="dxa"/>
            <w:shd w:val="clear" w:color="auto" w:fill="DDF3FA"/>
          </w:tcPr>
          <w:p w:rsidR="00B90D0A" w:rsidRPr="00E125B0" w:rsidRDefault="00B90D0A" w:rsidP="00E125B0">
            <w:pPr>
              <w:pStyle w:val="Tablecolumnheading"/>
            </w:pPr>
          </w:p>
        </w:tc>
        <w:tc>
          <w:tcPr>
            <w:tcW w:w="1895" w:type="dxa"/>
            <w:shd w:val="clear" w:color="auto" w:fill="DDF3FA"/>
          </w:tcPr>
          <w:p w:rsidR="00B90D0A" w:rsidRPr="00E125B0" w:rsidRDefault="00B90D0A" w:rsidP="00E125B0">
            <w:pPr>
              <w:pStyle w:val="Tablecolumnheading"/>
            </w:pPr>
            <w:r w:rsidRPr="00E125B0">
              <w:t>Male</w:t>
            </w:r>
          </w:p>
        </w:tc>
        <w:tc>
          <w:tcPr>
            <w:tcW w:w="1895" w:type="dxa"/>
            <w:shd w:val="clear" w:color="auto" w:fill="DDF3FA"/>
          </w:tcPr>
          <w:p w:rsidR="00B90D0A" w:rsidRPr="00E125B0" w:rsidRDefault="00B90D0A" w:rsidP="00E125B0">
            <w:pPr>
              <w:pStyle w:val="Tablecolumnheading"/>
            </w:pPr>
            <w:r w:rsidRPr="00E125B0">
              <w:t>Females</w:t>
            </w:r>
          </w:p>
        </w:tc>
        <w:tc>
          <w:tcPr>
            <w:tcW w:w="1895" w:type="dxa"/>
            <w:shd w:val="clear" w:color="auto" w:fill="DDF3FA"/>
          </w:tcPr>
          <w:p w:rsidR="00B90D0A" w:rsidRPr="00E125B0" w:rsidRDefault="00B90D0A" w:rsidP="00E125B0">
            <w:pPr>
              <w:pStyle w:val="Tablecolumnheading"/>
            </w:pPr>
            <w:r w:rsidRPr="00E125B0">
              <w:t>Total</w:t>
            </w:r>
          </w:p>
        </w:tc>
      </w:tr>
      <w:tr w:rsidR="00B90D0A" w:rsidRPr="00666DF9" w:rsidTr="00B90D0A">
        <w:tc>
          <w:tcPr>
            <w:tcW w:w="2245" w:type="dxa"/>
          </w:tcPr>
          <w:p w:rsidR="00B90D0A" w:rsidRPr="00711F2B" w:rsidRDefault="00B90D0A" w:rsidP="00711F2B">
            <w:pPr>
              <w:pStyle w:val="Tablebodytext"/>
              <w:rPr>
                <w:b/>
              </w:rPr>
            </w:pPr>
            <w:r w:rsidRPr="00711F2B">
              <w:rPr>
                <w:b/>
              </w:rPr>
              <w:t>Number of Contributors</w:t>
            </w:r>
          </w:p>
        </w:tc>
        <w:tc>
          <w:tcPr>
            <w:tcW w:w="1895" w:type="dxa"/>
          </w:tcPr>
          <w:p w:rsidR="00B90D0A" w:rsidRPr="00666DF9" w:rsidRDefault="00B90D0A" w:rsidP="00711F2B">
            <w:pPr>
              <w:pStyle w:val="Tablebodytext"/>
            </w:pPr>
            <w:r w:rsidRPr="00666DF9">
              <w:t>40,313</w:t>
            </w:r>
          </w:p>
        </w:tc>
        <w:tc>
          <w:tcPr>
            <w:tcW w:w="1895" w:type="dxa"/>
          </w:tcPr>
          <w:p w:rsidR="00B90D0A" w:rsidRPr="00666DF9" w:rsidRDefault="00B90D0A" w:rsidP="00711F2B">
            <w:pPr>
              <w:pStyle w:val="Tablebodytext"/>
            </w:pPr>
            <w:r w:rsidRPr="00666DF9">
              <w:t>55,736</w:t>
            </w:r>
          </w:p>
        </w:tc>
        <w:tc>
          <w:tcPr>
            <w:tcW w:w="1895" w:type="dxa"/>
          </w:tcPr>
          <w:p w:rsidR="00B90D0A" w:rsidRPr="00666DF9" w:rsidRDefault="00B90D0A" w:rsidP="00711F2B">
            <w:pPr>
              <w:pStyle w:val="Tablebodytext"/>
            </w:pPr>
            <w:r w:rsidRPr="00666DF9">
              <w:t>96,049</w:t>
            </w:r>
          </w:p>
        </w:tc>
      </w:tr>
      <w:tr w:rsidR="00B90D0A" w:rsidRPr="00666DF9" w:rsidTr="00B90D0A">
        <w:tc>
          <w:tcPr>
            <w:tcW w:w="2245" w:type="dxa"/>
          </w:tcPr>
          <w:p w:rsidR="00B90D0A" w:rsidRPr="00711F2B" w:rsidRDefault="00B90D0A" w:rsidP="00711F2B">
            <w:pPr>
              <w:pStyle w:val="Tablebodytext"/>
              <w:rPr>
                <w:b/>
              </w:rPr>
            </w:pPr>
            <w:r w:rsidRPr="00711F2B">
              <w:rPr>
                <w:b/>
              </w:rPr>
              <w:t>Total Salaries of Contributors</w:t>
            </w:r>
          </w:p>
        </w:tc>
        <w:tc>
          <w:tcPr>
            <w:tcW w:w="1895" w:type="dxa"/>
          </w:tcPr>
          <w:p w:rsidR="00B90D0A" w:rsidRPr="00666DF9" w:rsidRDefault="00B90D0A" w:rsidP="00711F2B">
            <w:pPr>
              <w:pStyle w:val="Tablebodytext"/>
            </w:pPr>
            <w:r w:rsidRPr="00666DF9">
              <w:t>$4,143m</w:t>
            </w:r>
          </w:p>
        </w:tc>
        <w:tc>
          <w:tcPr>
            <w:tcW w:w="1895" w:type="dxa"/>
          </w:tcPr>
          <w:p w:rsidR="00B90D0A" w:rsidRPr="00666DF9" w:rsidRDefault="00B90D0A" w:rsidP="00711F2B">
            <w:pPr>
              <w:pStyle w:val="Tablebodytext"/>
            </w:pPr>
            <w:r w:rsidRPr="00666DF9">
              <w:t>$5,096m</w:t>
            </w:r>
          </w:p>
        </w:tc>
        <w:tc>
          <w:tcPr>
            <w:tcW w:w="1895" w:type="dxa"/>
          </w:tcPr>
          <w:p w:rsidR="00B90D0A" w:rsidRPr="00666DF9" w:rsidRDefault="00B90D0A" w:rsidP="00711F2B">
            <w:pPr>
              <w:pStyle w:val="Tablebodytext"/>
            </w:pPr>
            <w:r w:rsidRPr="00666DF9">
              <w:t>$9,239m</w:t>
            </w:r>
          </w:p>
        </w:tc>
      </w:tr>
      <w:tr w:rsidR="00B90D0A" w:rsidRPr="00666DF9" w:rsidTr="00666DF9">
        <w:tc>
          <w:tcPr>
            <w:tcW w:w="2245" w:type="dxa"/>
          </w:tcPr>
          <w:p w:rsidR="00B90D0A" w:rsidRPr="00711F2B" w:rsidRDefault="00B90D0A" w:rsidP="00711F2B">
            <w:pPr>
              <w:pStyle w:val="Tablebodytext"/>
              <w:rPr>
                <w:b/>
              </w:rPr>
            </w:pPr>
            <w:r w:rsidRPr="00711F2B">
              <w:rPr>
                <w:b/>
              </w:rPr>
              <w:t xml:space="preserve">Number of Preserved Members </w:t>
            </w:r>
          </w:p>
        </w:tc>
        <w:tc>
          <w:tcPr>
            <w:tcW w:w="1895" w:type="dxa"/>
          </w:tcPr>
          <w:p w:rsidR="00B90D0A" w:rsidRPr="00666DF9" w:rsidRDefault="00B90D0A" w:rsidP="00711F2B">
            <w:pPr>
              <w:pStyle w:val="Tablebodytext"/>
            </w:pPr>
            <w:r w:rsidRPr="00666DF9">
              <w:t>41,417</w:t>
            </w:r>
          </w:p>
        </w:tc>
        <w:tc>
          <w:tcPr>
            <w:tcW w:w="1895" w:type="dxa"/>
          </w:tcPr>
          <w:p w:rsidR="00B90D0A" w:rsidRPr="00666DF9" w:rsidRDefault="00B90D0A" w:rsidP="00711F2B">
            <w:pPr>
              <w:pStyle w:val="Tablebodytext"/>
            </w:pPr>
            <w:r w:rsidRPr="00666DF9">
              <w:t>61,489</w:t>
            </w:r>
          </w:p>
        </w:tc>
        <w:tc>
          <w:tcPr>
            <w:tcW w:w="1895" w:type="dxa"/>
          </w:tcPr>
          <w:p w:rsidR="00B90D0A" w:rsidRPr="00666DF9" w:rsidRDefault="00B90D0A" w:rsidP="00711F2B">
            <w:pPr>
              <w:pStyle w:val="Tablebodytext"/>
            </w:pPr>
            <w:r w:rsidRPr="00666DF9">
              <w:t>102,906</w:t>
            </w:r>
          </w:p>
        </w:tc>
      </w:tr>
      <w:tr w:rsidR="00B90D0A" w:rsidRPr="00666DF9" w:rsidTr="00666DF9">
        <w:tc>
          <w:tcPr>
            <w:tcW w:w="2245" w:type="dxa"/>
          </w:tcPr>
          <w:p w:rsidR="00B90D0A" w:rsidRPr="00711F2B" w:rsidRDefault="00B90D0A" w:rsidP="00711F2B">
            <w:pPr>
              <w:pStyle w:val="Tablebodytext"/>
              <w:rPr>
                <w:b/>
              </w:rPr>
            </w:pPr>
            <w:r w:rsidRPr="00711F2B">
              <w:rPr>
                <w:b/>
              </w:rPr>
              <w:t>Number of Age Pensioners</w:t>
            </w:r>
          </w:p>
        </w:tc>
        <w:tc>
          <w:tcPr>
            <w:tcW w:w="1895" w:type="dxa"/>
          </w:tcPr>
          <w:p w:rsidR="00B90D0A" w:rsidRPr="00666DF9" w:rsidRDefault="00B90D0A" w:rsidP="00711F2B">
            <w:pPr>
              <w:pStyle w:val="Tablebodytext"/>
            </w:pPr>
            <w:r w:rsidRPr="00666DF9">
              <w:t>14,170</w:t>
            </w:r>
          </w:p>
        </w:tc>
        <w:tc>
          <w:tcPr>
            <w:tcW w:w="1895" w:type="dxa"/>
          </w:tcPr>
          <w:p w:rsidR="00B90D0A" w:rsidRPr="00666DF9" w:rsidRDefault="00B90D0A" w:rsidP="00711F2B">
            <w:pPr>
              <w:pStyle w:val="Tablebodytext"/>
            </w:pPr>
            <w:r w:rsidRPr="00666DF9">
              <w:t>15,551</w:t>
            </w:r>
          </w:p>
        </w:tc>
        <w:tc>
          <w:tcPr>
            <w:tcW w:w="1895" w:type="dxa"/>
          </w:tcPr>
          <w:p w:rsidR="00B90D0A" w:rsidRPr="00666DF9" w:rsidRDefault="00B90D0A" w:rsidP="00711F2B">
            <w:pPr>
              <w:pStyle w:val="Tablebodytext"/>
            </w:pPr>
            <w:r w:rsidRPr="00666DF9">
              <w:t>29,721</w:t>
            </w:r>
          </w:p>
        </w:tc>
      </w:tr>
      <w:tr w:rsidR="00B90D0A" w:rsidRPr="00666DF9" w:rsidTr="00666DF9">
        <w:tc>
          <w:tcPr>
            <w:tcW w:w="2245" w:type="dxa"/>
          </w:tcPr>
          <w:p w:rsidR="00B90D0A" w:rsidRPr="00711F2B" w:rsidRDefault="00B90D0A" w:rsidP="00711F2B">
            <w:pPr>
              <w:pStyle w:val="Tablebodytext"/>
              <w:rPr>
                <w:b/>
              </w:rPr>
            </w:pPr>
            <w:r w:rsidRPr="00711F2B">
              <w:rPr>
                <w:b/>
              </w:rPr>
              <w:t>Number of Invalidity Pensioners</w:t>
            </w:r>
          </w:p>
        </w:tc>
        <w:tc>
          <w:tcPr>
            <w:tcW w:w="1895" w:type="dxa"/>
          </w:tcPr>
          <w:p w:rsidR="00B90D0A" w:rsidRPr="00666DF9" w:rsidRDefault="00B90D0A" w:rsidP="00711F2B">
            <w:pPr>
              <w:pStyle w:val="Tablebodytext"/>
            </w:pPr>
            <w:r w:rsidRPr="00666DF9">
              <w:t>1,359</w:t>
            </w:r>
          </w:p>
        </w:tc>
        <w:tc>
          <w:tcPr>
            <w:tcW w:w="1895" w:type="dxa"/>
          </w:tcPr>
          <w:p w:rsidR="00B90D0A" w:rsidRPr="00666DF9" w:rsidRDefault="00B90D0A" w:rsidP="00711F2B">
            <w:pPr>
              <w:pStyle w:val="Tablebodytext"/>
            </w:pPr>
            <w:r w:rsidRPr="00666DF9">
              <w:t>1,811</w:t>
            </w:r>
          </w:p>
        </w:tc>
        <w:tc>
          <w:tcPr>
            <w:tcW w:w="1895" w:type="dxa"/>
          </w:tcPr>
          <w:p w:rsidR="00B90D0A" w:rsidRPr="00666DF9" w:rsidRDefault="00B90D0A" w:rsidP="00711F2B">
            <w:pPr>
              <w:pStyle w:val="Tablebodytext"/>
            </w:pPr>
            <w:r w:rsidRPr="00666DF9">
              <w:t>3,170</w:t>
            </w:r>
          </w:p>
        </w:tc>
      </w:tr>
      <w:tr w:rsidR="00B90D0A" w:rsidRPr="00666DF9" w:rsidTr="00666DF9">
        <w:tc>
          <w:tcPr>
            <w:tcW w:w="2245" w:type="dxa"/>
            <w:tcBorders>
              <w:bottom w:val="single" w:sz="2" w:space="0" w:color="A7B4BE"/>
            </w:tcBorders>
          </w:tcPr>
          <w:p w:rsidR="00B90D0A" w:rsidRPr="00711F2B" w:rsidRDefault="00B90D0A" w:rsidP="00711F2B">
            <w:pPr>
              <w:pStyle w:val="Tablebodytext"/>
              <w:rPr>
                <w:b/>
              </w:rPr>
            </w:pPr>
            <w:r w:rsidRPr="00711F2B">
              <w:rPr>
                <w:b/>
              </w:rPr>
              <w:t>Number of Dependant Pensioners</w:t>
            </w:r>
          </w:p>
        </w:tc>
        <w:tc>
          <w:tcPr>
            <w:tcW w:w="1895" w:type="dxa"/>
            <w:tcBorders>
              <w:bottom w:val="single" w:sz="2" w:space="0" w:color="A7B4BE"/>
            </w:tcBorders>
          </w:tcPr>
          <w:p w:rsidR="00B90D0A" w:rsidRPr="00666DF9" w:rsidRDefault="00B90D0A" w:rsidP="00711F2B">
            <w:pPr>
              <w:pStyle w:val="Tablebodytext"/>
            </w:pPr>
            <w:r w:rsidRPr="00666DF9">
              <w:t>434</w:t>
            </w:r>
          </w:p>
        </w:tc>
        <w:tc>
          <w:tcPr>
            <w:tcW w:w="1895" w:type="dxa"/>
            <w:tcBorders>
              <w:bottom w:val="single" w:sz="2" w:space="0" w:color="A7B4BE"/>
            </w:tcBorders>
          </w:tcPr>
          <w:p w:rsidR="00B90D0A" w:rsidRPr="00666DF9" w:rsidRDefault="00B90D0A" w:rsidP="00711F2B">
            <w:pPr>
              <w:pStyle w:val="Tablebodytext"/>
            </w:pPr>
            <w:r w:rsidRPr="00666DF9">
              <w:t>989</w:t>
            </w:r>
          </w:p>
        </w:tc>
        <w:tc>
          <w:tcPr>
            <w:tcW w:w="1895" w:type="dxa"/>
            <w:tcBorders>
              <w:bottom w:val="single" w:sz="2" w:space="0" w:color="A7B4BE"/>
            </w:tcBorders>
          </w:tcPr>
          <w:p w:rsidR="00B90D0A" w:rsidRPr="00666DF9" w:rsidRDefault="00B90D0A" w:rsidP="00711F2B">
            <w:pPr>
              <w:pStyle w:val="Tablebodytext"/>
            </w:pPr>
            <w:r w:rsidRPr="00666DF9">
              <w:t>1,423</w:t>
            </w:r>
          </w:p>
        </w:tc>
      </w:tr>
    </w:tbl>
    <w:p w:rsidR="00B90D0A" w:rsidRDefault="00E125B0" w:rsidP="00B90D0A">
      <w:pPr>
        <w:pStyle w:val="Heading4"/>
        <w:numPr>
          <w:ilvl w:val="0"/>
          <w:numId w:val="0"/>
        </w:numPr>
      </w:pPr>
      <w:r w:rsidRPr="00666DF9">
        <w:rPr>
          <w:rFonts w:cs="Arial"/>
        </w:rPr>
        <w:t>CSS Membership as at 30 June 2014</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B90D0A" w:rsidRPr="00666DF9" w:rsidTr="00666DF9">
        <w:tc>
          <w:tcPr>
            <w:tcW w:w="2245" w:type="dxa"/>
            <w:shd w:val="clear" w:color="auto" w:fill="DDF3FA"/>
          </w:tcPr>
          <w:p w:rsidR="00B90D0A" w:rsidRPr="00666DF9" w:rsidRDefault="00B90D0A" w:rsidP="00E125B0">
            <w:pPr>
              <w:pStyle w:val="Tablecolumnheading"/>
            </w:pPr>
          </w:p>
        </w:tc>
        <w:tc>
          <w:tcPr>
            <w:tcW w:w="1895" w:type="dxa"/>
            <w:shd w:val="clear" w:color="auto" w:fill="DDF3FA"/>
          </w:tcPr>
          <w:p w:rsidR="00B90D0A" w:rsidRPr="00666DF9" w:rsidRDefault="00B90D0A" w:rsidP="00E125B0">
            <w:pPr>
              <w:pStyle w:val="Tablecolumnheading"/>
            </w:pPr>
            <w:r w:rsidRPr="00666DF9">
              <w:t>Male</w:t>
            </w:r>
          </w:p>
        </w:tc>
        <w:tc>
          <w:tcPr>
            <w:tcW w:w="1895" w:type="dxa"/>
            <w:shd w:val="clear" w:color="auto" w:fill="DDF3FA"/>
          </w:tcPr>
          <w:p w:rsidR="00B90D0A" w:rsidRPr="00666DF9" w:rsidRDefault="00B90D0A" w:rsidP="00E125B0">
            <w:pPr>
              <w:pStyle w:val="Tablecolumnheading"/>
            </w:pPr>
            <w:r w:rsidRPr="00666DF9">
              <w:t>Females</w:t>
            </w:r>
          </w:p>
        </w:tc>
        <w:tc>
          <w:tcPr>
            <w:tcW w:w="1895" w:type="dxa"/>
            <w:shd w:val="clear" w:color="auto" w:fill="DDF3FA"/>
          </w:tcPr>
          <w:p w:rsidR="00B90D0A" w:rsidRPr="00666DF9" w:rsidRDefault="00B90D0A" w:rsidP="00E125B0">
            <w:pPr>
              <w:pStyle w:val="Tablecolumnheading"/>
            </w:pPr>
            <w:r w:rsidRPr="00666DF9">
              <w:t>Total</w:t>
            </w:r>
          </w:p>
        </w:tc>
      </w:tr>
      <w:tr w:rsidR="00B90D0A" w:rsidRPr="00666DF9" w:rsidTr="00666DF9">
        <w:tc>
          <w:tcPr>
            <w:tcW w:w="2245" w:type="dxa"/>
          </w:tcPr>
          <w:p w:rsidR="00B90D0A" w:rsidRPr="00666DF9" w:rsidRDefault="00B90D0A" w:rsidP="00711F2B">
            <w:pPr>
              <w:pStyle w:val="Tablecolumnheading"/>
            </w:pPr>
            <w:r w:rsidRPr="00666DF9">
              <w:t>Number of Contributors</w:t>
            </w:r>
          </w:p>
        </w:tc>
        <w:tc>
          <w:tcPr>
            <w:tcW w:w="1895" w:type="dxa"/>
          </w:tcPr>
          <w:p w:rsidR="00B90D0A" w:rsidRPr="00666DF9" w:rsidRDefault="00B90D0A" w:rsidP="00711F2B">
            <w:pPr>
              <w:pStyle w:val="Tablebodytext"/>
            </w:pPr>
            <w:r w:rsidRPr="00666DF9">
              <w:t>6,793</w:t>
            </w:r>
          </w:p>
        </w:tc>
        <w:tc>
          <w:tcPr>
            <w:tcW w:w="1895" w:type="dxa"/>
          </w:tcPr>
          <w:p w:rsidR="00B90D0A" w:rsidRPr="00666DF9" w:rsidRDefault="00B90D0A" w:rsidP="00711F2B">
            <w:pPr>
              <w:pStyle w:val="Tablebodytext"/>
            </w:pPr>
            <w:r w:rsidRPr="00666DF9">
              <w:t>3,755</w:t>
            </w:r>
          </w:p>
        </w:tc>
        <w:tc>
          <w:tcPr>
            <w:tcW w:w="1895" w:type="dxa"/>
          </w:tcPr>
          <w:p w:rsidR="00B90D0A" w:rsidRPr="00666DF9" w:rsidRDefault="00B90D0A" w:rsidP="00711F2B">
            <w:pPr>
              <w:pStyle w:val="Tablebodytext"/>
            </w:pPr>
            <w:r w:rsidRPr="00666DF9">
              <w:t>10,548</w:t>
            </w:r>
          </w:p>
        </w:tc>
      </w:tr>
      <w:tr w:rsidR="00B90D0A" w:rsidRPr="00666DF9" w:rsidTr="00666DF9">
        <w:tc>
          <w:tcPr>
            <w:tcW w:w="2245" w:type="dxa"/>
          </w:tcPr>
          <w:p w:rsidR="00B90D0A" w:rsidRPr="00666DF9" w:rsidRDefault="00B90D0A" w:rsidP="00711F2B">
            <w:pPr>
              <w:pStyle w:val="Tablecolumnheading"/>
            </w:pPr>
            <w:r w:rsidRPr="00666DF9">
              <w:t>Total Salaries of Contributors</w:t>
            </w:r>
          </w:p>
        </w:tc>
        <w:tc>
          <w:tcPr>
            <w:tcW w:w="1895" w:type="dxa"/>
          </w:tcPr>
          <w:p w:rsidR="00B90D0A" w:rsidRPr="00666DF9" w:rsidRDefault="00B90D0A" w:rsidP="00711F2B">
            <w:pPr>
              <w:pStyle w:val="Tablebodytext"/>
            </w:pPr>
            <w:r w:rsidRPr="00666DF9">
              <w:t>$812m</w:t>
            </w:r>
          </w:p>
        </w:tc>
        <w:tc>
          <w:tcPr>
            <w:tcW w:w="1895" w:type="dxa"/>
          </w:tcPr>
          <w:p w:rsidR="00B90D0A" w:rsidRPr="00666DF9" w:rsidRDefault="00B90D0A" w:rsidP="00711F2B">
            <w:pPr>
              <w:pStyle w:val="Tablebodytext"/>
            </w:pPr>
            <w:r w:rsidRPr="00666DF9">
              <w:t>$398m</w:t>
            </w:r>
          </w:p>
        </w:tc>
        <w:tc>
          <w:tcPr>
            <w:tcW w:w="1895" w:type="dxa"/>
          </w:tcPr>
          <w:p w:rsidR="00B90D0A" w:rsidRPr="00666DF9" w:rsidRDefault="00B90D0A" w:rsidP="00711F2B">
            <w:pPr>
              <w:pStyle w:val="Tablebodytext"/>
            </w:pPr>
            <w:r w:rsidRPr="00666DF9">
              <w:t>$1,210m</w:t>
            </w:r>
          </w:p>
        </w:tc>
      </w:tr>
      <w:tr w:rsidR="00B90D0A" w:rsidRPr="00666DF9" w:rsidTr="00666DF9">
        <w:tc>
          <w:tcPr>
            <w:tcW w:w="2245" w:type="dxa"/>
          </w:tcPr>
          <w:p w:rsidR="00B90D0A" w:rsidRPr="00666DF9" w:rsidRDefault="00B90D0A" w:rsidP="00711F2B">
            <w:pPr>
              <w:pStyle w:val="Tablecolumnheading"/>
            </w:pPr>
            <w:r w:rsidRPr="00666DF9">
              <w:t>Number of Preserved Members</w:t>
            </w:r>
          </w:p>
        </w:tc>
        <w:tc>
          <w:tcPr>
            <w:tcW w:w="1895" w:type="dxa"/>
          </w:tcPr>
          <w:p w:rsidR="00B90D0A" w:rsidRPr="00666DF9" w:rsidRDefault="00B90D0A" w:rsidP="00711F2B">
            <w:pPr>
              <w:pStyle w:val="Tablebodytext"/>
            </w:pPr>
            <w:r w:rsidRPr="00666DF9">
              <w:t>4,455</w:t>
            </w:r>
          </w:p>
        </w:tc>
        <w:tc>
          <w:tcPr>
            <w:tcW w:w="1895" w:type="dxa"/>
          </w:tcPr>
          <w:p w:rsidR="00B90D0A" w:rsidRPr="00666DF9" w:rsidRDefault="00B90D0A" w:rsidP="00711F2B">
            <w:pPr>
              <w:pStyle w:val="Tablebodytext"/>
            </w:pPr>
            <w:r w:rsidRPr="00666DF9">
              <w:t>2,239</w:t>
            </w:r>
          </w:p>
        </w:tc>
        <w:tc>
          <w:tcPr>
            <w:tcW w:w="1895" w:type="dxa"/>
          </w:tcPr>
          <w:p w:rsidR="00B90D0A" w:rsidRPr="00666DF9" w:rsidRDefault="00B90D0A" w:rsidP="00711F2B">
            <w:pPr>
              <w:pStyle w:val="Tablebodytext"/>
            </w:pPr>
            <w:r w:rsidRPr="00666DF9">
              <w:t>6,694</w:t>
            </w:r>
          </w:p>
        </w:tc>
      </w:tr>
      <w:tr w:rsidR="00B90D0A" w:rsidRPr="00666DF9" w:rsidTr="00666DF9">
        <w:tc>
          <w:tcPr>
            <w:tcW w:w="2245" w:type="dxa"/>
          </w:tcPr>
          <w:p w:rsidR="00B90D0A" w:rsidRPr="00666DF9" w:rsidRDefault="00B90D0A" w:rsidP="00711F2B">
            <w:pPr>
              <w:pStyle w:val="Tablecolumnheading"/>
            </w:pPr>
            <w:r w:rsidRPr="00666DF9">
              <w:t>Number of Age Pensioners</w:t>
            </w:r>
          </w:p>
        </w:tc>
        <w:tc>
          <w:tcPr>
            <w:tcW w:w="1895" w:type="dxa"/>
          </w:tcPr>
          <w:p w:rsidR="00B90D0A" w:rsidRPr="00666DF9" w:rsidRDefault="00B90D0A" w:rsidP="00711F2B">
            <w:pPr>
              <w:pStyle w:val="Tablebodytext"/>
            </w:pPr>
            <w:r w:rsidRPr="00666DF9">
              <w:t>53,096</w:t>
            </w:r>
          </w:p>
        </w:tc>
        <w:tc>
          <w:tcPr>
            <w:tcW w:w="1895" w:type="dxa"/>
          </w:tcPr>
          <w:p w:rsidR="00B90D0A" w:rsidRPr="00666DF9" w:rsidRDefault="00B90D0A" w:rsidP="00711F2B">
            <w:pPr>
              <w:pStyle w:val="Tablebodytext"/>
            </w:pPr>
            <w:r w:rsidRPr="00666DF9">
              <w:t>20,451</w:t>
            </w:r>
          </w:p>
        </w:tc>
        <w:tc>
          <w:tcPr>
            <w:tcW w:w="1895" w:type="dxa"/>
          </w:tcPr>
          <w:p w:rsidR="00B90D0A" w:rsidRPr="00666DF9" w:rsidRDefault="00B90D0A" w:rsidP="00711F2B">
            <w:pPr>
              <w:pStyle w:val="Tablebodytext"/>
            </w:pPr>
            <w:r w:rsidRPr="00666DF9">
              <w:t>73,547</w:t>
            </w:r>
          </w:p>
        </w:tc>
      </w:tr>
      <w:tr w:rsidR="00B90D0A" w:rsidRPr="00666DF9" w:rsidTr="00666DF9">
        <w:tc>
          <w:tcPr>
            <w:tcW w:w="2245" w:type="dxa"/>
          </w:tcPr>
          <w:p w:rsidR="00B90D0A" w:rsidRPr="00666DF9" w:rsidRDefault="00B90D0A" w:rsidP="00711F2B">
            <w:pPr>
              <w:pStyle w:val="Tablecolumnheading"/>
            </w:pPr>
            <w:r w:rsidRPr="00666DF9">
              <w:t>Number of Invalidity Pensioners</w:t>
            </w:r>
          </w:p>
        </w:tc>
        <w:tc>
          <w:tcPr>
            <w:tcW w:w="1895" w:type="dxa"/>
          </w:tcPr>
          <w:p w:rsidR="00B90D0A" w:rsidRPr="00666DF9" w:rsidRDefault="00B90D0A" w:rsidP="00711F2B">
            <w:pPr>
              <w:pStyle w:val="Tablebodytext"/>
            </w:pPr>
            <w:r w:rsidRPr="00666DF9">
              <w:t>8,397</w:t>
            </w:r>
          </w:p>
        </w:tc>
        <w:tc>
          <w:tcPr>
            <w:tcW w:w="1895" w:type="dxa"/>
          </w:tcPr>
          <w:p w:rsidR="00B90D0A" w:rsidRPr="00666DF9" w:rsidRDefault="00B90D0A" w:rsidP="00711F2B">
            <w:pPr>
              <w:pStyle w:val="Tablebodytext"/>
            </w:pPr>
            <w:r w:rsidRPr="00666DF9">
              <w:t>3,920</w:t>
            </w:r>
          </w:p>
        </w:tc>
        <w:tc>
          <w:tcPr>
            <w:tcW w:w="1895" w:type="dxa"/>
          </w:tcPr>
          <w:p w:rsidR="00B90D0A" w:rsidRPr="00666DF9" w:rsidRDefault="00B90D0A" w:rsidP="00711F2B">
            <w:pPr>
              <w:pStyle w:val="Tablebodytext"/>
            </w:pPr>
            <w:r w:rsidRPr="00666DF9">
              <w:t>12,317</w:t>
            </w:r>
          </w:p>
        </w:tc>
      </w:tr>
      <w:tr w:rsidR="00B90D0A" w:rsidRPr="00666DF9" w:rsidTr="00666DF9">
        <w:tc>
          <w:tcPr>
            <w:tcW w:w="2245" w:type="dxa"/>
            <w:tcBorders>
              <w:bottom w:val="single" w:sz="2" w:space="0" w:color="A7B4BE"/>
            </w:tcBorders>
          </w:tcPr>
          <w:p w:rsidR="00B90D0A" w:rsidRPr="00666DF9" w:rsidRDefault="00B90D0A" w:rsidP="00711F2B">
            <w:pPr>
              <w:pStyle w:val="Tablecolumnheading"/>
            </w:pPr>
            <w:r w:rsidRPr="00666DF9">
              <w:t>Number of Dependant Pensioners</w:t>
            </w:r>
          </w:p>
        </w:tc>
        <w:tc>
          <w:tcPr>
            <w:tcW w:w="1895" w:type="dxa"/>
            <w:tcBorders>
              <w:bottom w:val="single" w:sz="2" w:space="0" w:color="A7B4BE"/>
            </w:tcBorders>
          </w:tcPr>
          <w:p w:rsidR="00B90D0A" w:rsidRPr="00666DF9" w:rsidRDefault="00B90D0A" w:rsidP="00711F2B">
            <w:pPr>
              <w:pStyle w:val="Tablebodytext"/>
            </w:pPr>
            <w:r w:rsidRPr="00666DF9">
              <w:t>1,550</w:t>
            </w:r>
          </w:p>
        </w:tc>
        <w:tc>
          <w:tcPr>
            <w:tcW w:w="1895" w:type="dxa"/>
            <w:tcBorders>
              <w:bottom w:val="single" w:sz="2" w:space="0" w:color="A7B4BE"/>
            </w:tcBorders>
          </w:tcPr>
          <w:p w:rsidR="00B90D0A" w:rsidRPr="00666DF9" w:rsidRDefault="00B90D0A" w:rsidP="00711F2B">
            <w:pPr>
              <w:pStyle w:val="Tablebodytext"/>
            </w:pPr>
            <w:r w:rsidRPr="00666DF9">
              <w:t>25,896</w:t>
            </w:r>
          </w:p>
        </w:tc>
        <w:tc>
          <w:tcPr>
            <w:tcW w:w="1895" w:type="dxa"/>
            <w:tcBorders>
              <w:bottom w:val="single" w:sz="2" w:space="0" w:color="A7B4BE"/>
            </w:tcBorders>
          </w:tcPr>
          <w:p w:rsidR="00B90D0A" w:rsidRPr="00666DF9" w:rsidRDefault="00B90D0A" w:rsidP="00711F2B">
            <w:pPr>
              <w:pStyle w:val="Tablebodytext"/>
            </w:pPr>
            <w:r w:rsidRPr="00666DF9">
              <w:t>27,446</w:t>
            </w:r>
          </w:p>
        </w:tc>
      </w:tr>
    </w:tbl>
    <w:p w:rsidR="00823F0C" w:rsidRDefault="00823F0C" w:rsidP="00D25264">
      <w:pPr>
        <w:pStyle w:val="Heading4"/>
        <w:numPr>
          <w:ilvl w:val="0"/>
          <w:numId w:val="0"/>
        </w:numPr>
        <w:ind w:left="737" w:hanging="737"/>
      </w:pPr>
    </w:p>
    <w:p w:rsidR="00666DF9" w:rsidRDefault="00823F0C" w:rsidP="00266A7E">
      <w:pPr>
        <w:pStyle w:val="Numberedpara1stindent"/>
        <w:spacing w:after="120"/>
      </w:pPr>
      <w:r>
        <w:br w:type="page"/>
      </w:r>
      <w:r w:rsidR="00D25264">
        <w:lastRenderedPageBreak/>
        <w:t>The following tables summarise the membership of the schemes since 2002</w:t>
      </w:r>
      <w:r w:rsidR="00666DF9">
        <w:t>:</w:t>
      </w:r>
    </w:p>
    <w:p w:rsidR="00E125B0" w:rsidRDefault="00E125B0" w:rsidP="00E125B0">
      <w:pPr>
        <w:pStyle w:val="Heading4nonumbers"/>
      </w:pPr>
      <w:r w:rsidRPr="00666DF9">
        <w:t>Total Number of Members</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666DF9" w:rsidRPr="00666DF9" w:rsidTr="00666DF9">
        <w:tc>
          <w:tcPr>
            <w:tcW w:w="2245" w:type="dxa"/>
            <w:shd w:val="clear" w:color="auto" w:fill="DDF3FA"/>
          </w:tcPr>
          <w:p w:rsidR="00666DF9" w:rsidRPr="00E125B0" w:rsidRDefault="00666DF9" w:rsidP="00E125B0">
            <w:pPr>
              <w:pStyle w:val="Tablecolumnheading"/>
            </w:pPr>
          </w:p>
        </w:tc>
        <w:tc>
          <w:tcPr>
            <w:tcW w:w="1895" w:type="dxa"/>
            <w:shd w:val="clear" w:color="auto" w:fill="DDF3FA"/>
          </w:tcPr>
          <w:p w:rsidR="00666DF9" w:rsidRPr="00E125B0" w:rsidRDefault="00666DF9" w:rsidP="00E125B0">
            <w:pPr>
              <w:pStyle w:val="Tablecolumnheading"/>
            </w:pPr>
            <w:r w:rsidRPr="00E125B0">
              <w:t>PSS</w:t>
            </w:r>
          </w:p>
        </w:tc>
        <w:tc>
          <w:tcPr>
            <w:tcW w:w="1895" w:type="dxa"/>
            <w:shd w:val="clear" w:color="auto" w:fill="DDF3FA"/>
          </w:tcPr>
          <w:p w:rsidR="00666DF9" w:rsidRPr="00E125B0" w:rsidRDefault="00666DF9" w:rsidP="00E125B0">
            <w:pPr>
              <w:pStyle w:val="Tablecolumnheading"/>
            </w:pPr>
            <w:r w:rsidRPr="00E125B0">
              <w:t>CSS</w:t>
            </w:r>
          </w:p>
        </w:tc>
        <w:tc>
          <w:tcPr>
            <w:tcW w:w="1895" w:type="dxa"/>
            <w:shd w:val="clear" w:color="auto" w:fill="DDF3FA"/>
          </w:tcPr>
          <w:p w:rsidR="00666DF9" w:rsidRPr="00E125B0" w:rsidRDefault="00666DF9" w:rsidP="00E125B0">
            <w:pPr>
              <w:pStyle w:val="Tablecolumnheading"/>
            </w:pPr>
            <w:r w:rsidRPr="00E125B0">
              <w:t>Total</w:t>
            </w:r>
          </w:p>
        </w:tc>
      </w:tr>
      <w:tr w:rsidR="00666DF9" w:rsidRPr="00666DF9" w:rsidTr="002D35B5">
        <w:tc>
          <w:tcPr>
            <w:tcW w:w="2245" w:type="dxa"/>
            <w:vAlign w:val="center"/>
          </w:tcPr>
          <w:p w:rsidR="00666DF9" w:rsidRPr="00611164" w:rsidRDefault="00666DF9" w:rsidP="00711F2B">
            <w:pPr>
              <w:pStyle w:val="Tablebodytext"/>
            </w:pPr>
            <w:r w:rsidRPr="00611164">
              <w:t>30 June 2002</w:t>
            </w:r>
          </w:p>
        </w:tc>
        <w:tc>
          <w:tcPr>
            <w:tcW w:w="1895" w:type="dxa"/>
            <w:vAlign w:val="center"/>
          </w:tcPr>
          <w:p w:rsidR="00666DF9" w:rsidRPr="00666DF9" w:rsidRDefault="00666DF9" w:rsidP="00711F2B">
            <w:pPr>
              <w:pStyle w:val="Tablebodytext"/>
            </w:pPr>
            <w:r w:rsidRPr="00666DF9">
              <w:t>213,969</w:t>
            </w:r>
          </w:p>
        </w:tc>
        <w:tc>
          <w:tcPr>
            <w:tcW w:w="1895" w:type="dxa"/>
            <w:vAlign w:val="center"/>
          </w:tcPr>
          <w:p w:rsidR="00666DF9" w:rsidRPr="00666DF9" w:rsidRDefault="00666DF9" w:rsidP="00711F2B">
            <w:pPr>
              <w:pStyle w:val="Tablebodytext"/>
            </w:pPr>
            <w:r w:rsidRPr="00666DF9">
              <w:t>165,255</w:t>
            </w:r>
          </w:p>
        </w:tc>
        <w:tc>
          <w:tcPr>
            <w:tcW w:w="1895" w:type="dxa"/>
            <w:vAlign w:val="center"/>
          </w:tcPr>
          <w:p w:rsidR="00666DF9" w:rsidRPr="00666DF9" w:rsidRDefault="00666DF9" w:rsidP="00711F2B">
            <w:pPr>
              <w:pStyle w:val="Tablebodytext"/>
            </w:pPr>
            <w:r w:rsidRPr="00666DF9">
              <w:t>379,224</w:t>
            </w:r>
          </w:p>
        </w:tc>
      </w:tr>
      <w:tr w:rsidR="00666DF9" w:rsidRPr="00666DF9" w:rsidTr="002D35B5">
        <w:tc>
          <w:tcPr>
            <w:tcW w:w="2245" w:type="dxa"/>
            <w:vAlign w:val="center"/>
          </w:tcPr>
          <w:p w:rsidR="00666DF9" w:rsidRPr="00611164" w:rsidRDefault="00666DF9" w:rsidP="00711F2B">
            <w:pPr>
              <w:pStyle w:val="Tablebodytext"/>
            </w:pPr>
            <w:r w:rsidRPr="00611164">
              <w:t>30 June 2005</w:t>
            </w:r>
          </w:p>
        </w:tc>
        <w:tc>
          <w:tcPr>
            <w:tcW w:w="1895" w:type="dxa"/>
            <w:vAlign w:val="center"/>
          </w:tcPr>
          <w:p w:rsidR="00666DF9" w:rsidRPr="00666DF9" w:rsidRDefault="00666DF9" w:rsidP="00711F2B">
            <w:pPr>
              <w:pStyle w:val="Tablebodytext"/>
            </w:pPr>
            <w:r w:rsidRPr="00666DF9">
              <w:t>252,025</w:t>
            </w:r>
          </w:p>
        </w:tc>
        <w:tc>
          <w:tcPr>
            <w:tcW w:w="1895" w:type="dxa"/>
            <w:vAlign w:val="center"/>
          </w:tcPr>
          <w:p w:rsidR="00666DF9" w:rsidRPr="00666DF9" w:rsidRDefault="00666DF9" w:rsidP="00711F2B">
            <w:pPr>
              <w:pStyle w:val="Tablebodytext"/>
            </w:pPr>
            <w:r w:rsidRPr="00666DF9">
              <w:t>157,821</w:t>
            </w:r>
          </w:p>
        </w:tc>
        <w:tc>
          <w:tcPr>
            <w:tcW w:w="1895" w:type="dxa"/>
            <w:vAlign w:val="center"/>
          </w:tcPr>
          <w:p w:rsidR="00666DF9" w:rsidRPr="00666DF9" w:rsidRDefault="00666DF9" w:rsidP="00711F2B">
            <w:pPr>
              <w:pStyle w:val="Tablebodytext"/>
            </w:pPr>
            <w:r w:rsidRPr="00666DF9">
              <w:t>409,846</w:t>
            </w:r>
          </w:p>
        </w:tc>
      </w:tr>
      <w:tr w:rsidR="00666DF9" w:rsidRPr="00666DF9" w:rsidTr="002D35B5">
        <w:tc>
          <w:tcPr>
            <w:tcW w:w="2245" w:type="dxa"/>
            <w:vAlign w:val="center"/>
          </w:tcPr>
          <w:p w:rsidR="00666DF9" w:rsidRPr="00611164" w:rsidRDefault="00666DF9" w:rsidP="00711F2B">
            <w:pPr>
              <w:pStyle w:val="Tablebodytext"/>
            </w:pPr>
            <w:r w:rsidRPr="00611164">
              <w:t>30 June 2008</w:t>
            </w:r>
          </w:p>
        </w:tc>
        <w:tc>
          <w:tcPr>
            <w:tcW w:w="1895" w:type="dxa"/>
            <w:vAlign w:val="center"/>
          </w:tcPr>
          <w:p w:rsidR="00666DF9" w:rsidRPr="00666DF9" w:rsidRDefault="00666DF9" w:rsidP="00711F2B">
            <w:pPr>
              <w:pStyle w:val="Tablebodytext"/>
            </w:pPr>
            <w:r w:rsidRPr="00666DF9">
              <w:t>252,354</w:t>
            </w:r>
          </w:p>
        </w:tc>
        <w:tc>
          <w:tcPr>
            <w:tcW w:w="1895" w:type="dxa"/>
            <w:vAlign w:val="center"/>
          </w:tcPr>
          <w:p w:rsidR="00666DF9" w:rsidRPr="00666DF9" w:rsidRDefault="00666DF9" w:rsidP="00711F2B">
            <w:pPr>
              <w:pStyle w:val="Tablebodytext"/>
            </w:pPr>
            <w:r w:rsidRPr="00666DF9">
              <w:t>149,055</w:t>
            </w:r>
          </w:p>
        </w:tc>
        <w:tc>
          <w:tcPr>
            <w:tcW w:w="1895" w:type="dxa"/>
            <w:vAlign w:val="center"/>
          </w:tcPr>
          <w:p w:rsidR="00666DF9" w:rsidRPr="00666DF9" w:rsidRDefault="00666DF9" w:rsidP="00711F2B">
            <w:pPr>
              <w:pStyle w:val="Tablebodytext"/>
            </w:pPr>
            <w:r w:rsidRPr="00666DF9">
              <w:t>401,409</w:t>
            </w:r>
          </w:p>
        </w:tc>
      </w:tr>
      <w:tr w:rsidR="00666DF9" w:rsidRPr="00666DF9" w:rsidTr="002D35B5">
        <w:tc>
          <w:tcPr>
            <w:tcW w:w="2245" w:type="dxa"/>
            <w:vAlign w:val="center"/>
          </w:tcPr>
          <w:p w:rsidR="00666DF9" w:rsidRPr="00611164" w:rsidRDefault="00666DF9" w:rsidP="00711F2B">
            <w:pPr>
              <w:pStyle w:val="Tablebodytext"/>
            </w:pPr>
            <w:r w:rsidRPr="00611164">
              <w:t>30 June 2011</w:t>
            </w:r>
          </w:p>
        </w:tc>
        <w:tc>
          <w:tcPr>
            <w:tcW w:w="1895" w:type="dxa"/>
            <w:vAlign w:val="center"/>
          </w:tcPr>
          <w:p w:rsidR="00666DF9" w:rsidRPr="00666DF9" w:rsidRDefault="00666DF9" w:rsidP="00711F2B">
            <w:pPr>
              <w:pStyle w:val="Tablebodytext"/>
            </w:pPr>
            <w:r w:rsidRPr="00666DF9">
              <w:t>240,237</w:t>
            </w:r>
          </w:p>
        </w:tc>
        <w:tc>
          <w:tcPr>
            <w:tcW w:w="1895" w:type="dxa"/>
            <w:vAlign w:val="center"/>
          </w:tcPr>
          <w:p w:rsidR="00666DF9" w:rsidRPr="00666DF9" w:rsidRDefault="00666DF9" w:rsidP="00711F2B">
            <w:pPr>
              <w:pStyle w:val="Tablebodytext"/>
            </w:pPr>
            <w:r w:rsidRPr="00666DF9">
              <w:t>140,025</w:t>
            </w:r>
          </w:p>
        </w:tc>
        <w:tc>
          <w:tcPr>
            <w:tcW w:w="1895" w:type="dxa"/>
            <w:vAlign w:val="center"/>
          </w:tcPr>
          <w:p w:rsidR="00666DF9" w:rsidRPr="00666DF9" w:rsidRDefault="00666DF9" w:rsidP="00711F2B">
            <w:pPr>
              <w:pStyle w:val="Tablebodytext"/>
            </w:pPr>
            <w:r w:rsidRPr="00666DF9">
              <w:t>380,262</w:t>
            </w:r>
          </w:p>
        </w:tc>
      </w:tr>
      <w:tr w:rsidR="00666DF9" w:rsidRPr="00666DF9" w:rsidTr="002D35B5">
        <w:tc>
          <w:tcPr>
            <w:tcW w:w="2245" w:type="dxa"/>
            <w:vAlign w:val="center"/>
          </w:tcPr>
          <w:p w:rsidR="00666DF9" w:rsidRPr="00611164" w:rsidRDefault="00666DF9" w:rsidP="00711F2B">
            <w:pPr>
              <w:pStyle w:val="Tablebodytext"/>
            </w:pPr>
            <w:r w:rsidRPr="00611164">
              <w:t>30 June 2014</w:t>
            </w:r>
          </w:p>
        </w:tc>
        <w:tc>
          <w:tcPr>
            <w:tcW w:w="1895" w:type="dxa"/>
            <w:vAlign w:val="center"/>
          </w:tcPr>
          <w:p w:rsidR="00666DF9" w:rsidRPr="00666DF9" w:rsidRDefault="00666DF9" w:rsidP="00711F2B">
            <w:pPr>
              <w:pStyle w:val="Tablebodytext"/>
            </w:pPr>
            <w:r w:rsidRPr="00666DF9">
              <w:t>233,269</w:t>
            </w:r>
          </w:p>
        </w:tc>
        <w:tc>
          <w:tcPr>
            <w:tcW w:w="1895" w:type="dxa"/>
            <w:vAlign w:val="center"/>
          </w:tcPr>
          <w:p w:rsidR="00666DF9" w:rsidRPr="00666DF9" w:rsidRDefault="00666DF9" w:rsidP="00711F2B">
            <w:pPr>
              <w:pStyle w:val="Tablebodytext"/>
            </w:pPr>
            <w:r w:rsidRPr="00666DF9">
              <w:t>130,552</w:t>
            </w:r>
          </w:p>
        </w:tc>
        <w:tc>
          <w:tcPr>
            <w:tcW w:w="1895" w:type="dxa"/>
            <w:vAlign w:val="center"/>
          </w:tcPr>
          <w:p w:rsidR="00666DF9" w:rsidRPr="00666DF9" w:rsidRDefault="00666DF9" w:rsidP="00711F2B">
            <w:pPr>
              <w:pStyle w:val="Tablebodytext"/>
            </w:pPr>
            <w:r w:rsidRPr="00666DF9">
              <w:t>363,821</w:t>
            </w:r>
          </w:p>
        </w:tc>
      </w:tr>
    </w:tbl>
    <w:p w:rsidR="00611164" w:rsidRDefault="00E125B0" w:rsidP="00611164">
      <w:pPr>
        <w:pStyle w:val="Heading4"/>
        <w:numPr>
          <w:ilvl w:val="0"/>
          <w:numId w:val="0"/>
        </w:numPr>
        <w:ind w:left="737" w:hanging="737"/>
      </w:pPr>
      <w:r w:rsidRPr="00611164">
        <w:rPr>
          <w:rFonts w:cs="Arial"/>
        </w:rPr>
        <w:t>Number of Contributors</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611164" w:rsidRPr="00E125B0" w:rsidTr="00BE142D">
        <w:tc>
          <w:tcPr>
            <w:tcW w:w="2245" w:type="dxa"/>
            <w:shd w:val="clear" w:color="auto" w:fill="DDF3FA"/>
          </w:tcPr>
          <w:p w:rsidR="00611164" w:rsidRPr="00E125B0" w:rsidRDefault="00611164" w:rsidP="00E125B0">
            <w:pPr>
              <w:pStyle w:val="Tablecolumnheading"/>
            </w:pPr>
          </w:p>
        </w:tc>
        <w:tc>
          <w:tcPr>
            <w:tcW w:w="1895" w:type="dxa"/>
            <w:shd w:val="clear" w:color="auto" w:fill="DDF3FA"/>
          </w:tcPr>
          <w:p w:rsidR="00611164" w:rsidRPr="00E125B0" w:rsidRDefault="00611164" w:rsidP="00E125B0">
            <w:pPr>
              <w:pStyle w:val="Tablecolumnheading"/>
            </w:pPr>
            <w:r w:rsidRPr="00E125B0">
              <w:t>PSS</w:t>
            </w:r>
          </w:p>
        </w:tc>
        <w:tc>
          <w:tcPr>
            <w:tcW w:w="1895" w:type="dxa"/>
            <w:shd w:val="clear" w:color="auto" w:fill="DDF3FA"/>
          </w:tcPr>
          <w:p w:rsidR="00611164" w:rsidRPr="00E125B0" w:rsidRDefault="00611164" w:rsidP="00E125B0">
            <w:pPr>
              <w:pStyle w:val="Tablecolumnheading"/>
            </w:pPr>
            <w:r w:rsidRPr="00E125B0">
              <w:t>CSS</w:t>
            </w:r>
          </w:p>
        </w:tc>
        <w:tc>
          <w:tcPr>
            <w:tcW w:w="1895" w:type="dxa"/>
            <w:shd w:val="clear" w:color="auto" w:fill="DDF3FA"/>
          </w:tcPr>
          <w:p w:rsidR="00611164" w:rsidRPr="00E125B0" w:rsidRDefault="00611164" w:rsidP="00E125B0">
            <w:pPr>
              <w:pStyle w:val="Tablecolumnheading"/>
            </w:pPr>
            <w:r w:rsidRPr="00E125B0">
              <w:t>Total</w:t>
            </w:r>
          </w:p>
        </w:tc>
      </w:tr>
      <w:tr w:rsidR="00611164" w:rsidRPr="00666DF9" w:rsidTr="00BE142D">
        <w:tc>
          <w:tcPr>
            <w:tcW w:w="2245" w:type="dxa"/>
            <w:vAlign w:val="center"/>
          </w:tcPr>
          <w:p w:rsidR="00611164" w:rsidRPr="00711F2B" w:rsidRDefault="00611164" w:rsidP="00711F2B">
            <w:pPr>
              <w:pStyle w:val="Tablebodytext"/>
            </w:pPr>
            <w:r w:rsidRPr="00711F2B">
              <w:t>30 June 2002</w:t>
            </w:r>
          </w:p>
        </w:tc>
        <w:tc>
          <w:tcPr>
            <w:tcW w:w="1895" w:type="dxa"/>
          </w:tcPr>
          <w:p w:rsidR="00611164" w:rsidRPr="00711F2B" w:rsidRDefault="00611164" w:rsidP="00711F2B">
            <w:pPr>
              <w:pStyle w:val="Tablebodytext"/>
            </w:pPr>
            <w:r w:rsidRPr="00711F2B">
              <w:t>129,683</w:t>
            </w:r>
          </w:p>
        </w:tc>
        <w:tc>
          <w:tcPr>
            <w:tcW w:w="1895" w:type="dxa"/>
          </w:tcPr>
          <w:p w:rsidR="00611164" w:rsidRPr="00711F2B" w:rsidRDefault="00611164" w:rsidP="00711F2B">
            <w:pPr>
              <w:pStyle w:val="Tablebodytext"/>
            </w:pPr>
            <w:r w:rsidRPr="00711F2B">
              <w:t>39,986</w:t>
            </w:r>
          </w:p>
        </w:tc>
        <w:tc>
          <w:tcPr>
            <w:tcW w:w="1895" w:type="dxa"/>
          </w:tcPr>
          <w:p w:rsidR="00611164" w:rsidRPr="00711F2B" w:rsidRDefault="00611164" w:rsidP="00711F2B">
            <w:pPr>
              <w:pStyle w:val="Tablebodytext"/>
            </w:pPr>
            <w:r w:rsidRPr="00711F2B">
              <w:t>169,669</w:t>
            </w:r>
          </w:p>
        </w:tc>
      </w:tr>
      <w:tr w:rsidR="00611164" w:rsidRPr="00666DF9" w:rsidTr="00BE142D">
        <w:tc>
          <w:tcPr>
            <w:tcW w:w="2245" w:type="dxa"/>
            <w:vAlign w:val="center"/>
          </w:tcPr>
          <w:p w:rsidR="00611164" w:rsidRPr="00711F2B" w:rsidRDefault="00611164" w:rsidP="00711F2B">
            <w:pPr>
              <w:pStyle w:val="Tablebodytext"/>
            </w:pPr>
            <w:r w:rsidRPr="00711F2B">
              <w:t>30 June 2005</w:t>
            </w:r>
          </w:p>
        </w:tc>
        <w:tc>
          <w:tcPr>
            <w:tcW w:w="1895" w:type="dxa"/>
          </w:tcPr>
          <w:p w:rsidR="00611164" w:rsidRPr="00711F2B" w:rsidRDefault="00611164" w:rsidP="00711F2B">
            <w:pPr>
              <w:pStyle w:val="Tablebodytext"/>
            </w:pPr>
            <w:r w:rsidRPr="00711F2B">
              <w:t>154,897</w:t>
            </w:r>
          </w:p>
        </w:tc>
        <w:tc>
          <w:tcPr>
            <w:tcW w:w="1895" w:type="dxa"/>
          </w:tcPr>
          <w:p w:rsidR="00611164" w:rsidRPr="00711F2B" w:rsidRDefault="00611164" w:rsidP="00711F2B">
            <w:pPr>
              <w:pStyle w:val="Tablebodytext"/>
            </w:pPr>
            <w:r w:rsidRPr="00711F2B">
              <w:t>32,006</w:t>
            </w:r>
          </w:p>
        </w:tc>
        <w:tc>
          <w:tcPr>
            <w:tcW w:w="1895" w:type="dxa"/>
          </w:tcPr>
          <w:p w:rsidR="00611164" w:rsidRPr="00711F2B" w:rsidRDefault="00611164" w:rsidP="00711F2B">
            <w:pPr>
              <w:pStyle w:val="Tablebodytext"/>
            </w:pPr>
            <w:r w:rsidRPr="00711F2B">
              <w:t>186,903</w:t>
            </w:r>
          </w:p>
        </w:tc>
      </w:tr>
      <w:tr w:rsidR="00611164" w:rsidRPr="00666DF9" w:rsidTr="00BE142D">
        <w:tc>
          <w:tcPr>
            <w:tcW w:w="2245" w:type="dxa"/>
            <w:vAlign w:val="center"/>
          </w:tcPr>
          <w:p w:rsidR="00611164" w:rsidRPr="00711F2B" w:rsidRDefault="00611164" w:rsidP="00711F2B">
            <w:pPr>
              <w:pStyle w:val="Tablebodytext"/>
            </w:pPr>
            <w:r w:rsidRPr="00711F2B">
              <w:t>30 June 2008</w:t>
            </w:r>
          </w:p>
        </w:tc>
        <w:tc>
          <w:tcPr>
            <w:tcW w:w="1895" w:type="dxa"/>
          </w:tcPr>
          <w:p w:rsidR="00611164" w:rsidRPr="00711F2B" w:rsidRDefault="00611164" w:rsidP="00711F2B">
            <w:pPr>
              <w:pStyle w:val="Tablebodytext"/>
            </w:pPr>
            <w:r w:rsidRPr="00711F2B">
              <w:t>132,274</w:t>
            </w:r>
          </w:p>
        </w:tc>
        <w:tc>
          <w:tcPr>
            <w:tcW w:w="1895" w:type="dxa"/>
          </w:tcPr>
          <w:p w:rsidR="00611164" w:rsidRPr="00711F2B" w:rsidRDefault="00611164" w:rsidP="00711F2B">
            <w:pPr>
              <w:pStyle w:val="Tablebodytext"/>
            </w:pPr>
            <w:r w:rsidRPr="00711F2B">
              <w:t>22,162</w:t>
            </w:r>
          </w:p>
        </w:tc>
        <w:tc>
          <w:tcPr>
            <w:tcW w:w="1895" w:type="dxa"/>
          </w:tcPr>
          <w:p w:rsidR="00611164" w:rsidRPr="00711F2B" w:rsidRDefault="00611164" w:rsidP="00711F2B">
            <w:pPr>
              <w:pStyle w:val="Tablebodytext"/>
            </w:pPr>
            <w:r w:rsidRPr="00711F2B">
              <w:t>154,436</w:t>
            </w:r>
          </w:p>
        </w:tc>
      </w:tr>
      <w:tr w:rsidR="00611164" w:rsidRPr="00666DF9" w:rsidTr="00BE142D">
        <w:tc>
          <w:tcPr>
            <w:tcW w:w="2245" w:type="dxa"/>
            <w:vAlign w:val="center"/>
          </w:tcPr>
          <w:p w:rsidR="00611164" w:rsidRPr="00711F2B" w:rsidRDefault="00611164" w:rsidP="00711F2B">
            <w:pPr>
              <w:pStyle w:val="Tablebodytext"/>
            </w:pPr>
            <w:r w:rsidRPr="00711F2B">
              <w:t>30 June 2011</w:t>
            </w:r>
          </w:p>
        </w:tc>
        <w:tc>
          <w:tcPr>
            <w:tcW w:w="1895" w:type="dxa"/>
          </w:tcPr>
          <w:p w:rsidR="00611164" w:rsidRPr="00711F2B" w:rsidRDefault="00611164" w:rsidP="00711F2B">
            <w:pPr>
              <w:pStyle w:val="Tablebodytext"/>
            </w:pPr>
            <w:r w:rsidRPr="00711F2B">
              <w:t>113,224</w:t>
            </w:r>
          </w:p>
        </w:tc>
        <w:tc>
          <w:tcPr>
            <w:tcW w:w="1895" w:type="dxa"/>
          </w:tcPr>
          <w:p w:rsidR="00611164" w:rsidRPr="00711F2B" w:rsidRDefault="00611164" w:rsidP="00711F2B">
            <w:pPr>
              <w:pStyle w:val="Tablebodytext"/>
            </w:pPr>
            <w:r w:rsidRPr="00711F2B">
              <w:t>15,916</w:t>
            </w:r>
          </w:p>
        </w:tc>
        <w:tc>
          <w:tcPr>
            <w:tcW w:w="1895" w:type="dxa"/>
          </w:tcPr>
          <w:p w:rsidR="00611164" w:rsidRPr="00711F2B" w:rsidRDefault="00611164" w:rsidP="00711F2B">
            <w:pPr>
              <w:pStyle w:val="Tablebodytext"/>
            </w:pPr>
            <w:r w:rsidRPr="00711F2B">
              <w:t>129,140</w:t>
            </w:r>
          </w:p>
        </w:tc>
      </w:tr>
      <w:tr w:rsidR="00611164" w:rsidRPr="00666DF9" w:rsidTr="00BE142D">
        <w:tc>
          <w:tcPr>
            <w:tcW w:w="2245" w:type="dxa"/>
            <w:vAlign w:val="center"/>
          </w:tcPr>
          <w:p w:rsidR="00611164" w:rsidRPr="00711F2B" w:rsidRDefault="00611164" w:rsidP="00711F2B">
            <w:pPr>
              <w:pStyle w:val="Tablebodytext"/>
            </w:pPr>
            <w:r w:rsidRPr="00711F2B">
              <w:t>30 June 2014</w:t>
            </w:r>
          </w:p>
        </w:tc>
        <w:tc>
          <w:tcPr>
            <w:tcW w:w="1895" w:type="dxa"/>
          </w:tcPr>
          <w:p w:rsidR="00611164" w:rsidRPr="00711F2B" w:rsidRDefault="00611164" w:rsidP="00711F2B">
            <w:pPr>
              <w:pStyle w:val="Tablebodytext"/>
            </w:pPr>
            <w:r w:rsidRPr="00711F2B">
              <w:t>96,049</w:t>
            </w:r>
          </w:p>
        </w:tc>
        <w:tc>
          <w:tcPr>
            <w:tcW w:w="1895" w:type="dxa"/>
          </w:tcPr>
          <w:p w:rsidR="00611164" w:rsidRPr="00711F2B" w:rsidRDefault="00611164" w:rsidP="00711F2B">
            <w:pPr>
              <w:pStyle w:val="Tablebodytext"/>
            </w:pPr>
            <w:r w:rsidRPr="00711F2B">
              <w:t>10,548</w:t>
            </w:r>
          </w:p>
        </w:tc>
        <w:tc>
          <w:tcPr>
            <w:tcW w:w="1895" w:type="dxa"/>
          </w:tcPr>
          <w:p w:rsidR="00611164" w:rsidRPr="00711F2B" w:rsidRDefault="00611164" w:rsidP="00711F2B">
            <w:pPr>
              <w:pStyle w:val="Tablebodytext"/>
            </w:pPr>
            <w:r w:rsidRPr="00711F2B">
              <w:t>106,597</w:t>
            </w:r>
          </w:p>
        </w:tc>
      </w:tr>
    </w:tbl>
    <w:p w:rsidR="00611164" w:rsidRDefault="00E125B0" w:rsidP="00611164">
      <w:pPr>
        <w:pStyle w:val="Heading4"/>
        <w:numPr>
          <w:ilvl w:val="0"/>
          <w:numId w:val="0"/>
        </w:numPr>
        <w:ind w:left="737" w:hanging="737"/>
      </w:pPr>
      <w:r>
        <w:t>Number of Preserved</w:t>
      </w:r>
      <w:r w:rsidRPr="00FB768A">
        <w:t xml:space="preserve"> Members</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611164" w:rsidRPr="00666DF9" w:rsidTr="00BE142D">
        <w:tc>
          <w:tcPr>
            <w:tcW w:w="2245" w:type="dxa"/>
            <w:shd w:val="clear" w:color="auto" w:fill="DDF3FA"/>
          </w:tcPr>
          <w:p w:rsidR="00611164" w:rsidRPr="00E125B0" w:rsidRDefault="00611164" w:rsidP="00E125B0">
            <w:pPr>
              <w:pStyle w:val="Tablecolumnheading"/>
            </w:pPr>
          </w:p>
        </w:tc>
        <w:tc>
          <w:tcPr>
            <w:tcW w:w="1895" w:type="dxa"/>
            <w:shd w:val="clear" w:color="auto" w:fill="DDF3FA"/>
          </w:tcPr>
          <w:p w:rsidR="00611164" w:rsidRPr="00E125B0" w:rsidRDefault="00611164" w:rsidP="00E125B0">
            <w:pPr>
              <w:pStyle w:val="Tablecolumnheading"/>
            </w:pPr>
            <w:r w:rsidRPr="00E125B0">
              <w:t>PSS</w:t>
            </w:r>
          </w:p>
        </w:tc>
        <w:tc>
          <w:tcPr>
            <w:tcW w:w="1895" w:type="dxa"/>
            <w:shd w:val="clear" w:color="auto" w:fill="DDF3FA"/>
          </w:tcPr>
          <w:p w:rsidR="00611164" w:rsidRPr="00E125B0" w:rsidRDefault="00611164" w:rsidP="00E125B0">
            <w:pPr>
              <w:pStyle w:val="Tablecolumnheading"/>
            </w:pPr>
            <w:r w:rsidRPr="00E125B0">
              <w:t>CSS</w:t>
            </w:r>
          </w:p>
        </w:tc>
        <w:tc>
          <w:tcPr>
            <w:tcW w:w="1895" w:type="dxa"/>
            <w:shd w:val="clear" w:color="auto" w:fill="DDF3FA"/>
          </w:tcPr>
          <w:p w:rsidR="00611164" w:rsidRPr="00E125B0" w:rsidRDefault="00611164" w:rsidP="00E125B0">
            <w:pPr>
              <w:pStyle w:val="Tablecolumnheading"/>
            </w:pPr>
            <w:r w:rsidRPr="00E125B0">
              <w:t>Total</w:t>
            </w:r>
          </w:p>
        </w:tc>
      </w:tr>
      <w:tr w:rsidR="00611164" w:rsidRPr="00666DF9" w:rsidTr="00BE142D">
        <w:tc>
          <w:tcPr>
            <w:tcW w:w="2245" w:type="dxa"/>
            <w:vAlign w:val="center"/>
          </w:tcPr>
          <w:p w:rsidR="00611164" w:rsidRPr="00711F2B" w:rsidRDefault="00611164" w:rsidP="00711F2B">
            <w:pPr>
              <w:pStyle w:val="Tablebodytext"/>
            </w:pPr>
            <w:r w:rsidRPr="00711F2B">
              <w:t>30 June 2002</w:t>
            </w:r>
          </w:p>
        </w:tc>
        <w:tc>
          <w:tcPr>
            <w:tcW w:w="1895" w:type="dxa"/>
          </w:tcPr>
          <w:p w:rsidR="00611164" w:rsidRPr="00711F2B" w:rsidRDefault="00611164" w:rsidP="00711F2B">
            <w:pPr>
              <w:pStyle w:val="Tablebodytext"/>
            </w:pPr>
            <w:r w:rsidRPr="00711F2B">
              <w:t>76,357</w:t>
            </w:r>
          </w:p>
        </w:tc>
        <w:tc>
          <w:tcPr>
            <w:tcW w:w="1895" w:type="dxa"/>
          </w:tcPr>
          <w:p w:rsidR="00611164" w:rsidRPr="00711F2B" w:rsidRDefault="00611164" w:rsidP="00711F2B">
            <w:pPr>
              <w:pStyle w:val="Tablebodytext"/>
            </w:pPr>
            <w:r w:rsidRPr="00711F2B">
              <w:t>13,969</w:t>
            </w:r>
          </w:p>
        </w:tc>
        <w:tc>
          <w:tcPr>
            <w:tcW w:w="1895" w:type="dxa"/>
          </w:tcPr>
          <w:p w:rsidR="00611164" w:rsidRPr="00711F2B" w:rsidRDefault="00611164" w:rsidP="00711F2B">
            <w:pPr>
              <w:pStyle w:val="Tablebodytext"/>
            </w:pPr>
            <w:r w:rsidRPr="00711F2B">
              <w:t>90,326</w:t>
            </w:r>
          </w:p>
        </w:tc>
      </w:tr>
      <w:tr w:rsidR="00611164" w:rsidRPr="00666DF9" w:rsidTr="00BE142D">
        <w:tc>
          <w:tcPr>
            <w:tcW w:w="2245" w:type="dxa"/>
            <w:vAlign w:val="center"/>
          </w:tcPr>
          <w:p w:rsidR="00611164" w:rsidRPr="00711F2B" w:rsidRDefault="00611164" w:rsidP="00711F2B">
            <w:pPr>
              <w:pStyle w:val="Tablebodytext"/>
            </w:pPr>
            <w:r w:rsidRPr="00711F2B">
              <w:t>30 June 2005</w:t>
            </w:r>
          </w:p>
        </w:tc>
        <w:tc>
          <w:tcPr>
            <w:tcW w:w="1895" w:type="dxa"/>
          </w:tcPr>
          <w:p w:rsidR="00611164" w:rsidRPr="00711F2B" w:rsidRDefault="00611164" w:rsidP="00711F2B">
            <w:pPr>
              <w:pStyle w:val="Tablebodytext"/>
            </w:pPr>
            <w:r w:rsidRPr="00711F2B">
              <w:t>85,709</w:t>
            </w:r>
          </w:p>
        </w:tc>
        <w:tc>
          <w:tcPr>
            <w:tcW w:w="1895" w:type="dxa"/>
          </w:tcPr>
          <w:p w:rsidR="00611164" w:rsidRPr="00711F2B" w:rsidRDefault="00611164" w:rsidP="00711F2B">
            <w:pPr>
              <w:pStyle w:val="Tablebodytext"/>
            </w:pPr>
            <w:r w:rsidRPr="00711F2B">
              <w:t>12,227</w:t>
            </w:r>
          </w:p>
        </w:tc>
        <w:tc>
          <w:tcPr>
            <w:tcW w:w="1895" w:type="dxa"/>
          </w:tcPr>
          <w:p w:rsidR="00611164" w:rsidRPr="00711F2B" w:rsidRDefault="00611164" w:rsidP="00711F2B">
            <w:pPr>
              <w:pStyle w:val="Tablebodytext"/>
            </w:pPr>
            <w:r w:rsidRPr="00711F2B">
              <w:t>97,936</w:t>
            </w:r>
          </w:p>
        </w:tc>
      </w:tr>
      <w:tr w:rsidR="00611164" w:rsidRPr="00666DF9" w:rsidTr="00BE142D">
        <w:tc>
          <w:tcPr>
            <w:tcW w:w="2245" w:type="dxa"/>
            <w:vAlign w:val="center"/>
          </w:tcPr>
          <w:p w:rsidR="00611164" w:rsidRPr="00711F2B" w:rsidRDefault="00611164" w:rsidP="00711F2B">
            <w:pPr>
              <w:pStyle w:val="Tablebodytext"/>
            </w:pPr>
            <w:r w:rsidRPr="00711F2B">
              <w:t>30 June 2008</w:t>
            </w:r>
          </w:p>
        </w:tc>
        <w:tc>
          <w:tcPr>
            <w:tcW w:w="1895" w:type="dxa"/>
          </w:tcPr>
          <w:p w:rsidR="00611164" w:rsidRPr="00711F2B" w:rsidRDefault="00611164" w:rsidP="00711F2B">
            <w:pPr>
              <w:pStyle w:val="Tablebodytext"/>
            </w:pPr>
            <w:r w:rsidRPr="00711F2B">
              <w:t>103,628</w:t>
            </w:r>
          </w:p>
        </w:tc>
        <w:tc>
          <w:tcPr>
            <w:tcW w:w="1895" w:type="dxa"/>
          </w:tcPr>
          <w:p w:rsidR="00611164" w:rsidRPr="00711F2B" w:rsidRDefault="00611164" w:rsidP="00711F2B">
            <w:pPr>
              <w:pStyle w:val="Tablebodytext"/>
            </w:pPr>
            <w:r w:rsidRPr="00711F2B">
              <w:t>11,461</w:t>
            </w:r>
          </w:p>
        </w:tc>
        <w:tc>
          <w:tcPr>
            <w:tcW w:w="1895" w:type="dxa"/>
          </w:tcPr>
          <w:p w:rsidR="00611164" w:rsidRPr="00711F2B" w:rsidRDefault="00611164" w:rsidP="00711F2B">
            <w:pPr>
              <w:pStyle w:val="Tablebodytext"/>
            </w:pPr>
            <w:r w:rsidRPr="00711F2B">
              <w:t>115,089</w:t>
            </w:r>
          </w:p>
        </w:tc>
      </w:tr>
      <w:tr w:rsidR="00611164" w:rsidRPr="00666DF9" w:rsidTr="00BE142D">
        <w:tc>
          <w:tcPr>
            <w:tcW w:w="2245" w:type="dxa"/>
            <w:vAlign w:val="center"/>
          </w:tcPr>
          <w:p w:rsidR="00611164" w:rsidRPr="00711F2B" w:rsidRDefault="00611164" w:rsidP="00711F2B">
            <w:pPr>
              <w:pStyle w:val="Tablebodytext"/>
            </w:pPr>
            <w:r w:rsidRPr="00711F2B">
              <w:t>30 June 2011</w:t>
            </w:r>
          </w:p>
        </w:tc>
        <w:tc>
          <w:tcPr>
            <w:tcW w:w="1895" w:type="dxa"/>
          </w:tcPr>
          <w:p w:rsidR="00611164" w:rsidRPr="00711F2B" w:rsidRDefault="00611164" w:rsidP="00711F2B">
            <w:pPr>
              <w:pStyle w:val="Tablebodytext"/>
            </w:pPr>
            <w:r w:rsidRPr="00711F2B">
              <w:t>103,092</w:t>
            </w:r>
          </w:p>
        </w:tc>
        <w:tc>
          <w:tcPr>
            <w:tcW w:w="1895" w:type="dxa"/>
          </w:tcPr>
          <w:p w:rsidR="00611164" w:rsidRPr="00711F2B" w:rsidRDefault="00611164" w:rsidP="00711F2B">
            <w:pPr>
              <w:pStyle w:val="Tablebodytext"/>
            </w:pPr>
            <w:r w:rsidRPr="00711F2B">
              <w:t>9,110</w:t>
            </w:r>
          </w:p>
        </w:tc>
        <w:tc>
          <w:tcPr>
            <w:tcW w:w="1895" w:type="dxa"/>
          </w:tcPr>
          <w:p w:rsidR="00611164" w:rsidRPr="00711F2B" w:rsidRDefault="00611164" w:rsidP="00711F2B">
            <w:pPr>
              <w:pStyle w:val="Tablebodytext"/>
            </w:pPr>
            <w:r w:rsidRPr="00711F2B">
              <w:t>112,202</w:t>
            </w:r>
          </w:p>
        </w:tc>
      </w:tr>
      <w:tr w:rsidR="00611164" w:rsidRPr="00666DF9" w:rsidTr="00BE142D">
        <w:tc>
          <w:tcPr>
            <w:tcW w:w="2245" w:type="dxa"/>
            <w:vAlign w:val="center"/>
          </w:tcPr>
          <w:p w:rsidR="00611164" w:rsidRPr="00711F2B" w:rsidRDefault="00611164" w:rsidP="00711F2B">
            <w:pPr>
              <w:pStyle w:val="Tablebodytext"/>
            </w:pPr>
            <w:r w:rsidRPr="00711F2B">
              <w:t>30 June 2014</w:t>
            </w:r>
          </w:p>
        </w:tc>
        <w:tc>
          <w:tcPr>
            <w:tcW w:w="1895" w:type="dxa"/>
          </w:tcPr>
          <w:p w:rsidR="00611164" w:rsidRPr="00711F2B" w:rsidRDefault="00611164" w:rsidP="00711F2B">
            <w:pPr>
              <w:pStyle w:val="Tablebodytext"/>
            </w:pPr>
            <w:r w:rsidRPr="00711F2B">
              <w:t>102,906</w:t>
            </w:r>
          </w:p>
        </w:tc>
        <w:tc>
          <w:tcPr>
            <w:tcW w:w="1895" w:type="dxa"/>
          </w:tcPr>
          <w:p w:rsidR="00611164" w:rsidRPr="00711F2B" w:rsidRDefault="00611164" w:rsidP="00711F2B">
            <w:pPr>
              <w:pStyle w:val="Tablebodytext"/>
            </w:pPr>
            <w:r w:rsidRPr="00711F2B">
              <w:t>6,694</w:t>
            </w:r>
          </w:p>
        </w:tc>
        <w:tc>
          <w:tcPr>
            <w:tcW w:w="1895" w:type="dxa"/>
          </w:tcPr>
          <w:p w:rsidR="00611164" w:rsidRPr="00711F2B" w:rsidRDefault="00611164" w:rsidP="00711F2B">
            <w:pPr>
              <w:pStyle w:val="Tablebodytext"/>
            </w:pPr>
            <w:r w:rsidRPr="00711F2B">
              <w:t>109,600</w:t>
            </w:r>
          </w:p>
        </w:tc>
      </w:tr>
    </w:tbl>
    <w:p w:rsidR="00BC34B4" w:rsidRDefault="00BC34B4" w:rsidP="00611164">
      <w:pPr>
        <w:pStyle w:val="Heading4"/>
        <w:numPr>
          <w:ilvl w:val="0"/>
          <w:numId w:val="0"/>
        </w:numPr>
        <w:ind w:left="737" w:hanging="737"/>
      </w:pPr>
    </w:p>
    <w:p w:rsidR="00611164" w:rsidRDefault="00BC34B4" w:rsidP="00E125B0">
      <w:pPr>
        <w:pStyle w:val="Heading4nonumbers"/>
      </w:pPr>
      <w:r>
        <w:br w:type="page"/>
      </w:r>
      <w:r w:rsidR="00E125B0">
        <w:lastRenderedPageBreak/>
        <w:t xml:space="preserve">Number of Age and Invalidity </w:t>
      </w:r>
      <w:r w:rsidR="00E125B0" w:rsidRPr="00FB768A">
        <w:t>Pensioners</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611164" w:rsidRPr="00666DF9" w:rsidTr="00BE142D">
        <w:tc>
          <w:tcPr>
            <w:tcW w:w="2245" w:type="dxa"/>
            <w:shd w:val="clear" w:color="auto" w:fill="DDF3FA"/>
          </w:tcPr>
          <w:p w:rsidR="00611164" w:rsidRPr="00E125B0" w:rsidRDefault="00611164" w:rsidP="00E125B0">
            <w:pPr>
              <w:pStyle w:val="Tablecolumnheading"/>
            </w:pPr>
          </w:p>
        </w:tc>
        <w:tc>
          <w:tcPr>
            <w:tcW w:w="1895" w:type="dxa"/>
            <w:shd w:val="clear" w:color="auto" w:fill="DDF3FA"/>
          </w:tcPr>
          <w:p w:rsidR="00611164" w:rsidRPr="00E125B0" w:rsidRDefault="00611164" w:rsidP="00E125B0">
            <w:pPr>
              <w:pStyle w:val="Tablecolumnheading"/>
            </w:pPr>
            <w:r w:rsidRPr="00E125B0">
              <w:t>PSS</w:t>
            </w:r>
          </w:p>
        </w:tc>
        <w:tc>
          <w:tcPr>
            <w:tcW w:w="1895" w:type="dxa"/>
            <w:shd w:val="clear" w:color="auto" w:fill="DDF3FA"/>
          </w:tcPr>
          <w:p w:rsidR="00611164" w:rsidRPr="00E125B0" w:rsidRDefault="00611164" w:rsidP="00E125B0">
            <w:pPr>
              <w:pStyle w:val="Tablecolumnheading"/>
            </w:pPr>
            <w:r w:rsidRPr="00E125B0">
              <w:t>CSS</w:t>
            </w:r>
          </w:p>
        </w:tc>
        <w:tc>
          <w:tcPr>
            <w:tcW w:w="1895" w:type="dxa"/>
            <w:shd w:val="clear" w:color="auto" w:fill="DDF3FA"/>
          </w:tcPr>
          <w:p w:rsidR="00611164" w:rsidRPr="00E125B0" w:rsidRDefault="00611164" w:rsidP="00E125B0">
            <w:pPr>
              <w:pStyle w:val="Tablecolumnheading"/>
            </w:pPr>
            <w:r w:rsidRPr="00E125B0">
              <w:t>Total</w:t>
            </w:r>
          </w:p>
        </w:tc>
      </w:tr>
      <w:tr w:rsidR="00611164" w:rsidRPr="00666DF9" w:rsidTr="00BE142D">
        <w:tc>
          <w:tcPr>
            <w:tcW w:w="2245" w:type="dxa"/>
          </w:tcPr>
          <w:p w:rsidR="00611164" w:rsidRPr="00711F2B" w:rsidRDefault="00611164" w:rsidP="00711F2B">
            <w:pPr>
              <w:pStyle w:val="Tablebodytext"/>
            </w:pPr>
            <w:r w:rsidRPr="00711F2B">
              <w:t>30 June 2002</w:t>
            </w:r>
          </w:p>
        </w:tc>
        <w:tc>
          <w:tcPr>
            <w:tcW w:w="1895" w:type="dxa"/>
          </w:tcPr>
          <w:p w:rsidR="00611164" w:rsidRPr="00711F2B" w:rsidRDefault="00611164" w:rsidP="00711F2B">
            <w:pPr>
              <w:pStyle w:val="Tablebodytext"/>
            </w:pPr>
            <w:r w:rsidRPr="00711F2B">
              <w:t>7,598</w:t>
            </w:r>
          </w:p>
        </w:tc>
        <w:tc>
          <w:tcPr>
            <w:tcW w:w="1895" w:type="dxa"/>
          </w:tcPr>
          <w:p w:rsidR="00611164" w:rsidRPr="00711F2B" w:rsidRDefault="00611164" w:rsidP="00711F2B">
            <w:pPr>
              <w:pStyle w:val="Tablebodytext"/>
            </w:pPr>
            <w:r w:rsidRPr="00711F2B">
              <w:t>83,370</w:t>
            </w:r>
          </w:p>
        </w:tc>
        <w:tc>
          <w:tcPr>
            <w:tcW w:w="1895" w:type="dxa"/>
          </w:tcPr>
          <w:p w:rsidR="00611164" w:rsidRPr="00711F2B" w:rsidRDefault="00611164" w:rsidP="00711F2B">
            <w:pPr>
              <w:pStyle w:val="Tablebodytext"/>
            </w:pPr>
            <w:r w:rsidRPr="00711F2B">
              <w:t>90,968</w:t>
            </w:r>
          </w:p>
        </w:tc>
      </w:tr>
      <w:tr w:rsidR="00611164" w:rsidRPr="00666DF9" w:rsidTr="00BE142D">
        <w:tc>
          <w:tcPr>
            <w:tcW w:w="2245" w:type="dxa"/>
          </w:tcPr>
          <w:p w:rsidR="00611164" w:rsidRPr="00711F2B" w:rsidRDefault="00611164" w:rsidP="00711F2B">
            <w:pPr>
              <w:pStyle w:val="Tablebodytext"/>
            </w:pPr>
            <w:r w:rsidRPr="00711F2B">
              <w:t>30 June 2005</w:t>
            </w:r>
          </w:p>
        </w:tc>
        <w:tc>
          <w:tcPr>
            <w:tcW w:w="1895" w:type="dxa"/>
          </w:tcPr>
          <w:p w:rsidR="00611164" w:rsidRPr="00711F2B" w:rsidRDefault="00611164" w:rsidP="00711F2B">
            <w:pPr>
              <w:pStyle w:val="Tablebodytext"/>
            </w:pPr>
            <w:r w:rsidRPr="00711F2B">
              <w:t>10,912</w:t>
            </w:r>
          </w:p>
        </w:tc>
        <w:tc>
          <w:tcPr>
            <w:tcW w:w="1895" w:type="dxa"/>
          </w:tcPr>
          <w:p w:rsidR="00611164" w:rsidRPr="00711F2B" w:rsidRDefault="00611164" w:rsidP="00711F2B">
            <w:pPr>
              <w:pStyle w:val="Tablebodytext"/>
            </w:pPr>
            <w:r w:rsidRPr="00711F2B">
              <w:t>85,028</w:t>
            </w:r>
          </w:p>
        </w:tc>
        <w:tc>
          <w:tcPr>
            <w:tcW w:w="1895" w:type="dxa"/>
          </w:tcPr>
          <w:p w:rsidR="00611164" w:rsidRPr="00711F2B" w:rsidRDefault="00611164" w:rsidP="00711F2B">
            <w:pPr>
              <w:pStyle w:val="Tablebodytext"/>
            </w:pPr>
            <w:r w:rsidRPr="00711F2B">
              <w:t>95,940</w:t>
            </w:r>
          </w:p>
        </w:tc>
      </w:tr>
      <w:tr w:rsidR="00611164" w:rsidRPr="00666DF9" w:rsidTr="00BE142D">
        <w:tc>
          <w:tcPr>
            <w:tcW w:w="2245" w:type="dxa"/>
          </w:tcPr>
          <w:p w:rsidR="00611164" w:rsidRPr="00711F2B" w:rsidRDefault="00611164" w:rsidP="00711F2B">
            <w:pPr>
              <w:pStyle w:val="Tablebodytext"/>
            </w:pPr>
            <w:r w:rsidRPr="00711F2B">
              <w:t>30 June 2008</w:t>
            </w:r>
          </w:p>
        </w:tc>
        <w:tc>
          <w:tcPr>
            <w:tcW w:w="1895" w:type="dxa"/>
          </w:tcPr>
          <w:p w:rsidR="00611164" w:rsidRPr="00711F2B" w:rsidRDefault="00611164" w:rsidP="00711F2B">
            <w:pPr>
              <w:pStyle w:val="Tablebodytext"/>
            </w:pPr>
            <w:r w:rsidRPr="00711F2B">
              <w:t>15,759</w:t>
            </w:r>
          </w:p>
        </w:tc>
        <w:tc>
          <w:tcPr>
            <w:tcW w:w="1895" w:type="dxa"/>
          </w:tcPr>
          <w:p w:rsidR="00611164" w:rsidRPr="00711F2B" w:rsidRDefault="00611164" w:rsidP="00711F2B">
            <w:pPr>
              <w:pStyle w:val="Tablebodytext"/>
            </w:pPr>
            <w:r w:rsidRPr="00711F2B">
              <w:t>86,901</w:t>
            </w:r>
          </w:p>
        </w:tc>
        <w:tc>
          <w:tcPr>
            <w:tcW w:w="1895" w:type="dxa"/>
          </w:tcPr>
          <w:p w:rsidR="00611164" w:rsidRPr="00711F2B" w:rsidRDefault="00611164" w:rsidP="00711F2B">
            <w:pPr>
              <w:pStyle w:val="Tablebodytext"/>
            </w:pPr>
            <w:r w:rsidRPr="00711F2B">
              <w:t>102,660</w:t>
            </w:r>
          </w:p>
        </w:tc>
      </w:tr>
      <w:tr w:rsidR="00611164" w:rsidRPr="00666DF9" w:rsidTr="00BE142D">
        <w:tc>
          <w:tcPr>
            <w:tcW w:w="2245" w:type="dxa"/>
          </w:tcPr>
          <w:p w:rsidR="00611164" w:rsidRPr="00711F2B" w:rsidRDefault="00611164" w:rsidP="00711F2B">
            <w:pPr>
              <w:pStyle w:val="Tablebodytext"/>
            </w:pPr>
            <w:r w:rsidRPr="00711F2B">
              <w:t>30 June 2011</w:t>
            </w:r>
          </w:p>
        </w:tc>
        <w:tc>
          <w:tcPr>
            <w:tcW w:w="1895" w:type="dxa"/>
          </w:tcPr>
          <w:p w:rsidR="00611164" w:rsidRPr="00711F2B" w:rsidRDefault="00611164" w:rsidP="00711F2B">
            <w:pPr>
              <w:pStyle w:val="Tablebodytext"/>
            </w:pPr>
            <w:r w:rsidRPr="00711F2B">
              <w:t>22,868</w:t>
            </w:r>
          </w:p>
        </w:tc>
        <w:tc>
          <w:tcPr>
            <w:tcW w:w="1895" w:type="dxa"/>
          </w:tcPr>
          <w:p w:rsidR="00611164" w:rsidRPr="00711F2B" w:rsidRDefault="00611164" w:rsidP="00711F2B">
            <w:pPr>
              <w:pStyle w:val="Tablebodytext"/>
            </w:pPr>
            <w:r w:rsidRPr="00711F2B">
              <w:t>86,532</w:t>
            </w:r>
          </w:p>
        </w:tc>
        <w:tc>
          <w:tcPr>
            <w:tcW w:w="1895" w:type="dxa"/>
          </w:tcPr>
          <w:p w:rsidR="00611164" w:rsidRPr="00711F2B" w:rsidRDefault="00611164" w:rsidP="00711F2B">
            <w:pPr>
              <w:pStyle w:val="Tablebodytext"/>
            </w:pPr>
            <w:r w:rsidRPr="00711F2B">
              <w:t>109,400</w:t>
            </w:r>
          </w:p>
        </w:tc>
      </w:tr>
      <w:tr w:rsidR="00611164" w:rsidRPr="00666DF9" w:rsidTr="00BE142D">
        <w:tc>
          <w:tcPr>
            <w:tcW w:w="2245" w:type="dxa"/>
          </w:tcPr>
          <w:p w:rsidR="00611164" w:rsidRPr="00711F2B" w:rsidRDefault="00611164" w:rsidP="00711F2B">
            <w:pPr>
              <w:pStyle w:val="Tablebodytext"/>
            </w:pPr>
            <w:r w:rsidRPr="00711F2B">
              <w:t>30 June 2014</w:t>
            </w:r>
          </w:p>
        </w:tc>
        <w:tc>
          <w:tcPr>
            <w:tcW w:w="1895" w:type="dxa"/>
          </w:tcPr>
          <w:p w:rsidR="00611164" w:rsidRPr="00711F2B" w:rsidRDefault="00611164" w:rsidP="00711F2B">
            <w:pPr>
              <w:pStyle w:val="Tablebodytext"/>
            </w:pPr>
            <w:r w:rsidRPr="00711F2B">
              <w:t>32,891</w:t>
            </w:r>
          </w:p>
        </w:tc>
        <w:tc>
          <w:tcPr>
            <w:tcW w:w="1895" w:type="dxa"/>
          </w:tcPr>
          <w:p w:rsidR="00611164" w:rsidRPr="00711F2B" w:rsidRDefault="00611164" w:rsidP="00711F2B">
            <w:pPr>
              <w:pStyle w:val="Tablebodytext"/>
            </w:pPr>
            <w:r w:rsidRPr="00711F2B">
              <w:t>85,864</w:t>
            </w:r>
          </w:p>
        </w:tc>
        <w:tc>
          <w:tcPr>
            <w:tcW w:w="1895" w:type="dxa"/>
          </w:tcPr>
          <w:p w:rsidR="00611164" w:rsidRPr="00711F2B" w:rsidRDefault="00611164" w:rsidP="00711F2B">
            <w:pPr>
              <w:pStyle w:val="Tablebodytext"/>
            </w:pPr>
            <w:r w:rsidRPr="00711F2B">
              <w:t>118,755</w:t>
            </w:r>
          </w:p>
        </w:tc>
      </w:tr>
    </w:tbl>
    <w:p w:rsidR="00611164" w:rsidRDefault="00E125B0" w:rsidP="00611164">
      <w:pPr>
        <w:pStyle w:val="Heading4"/>
        <w:numPr>
          <w:ilvl w:val="0"/>
          <w:numId w:val="0"/>
        </w:numPr>
        <w:ind w:left="737" w:hanging="737"/>
      </w:pPr>
      <w:r>
        <w:t>Number of Dependant</w:t>
      </w:r>
      <w:r w:rsidRPr="00FB768A">
        <w:t xml:space="preserve"> Pensioners</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611164" w:rsidRPr="00666DF9" w:rsidTr="00BE142D">
        <w:tc>
          <w:tcPr>
            <w:tcW w:w="2245" w:type="dxa"/>
            <w:shd w:val="clear" w:color="auto" w:fill="DDF3FA"/>
          </w:tcPr>
          <w:p w:rsidR="00611164" w:rsidRPr="00611164" w:rsidRDefault="00611164" w:rsidP="00E125B0">
            <w:pPr>
              <w:pStyle w:val="Tablecolumnheading"/>
            </w:pPr>
          </w:p>
        </w:tc>
        <w:tc>
          <w:tcPr>
            <w:tcW w:w="1895" w:type="dxa"/>
            <w:shd w:val="clear" w:color="auto" w:fill="DDF3FA"/>
          </w:tcPr>
          <w:p w:rsidR="00611164" w:rsidRPr="00666DF9" w:rsidRDefault="00611164" w:rsidP="00E125B0">
            <w:pPr>
              <w:pStyle w:val="Tablecolumnheading"/>
            </w:pPr>
            <w:r w:rsidRPr="00666DF9">
              <w:t>PSS</w:t>
            </w:r>
          </w:p>
        </w:tc>
        <w:tc>
          <w:tcPr>
            <w:tcW w:w="1895" w:type="dxa"/>
            <w:shd w:val="clear" w:color="auto" w:fill="DDF3FA"/>
          </w:tcPr>
          <w:p w:rsidR="00611164" w:rsidRPr="00666DF9" w:rsidRDefault="00611164" w:rsidP="00E125B0">
            <w:pPr>
              <w:pStyle w:val="Tablecolumnheading"/>
            </w:pPr>
            <w:r w:rsidRPr="00666DF9">
              <w:t>CSS</w:t>
            </w:r>
          </w:p>
        </w:tc>
        <w:tc>
          <w:tcPr>
            <w:tcW w:w="1895" w:type="dxa"/>
            <w:shd w:val="clear" w:color="auto" w:fill="DDF3FA"/>
          </w:tcPr>
          <w:p w:rsidR="00611164" w:rsidRPr="00666DF9" w:rsidRDefault="00611164" w:rsidP="00E125B0">
            <w:pPr>
              <w:pStyle w:val="Tablecolumnheading"/>
            </w:pPr>
            <w:r w:rsidRPr="00666DF9">
              <w:t>Total</w:t>
            </w:r>
          </w:p>
        </w:tc>
      </w:tr>
      <w:tr w:rsidR="00611164" w:rsidRPr="00666DF9" w:rsidTr="00BE142D">
        <w:tc>
          <w:tcPr>
            <w:tcW w:w="2245" w:type="dxa"/>
          </w:tcPr>
          <w:p w:rsidR="00611164" w:rsidRPr="00711F2B" w:rsidRDefault="00611164" w:rsidP="00711F2B">
            <w:pPr>
              <w:pStyle w:val="Tablebodytext"/>
            </w:pPr>
            <w:r w:rsidRPr="00711F2B">
              <w:t>30 June 2002</w:t>
            </w:r>
          </w:p>
        </w:tc>
        <w:tc>
          <w:tcPr>
            <w:tcW w:w="1895" w:type="dxa"/>
          </w:tcPr>
          <w:p w:rsidR="00611164" w:rsidRPr="00711F2B" w:rsidRDefault="00611164" w:rsidP="00711F2B">
            <w:pPr>
              <w:pStyle w:val="Tablebodytext"/>
            </w:pPr>
            <w:r w:rsidRPr="00711F2B">
              <w:t>331</w:t>
            </w:r>
          </w:p>
        </w:tc>
        <w:tc>
          <w:tcPr>
            <w:tcW w:w="1895" w:type="dxa"/>
          </w:tcPr>
          <w:p w:rsidR="00611164" w:rsidRPr="00711F2B" w:rsidRDefault="00611164" w:rsidP="00711F2B">
            <w:pPr>
              <w:pStyle w:val="Tablebodytext"/>
            </w:pPr>
            <w:r w:rsidRPr="00711F2B">
              <w:t>27,930</w:t>
            </w:r>
          </w:p>
        </w:tc>
        <w:tc>
          <w:tcPr>
            <w:tcW w:w="1895" w:type="dxa"/>
          </w:tcPr>
          <w:p w:rsidR="00611164" w:rsidRPr="00711F2B" w:rsidRDefault="00611164" w:rsidP="00711F2B">
            <w:pPr>
              <w:pStyle w:val="Tablebodytext"/>
            </w:pPr>
            <w:r w:rsidRPr="00711F2B">
              <w:t>28,261</w:t>
            </w:r>
          </w:p>
        </w:tc>
      </w:tr>
      <w:tr w:rsidR="00611164" w:rsidRPr="00666DF9" w:rsidTr="00BE142D">
        <w:tc>
          <w:tcPr>
            <w:tcW w:w="2245" w:type="dxa"/>
          </w:tcPr>
          <w:p w:rsidR="00611164" w:rsidRPr="00711F2B" w:rsidRDefault="00611164" w:rsidP="00711F2B">
            <w:pPr>
              <w:pStyle w:val="Tablebodytext"/>
            </w:pPr>
            <w:r w:rsidRPr="00711F2B">
              <w:t>30 June 2005</w:t>
            </w:r>
          </w:p>
        </w:tc>
        <w:tc>
          <w:tcPr>
            <w:tcW w:w="1895" w:type="dxa"/>
          </w:tcPr>
          <w:p w:rsidR="00611164" w:rsidRPr="00711F2B" w:rsidRDefault="00611164" w:rsidP="00711F2B">
            <w:pPr>
              <w:pStyle w:val="Tablebodytext"/>
            </w:pPr>
            <w:r w:rsidRPr="00711F2B">
              <w:t>507</w:t>
            </w:r>
          </w:p>
        </w:tc>
        <w:tc>
          <w:tcPr>
            <w:tcW w:w="1895" w:type="dxa"/>
          </w:tcPr>
          <w:p w:rsidR="00611164" w:rsidRPr="00711F2B" w:rsidRDefault="00611164" w:rsidP="00711F2B">
            <w:pPr>
              <w:pStyle w:val="Tablebodytext"/>
            </w:pPr>
            <w:r w:rsidRPr="00711F2B">
              <w:t>28,560</w:t>
            </w:r>
          </w:p>
        </w:tc>
        <w:tc>
          <w:tcPr>
            <w:tcW w:w="1895" w:type="dxa"/>
          </w:tcPr>
          <w:p w:rsidR="00611164" w:rsidRPr="00711F2B" w:rsidRDefault="00611164" w:rsidP="00711F2B">
            <w:pPr>
              <w:pStyle w:val="Tablebodytext"/>
            </w:pPr>
            <w:r w:rsidRPr="00711F2B">
              <w:t>29,067</w:t>
            </w:r>
          </w:p>
        </w:tc>
      </w:tr>
      <w:tr w:rsidR="00611164" w:rsidRPr="00666DF9" w:rsidTr="00BE142D">
        <w:tc>
          <w:tcPr>
            <w:tcW w:w="2245" w:type="dxa"/>
          </w:tcPr>
          <w:p w:rsidR="00611164" w:rsidRPr="00711F2B" w:rsidRDefault="00611164" w:rsidP="00711F2B">
            <w:pPr>
              <w:pStyle w:val="Tablebodytext"/>
            </w:pPr>
            <w:r w:rsidRPr="00711F2B">
              <w:t>30 June 2008</w:t>
            </w:r>
          </w:p>
        </w:tc>
        <w:tc>
          <w:tcPr>
            <w:tcW w:w="1895" w:type="dxa"/>
          </w:tcPr>
          <w:p w:rsidR="00611164" w:rsidRPr="00711F2B" w:rsidRDefault="00611164" w:rsidP="00711F2B">
            <w:pPr>
              <w:pStyle w:val="Tablebodytext"/>
            </w:pPr>
            <w:r w:rsidRPr="00711F2B">
              <w:t>693</w:t>
            </w:r>
          </w:p>
        </w:tc>
        <w:tc>
          <w:tcPr>
            <w:tcW w:w="1895" w:type="dxa"/>
          </w:tcPr>
          <w:p w:rsidR="00611164" w:rsidRPr="00711F2B" w:rsidRDefault="00611164" w:rsidP="00711F2B">
            <w:pPr>
              <w:pStyle w:val="Tablebodytext"/>
            </w:pPr>
            <w:r w:rsidRPr="00711F2B">
              <w:t>28,531</w:t>
            </w:r>
          </w:p>
        </w:tc>
        <w:tc>
          <w:tcPr>
            <w:tcW w:w="1895" w:type="dxa"/>
          </w:tcPr>
          <w:p w:rsidR="00611164" w:rsidRPr="00711F2B" w:rsidRDefault="00611164" w:rsidP="00711F2B">
            <w:pPr>
              <w:pStyle w:val="Tablebodytext"/>
            </w:pPr>
            <w:r w:rsidRPr="00711F2B">
              <w:t>29,224</w:t>
            </w:r>
          </w:p>
        </w:tc>
      </w:tr>
      <w:tr w:rsidR="00611164" w:rsidRPr="00666DF9" w:rsidTr="00BE142D">
        <w:tc>
          <w:tcPr>
            <w:tcW w:w="2245" w:type="dxa"/>
          </w:tcPr>
          <w:p w:rsidR="00611164" w:rsidRPr="00711F2B" w:rsidRDefault="00611164" w:rsidP="00711F2B">
            <w:pPr>
              <w:pStyle w:val="Tablebodytext"/>
            </w:pPr>
            <w:r w:rsidRPr="00711F2B">
              <w:t>30 June 2011</w:t>
            </w:r>
          </w:p>
        </w:tc>
        <w:tc>
          <w:tcPr>
            <w:tcW w:w="1895" w:type="dxa"/>
          </w:tcPr>
          <w:p w:rsidR="00611164" w:rsidRPr="00711F2B" w:rsidRDefault="00611164" w:rsidP="00711F2B">
            <w:pPr>
              <w:pStyle w:val="Tablebodytext"/>
            </w:pPr>
            <w:r w:rsidRPr="00711F2B">
              <w:t>1,053</w:t>
            </w:r>
          </w:p>
        </w:tc>
        <w:tc>
          <w:tcPr>
            <w:tcW w:w="1895" w:type="dxa"/>
          </w:tcPr>
          <w:p w:rsidR="00611164" w:rsidRPr="00711F2B" w:rsidRDefault="00611164" w:rsidP="00711F2B">
            <w:pPr>
              <w:pStyle w:val="Tablebodytext"/>
            </w:pPr>
            <w:r w:rsidRPr="00711F2B">
              <w:t>28,467</w:t>
            </w:r>
          </w:p>
        </w:tc>
        <w:tc>
          <w:tcPr>
            <w:tcW w:w="1895" w:type="dxa"/>
          </w:tcPr>
          <w:p w:rsidR="00611164" w:rsidRPr="00711F2B" w:rsidRDefault="00611164" w:rsidP="00711F2B">
            <w:pPr>
              <w:pStyle w:val="Tablebodytext"/>
            </w:pPr>
            <w:r w:rsidRPr="00711F2B">
              <w:t>29,520</w:t>
            </w:r>
          </w:p>
        </w:tc>
      </w:tr>
      <w:tr w:rsidR="00611164" w:rsidRPr="00666DF9" w:rsidTr="00BE142D">
        <w:tc>
          <w:tcPr>
            <w:tcW w:w="2245" w:type="dxa"/>
          </w:tcPr>
          <w:p w:rsidR="00611164" w:rsidRPr="00711F2B" w:rsidRDefault="00611164" w:rsidP="00711F2B">
            <w:pPr>
              <w:pStyle w:val="Tablebodytext"/>
            </w:pPr>
            <w:r w:rsidRPr="00711F2B">
              <w:t>30 June 2014</w:t>
            </w:r>
          </w:p>
        </w:tc>
        <w:tc>
          <w:tcPr>
            <w:tcW w:w="1895" w:type="dxa"/>
          </w:tcPr>
          <w:p w:rsidR="00611164" w:rsidRPr="00711F2B" w:rsidRDefault="00611164" w:rsidP="00711F2B">
            <w:pPr>
              <w:pStyle w:val="Tablebodytext"/>
            </w:pPr>
            <w:r w:rsidRPr="00711F2B">
              <w:t>1,423</w:t>
            </w:r>
          </w:p>
        </w:tc>
        <w:tc>
          <w:tcPr>
            <w:tcW w:w="1895" w:type="dxa"/>
          </w:tcPr>
          <w:p w:rsidR="00611164" w:rsidRPr="00711F2B" w:rsidRDefault="00611164" w:rsidP="00711F2B">
            <w:pPr>
              <w:pStyle w:val="Tablebodytext"/>
            </w:pPr>
            <w:r w:rsidRPr="00711F2B">
              <w:t>27,446</w:t>
            </w:r>
          </w:p>
        </w:tc>
        <w:tc>
          <w:tcPr>
            <w:tcW w:w="1895" w:type="dxa"/>
          </w:tcPr>
          <w:p w:rsidR="00611164" w:rsidRPr="00711F2B" w:rsidRDefault="00611164" w:rsidP="00711F2B">
            <w:pPr>
              <w:pStyle w:val="Tablebodytext"/>
            </w:pPr>
            <w:r w:rsidRPr="00711F2B">
              <w:t>28,869</w:t>
            </w:r>
          </w:p>
        </w:tc>
      </w:tr>
    </w:tbl>
    <w:p w:rsidR="008B2560" w:rsidRDefault="008B2560" w:rsidP="00611164">
      <w:pPr>
        <w:pStyle w:val="Heading4"/>
        <w:numPr>
          <w:ilvl w:val="0"/>
          <w:numId w:val="0"/>
        </w:numPr>
        <w:ind w:left="737"/>
      </w:pPr>
    </w:p>
    <w:p w:rsidR="00CC7DF9" w:rsidRDefault="00CC7DF9" w:rsidP="00DF00E2">
      <w:pPr>
        <w:pStyle w:val="Heading2"/>
        <w:tabs>
          <w:tab w:val="clear" w:pos="567"/>
        </w:tabs>
        <w:spacing w:after="720"/>
      </w:pPr>
      <w:r>
        <w:br w:type="page"/>
      </w:r>
      <w:bookmarkStart w:id="9" w:name="_Toc422302159"/>
      <w:r>
        <w:lastRenderedPageBreak/>
        <w:t>Assumptions</w:t>
      </w:r>
      <w:bookmarkEnd w:id="9"/>
      <w:r>
        <w:t xml:space="preserve"> </w:t>
      </w:r>
    </w:p>
    <w:p w:rsidR="00CC7DF9" w:rsidRDefault="00CC7DF9" w:rsidP="00DC23AA">
      <w:pPr>
        <w:pStyle w:val="Numberedpara1stindent"/>
        <w:spacing w:after="120"/>
      </w:pPr>
      <w:r>
        <w:t xml:space="preserve">In order to value liabilities, it is necessary to make assumptions regarding the incidence, timing and </w:t>
      </w:r>
      <w:r w:rsidRPr="00B36B4C">
        <w:t>amount of future benefits</w:t>
      </w:r>
      <w:r>
        <w:t xml:space="preserve">. </w:t>
      </w:r>
      <w:r w:rsidRPr="00B36B4C">
        <w:t>These assumptions fall into two broad categories</w:t>
      </w:r>
      <w:r>
        <w:t>:</w:t>
      </w:r>
    </w:p>
    <w:p w:rsidR="00CC7DF9" w:rsidRDefault="00CC7DF9" w:rsidP="00DC23AA">
      <w:pPr>
        <w:pStyle w:val="Numberedpara2ndindent"/>
        <w:spacing w:after="120"/>
      </w:pPr>
      <w:r w:rsidRPr="002C4370">
        <w:t>economic assumptions</w:t>
      </w:r>
      <w:r w:rsidRPr="00B36B4C">
        <w:t>: assumptions that relate to the general economic environment and not directly to the membership of the schemes; a</w:t>
      </w:r>
      <w:r>
        <w:t>nd</w:t>
      </w:r>
    </w:p>
    <w:p w:rsidR="00CC7DF9" w:rsidRDefault="00CC7DF9" w:rsidP="00CC7DF9">
      <w:pPr>
        <w:pStyle w:val="Numberedpara2ndindent"/>
        <w:spacing w:after="240"/>
      </w:pPr>
      <w:r w:rsidRPr="002C4370">
        <w:t>demographic assumptions</w:t>
      </w:r>
      <w:r w:rsidRPr="00B36B4C">
        <w:t>: assumptions that relate to the experience of the membership of the scheme</w:t>
      </w:r>
      <w:r>
        <w:t>.</w:t>
      </w:r>
    </w:p>
    <w:p w:rsidR="00CC7DF9" w:rsidRDefault="00CC7DF9" w:rsidP="00CC7DF9">
      <w:pPr>
        <w:pStyle w:val="Numberedpara1stindent"/>
        <w:spacing w:after="240"/>
      </w:pPr>
      <w:r w:rsidRPr="00B36B4C">
        <w:t xml:space="preserve">This section sets out details of the assumptions adopted for the </w:t>
      </w:r>
      <w:r>
        <w:t>2014</w:t>
      </w:r>
      <w:r w:rsidRPr="00B36B4C">
        <w:t xml:space="preserve"> </w:t>
      </w:r>
      <w:r>
        <w:t>Report</w:t>
      </w:r>
      <w:r w:rsidRPr="00B36B4C">
        <w:t xml:space="preserve"> and highlights any changes from those adopted for the </w:t>
      </w:r>
      <w:r>
        <w:t>2011</w:t>
      </w:r>
      <w:r w:rsidRPr="00B36B4C">
        <w:t xml:space="preserve"> </w:t>
      </w:r>
      <w:r>
        <w:t>Report.</w:t>
      </w:r>
    </w:p>
    <w:p w:rsidR="00CC7DF9" w:rsidRDefault="00CC7DF9" w:rsidP="00CC7DF9">
      <w:pPr>
        <w:pStyle w:val="Numberedpara1stindent"/>
        <w:spacing w:after="240"/>
      </w:pPr>
      <w:r w:rsidRPr="001C227C">
        <w:t>In total the changes in assumptions have resulted in an increase in the combined Unfunded Liability of the PSS and CSS of approximately $</w:t>
      </w:r>
      <w:r w:rsidRPr="00B83347">
        <w:t>4</w:t>
      </w:r>
      <w:r>
        <w:t>.3</w:t>
      </w:r>
      <w:r w:rsidRPr="001C227C">
        <w:t xml:space="preserve"> billion </w:t>
      </w:r>
      <w:r>
        <w:t xml:space="preserve">or 3.9% </w:t>
      </w:r>
      <w:r w:rsidRPr="001C227C">
        <w:t>as at 30 June 201</w:t>
      </w:r>
      <w:r>
        <w:t>4</w:t>
      </w:r>
      <w:r w:rsidRPr="001C227C">
        <w:t xml:space="preserve">. </w:t>
      </w:r>
      <w:r>
        <w:t xml:space="preserve"> Further commentary is provided in Section 5.8.</w:t>
      </w:r>
    </w:p>
    <w:p w:rsidR="00CC7DF9" w:rsidRDefault="00CC7DF9" w:rsidP="00CC7DF9">
      <w:pPr>
        <w:pStyle w:val="Numberedpara1stindent"/>
        <w:spacing w:after="240"/>
      </w:pPr>
      <w:r w:rsidRPr="00B36B4C">
        <w:t xml:space="preserve">The assumptions are </w:t>
      </w:r>
      <w:r>
        <w:t xml:space="preserve">detailed </w:t>
      </w:r>
      <w:r w:rsidRPr="00B36B4C">
        <w:t>in Appendix B</w:t>
      </w:r>
      <w:r>
        <w:t>.</w:t>
      </w:r>
    </w:p>
    <w:p w:rsidR="00CC7DF9" w:rsidRPr="007E3448" w:rsidRDefault="00CC7DF9" w:rsidP="00A3590E">
      <w:pPr>
        <w:pStyle w:val="Heading3nonumbers"/>
      </w:pPr>
      <w:r w:rsidRPr="007E3448">
        <w:t>Economic Assumptions</w:t>
      </w:r>
    </w:p>
    <w:p w:rsidR="00CC7DF9" w:rsidRDefault="00CC7DF9" w:rsidP="00A3590E">
      <w:pPr>
        <w:pStyle w:val="Heading4nonumbers"/>
      </w:pPr>
      <w:r w:rsidRPr="007E3448">
        <w:t>Key Economic Assumptions</w:t>
      </w:r>
      <w:r>
        <w:t xml:space="preserve"> </w:t>
      </w:r>
    </w:p>
    <w:p w:rsidR="00CC7DF9" w:rsidRDefault="00CC7DF9" w:rsidP="00CC7DF9">
      <w:pPr>
        <w:pStyle w:val="Numberedpara1stindent"/>
      </w:pPr>
      <w:r>
        <w:t>The key economic assumptions adopted for this Report include:</w:t>
      </w:r>
    </w:p>
    <w:p w:rsidR="00CC7DF9" w:rsidRDefault="00CC7DF9" w:rsidP="00DC23AA">
      <w:pPr>
        <w:pStyle w:val="Numberedpara2ndindent"/>
        <w:spacing w:after="120"/>
      </w:pPr>
      <w:r>
        <w:t>future increases in the Consumer Price Index (CPI) which links to the level of pension increases</w:t>
      </w:r>
      <w:r w:rsidRPr="00B36B4C">
        <w:t>; a</w:t>
      </w:r>
      <w:r>
        <w:t>nd</w:t>
      </w:r>
    </w:p>
    <w:p w:rsidR="00CC7DF9" w:rsidRDefault="00CC7DF9" w:rsidP="00DC23AA">
      <w:pPr>
        <w:pStyle w:val="Numberedpara2ndindent"/>
        <w:spacing w:after="120"/>
      </w:pPr>
      <w:r>
        <w:t>future rate of investment return / discount rate; and</w:t>
      </w:r>
    </w:p>
    <w:p w:rsidR="00CC7DF9" w:rsidRDefault="00CC7DF9" w:rsidP="00CC7DF9">
      <w:pPr>
        <w:pStyle w:val="Numberedpara2ndindent"/>
        <w:spacing w:after="240"/>
      </w:pPr>
      <w:r>
        <w:t>future increases in salaries (i.e. increases in salaries other than those arising from promotions).</w:t>
      </w:r>
    </w:p>
    <w:p w:rsidR="000A559D" w:rsidRDefault="00CC7DF9" w:rsidP="00CC7DF9">
      <w:pPr>
        <w:pStyle w:val="Numberedpara1stindent"/>
        <w:spacing w:after="240"/>
      </w:pPr>
      <w:r w:rsidRPr="00FB2C86">
        <w:t>The relationships between the assumptions adopted for these factors have a</w:t>
      </w:r>
      <w:r>
        <w:t xml:space="preserve"> </w:t>
      </w:r>
      <w:r w:rsidRPr="00FB2C86">
        <w:t>greater bearing on the long term cost estimates of the PSS and CSS than do the</w:t>
      </w:r>
      <w:r>
        <w:t xml:space="preserve"> </w:t>
      </w:r>
      <w:r w:rsidRPr="00FB2C86">
        <w:t>individual assumptions. This is due to the effect of one assumption being used</w:t>
      </w:r>
      <w:r>
        <w:t xml:space="preserve"> </w:t>
      </w:r>
      <w:r w:rsidRPr="00FB2C86">
        <w:t>to project the liability into the future (e.g. future salary increases) and another</w:t>
      </w:r>
      <w:r>
        <w:t xml:space="preserve"> </w:t>
      </w:r>
      <w:r w:rsidRPr="00FB2C86">
        <w:t>assumption being used to discount that liability to current day values (investment</w:t>
      </w:r>
      <w:r>
        <w:t xml:space="preserve"> </w:t>
      </w:r>
      <w:r w:rsidRPr="00FB2C86">
        <w:t>return</w:t>
      </w:r>
      <w:r>
        <w:t xml:space="preserve"> / discount rate).</w:t>
      </w:r>
    </w:p>
    <w:p w:rsidR="00CC7DF9" w:rsidRDefault="000A559D" w:rsidP="00266A7E">
      <w:pPr>
        <w:pStyle w:val="Numberedpara1stindent"/>
        <w:spacing w:after="120"/>
      </w:pPr>
      <w:r>
        <w:br w:type="page"/>
      </w:r>
      <w:r w:rsidR="00CC7DF9">
        <w:lastRenderedPageBreak/>
        <w:t xml:space="preserve">The key economic assumptions adopted for this Report are shown in the table below. The assumptions are the same as those used for the 2011 Report. </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3607"/>
        <w:gridCol w:w="3607"/>
      </w:tblGrid>
      <w:tr w:rsidR="00CC7DF9" w:rsidRPr="00B25A64" w:rsidTr="0099534C">
        <w:trPr>
          <w:trHeight w:val="265"/>
        </w:trPr>
        <w:tc>
          <w:tcPr>
            <w:tcW w:w="3607" w:type="dxa"/>
            <w:shd w:val="clear" w:color="auto" w:fill="DDF3FA"/>
          </w:tcPr>
          <w:p w:rsidR="00CC7DF9" w:rsidRPr="00303CD3" w:rsidRDefault="00CC7DF9" w:rsidP="00711F2B">
            <w:pPr>
              <w:pStyle w:val="Tablecolumnheading"/>
            </w:pPr>
            <w:r w:rsidRPr="00303CD3">
              <w:t>Item</w:t>
            </w:r>
          </w:p>
        </w:tc>
        <w:tc>
          <w:tcPr>
            <w:tcW w:w="3607" w:type="dxa"/>
            <w:shd w:val="clear" w:color="auto" w:fill="DDF3FA"/>
          </w:tcPr>
          <w:p w:rsidR="00CC7DF9" w:rsidRPr="00303CD3" w:rsidRDefault="00CC7DF9" w:rsidP="00711F2B">
            <w:pPr>
              <w:pStyle w:val="Tablecolumnheading"/>
            </w:pPr>
            <w:r w:rsidRPr="00303CD3">
              <w:t>Assumption</w:t>
            </w:r>
          </w:p>
        </w:tc>
      </w:tr>
      <w:tr w:rsidR="00CC7DF9" w:rsidRPr="001349AA" w:rsidTr="0011465D">
        <w:trPr>
          <w:trHeight w:val="586"/>
        </w:trPr>
        <w:tc>
          <w:tcPr>
            <w:tcW w:w="3607" w:type="dxa"/>
            <w:vAlign w:val="center"/>
          </w:tcPr>
          <w:p w:rsidR="00CC7DF9" w:rsidRPr="00303CD3" w:rsidRDefault="00CC7DF9" w:rsidP="00711F2B">
            <w:pPr>
              <w:pStyle w:val="Tablebodytext"/>
            </w:pPr>
            <w:r w:rsidRPr="00303CD3">
              <w:t>Investment Return / Discount Rate</w:t>
            </w:r>
          </w:p>
        </w:tc>
        <w:tc>
          <w:tcPr>
            <w:tcW w:w="3607" w:type="dxa"/>
            <w:vAlign w:val="center"/>
          </w:tcPr>
          <w:p w:rsidR="00CC7DF9" w:rsidRPr="00303CD3" w:rsidRDefault="00CC7DF9" w:rsidP="00711F2B">
            <w:pPr>
              <w:pStyle w:val="Tablebodytext"/>
            </w:pPr>
            <w:r w:rsidRPr="00303CD3">
              <w:t>6.0% per annum (nominal)</w:t>
            </w:r>
          </w:p>
          <w:p w:rsidR="00CC7DF9" w:rsidRPr="00303CD3" w:rsidRDefault="00CC7DF9" w:rsidP="00711F2B">
            <w:pPr>
              <w:pStyle w:val="Tablebodytext"/>
            </w:pPr>
            <w:r w:rsidRPr="00303CD3">
              <w:t>3.5% per annum (real)</w:t>
            </w:r>
          </w:p>
        </w:tc>
      </w:tr>
      <w:tr w:rsidR="00CC7DF9" w:rsidRPr="00C816F6" w:rsidTr="0011465D">
        <w:trPr>
          <w:trHeight w:val="586"/>
        </w:trPr>
        <w:tc>
          <w:tcPr>
            <w:tcW w:w="3607" w:type="dxa"/>
            <w:vAlign w:val="center"/>
          </w:tcPr>
          <w:p w:rsidR="00CC7DF9" w:rsidRPr="00303CD3" w:rsidRDefault="00CC7DF9" w:rsidP="00711F2B">
            <w:pPr>
              <w:pStyle w:val="Tablebodytext"/>
            </w:pPr>
            <w:r w:rsidRPr="00303CD3">
              <w:t>General Salary Increases</w:t>
            </w:r>
          </w:p>
        </w:tc>
        <w:tc>
          <w:tcPr>
            <w:tcW w:w="3607" w:type="dxa"/>
            <w:vAlign w:val="center"/>
          </w:tcPr>
          <w:p w:rsidR="00CC7DF9" w:rsidRPr="00303CD3" w:rsidRDefault="00CC7DF9" w:rsidP="00711F2B">
            <w:pPr>
              <w:pStyle w:val="Tablebodytext"/>
            </w:pPr>
            <w:r w:rsidRPr="00303CD3">
              <w:t>4.0% per annum (nominal)</w:t>
            </w:r>
          </w:p>
          <w:p w:rsidR="00CC7DF9" w:rsidRPr="00303CD3" w:rsidRDefault="00CC7DF9" w:rsidP="00711F2B">
            <w:pPr>
              <w:pStyle w:val="Tablebodytext"/>
            </w:pPr>
            <w:r w:rsidRPr="00303CD3">
              <w:t>1.5% per annum (real)</w:t>
            </w:r>
          </w:p>
        </w:tc>
      </w:tr>
      <w:tr w:rsidR="00CC7DF9" w:rsidRPr="001349AA" w:rsidTr="0011465D">
        <w:trPr>
          <w:trHeight w:val="575"/>
        </w:trPr>
        <w:tc>
          <w:tcPr>
            <w:tcW w:w="3607" w:type="dxa"/>
            <w:vAlign w:val="center"/>
          </w:tcPr>
          <w:p w:rsidR="00CC7DF9" w:rsidRPr="00303CD3" w:rsidRDefault="00CC7DF9" w:rsidP="00711F2B">
            <w:pPr>
              <w:pStyle w:val="Tablebodytext"/>
            </w:pPr>
            <w:r w:rsidRPr="00303CD3">
              <w:t>CPI Increases</w:t>
            </w:r>
          </w:p>
        </w:tc>
        <w:tc>
          <w:tcPr>
            <w:tcW w:w="3607" w:type="dxa"/>
            <w:vAlign w:val="center"/>
          </w:tcPr>
          <w:p w:rsidR="00CC7DF9" w:rsidRPr="00303CD3" w:rsidRDefault="00CC7DF9" w:rsidP="00711F2B">
            <w:pPr>
              <w:pStyle w:val="Tablebodytext"/>
            </w:pPr>
            <w:r w:rsidRPr="00303CD3">
              <w:t>2.5% per annum</w:t>
            </w:r>
          </w:p>
        </w:tc>
      </w:tr>
    </w:tbl>
    <w:p w:rsidR="00CC7DF9" w:rsidRDefault="00CC7DF9" w:rsidP="00DC23AA">
      <w:pPr>
        <w:pStyle w:val="Numberedpara1stindent"/>
        <w:spacing w:before="240" w:after="240"/>
      </w:pPr>
      <w:r w:rsidRPr="0073092C">
        <w:t xml:space="preserve">There has been substantial volatility in financial markets since the global financial crisis and particularly in Australian bond markets since the </w:t>
      </w:r>
      <w:r>
        <w:t>2011 Report</w:t>
      </w:r>
      <w:r w:rsidRPr="0073092C">
        <w:t>.  Adopting individual economic assumptions is therefore more complex at the current time than in cal</w:t>
      </w:r>
      <w:r>
        <w:t xml:space="preserve">mer market periods.  Given the </w:t>
      </w:r>
      <w:r w:rsidRPr="0073092C">
        <w:t xml:space="preserve">long term nature of benefits to be provided by the </w:t>
      </w:r>
      <w:r>
        <w:t>s</w:t>
      </w:r>
      <w:r w:rsidRPr="0073092C">
        <w:t>cheme</w:t>
      </w:r>
      <w:r>
        <w:t>s</w:t>
      </w:r>
      <w:r w:rsidRPr="0073092C">
        <w:t xml:space="preserve"> and the unfunded status we have continued to adopt a long term approach to setting the assumptions</w:t>
      </w:r>
      <w:r>
        <w:t>.</w:t>
      </w:r>
    </w:p>
    <w:p w:rsidR="00CC7DF9" w:rsidRDefault="00CC7DF9" w:rsidP="00CC7DF9">
      <w:pPr>
        <w:pStyle w:val="Numberedpara1stindent"/>
        <w:spacing w:after="240"/>
      </w:pPr>
      <w:r w:rsidRPr="0073092C">
        <w:t xml:space="preserve">The assumptions adopted for the 2011 Report when considered over a duration consistent with that of the </w:t>
      </w:r>
      <w:r>
        <w:t>s</w:t>
      </w:r>
      <w:r w:rsidRPr="0073092C">
        <w:t>cheme’s liabilities continue to be within a reasonable range of outcomes based on economic forecasts.  We have therefore adopted the same key economic assumptions as for 2011 to maintain consistency between valuations</w:t>
      </w:r>
      <w:r>
        <w:t>.</w:t>
      </w:r>
    </w:p>
    <w:p w:rsidR="00CC7DF9" w:rsidRDefault="00CC7DF9" w:rsidP="00CC7DF9">
      <w:pPr>
        <w:pStyle w:val="Numberedpara1stindent"/>
        <w:spacing w:after="240"/>
      </w:pPr>
      <w:r w:rsidRPr="0073092C">
        <w:t xml:space="preserve">We have not adopted different economic assumptions for the short term and long term as a general principle.  To adopt, for example, short term </w:t>
      </w:r>
      <w:r>
        <w:t>salary increase</w:t>
      </w:r>
      <w:r w:rsidRPr="0073092C">
        <w:t xml:space="preserve"> assumptions would necessitate the use of other short term assumptions (e.g. inflation and investment).  However, as noted above</w:t>
      </w:r>
      <w:r>
        <w:t>,</w:t>
      </w:r>
      <w:r w:rsidRPr="0073092C">
        <w:t xml:space="preserve"> it is the </w:t>
      </w:r>
      <w:r>
        <w:t xml:space="preserve">relationships </w:t>
      </w:r>
      <w:r w:rsidRPr="0073092C">
        <w:t xml:space="preserve">between the assumptions which </w:t>
      </w:r>
      <w:r>
        <w:t>are</w:t>
      </w:r>
      <w:r w:rsidRPr="0073092C">
        <w:t xml:space="preserve"> the key driver</w:t>
      </w:r>
      <w:r>
        <w:t>s</w:t>
      </w:r>
      <w:r w:rsidRPr="0073092C">
        <w:t xml:space="preserve"> to impact results.  Whilst in the short term these rates may vary</w:t>
      </w:r>
      <w:r>
        <w:t>,</w:t>
      </w:r>
      <w:r w:rsidRPr="0073092C">
        <w:t xml:space="preserve"> in the longer term we expect them </w:t>
      </w:r>
      <w:r>
        <w:t xml:space="preserve">and their relationships </w:t>
      </w:r>
      <w:r w:rsidRPr="0073092C">
        <w:t>to be more stable.  We have commented more on these relationships in the sections below</w:t>
      </w:r>
      <w:r>
        <w:t>.</w:t>
      </w:r>
    </w:p>
    <w:p w:rsidR="00BB234C" w:rsidRDefault="00CC7DF9" w:rsidP="00CC7DF9">
      <w:pPr>
        <w:pStyle w:val="Numberedpara1stindent"/>
        <w:spacing w:after="240"/>
      </w:pPr>
      <w:r>
        <w:t>Section 8 of this Report provides sensitivity analysis of the results under different individual assumptions.</w:t>
      </w:r>
    </w:p>
    <w:p w:rsidR="00CC7DF9" w:rsidRPr="007E3448" w:rsidRDefault="00BB234C" w:rsidP="00A3590E">
      <w:pPr>
        <w:pStyle w:val="Heading4nonumbers"/>
      </w:pPr>
      <w:r>
        <w:br w:type="page"/>
      </w:r>
      <w:r w:rsidR="00CC7DF9" w:rsidRPr="007E3448">
        <w:lastRenderedPageBreak/>
        <w:t>CPI</w:t>
      </w:r>
    </w:p>
    <w:p w:rsidR="00CC7DF9" w:rsidRDefault="00CC7DF9" w:rsidP="00472381">
      <w:pPr>
        <w:pStyle w:val="Numberedpara1stindent"/>
        <w:spacing w:afterLines="60"/>
      </w:pPr>
      <w:r>
        <w:t>The assumed rate of future CPI increases remains at 2.5% per annum. This rate was set based on the following considerations:</w:t>
      </w:r>
    </w:p>
    <w:p w:rsidR="00CC7DF9" w:rsidRDefault="00CC7DF9" w:rsidP="00472381">
      <w:pPr>
        <w:pStyle w:val="Numberedpara2ndindent"/>
        <w:spacing w:afterLines="60"/>
      </w:pPr>
      <w:r w:rsidRPr="00231A37">
        <w:t>The Reserve Bank target for CPI increase is 2% to 3% per annum</w:t>
      </w:r>
      <w:r>
        <w:t>.</w:t>
      </w:r>
    </w:p>
    <w:p w:rsidR="00CC7DF9" w:rsidRDefault="00CC7DF9" w:rsidP="00472381">
      <w:pPr>
        <w:pStyle w:val="Numberedpara2ndindent"/>
        <w:spacing w:afterLines="60"/>
      </w:pPr>
      <w:r>
        <w:t>The average CPI increase rate for the last 10 years to 30 June 2014 was 2.8% per annum.</w:t>
      </w:r>
    </w:p>
    <w:p w:rsidR="00CC7DF9" w:rsidRDefault="00CC7DF9" w:rsidP="00472381">
      <w:pPr>
        <w:pStyle w:val="Numberedpara2ndindent"/>
        <w:spacing w:afterLines="60"/>
      </w:pPr>
      <w:r>
        <w:t>The long term level of inflation projected by the 2010 and 2015 Intergenerational Reports is 2.5% per annum.</w:t>
      </w:r>
    </w:p>
    <w:p w:rsidR="00CC7DF9" w:rsidRDefault="00CC7DF9" w:rsidP="00BB234C">
      <w:pPr>
        <w:pStyle w:val="Numberedpara2ndindent"/>
        <w:spacing w:after="60"/>
      </w:pPr>
      <w:r>
        <w:t>Mercer’s best estimate economic outlook for CPI is 2.5% per annum and this is consistent with other market forecasters.</w:t>
      </w:r>
    </w:p>
    <w:p w:rsidR="00CC7DF9" w:rsidRDefault="00CC7DF9" w:rsidP="00CC7DF9">
      <w:pPr>
        <w:pStyle w:val="Numberedpara2ndindent"/>
        <w:numPr>
          <w:ilvl w:val="0"/>
          <w:numId w:val="0"/>
        </w:numPr>
        <w:spacing w:after="240"/>
        <w:ind w:left="567"/>
      </w:pPr>
      <w:r>
        <w:t>Short term rates for CPI over the last 10 years have ranged from 1.2% to 5% per annum.</w:t>
      </w:r>
    </w:p>
    <w:p w:rsidR="00CC7DF9" w:rsidRPr="007E3448" w:rsidRDefault="00CC7DF9" w:rsidP="00A3590E">
      <w:pPr>
        <w:pStyle w:val="Heading4nonumbers"/>
      </w:pPr>
      <w:r w:rsidRPr="007E3448">
        <w:t>Investment Return / Discount Rate</w:t>
      </w:r>
    </w:p>
    <w:p w:rsidR="00CC7DF9" w:rsidRDefault="00CC7DF9" w:rsidP="00DC23AA">
      <w:pPr>
        <w:pStyle w:val="Numberedpara1stindent"/>
        <w:spacing w:after="120"/>
      </w:pPr>
      <w:r>
        <w:t>T</w:t>
      </w:r>
      <w:r w:rsidRPr="0025088A">
        <w:t>he assumed investment return / discount rate remains at 6.0% per annum (nominal)</w:t>
      </w:r>
      <w:r>
        <w:t>. This rate is maintained based on the following considerations:</w:t>
      </w:r>
    </w:p>
    <w:p w:rsidR="00CC7DF9" w:rsidRDefault="00CC7DF9" w:rsidP="00DC23AA">
      <w:pPr>
        <w:pStyle w:val="Numberedpara2ndindent"/>
        <w:spacing w:after="120"/>
      </w:pPr>
      <w:r>
        <w:t>As the PSS and CSS are largely unfunded, our view is that the best determinant of the discount rate is the expected return on government bonds over the long term as this would be the cost to the Australian Government were it to fund the schemes via borrowings. This compares to funded schemes where discount rates are typically based on expected investment return on the assets.</w:t>
      </w:r>
    </w:p>
    <w:p w:rsidR="00CC7DF9" w:rsidRDefault="00CC7DF9" w:rsidP="00CC7DF9">
      <w:pPr>
        <w:pStyle w:val="Numberedpara2ndindent"/>
        <w:spacing w:after="240"/>
      </w:pPr>
      <w:r>
        <w:t>The bond market has seen a period of unprecedented volatility in recent years and the bond yields have been at historical lows.  However a long term assumption for bond yields at 6.0% per annum (nominal) remains within the range of reasonable economic forecasts for long term bond yields.</w:t>
      </w:r>
    </w:p>
    <w:p w:rsidR="00CC7DF9" w:rsidRDefault="00CC7DF9" w:rsidP="00CC7DF9">
      <w:pPr>
        <w:pStyle w:val="Numberedpara1stindent"/>
        <w:spacing w:after="240"/>
      </w:pPr>
      <w:r>
        <w:t>To illustrate the recent volatility in the bond market, the yield for the Australian Government bond maturing in April 2024 (approximately 10 years to maturity) was just above 4% per annum in December 2013, fell to around 3.5% in June 2014, and continued falling to around 2.7% in December 2014.</w:t>
      </w:r>
    </w:p>
    <w:p w:rsidR="00CC7DF9" w:rsidRDefault="00CC7DF9" w:rsidP="00CC7DF9">
      <w:pPr>
        <w:pStyle w:val="Numberedpara1stindent"/>
        <w:spacing w:after="240"/>
      </w:pPr>
      <w:r>
        <w:t>Despite this short term volatility and reduction in bond yields, economic forecasts at the valuation date (based on a sample of different forecasters) for the 10-year government bond yield are for a recovery to around 5.5% per annum in the long term, consistent with a 2.5% CPI assumption.</w:t>
      </w:r>
    </w:p>
    <w:p w:rsidR="001A11B3" w:rsidRDefault="00CC7DF9" w:rsidP="00CC7DF9">
      <w:pPr>
        <w:pStyle w:val="Numberedpara1stindent"/>
        <w:spacing w:after="240"/>
      </w:pPr>
      <w:r>
        <w:t>The duration of the schemes’ liabilities far exceeds the duration of the 10-year Australian Government bonds.  In setting a discount rate for the scheme liabilities, consideration is therefore required for an additional liquidity or term premium above the 10-year bond yields.</w:t>
      </w:r>
    </w:p>
    <w:p w:rsidR="001A11B3" w:rsidRDefault="001A11B3">
      <w:pPr>
        <w:spacing w:after="0"/>
        <w:rPr>
          <w:rFonts w:eastAsia="Times New Roman"/>
          <w:szCs w:val="24"/>
        </w:rPr>
      </w:pPr>
      <w:r>
        <w:br w:type="page"/>
      </w:r>
    </w:p>
    <w:p w:rsidR="00CC7DF9" w:rsidRDefault="00CC7DF9" w:rsidP="00CC7DF9">
      <w:pPr>
        <w:pStyle w:val="Numberedpara1stindent"/>
        <w:spacing w:after="240"/>
      </w:pPr>
      <w:r>
        <w:lastRenderedPageBreak/>
        <w:t>The longest dated Australian Government bond currently in issuance matures in 2037, its bond yield has exceeded that of the 2024 bonds by between 0.5% to 0.6%.  This differential could be considered as the additional liquidity or term premium for longer term bonds.</w:t>
      </w:r>
    </w:p>
    <w:p w:rsidR="00CC7DF9" w:rsidRDefault="00CC7DF9" w:rsidP="00CC7DF9">
      <w:pPr>
        <w:pStyle w:val="Numberedpara1stindent"/>
        <w:spacing w:after="240"/>
      </w:pPr>
      <w:r>
        <w:t>The duration of the schemes’ liabilities exceeds the duration of the 2037 bonds, therefore it is reasonable to allow for a similar additional yield above the 10-year bond yield in setting the discount rate assumption. A range of 0.5% to 0.75% may be expected in the long term.</w:t>
      </w:r>
    </w:p>
    <w:p w:rsidR="00CC7DF9" w:rsidRDefault="00CC7DF9" w:rsidP="00CC7DF9">
      <w:pPr>
        <w:pStyle w:val="Numberedpara1stindent"/>
        <w:spacing w:after="240"/>
      </w:pPr>
      <w:r>
        <w:t>Overall, given the above commentary it is reasonable to maintain a long term discount rate at 6% per annum.</w:t>
      </w:r>
    </w:p>
    <w:p w:rsidR="00CC7DF9" w:rsidRDefault="00CC7DF9" w:rsidP="00CC7DF9">
      <w:pPr>
        <w:pStyle w:val="Numberedpara1stindent"/>
        <w:spacing w:after="240"/>
      </w:pPr>
      <w:r>
        <w:t>It is also worth noting that whilst the schemes are largely unfunded, assets are held by the Trustee within the schemes in relation to productivity and member contributions prior to the member retiring or exiting the Schemes.  The target return on these assets is also CPI + 3.5%.  Approximately $20 billion is currently held in these funds.</w:t>
      </w:r>
    </w:p>
    <w:p w:rsidR="00CC7DF9" w:rsidRPr="007E3448" w:rsidRDefault="00CC7DF9" w:rsidP="00A3590E">
      <w:pPr>
        <w:pStyle w:val="Heading4nonumbers"/>
      </w:pPr>
      <w:r w:rsidRPr="007E3448">
        <w:t xml:space="preserve">General Salary Increases </w:t>
      </w:r>
      <w:r>
        <w:tab/>
      </w:r>
    </w:p>
    <w:p w:rsidR="00CC7DF9" w:rsidRDefault="00CC7DF9" w:rsidP="00DC23AA">
      <w:pPr>
        <w:pStyle w:val="Numberedpara1stindent"/>
        <w:spacing w:after="120"/>
      </w:pPr>
      <w:r w:rsidRPr="000B46E8">
        <w:t xml:space="preserve">The assumed rate of future general salary increases remains at </w:t>
      </w:r>
      <w:r>
        <w:t>4.0</w:t>
      </w:r>
      <w:r w:rsidRPr="000B46E8">
        <w:t>% per annum (nominal)</w:t>
      </w:r>
      <w:r>
        <w:t>. This rate was set based on the following considerations:</w:t>
      </w:r>
    </w:p>
    <w:p w:rsidR="00CC7DF9" w:rsidRDefault="00CC7DF9" w:rsidP="00DC23AA">
      <w:pPr>
        <w:pStyle w:val="Numberedpara2ndindent"/>
        <w:spacing w:after="120"/>
      </w:pPr>
      <w:r>
        <w:t>Over the last 10 years</w:t>
      </w:r>
      <w:r w:rsidRPr="000B46E8">
        <w:t xml:space="preserve"> </w:t>
      </w:r>
      <w:r>
        <w:t xml:space="preserve">Australian national </w:t>
      </w:r>
      <w:r w:rsidRPr="000B46E8">
        <w:t xml:space="preserve">wage inflation increases have ranged from </w:t>
      </w:r>
      <w:r>
        <w:t>1.6% per </w:t>
      </w:r>
      <w:r w:rsidRPr="000B46E8">
        <w:t>annum to 6</w:t>
      </w:r>
      <w:r>
        <w:t>.1</w:t>
      </w:r>
      <w:r w:rsidRPr="000B46E8">
        <w:t xml:space="preserve">% per annum, with an average </w:t>
      </w:r>
      <w:r>
        <w:t>of</w:t>
      </w:r>
      <w:r w:rsidRPr="000B46E8">
        <w:t xml:space="preserve"> </w:t>
      </w:r>
      <w:r>
        <w:t>4.2</w:t>
      </w:r>
      <w:r w:rsidRPr="000B46E8">
        <w:t>% per annum</w:t>
      </w:r>
      <w:r>
        <w:t>.</w:t>
      </w:r>
    </w:p>
    <w:p w:rsidR="00CC7DF9" w:rsidRDefault="00CC7DF9" w:rsidP="00DC23AA">
      <w:pPr>
        <w:pStyle w:val="Numberedpara2ndindent"/>
        <w:spacing w:after="120"/>
      </w:pPr>
      <w:r>
        <w:t>T</w:t>
      </w:r>
      <w:r w:rsidRPr="000B46E8">
        <w:t xml:space="preserve">he margin of </w:t>
      </w:r>
      <w:r>
        <w:t xml:space="preserve">Average Weekly Earnings </w:t>
      </w:r>
      <w:r w:rsidRPr="000B46E8">
        <w:t>over CPI has averaged 1</w:t>
      </w:r>
      <w:r>
        <w:t>.4</w:t>
      </w:r>
      <w:r w:rsidRPr="000B46E8">
        <w:t xml:space="preserve">% per annum </w:t>
      </w:r>
      <w:r>
        <w:t>over the past 10 years.</w:t>
      </w:r>
    </w:p>
    <w:p w:rsidR="00CC7DF9" w:rsidRDefault="00CC7DF9" w:rsidP="00CC7DF9">
      <w:pPr>
        <w:pStyle w:val="Numberedpara2ndindent"/>
        <w:spacing w:after="240"/>
      </w:pPr>
      <w:r>
        <w:t>Real wages growth (i.e. above price inflation) is expected to be in line with labour productivity growth. The 2015 Intergenerational Report assumes that long term wage growth will be 4.0% (with productivity growth in the order of 1.5</w:t>
      </w:r>
      <w:r w:rsidRPr="00101E5D">
        <w:t xml:space="preserve">% </w:t>
      </w:r>
      <w:r>
        <w:t>combined with long term price inflation of 2.5%).</w:t>
      </w:r>
    </w:p>
    <w:p w:rsidR="004A4702" w:rsidRDefault="00CC7DF9" w:rsidP="00715FA7">
      <w:pPr>
        <w:pStyle w:val="Numberedpara1stindent"/>
        <w:spacing w:after="240"/>
      </w:pPr>
      <w:r w:rsidRPr="008400AF">
        <w:t xml:space="preserve">The magnitude of </w:t>
      </w:r>
      <w:r>
        <w:t xml:space="preserve">future </w:t>
      </w:r>
      <w:r w:rsidRPr="008400AF">
        <w:t>salary increases</w:t>
      </w:r>
      <w:r>
        <w:t xml:space="preserve"> in the short term</w:t>
      </w:r>
      <w:r w:rsidRPr="008400AF">
        <w:t xml:space="preserve"> are expected to be lower than recent years as</w:t>
      </w:r>
      <w:r>
        <w:t xml:space="preserve"> the Government has announced </w:t>
      </w:r>
      <w:r w:rsidR="00715FA7">
        <w:t>its intention to keep average annual wage rises across the public service to 1.5 per cent or less over the next three years</w:t>
      </w:r>
      <w:r w:rsidR="00D61654">
        <w:t>, as outlined in the 2014-15 Mid-Year Economic and Fiscal Outlook</w:t>
      </w:r>
      <w:r w:rsidR="00715FA7">
        <w:t xml:space="preserve">. </w:t>
      </w:r>
    </w:p>
    <w:p w:rsidR="00CC7DF9" w:rsidRDefault="00CC7DF9" w:rsidP="00DC23AA">
      <w:pPr>
        <w:pStyle w:val="Numberedpara1stindent"/>
        <w:spacing w:after="240"/>
      </w:pPr>
      <w:r>
        <w:t>However, as noted above we have adopted the principle of not adjusting Long Term Cost Report assumptions for short term rates. This is consistent with Long Term Cost Report assessments historically when salary growth has been higher than assumed.</w:t>
      </w:r>
    </w:p>
    <w:p w:rsidR="00715FA7" w:rsidRDefault="00CC7DF9" w:rsidP="00CC7DF9">
      <w:pPr>
        <w:pStyle w:val="Numberedpara1stindent"/>
        <w:spacing w:after="240"/>
      </w:pPr>
      <w:r>
        <w:t>Please note for CSS members the salary increase assumption has very little impact on the overall results (see Section 8).  For PSS, where there is a higher impact, a longer period consistent with the duration of PSS contributors’ future service should be considered when setting the salary assumptions.</w:t>
      </w:r>
    </w:p>
    <w:p w:rsidR="00715FA7" w:rsidRDefault="00715FA7">
      <w:pPr>
        <w:spacing w:after="0"/>
        <w:rPr>
          <w:rFonts w:eastAsia="Times New Roman"/>
          <w:szCs w:val="24"/>
        </w:rPr>
      </w:pPr>
      <w:r>
        <w:br w:type="page"/>
      </w:r>
    </w:p>
    <w:p w:rsidR="00CC7DF9" w:rsidRDefault="00CC7DF9" w:rsidP="00CC7DF9">
      <w:pPr>
        <w:pStyle w:val="Numberedpara1stindent"/>
        <w:spacing w:after="240"/>
      </w:pPr>
      <w:r>
        <w:lastRenderedPageBreak/>
        <w:t>In the longer term we would expect the net difference between rate of salary increase and rate of investment return to remain around 2% per annum.  Retaining the existing salary growth assumption of 4% per annum is therefore reasonable in the long term and consistent with the other valuation assumptions.</w:t>
      </w:r>
    </w:p>
    <w:p w:rsidR="00CC7DF9" w:rsidRPr="007E3448" w:rsidRDefault="00CC7DF9" w:rsidP="00A3590E">
      <w:pPr>
        <w:pStyle w:val="Heading4nonumbers"/>
      </w:pPr>
      <w:r w:rsidRPr="007E3448">
        <w:t>GDP</w:t>
      </w:r>
    </w:p>
    <w:p w:rsidR="00CC7DF9" w:rsidRDefault="00CC7DF9" w:rsidP="00266A7E">
      <w:pPr>
        <w:pStyle w:val="Numberedpara1stindent"/>
        <w:spacing w:after="120"/>
      </w:pPr>
      <w:r w:rsidRPr="00EE1A09">
        <w:t>We have also made assumptions regarding the rate of increase in G</w:t>
      </w:r>
      <w:r>
        <w:t xml:space="preserve">ross </w:t>
      </w:r>
      <w:r w:rsidRPr="00EE1A09">
        <w:t>D</w:t>
      </w:r>
      <w:r>
        <w:t xml:space="preserve">omestic </w:t>
      </w:r>
      <w:r w:rsidRPr="00EE1A09">
        <w:t>P</w:t>
      </w:r>
      <w:r>
        <w:t>roduct</w:t>
      </w:r>
      <w:r w:rsidRPr="00EE1A09">
        <w:t>, to enable a comparison between projected outlays and liabilities as a percentage of GDP</w:t>
      </w:r>
      <w:r>
        <w:t>,</w:t>
      </w:r>
      <w:r w:rsidRPr="00EE1A09">
        <w:t xml:space="preserve"> as follows</w:t>
      </w:r>
      <w:r>
        <w:t>:</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699"/>
        <w:gridCol w:w="2319"/>
        <w:gridCol w:w="2912"/>
      </w:tblGrid>
      <w:tr w:rsidR="00CC7DF9" w:rsidRPr="00AB3DA9" w:rsidTr="0099534C">
        <w:trPr>
          <w:trHeight w:val="265"/>
        </w:trPr>
        <w:tc>
          <w:tcPr>
            <w:tcW w:w="2699" w:type="dxa"/>
            <w:shd w:val="clear" w:color="auto" w:fill="DDF3FA"/>
          </w:tcPr>
          <w:p w:rsidR="00CC7DF9" w:rsidRPr="00303CD3" w:rsidRDefault="00CC7DF9" w:rsidP="00711F2B">
            <w:pPr>
              <w:pStyle w:val="Tablecolumnheading"/>
            </w:pPr>
            <w:r w:rsidRPr="00303CD3">
              <w:t>Item</w:t>
            </w:r>
          </w:p>
        </w:tc>
        <w:tc>
          <w:tcPr>
            <w:tcW w:w="2319" w:type="dxa"/>
            <w:shd w:val="clear" w:color="auto" w:fill="DDF3FA"/>
          </w:tcPr>
          <w:p w:rsidR="00CC7DF9" w:rsidRPr="00303CD3" w:rsidRDefault="00CC7DF9" w:rsidP="00711F2B">
            <w:pPr>
              <w:pStyle w:val="Tablecolumnheading"/>
            </w:pPr>
            <w:r w:rsidRPr="00303CD3">
              <w:t>2014 Report</w:t>
            </w:r>
          </w:p>
        </w:tc>
        <w:tc>
          <w:tcPr>
            <w:tcW w:w="2912" w:type="dxa"/>
            <w:shd w:val="clear" w:color="auto" w:fill="DDF3FA"/>
          </w:tcPr>
          <w:p w:rsidR="00CC7DF9" w:rsidRPr="00303CD3" w:rsidRDefault="00CC7DF9" w:rsidP="00711F2B">
            <w:pPr>
              <w:pStyle w:val="Tablecolumnheading"/>
            </w:pPr>
            <w:r w:rsidRPr="00303CD3">
              <w:t>2011 Report</w:t>
            </w:r>
          </w:p>
        </w:tc>
      </w:tr>
      <w:tr w:rsidR="00CC7DF9" w:rsidRPr="005D440F" w:rsidTr="00711F2B">
        <w:trPr>
          <w:trHeight w:val="263"/>
        </w:trPr>
        <w:tc>
          <w:tcPr>
            <w:tcW w:w="2699" w:type="dxa"/>
          </w:tcPr>
          <w:p w:rsidR="00CC7DF9" w:rsidRPr="00303CD3" w:rsidRDefault="00CC7DF9" w:rsidP="00711F2B">
            <w:pPr>
              <w:pStyle w:val="Tablebodytext"/>
            </w:pPr>
            <w:r w:rsidRPr="00303CD3">
              <w:t>GDP Increases*</w:t>
            </w:r>
          </w:p>
        </w:tc>
        <w:tc>
          <w:tcPr>
            <w:tcW w:w="2319" w:type="dxa"/>
          </w:tcPr>
          <w:p w:rsidR="00CC7DF9" w:rsidRPr="00303CD3" w:rsidRDefault="00CC7DF9" w:rsidP="00711F2B">
            <w:pPr>
              <w:pStyle w:val="Tablebodytext"/>
            </w:pPr>
            <w:r w:rsidRPr="00303CD3">
              <w:t>2.9% per annum (real)</w:t>
            </w:r>
          </w:p>
        </w:tc>
        <w:tc>
          <w:tcPr>
            <w:tcW w:w="2912" w:type="dxa"/>
          </w:tcPr>
          <w:p w:rsidR="00CC7DF9" w:rsidRPr="00303CD3" w:rsidRDefault="00CC7DF9" w:rsidP="00711F2B">
            <w:pPr>
              <w:pStyle w:val="Tablebodytext"/>
            </w:pPr>
            <w:r w:rsidRPr="00303CD3">
              <w:t>2.6% per annum (real)</w:t>
            </w:r>
          </w:p>
        </w:tc>
      </w:tr>
    </w:tbl>
    <w:p w:rsidR="00770E40" w:rsidRDefault="00770E40" w:rsidP="00770E40">
      <w:pPr>
        <w:pStyle w:val="Sourcenotetext"/>
      </w:pPr>
      <w:r>
        <w:t>*</w:t>
      </w:r>
      <w:r w:rsidRPr="00616F15">
        <w:t>The GDP increase rate shown is the average of the annual rates over the forty year period from the investigation date of each report. The GDP growth rates adopted for this Report were based on real GDP growth projections provided by the Department of the Treasury, the projected GDP for the 2014/2015 financial year is assumed to be $1,669 billion</w:t>
      </w:r>
    </w:p>
    <w:p w:rsidR="00CC7DF9" w:rsidRPr="007E3448" w:rsidRDefault="00CC7DF9" w:rsidP="00A3590E">
      <w:pPr>
        <w:pStyle w:val="Heading4nonumbers"/>
      </w:pPr>
      <w:r w:rsidRPr="007E3448">
        <w:t>Taxation</w:t>
      </w:r>
    </w:p>
    <w:p w:rsidR="00CC7DF9" w:rsidRPr="00303CD3" w:rsidRDefault="00CC7DF9" w:rsidP="00CC7DF9">
      <w:pPr>
        <w:pStyle w:val="Numberedpara1stindent"/>
        <w:spacing w:after="240"/>
      </w:pPr>
      <w:r>
        <w:t>Allowance has been made for 15% tax payable on employer productivity superannuation contributions</w:t>
      </w:r>
      <w:r>
        <w:rPr>
          <w:szCs w:val="18"/>
        </w:rPr>
        <w:t>.</w:t>
      </w:r>
    </w:p>
    <w:p w:rsidR="00CC7DF9" w:rsidRDefault="00CC7DF9" w:rsidP="00CC7DF9">
      <w:pPr>
        <w:pStyle w:val="Numberedpara1stindent"/>
        <w:spacing w:after="240"/>
      </w:pPr>
      <w:r w:rsidRPr="00E30DEF">
        <w:t>The PSS and CSS are treated as complying superannuation funds within the meaning of the Superannuation Industry (Supervision) Act 1993 and are taxed as complying superannuation funds</w:t>
      </w:r>
      <w:r>
        <w:t>.</w:t>
      </w:r>
    </w:p>
    <w:p w:rsidR="00CC7DF9" w:rsidRDefault="00CC7DF9" w:rsidP="00CC7DF9">
      <w:pPr>
        <w:pStyle w:val="Numberedpara1stindent"/>
        <w:spacing w:after="240"/>
      </w:pPr>
      <w:r w:rsidRPr="001F69B9">
        <w:t xml:space="preserve">In determining the </w:t>
      </w:r>
      <w:r w:rsidRPr="00FB2C86">
        <w:t>projected outlays, no adjustment has been made for tax on the unfunded portion of the benef</w:t>
      </w:r>
      <w:r>
        <w:t>its paid from the PSS and CSS.</w:t>
      </w:r>
    </w:p>
    <w:p w:rsidR="00CC7DF9" w:rsidRDefault="00CC7DF9" w:rsidP="00A3590E">
      <w:pPr>
        <w:pStyle w:val="Heading4nonumbers"/>
      </w:pPr>
      <w:r w:rsidRPr="007E3448">
        <w:t>Superannuation Guarantee</w:t>
      </w:r>
    </w:p>
    <w:p w:rsidR="00DC23AA" w:rsidRDefault="00CC7DF9" w:rsidP="00CC7DF9">
      <w:pPr>
        <w:pStyle w:val="Numberedpara1stindent"/>
        <w:spacing w:after="240"/>
      </w:pPr>
      <w:r w:rsidRPr="00E30DEF">
        <w:t xml:space="preserve">For the CSS, allowance has been made for increases in the Superannuation Guarantee rate from 9.5% to 12%. For the PSS, no allowance has been made for changes to the Superannuation Guarantee rate. Due to the generous nature of the </w:t>
      </w:r>
      <w:r>
        <w:t>PSS and CSS</w:t>
      </w:r>
      <w:r w:rsidRPr="00E30DEF">
        <w:t xml:space="preserve"> benefits, the increase in the Superannuation Guarantee rate does not have a material impact on the valuation results</w:t>
      </w:r>
      <w:r>
        <w:t>.</w:t>
      </w:r>
    </w:p>
    <w:p w:rsidR="00CC7DF9" w:rsidRPr="007E3448" w:rsidRDefault="00DC23AA" w:rsidP="00A3590E">
      <w:pPr>
        <w:pStyle w:val="Heading3nonumbers"/>
      </w:pPr>
      <w:r>
        <w:br w:type="page"/>
      </w:r>
      <w:r w:rsidR="00CC7DF9" w:rsidRPr="007E3448">
        <w:lastRenderedPageBreak/>
        <w:t>Demographic Assumptions</w:t>
      </w:r>
    </w:p>
    <w:p w:rsidR="00CC7DF9" w:rsidRDefault="00CC7DF9" w:rsidP="00CC7DF9">
      <w:pPr>
        <w:pStyle w:val="Numberedpara1stindent"/>
        <w:spacing w:after="240"/>
      </w:pPr>
      <w:r>
        <w:t>The demographic assumptions adopted for this Report have incorporated the results of a detailed analysis of the membership experience for the eight years from 1 July 2005 to 30 June 2013. This analysis was conducted at the start of 2014 to allow time to analyse the results in detail.  Details of the updated demographic assumptions are set out in Appendix B.</w:t>
      </w:r>
    </w:p>
    <w:p w:rsidR="00CC7DF9" w:rsidRDefault="00CC7DF9" w:rsidP="00A3590E">
      <w:pPr>
        <w:pStyle w:val="Heading4nonumbers"/>
      </w:pPr>
      <w:r w:rsidRPr="007E3448">
        <w:t>Promotional Salary Increase</w:t>
      </w:r>
    </w:p>
    <w:p w:rsidR="00CC7DF9" w:rsidRDefault="00CC7DF9" w:rsidP="00CC7DF9">
      <w:pPr>
        <w:pStyle w:val="Numberedpara1stindent"/>
        <w:spacing w:after="240"/>
      </w:pPr>
      <w:r>
        <w:t>Salary increases consist of general salary increases due to salary inflation together with increases due to promotion. General salary increases capture the average salary increase for all government employees, while promotional salary increases capture the increases due to promotion within and between employment bands.</w:t>
      </w:r>
    </w:p>
    <w:p w:rsidR="00CC7DF9" w:rsidRDefault="00CC7DF9" w:rsidP="00CC7DF9">
      <w:pPr>
        <w:pStyle w:val="Numberedpara1stindent"/>
        <w:spacing w:after="240"/>
      </w:pPr>
      <w:r>
        <w:t>As discussed above, the assumed rate of future general salary increases remains at 4.0% per annum.</w:t>
      </w:r>
    </w:p>
    <w:p w:rsidR="00CC7DF9" w:rsidRDefault="00CC7DF9" w:rsidP="00CC7DF9">
      <w:pPr>
        <w:pStyle w:val="Numberedpara1stindent"/>
        <w:spacing w:after="240"/>
      </w:pPr>
      <w:r>
        <w:t>The promotional salary increase assumptions have been simplified to</w:t>
      </w:r>
      <w:r w:rsidRPr="009677BD">
        <w:t xml:space="preserve"> be based on sex and age only, and </w:t>
      </w:r>
      <w:r>
        <w:t xml:space="preserve">are </w:t>
      </w:r>
      <w:r w:rsidRPr="009677BD">
        <w:t xml:space="preserve">no longer based on </w:t>
      </w:r>
      <w:r>
        <w:t xml:space="preserve">the length of scheme </w:t>
      </w:r>
      <w:r w:rsidRPr="009677BD">
        <w:t>membership as previous</w:t>
      </w:r>
      <w:r>
        <w:t>ly</w:t>
      </w:r>
      <w:r w:rsidRPr="009677BD">
        <w:t xml:space="preserve"> assumed in </w:t>
      </w:r>
      <w:r>
        <w:t xml:space="preserve">the </w:t>
      </w:r>
      <w:r w:rsidRPr="009677BD">
        <w:t xml:space="preserve">2011 </w:t>
      </w:r>
      <w:r>
        <w:t>Report.  This reflects the fact that the majority of contributor members now have more than eight years of scheme membership with PSS closed to new members in 2005 and CSS in 1990.</w:t>
      </w:r>
    </w:p>
    <w:p w:rsidR="00CC7DF9" w:rsidRDefault="00CC7DF9" w:rsidP="00CC7DF9">
      <w:pPr>
        <w:pStyle w:val="Numberedpara1stindent"/>
        <w:spacing w:after="240"/>
      </w:pPr>
      <w:r>
        <w:t>Overall this change leads to more realistic promotional salary assumptions reflecting past scheme experience.</w:t>
      </w:r>
    </w:p>
    <w:p w:rsidR="00CC7DF9" w:rsidRPr="007E3448" w:rsidRDefault="00CC7DF9" w:rsidP="00A3590E">
      <w:pPr>
        <w:pStyle w:val="Heading4nonumbers"/>
      </w:pPr>
      <w:r w:rsidRPr="007E3448">
        <w:t>Rate of Retirement</w:t>
      </w:r>
    </w:p>
    <w:p w:rsidR="00CC7DF9" w:rsidRDefault="00CC7DF9" w:rsidP="00CC7DF9">
      <w:pPr>
        <w:pStyle w:val="Numberedpara1stindent"/>
        <w:spacing w:after="240"/>
      </w:pPr>
      <w:r w:rsidRPr="008B5FC4">
        <w:t>We have made minor</w:t>
      </w:r>
      <w:r>
        <w:t xml:space="preserve"> adjustments</w:t>
      </w:r>
      <w:r w:rsidRPr="008B5FC4">
        <w:t xml:space="preserve"> to the assumed rates of retirement to better reflect the scheme experience</w:t>
      </w:r>
      <w:r>
        <w:t>.</w:t>
      </w:r>
    </w:p>
    <w:p w:rsidR="00CC7DF9" w:rsidRPr="007E3448" w:rsidRDefault="00CC7DF9" w:rsidP="00A3590E">
      <w:pPr>
        <w:pStyle w:val="Heading4nonumbers"/>
      </w:pPr>
      <w:r w:rsidRPr="007E3448">
        <w:t>Rate of Resignation</w:t>
      </w:r>
    </w:p>
    <w:p w:rsidR="00CC7DF9" w:rsidRDefault="00CC7DF9" w:rsidP="00CC7DF9">
      <w:pPr>
        <w:pStyle w:val="Numberedpara1stindent"/>
        <w:spacing w:after="240"/>
      </w:pPr>
      <w:r w:rsidRPr="000575D0">
        <w:t xml:space="preserve">For PSS members, </w:t>
      </w:r>
      <w:r w:rsidRPr="008B5FC4">
        <w:t xml:space="preserve">we have </w:t>
      </w:r>
      <w:r>
        <w:t>adjusted</w:t>
      </w:r>
      <w:r w:rsidRPr="008B5FC4">
        <w:t xml:space="preserve"> the rates of resignation </w:t>
      </w:r>
      <w:r>
        <w:t xml:space="preserve">to better reflect the scheme experience. </w:t>
      </w:r>
      <w:r w:rsidRPr="008B5FC4">
        <w:t xml:space="preserve">The overall change was a reduction in </w:t>
      </w:r>
      <w:r>
        <w:t xml:space="preserve">the </w:t>
      </w:r>
      <w:r w:rsidRPr="008B5FC4">
        <w:t xml:space="preserve">resignation rates for members with </w:t>
      </w:r>
      <w:r>
        <w:t xml:space="preserve">10 </w:t>
      </w:r>
      <w:r w:rsidRPr="008B5FC4">
        <w:t xml:space="preserve">years </w:t>
      </w:r>
      <w:r>
        <w:t xml:space="preserve">or more </w:t>
      </w:r>
      <w:r w:rsidRPr="008B5FC4">
        <w:t xml:space="preserve">of service and an increase in rates for members with </w:t>
      </w:r>
      <w:r>
        <w:t>between zero and nine</w:t>
      </w:r>
      <w:r w:rsidRPr="008B5FC4">
        <w:t xml:space="preserve"> years of service</w:t>
      </w:r>
      <w:r>
        <w:t>.</w:t>
      </w:r>
    </w:p>
    <w:p w:rsidR="00CC7DF9" w:rsidRDefault="00CC7DF9" w:rsidP="00CC7DF9">
      <w:pPr>
        <w:pStyle w:val="Numberedpara1stindent"/>
        <w:spacing w:after="240"/>
      </w:pPr>
      <w:r w:rsidRPr="00A03023">
        <w:t xml:space="preserve">For </w:t>
      </w:r>
      <w:r>
        <w:t>C</w:t>
      </w:r>
      <w:r w:rsidRPr="00A03023">
        <w:t xml:space="preserve">SS members, </w:t>
      </w:r>
      <w:r>
        <w:t>the only change is the reduction in the resignation rate at age 54, to bring the assumption in line with the scheme experience.</w:t>
      </w:r>
    </w:p>
    <w:p w:rsidR="00CC7DF9" w:rsidRDefault="00CC7DF9" w:rsidP="00A3590E">
      <w:pPr>
        <w:pStyle w:val="Heading4nonumbers"/>
      </w:pPr>
      <w:r w:rsidRPr="007E3448">
        <w:t>Rate of Redundancy</w:t>
      </w:r>
    </w:p>
    <w:p w:rsidR="00CC7DF9" w:rsidRDefault="00CC7DF9" w:rsidP="00CC7DF9">
      <w:pPr>
        <w:pStyle w:val="Numberedpara1stindent"/>
        <w:spacing w:after="240"/>
      </w:pPr>
      <w:r w:rsidRPr="000575D0">
        <w:t xml:space="preserve">While there have been fewer </w:t>
      </w:r>
      <w:r>
        <w:t>redundancies</w:t>
      </w:r>
      <w:r w:rsidRPr="000575D0">
        <w:t xml:space="preserve"> than expected, we have </w:t>
      </w:r>
      <w:r>
        <w:t>maintained the</w:t>
      </w:r>
      <w:r w:rsidRPr="000575D0">
        <w:t xml:space="preserve"> assumptions</w:t>
      </w:r>
      <w:r>
        <w:t xml:space="preserve"> used in the 2011 Report</w:t>
      </w:r>
      <w:r w:rsidRPr="000575D0">
        <w:t xml:space="preserve">. </w:t>
      </w:r>
      <w:r>
        <w:t>This reflects an anticipated increase in the three years from 1 July 2014 compared to previous years. From data provided by ComSuper for post 30 June 2014 this appears to be the case.  The assumptions will be reviewed at the 2017 valuation.</w:t>
      </w:r>
    </w:p>
    <w:p w:rsidR="00CC7DF9" w:rsidRPr="007E3448" w:rsidRDefault="00CC7DF9" w:rsidP="00A3590E">
      <w:pPr>
        <w:pStyle w:val="Heading4nonumbers"/>
      </w:pPr>
      <w:r w:rsidRPr="007E3448">
        <w:lastRenderedPageBreak/>
        <w:t xml:space="preserve">Rate of Invalidity Retirement </w:t>
      </w:r>
    </w:p>
    <w:p w:rsidR="00CC7DF9" w:rsidRDefault="00CC7DF9" w:rsidP="00CC7DF9">
      <w:pPr>
        <w:pStyle w:val="Numberedpara1stindent"/>
        <w:spacing w:after="240"/>
      </w:pPr>
      <w:r>
        <w:t>The number of contributors retiring from the PSS due to invalidity has been higher than expected, while the number of PSS preserved members retiring due to invalidity has been lower than expected. The assumptions have been adjusted to reflect the scheme experience.</w:t>
      </w:r>
    </w:p>
    <w:p w:rsidR="00CC7DF9" w:rsidRDefault="00CC7DF9" w:rsidP="00CC7DF9">
      <w:pPr>
        <w:pStyle w:val="Numberedpara1stindent"/>
        <w:spacing w:after="240"/>
      </w:pPr>
      <w:r>
        <w:t>The number of contributors retiring from the CSS due to invalidity has been slightly higher than expected. We have maintained the assumptions used in the 2011 Report as any adjustment to the invalidity rates based on experience will not have a material impact on CSS liabilities due to the maturity of the contributor membership.</w:t>
      </w:r>
    </w:p>
    <w:p w:rsidR="00CC7DF9" w:rsidRDefault="00CC7DF9" w:rsidP="00CC7DF9">
      <w:pPr>
        <w:pStyle w:val="Numberedpara1stindent"/>
        <w:spacing w:after="240"/>
      </w:pPr>
      <w:r>
        <w:t>The number of preserved members retiring from the CSS due to invalidity has been significantly lower than expected. We have reduced the invalidity assumptions to reflect this experience.</w:t>
      </w:r>
    </w:p>
    <w:p w:rsidR="00CC7DF9" w:rsidRDefault="00CC7DF9" w:rsidP="00A3590E">
      <w:pPr>
        <w:pStyle w:val="Heading4nonumbers"/>
      </w:pPr>
      <w:r w:rsidRPr="007E3448">
        <w:t>Mortality of Contributors and Preserved Members</w:t>
      </w:r>
    </w:p>
    <w:p w:rsidR="00CC7DF9" w:rsidRDefault="00CC7DF9" w:rsidP="00CC7DF9">
      <w:pPr>
        <w:pStyle w:val="Numberedpara1stindent"/>
        <w:spacing w:after="240"/>
      </w:pPr>
      <w:r>
        <w:t>Mortality experience for contributors and preserved members has been broadly in line with expectations. We have not revised these assumptions.</w:t>
      </w:r>
    </w:p>
    <w:p w:rsidR="00CC7DF9" w:rsidRDefault="00CC7DF9" w:rsidP="00A3590E">
      <w:pPr>
        <w:pStyle w:val="Heading4nonumbers"/>
      </w:pPr>
      <w:r w:rsidRPr="007E3448">
        <w:t>Mortality of Pensioners</w:t>
      </w:r>
    </w:p>
    <w:p w:rsidR="00CC7DF9" w:rsidRDefault="00CC7DF9" w:rsidP="00CC7DF9">
      <w:pPr>
        <w:pStyle w:val="Numberedpara1stindent"/>
        <w:spacing w:after="240"/>
      </w:pPr>
      <w:r>
        <w:t xml:space="preserve">For age retirement pensioners, spouse pensioners, and invalidity pensioners with duration greater than 3 years, </w:t>
      </w:r>
      <w:r w:rsidRPr="009350E2">
        <w:t xml:space="preserve">the 2011 </w:t>
      </w:r>
      <w:r>
        <w:t xml:space="preserve">pensioner mortality </w:t>
      </w:r>
      <w:r w:rsidRPr="009350E2">
        <w:t xml:space="preserve">assumptions </w:t>
      </w:r>
      <w:r>
        <w:t xml:space="preserve">have been </w:t>
      </w:r>
      <w:r w:rsidRPr="009350E2">
        <w:t>adjusted at specific ages to better align with experience</w:t>
      </w:r>
      <w:r>
        <w:t>, and</w:t>
      </w:r>
      <w:r w:rsidRPr="009350E2">
        <w:t xml:space="preserve"> then with three years of short term improvement factors applied for all ages</w:t>
      </w:r>
      <w:r>
        <w:t>.</w:t>
      </w:r>
    </w:p>
    <w:p w:rsidR="00CC7DF9" w:rsidRDefault="00CC7DF9" w:rsidP="00CC7DF9">
      <w:pPr>
        <w:pStyle w:val="Numberedpara1stindent"/>
        <w:spacing w:after="240"/>
      </w:pPr>
      <w:r>
        <w:t>For invalidity pensioners with duration less than 3 years, there has been no change in the assumed mortality rates.</w:t>
      </w:r>
    </w:p>
    <w:p w:rsidR="00CC7DF9" w:rsidRDefault="00CC7DF9" w:rsidP="00A3590E">
      <w:pPr>
        <w:pStyle w:val="Heading4nonumbers"/>
      </w:pPr>
      <w:r w:rsidRPr="007E3448">
        <w:t>Future Mortality Improvements</w:t>
      </w:r>
    </w:p>
    <w:p w:rsidR="00CC7DF9" w:rsidRDefault="00CC7DF9" w:rsidP="00CC7DF9">
      <w:pPr>
        <w:pStyle w:val="Numberedpara1stindent"/>
        <w:spacing w:after="240"/>
      </w:pPr>
      <w:r w:rsidRPr="002925DD">
        <w:t xml:space="preserve">For the purposes of this </w:t>
      </w:r>
      <w:r>
        <w:t>R</w:t>
      </w:r>
      <w:r w:rsidRPr="002925DD">
        <w:t xml:space="preserve">eport allowance </w:t>
      </w:r>
      <w:r>
        <w:t>is made for future improvements in mortality for all pensioners except invalidity pensioners with duration less than 3 years and child pensioners. These</w:t>
      </w:r>
      <w:r w:rsidRPr="002925DD">
        <w:t xml:space="preserve"> improvements </w:t>
      </w:r>
      <w:r>
        <w:t>have</w:t>
      </w:r>
      <w:r w:rsidRPr="002925DD">
        <w:t xml:space="preserve"> been made in accordance with the short and long term rates </w:t>
      </w:r>
      <w:r>
        <w:t xml:space="preserve">of mortality improvement </w:t>
      </w:r>
      <w:r w:rsidRPr="002925DD">
        <w:t>derived by the Australian Bureau of Statistics in conjunction with the Australian Government Actuary as published in the Australian Life Tables 2005-07</w:t>
      </w:r>
      <w:r>
        <w:t>.</w:t>
      </w:r>
    </w:p>
    <w:p w:rsidR="00CC7DF9" w:rsidRDefault="00CC7DF9" w:rsidP="00CC7DF9">
      <w:pPr>
        <w:pStyle w:val="Numberedpara1stindent"/>
        <w:spacing w:after="240"/>
      </w:pPr>
      <w:r>
        <w:t>In December 2014 (and after calculations had commenced for this Report), the Australian Government Actuary published the Australian Life Tables 2010-2012.  Improvement factors in the latest Australian Life Tables will be incorporate into future long term cost reports.</w:t>
      </w:r>
    </w:p>
    <w:p w:rsidR="001A11B3" w:rsidRDefault="00CC7DF9" w:rsidP="00CC7DF9">
      <w:pPr>
        <w:pStyle w:val="Numberedpara1stindent"/>
        <w:spacing w:after="240"/>
      </w:pPr>
      <w:r>
        <w:t>We have incorporated short term rates for the period 2014 to 2021 and long term rates thereafter.</w:t>
      </w:r>
    </w:p>
    <w:p w:rsidR="001A11B3" w:rsidRDefault="001A11B3">
      <w:pPr>
        <w:spacing w:after="0"/>
        <w:rPr>
          <w:rFonts w:eastAsia="Times New Roman"/>
          <w:szCs w:val="24"/>
        </w:rPr>
      </w:pPr>
      <w:r>
        <w:br w:type="page"/>
      </w:r>
    </w:p>
    <w:p w:rsidR="00CC7DF9" w:rsidRDefault="00CC7DF9" w:rsidP="00CC7DF9">
      <w:pPr>
        <w:pStyle w:val="Numberedpara1stindent"/>
        <w:spacing w:after="240"/>
      </w:pPr>
      <w:r w:rsidRPr="00C07DE1">
        <w:lastRenderedPageBreak/>
        <w:t>Short term rates of mortality improvement relate to mortality improvements measured over the last 25 years</w:t>
      </w:r>
      <w:r>
        <w:t xml:space="preserve">. </w:t>
      </w:r>
      <w:r w:rsidRPr="00C07DE1">
        <w:t>Long term rates relate to mortality improvements measured over the last 100 years</w:t>
      </w:r>
      <w:r>
        <w:t xml:space="preserve">. </w:t>
      </w:r>
      <w:r w:rsidRPr="00C07DE1">
        <w:t>Short term rates are significantly higher than the long term rates</w:t>
      </w:r>
      <w:r>
        <w:t>.</w:t>
      </w:r>
    </w:p>
    <w:p w:rsidR="00CC7DF9" w:rsidRDefault="00CC7DF9" w:rsidP="00CC7DF9">
      <w:pPr>
        <w:pStyle w:val="Numberedpara1stindent"/>
        <w:spacing w:after="240"/>
      </w:pPr>
      <w:r w:rsidRPr="008C0DC5">
        <w:t>Our analysis of the experience of the PSS and CSS as well as other public sector schemes shows that recent mortality improvements have been broadly in line with the short term rates. Due to this, we have extended the period of short term improvements from 2018 (assumed in the 2011 Report) to 2021</w:t>
      </w:r>
      <w:r>
        <w:t>.</w:t>
      </w:r>
    </w:p>
    <w:p w:rsidR="00CC7DF9" w:rsidRPr="007E3448" w:rsidRDefault="00CC7DF9" w:rsidP="00A3590E">
      <w:pPr>
        <w:pStyle w:val="Heading4nonumbers"/>
      </w:pPr>
      <w:r w:rsidRPr="007E3448">
        <w:t>Preservation of Benefits</w:t>
      </w:r>
    </w:p>
    <w:p w:rsidR="00CC7DF9" w:rsidRDefault="00CC7DF9" w:rsidP="00CC7DF9">
      <w:pPr>
        <w:pStyle w:val="Numberedpara1stindent"/>
        <w:spacing w:after="240"/>
      </w:pPr>
      <w:r w:rsidRPr="0084645C">
        <w:t xml:space="preserve">Members who are </w:t>
      </w:r>
      <w:r>
        <w:t>made redundant</w:t>
      </w:r>
      <w:r w:rsidRPr="0084645C">
        <w:t xml:space="preserve"> are eligible to be paid benefits immediately and they therefore have a different pattern of preservation from members</w:t>
      </w:r>
      <w:r>
        <w:t xml:space="preserve"> leaving due to </w:t>
      </w:r>
      <w:r w:rsidRPr="0084645C">
        <w:t xml:space="preserve">resignation. </w:t>
      </w:r>
      <w:r>
        <w:t>D</w:t>
      </w:r>
      <w:r w:rsidRPr="0084645C">
        <w:t xml:space="preserve">ifferent preservation rates </w:t>
      </w:r>
      <w:r>
        <w:t>have therefore been adopted f</w:t>
      </w:r>
      <w:r w:rsidRPr="0084645C">
        <w:t>or resi</w:t>
      </w:r>
      <w:r>
        <w:t>gnation and redundancy exits in 2014</w:t>
      </w:r>
      <w:r w:rsidRPr="0084645C">
        <w:t>, this compares to 2011 where the same preservation</w:t>
      </w:r>
      <w:r>
        <w:t xml:space="preserve"> rates we</w:t>
      </w:r>
      <w:r w:rsidRPr="0084645C">
        <w:t>re assumed</w:t>
      </w:r>
      <w:r>
        <w:t>.</w:t>
      </w:r>
    </w:p>
    <w:p w:rsidR="00CC7DF9" w:rsidRPr="007E3448" w:rsidRDefault="00CC7DF9" w:rsidP="00A3590E">
      <w:pPr>
        <w:pStyle w:val="Heading4nonumbers"/>
      </w:pPr>
      <w:r w:rsidRPr="007E3448">
        <w:t>Rates of Pension Take-up</w:t>
      </w:r>
    </w:p>
    <w:p w:rsidR="00CC7DF9" w:rsidRDefault="00CC7DF9" w:rsidP="00CC7DF9">
      <w:pPr>
        <w:pStyle w:val="Numberedpara1stindent"/>
        <w:spacing w:after="240"/>
      </w:pPr>
      <w:r w:rsidRPr="00CA236F">
        <w:t xml:space="preserve">The proportion of benefits taken as a pension </w:t>
      </w:r>
      <w:r>
        <w:t xml:space="preserve">by PSS members </w:t>
      </w:r>
      <w:r w:rsidRPr="00CA236F">
        <w:t xml:space="preserve">continues to </w:t>
      </w:r>
      <w:r>
        <w:t>increase.</w:t>
      </w:r>
      <w:r w:rsidRPr="00CA236F">
        <w:t xml:space="preserve"> We have therefore increased the assumed proportion of benefits taken as a pension from </w:t>
      </w:r>
      <w:r w:rsidRPr="008B5FC4">
        <w:t>7</w:t>
      </w:r>
      <w:r w:rsidRPr="00CA236F">
        <w:t xml:space="preserve">0% to </w:t>
      </w:r>
      <w:r w:rsidRPr="008B5FC4">
        <w:t>8</w:t>
      </w:r>
      <w:r w:rsidRPr="00CA236F">
        <w:t xml:space="preserve">0% to reflect the </w:t>
      </w:r>
      <w:r>
        <w:t>scheme</w:t>
      </w:r>
      <w:r w:rsidRPr="00CA236F">
        <w:t xml:space="preserve"> experience</w:t>
      </w:r>
      <w:r>
        <w:t>.</w:t>
      </w:r>
    </w:p>
    <w:p w:rsidR="00CC7DF9" w:rsidRDefault="00CC7DF9" w:rsidP="00CC7DF9">
      <w:pPr>
        <w:pStyle w:val="Numberedpara1stindent"/>
        <w:spacing w:after="240"/>
      </w:pPr>
      <w:r w:rsidRPr="008B5FC4">
        <w:t xml:space="preserve">CSS members have the option to convert the funded portion of their benefits from a lump sum </w:t>
      </w:r>
      <w:r>
        <w:t xml:space="preserve">benefit </w:t>
      </w:r>
      <w:r w:rsidRPr="008B5FC4">
        <w:t>to a non-indexed pension</w:t>
      </w:r>
      <w:r>
        <w:t xml:space="preserve">. </w:t>
      </w:r>
      <w:r w:rsidRPr="008B5FC4">
        <w:t>We are now seeing an increasing number of members taking up this option</w:t>
      </w:r>
      <w:r>
        <w:t xml:space="preserve">. </w:t>
      </w:r>
      <w:r w:rsidRPr="008B5FC4">
        <w:t xml:space="preserve">It is assumed that 30% of funded benefits are taken as a </w:t>
      </w:r>
      <w:r>
        <w:t xml:space="preserve">non-indexed </w:t>
      </w:r>
      <w:r w:rsidRPr="008B5FC4">
        <w:t>pension</w:t>
      </w:r>
      <w:r>
        <w:t xml:space="preserve">; zero percent was </w:t>
      </w:r>
      <w:r w:rsidRPr="008B5FC4">
        <w:t xml:space="preserve">assumed in the </w:t>
      </w:r>
      <w:r>
        <w:t>2011</w:t>
      </w:r>
      <w:r w:rsidRPr="008B5FC4">
        <w:t xml:space="preserve"> Report</w:t>
      </w:r>
      <w:r>
        <w:t>.</w:t>
      </w:r>
    </w:p>
    <w:p w:rsidR="00CC7DF9" w:rsidRPr="007E3448" w:rsidRDefault="00CC7DF9" w:rsidP="00770E40">
      <w:pPr>
        <w:pStyle w:val="Heading4nonumbers"/>
      </w:pPr>
      <w:r w:rsidRPr="007E3448">
        <w:t xml:space="preserve">PSS Member Contribution Rate </w:t>
      </w:r>
    </w:p>
    <w:p w:rsidR="00CC7DF9" w:rsidRPr="00B8023E" w:rsidRDefault="00CC7DF9" w:rsidP="00CC7DF9">
      <w:pPr>
        <w:pStyle w:val="Numberedpara1stindent"/>
        <w:spacing w:after="240"/>
      </w:pPr>
      <w:r w:rsidRPr="00CA236F">
        <w:t xml:space="preserve">Members of the PSS are able to contribute at any whole percentage rate from 2% to 10% of superannuation salary (or not to contribute at all) and </w:t>
      </w:r>
      <w:r w:rsidRPr="003D75A6">
        <w:t>the rate of increase in a member’s benefit accrual is dependent on his/her contribution rate</w:t>
      </w:r>
      <w:r w:rsidRPr="00215DC0">
        <w:t>.</w:t>
      </w:r>
    </w:p>
    <w:p w:rsidR="00CC7DF9" w:rsidRDefault="00CC7DF9" w:rsidP="00CC7DF9">
      <w:pPr>
        <w:pStyle w:val="Numberedpara1stindent"/>
        <w:spacing w:after="240"/>
      </w:pPr>
      <w:r w:rsidRPr="008B5FC4">
        <w:t>Experience is showing that the average contribution rate continues to increase over time. Our analysis also indicates that the contribution rate is heavily correlated to a member’s age, with higher contribution rates at older ages</w:t>
      </w:r>
      <w:r>
        <w:t xml:space="preserve">. </w:t>
      </w:r>
      <w:r w:rsidRPr="008B5FC4">
        <w:t xml:space="preserve">We have therefore introduced an age-based contribution rate to better reflect the </w:t>
      </w:r>
      <w:r>
        <w:t>scheme experience.</w:t>
      </w:r>
    </w:p>
    <w:p w:rsidR="00CC7DF9" w:rsidRPr="007E3448" w:rsidRDefault="00CC7DF9" w:rsidP="00A3590E">
      <w:pPr>
        <w:pStyle w:val="Heading4nonumbers"/>
      </w:pPr>
      <w:r w:rsidRPr="007E3448">
        <w:t>Family Law</w:t>
      </w:r>
    </w:p>
    <w:p w:rsidR="00CC7DF9" w:rsidRDefault="00CC7DF9" w:rsidP="00CC7DF9">
      <w:pPr>
        <w:pStyle w:val="Numberedpara1stindent"/>
        <w:spacing w:after="240"/>
      </w:pPr>
      <w:r w:rsidRPr="008C0DC5">
        <w:t xml:space="preserve">It is assumed for this </w:t>
      </w:r>
      <w:r>
        <w:t>R</w:t>
      </w:r>
      <w:r w:rsidRPr="008C0DC5">
        <w:t xml:space="preserve">eport that benefits subject to Family Law splitting orders or agreements that have already been implemented as at 30 June 2014 have been allowed for in the data as at 30 June 2014. The member spouse has had their benefit reduced due to the split. The non-member spouse is included as a </w:t>
      </w:r>
      <w:r>
        <w:t>dependant</w:t>
      </w:r>
      <w:r w:rsidRPr="008C0DC5">
        <w:t xml:space="preserve"> pensioner if currently receiving a pension, or as a preserved member if their benefit is currently unpaid</w:t>
      </w:r>
      <w:r>
        <w:t>.</w:t>
      </w:r>
    </w:p>
    <w:p w:rsidR="00CC7DF9" w:rsidRPr="007E3448" w:rsidRDefault="00CC7DF9" w:rsidP="00A3590E">
      <w:pPr>
        <w:pStyle w:val="Heading4nonumbers"/>
      </w:pPr>
      <w:r w:rsidRPr="007E3448">
        <w:lastRenderedPageBreak/>
        <w:t>Co-contributions</w:t>
      </w:r>
    </w:p>
    <w:p w:rsidR="00CC7DF9" w:rsidRDefault="00CC7DF9" w:rsidP="00CC7DF9">
      <w:pPr>
        <w:pStyle w:val="Numberedpara1stindent"/>
        <w:spacing w:after="240"/>
      </w:pPr>
      <w:r w:rsidRPr="00B83347">
        <w:t>Co-contributions are treated as fully funded additional member accounts and have no effect on the Unfunded Liability or Notional Employer Contribution Rates</w:t>
      </w:r>
      <w:r>
        <w:t>.</w:t>
      </w:r>
    </w:p>
    <w:p w:rsidR="00CC7DF9" w:rsidRPr="007E3448" w:rsidRDefault="00CC7DF9" w:rsidP="00A3590E">
      <w:pPr>
        <w:pStyle w:val="Heading4nonumbers"/>
      </w:pPr>
      <w:r w:rsidRPr="007E3448">
        <w:t xml:space="preserve">Spouse Assumptions </w:t>
      </w:r>
    </w:p>
    <w:p w:rsidR="00CC7DF9" w:rsidRDefault="00CC7DF9" w:rsidP="00CC7DF9">
      <w:pPr>
        <w:pStyle w:val="Numberedpara1stindent"/>
        <w:spacing w:after="240"/>
      </w:pPr>
      <w:r w:rsidRPr="00B83347">
        <w:t>The experience analysis indicated the proportion of members in a marital or couple relationship</w:t>
      </w:r>
      <w:r w:rsidRPr="00B83347">
        <w:rPr>
          <w:i/>
        </w:rPr>
        <w:t xml:space="preserve"> </w:t>
      </w:r>
      <w:r w:rsidRPr="00B83347">
        <w:t>was broadly aligned with that assumed for the 20</w:t>
      </w:r>
      <w:r>
        <w:t>11</w:t>
      </w:r>
      <w:r w:rsidRPr="00B83347">
        <w:t xml:space="preserve"> Report</w:t>
      </w:r>
      <w:r>
        <w:t>.</w:t>
      </w:r>
    </w:p>
    <w:p w:rsidR="00CC7DF9" w:rsidRDefault="00CC7DF9" w:rsidP="00CC7DF9">
      <w:pPr>
        <w:pStyle w:val="Numberedpara1stindent"/>
        <w:spacing w:after="240"/>
      </w:pPr>
      <w:r w:rsidRPr="00B83347">
        <w:t>For the 20</w:t>
      </w:r>
      <w:r>
        <w:t>11</w:t>
      </w:r>
      <w:r w:rsidRPr="00B83347">
        <w:t xml:space="preserve"> Report it was assumed that male members were three years older than their spouse and that female members were two years younger than their spouse</w:t>
      </w:r>
      <w:r>
        <w:t xml:space="preserve">. </w:t>
      </w:r>
      <w:r w:rsidRPr="00B83347">
        <w:t>The experience analysis indicated that the assumption was broadly reasonable</w:t>
      </w:r>
      <w:r>
        <w:t xml:space="preserve">. </w:t>
      </w:r>
      <w:r w:rsidRPr="00B83347">
        <w:t>There has been no change to our assumptions</w:t>
      </w:r>
      <w:r>
        <w:t>.</w:t>
      </w:r>
    </w:p>
    <w:p w:rsidR="00CC7DF9" w:rsidRPr="007E3448" w:rsidRDefault="00CC7DF9" w:rsidP="00A3590E">
      <w:pPr>
        <w:pStyle w:val="Heading4nonumbers"/>
      </w:pPr>
      <w:r w:rsidRPr="007E3448">
        <w:t>Future New Entrants</w:t>
      </w:r>
    </w:p>
    <w:p w:rsidR="00CC7DF9" w:rsidRDefault="00CC7DF9" w:rsidP="00CC7DF9">
      <w:pPr>
        <w:pStyle w:val="Numberedpara1stindent"/>
        <w:spacing w:after="240"/>
      </w:pPr>
      <w:r w:rsidRPr="0053049D">
        <w:t>The PSS has been closed to new members since 1 July 2005</w:t>
      </w:r>
      <w:r>
        <w:t xml:space="preserve">. </w:t>
      </w:r>
      <w:r w:rsidRPr="0053049D">
        <w:t>The CSS has been closed to new members since 1 July 1990</w:t>
      </w:r>
      <w:r>
        <w:t xml:space="preserve">. </w:t>
      </w:r>
      <w:r w:rsidRPr="0053049D">
        <w:t xml:space="preserve">This </w:t>
      </w:r>
      <w:r>
        <w:t>R</w:t>
      </w:r>
      <w:r w:rsidRPr="0053049D">
        <w:t>eport assumes that there are no future new entrants to either the PSS or CSS</w:t>
      </w:r>
      <w:r>
        <w:t xml:space="preserve">. </w:t>
      </w:r>
      <w:r w:rsidRPr="0053049D">
        <w:t xml:space="preserve">In practice there may be some </w:t>
      </w:r>
      <w:r>
        <w:t xml:space="preserve">members who we class as </w:t>
      </w:r>
      <w:r w:rsidRPr="0053049D">
        <w:t>new entrants to the schemes in the future – for example members who had previously left employment with the Australian Government returning to work</w:t>
      </w:r>
      <w:r>
        <w:t xml:space="preserve"> who have a right to re-join. </w:t>
      </w:r>
      <w:r w:rsidRPr="0053049D">
        <w:t xml:space="preserve">However the level of </w:t>
      </w:r>
      <w:r>
        <w:t xml:space="preserve">these </w:t>
      </w:r>
      <w:r w:rsidRPr="0053049D">
        <w:t>future new entrants is not material</w:t>
      </w:r>
      <w:r>
        <w:t>.</w:t>
      </w:r>
    </w:p>
    <w:p w:rsidR="008B2560" w:rsidRDefault="008B2560" w:rsidP="00DF00E2">
      <w:pPr>
        <w:pStyle w:val="Heading2"/>
        <w:tabs>
          <w:tab w:val="clear" w:pos="567"/>
        </w:tabs>
        <w:spacing w:after="720"/>
      </w:pPr>
      <w:r>
        <w:br w:type="page"/>
      </w:r>
      <w:bookmarkStart w:id="10" w:name="_Toc422302160"/>
      <w:r w:rsidRPr="0033355F">
        <w:lastRenderedPageBreak/>
        <w:t>Unfunded Liability</w:t>
      </w:r>
      <w:bookmarkEnd w:id="10"/>
    </w:p>
    <w:p w:rsidR="008B2560" w:rsidRPr="008B2560" w:rsidRDefault="008B2560" w:rsidP="008B2560">
      <w:pPr>
        <w:pStyle w:val="Numberedpara1stindent"/>
        <w:spacing w:after="240"/>
      </w:pPr>
      <w:r w:rsidRPr="008B2560">
        <w:t>The Unfunded Liability is the total accrued superannuation liability in respect of service up to 30 June 2014 reduced by the assets held.</w:t>
      </w:r>
    </w:p>
    <w:p w:rsidR="008B2560" w:rsidRPr="008B2560" w:rsidRDefault="008B2560" w:rsidP="008B2560">
      <w:pPr>
        <w:pStyle w:val="Numberedpara1stindent"/>
        <w:spacing w:after="240"/>
      </w:pPr>
      <w:r w:rsidRPr="008B2560">
        <w:t>The Unfunded Liability represents an estimate of the schemes’ superannuation liabilities and represents the total discounted value of all future (net) payments that will be made from the CRF in respect of scheme membership accrued to 30 June 2014.</w:t>
      </w:r>
    </w:p>
    <w:p w:rsidR="008B2560" w:rsidRPr="000A559D" w:rsidRDefault="008B2560" w:rsidP="00A3590E">
      <w:pPr>
        <w:pStyle w:val="Heading3nonumbers"/>
      </w:pPr>
      <w:r w:rsidRPr="000A559D">
        <w:t>Valuation Methodology</w:t>
      </w:r>
    </w:p>
    <w:p w:rsidR="008B2560" w:rsidRDefault="008B2560" w:rsidP="0000300E">
      <w:pPr>
        <w:pStyle w:val="Numberedpara1stindent"/>
        <w:spacing w:after="120"/>
      </w:pPr>
      <w:r w:rsidRPr="0033355F">
        <w:rPr>
          <w:rFonts w:eastAsia="Cambria"/>
          <w:szCs w:val="22"/>
        </w:rPr>
        <w:t>The steps involved in calculating the Unfunded Liability are as follows</w:t>
      </w:r>
      <w:r>
        <w:t>:</w:t>
      </w:r>
    </w:p>
    <w:p w:rsidR="008B2560" w:rsidRPr="008B2560" w:rsidRDefault="008B2560" w:rsidP="00241DF9">
      <w:pPr>
        <w:pStyle w:val="Numberedpara2ndindent"/>
        <w:numPr>
          <w:ilvl w:val="4"/>
          <w:numId w:val="11"/>
        </w:numPr>
        <w:spacing w:after="120"/>
      </w:pPr>
      <w:r w:rsidRPr="0033355F">
        <w:rPr>
          <w:rFonts w:eastAsia="Cambria"/>
          <w:szCs w:val="22"/>
        </w:rPr>
        <w:t>The membership of each scheme as at 30 June 2014 is projected into the future based on assumptions relating to the rates of exit of members (as set out in Appendix B)</w:t>
      </w:r>
      <w:r>
        <w:rPr>
          <w:rFonts w:eastAsia="Cambria"/>
          <w:szCs w:val="22"/>
        </w:rPr>
        <w:t>.</w:t>
      </w:r>
    </w:p>
    <w:p w:rsidR="008B2560" w:rsidRPr="00DA399B" w:rsidRDefault="008B2560" w:rsidP="00241DF9">
      <w:pPr>
        <w:pStyle w:val="Numberedpara2ndindent"/>
        <w:numPr>
          <w:ilvl w:val="4"/>
          <w:numId w:val="11"/>
        </w:numPr>
        <w:spacing w:after="120"/>
      </w:pPr>
      <w:r w:rsidRPr="0033355F">
        <w:rPr>
          <w:rFonts w:eastAsia="Cambria"/>
          <w:szCs w:val="22"/>
        </w:rPr>
        <w:t>The total value of benefits payable to the projected exits and pensioners in each future year are determined taking into account assumed salary growth and pension indexation in each future year</w:t>
      </w:r>
      <w:r>
        <w:rPr>
          <w:rFonts w:eastAsia="Cambria"/>
          <w:szCs w:val="22"/>
        </w:rPr>
        <w:t>.</w:t>
      </w:r>
    </w:p>
    <w:p w:rsidR="00DA399B" w:rsidRDefault="00DA399B" w:rsidP="0000300E">
      <w:pPr>
        <w:pStyle w:val="Numberedpara2ndindent"/>
        <w:numPr>
          <w:ilvl w:val="0"/>
          <w:numId w:val="0"/>
        </w:numPr>
        <w:spacing w:after="120"/>
        <w:ind w:left="851"/>
        <w:rPr>
          <w:rFonts w:eastAsia="Cambria"/>
          <w:szCs w:val="22"/>
        </w:rPr>
      </w:pPr>
      <w:r w:rsidRPr="0033355F">
        <w:rPr>
          <w:rFonts w:eastAsia="Cambria"/>
          <w:szCs w:val="22"/>
        </w:rPr>
        <w:t>For contributory members, the projected benefits are determined based on members’ service rendered prior to 30 June 2014 only</w:t>
      </w:r>
      <w:r>
        <w:rPr>
          <w:rFonts w:eastAsia="Cambria"/>
          <w:szCs w:val="22"/>
        </w:rPr>
        <w:t>.</w:t>
      </w:r>
    </w:p>
    <w:p w:rsidR="00DA399B" w:rsidRDefault="00DA399B" w:rsidP="00DA399B">
      <w:pPr>
        <w:pStyle w:val="Numberedpara2ndindent"/>
        <w:numPr>
          <w:ilvl w:val="0"/>
          <w:numId w:val="0"/>
        </w:numPr>
        <w:spacing w:after="240"/>
        <w:ind w:left="851"/>
        <w:rPr>
          <w:rFonts w:eastAsia="Cambria"/>
          <w:szCs w:val="22"/>
        </w:rPr>
      </w:pPr>
      <w:r w:rsidRPr="0033355F">
        <w:rPr>
          <w:rFonts w:eastAsia="Cambria"/>
          <w:szCs w:val="22"/>
        </w:rPr>
        <w:t>For example, for the PSS retirement benefit, this involves determining the benefit attributable to service to 30 June 2014 using</w:t>
      </w:r>
      <w:r>
        <w:rPr>
          <w:rFonts w:eastAsia="Cambria"/>
          <w:szCs w:val="22"/>
        </w:rPr>
        <w:t>.</w:t>
      </w:r>
    </w:p>
    <w:tbl>
      <w:tblPr>
        <w:tblW w:w="0" w:type="auto"/>
        <w:tblInd w:w="1526" w:type="dxa"/>
        <w:tblLayout w:type="fixed"/>
        <w:tblLook w:val="0000"/>
      </w:tblPr>
      <w:tblGrid>
        <w:gridCol w:w="2693"/>
        <w:gridCol w:w="709"/>
        <w:gridCol w:w="2977"/>
      </w:tblGrid>
      <w:tr w:rsidR="00DA399B" w:rsidRPr="001C2B49" w:rsidTr="00497D3E">
        <w:tc>
          <w:tcPr>
            <w:tcW w:w="2693" w:type="dxa"/>
          </w:tcPr>
          <w:p w:rsidR="00DA399B" w:rsidRPr="001C2B49" w:rsidRDefault="00DA399B" w:rsidP="00497D3E">
            <w:pPr>
              <w:jc w:val="center"/>
            </w:pPr>
            <w:r w:rsidRPr="001C2B49">
              <w:t>Accrued Multiple</w:t>
            </w:r>
            <w:r>
              <w:t xml:space="preserve"> </w:t>
            </w:r>
          </w:p>
        </w:tc>
        <w:tc>
          <w:tcPr>
            <w:tcW w:w="709" w:type="dxa"/>
            <w:vMerge w:val="restart"/>
          </w:tcPr>
          <w:p w:rsidR="00DA399B" w:rsidRPr="001C2B49" w:rsidRDefault="00DA399B" w:rsidP="00497D3E">
            <w:pPr>
              <w:jc w:val="center"/>
            </w:pPr>
            <w:r w:rsidRPr="001C2B49">
              <w:br/>
              <w:t>×</w:t>
            </w:r>
          </w:p>
        </w:tc>
        <w:tc>
          <w:tcPr>
            <w:tcW w:w="2977" w:type="dxa"/>
          </w:tcPr>
          <w:p w:rsidR="00DA399B" w:rsidRPr="001C2B49" w:rsidRDefault="00DA399B" w:rsidP="00497D3E">
            <w:pPr>
              <w:jc w:val="center"/>
            </w:pPr>
            <w:r w:rsidRPr="001C2B49">
              <w:t xml:space="preserve">Final Average Salary </w:t>
            </w:r>
          </w:p>
        </w:tc>
      </w:tr>
      <w:tr w:rsidR="00DA399B" w:rsidRPr="001C2B49" w:rsidTr="00497D3E">
        <w:tc>
          <w:tcPr>
            <w:tcW w:w="2693" w:type="dxa"/>
          </w:tcPr>
          <w:p w:rsidR="00DA399B" w:rsidRPr="001C2B49" w:rsidRDefault="00DA399B" w:rsidP="00497D3E">
            <w:pPr>
              <w:jc w:val="center"/>
            </w:pPr>
            <w:r>
              <w:t>as at 30 June 2014</w:t>
            </w:r>
          </w:p>
        </w:tc>
        <w:tc>
          <w:tcPr>
            <w:tcW w:w="709" w:type="dxa"/>
            <w:vMerge/>
          </w:tcPr>
          <w:p w:rsidR="00DA399B" w:rsidRPr="001C2B49" w:rsidRDefault="00DA399B" w:rsidP="00497D3E"/>
        </w:tc>
        <w:tc>
          <w:tcPr>
            <w:tcW w:w="2977" w:type="dxa"/>
          </w:tcPr>
          <w:p w:rsidR="00DA399B" w:rsidRPr="0033355F" w:rsidRDefault="00DA399B" w:rsidP="00497D3E">
            <w:pPr>
              <w:pStyle w:val="BoxText0"/>
              <w:spacing w:before="0" w:after="0"/>
              <w:jc w:val="center"/>
              <w:rPr>
                <w:rFonts w:ascii="Cambria" w:eastAsia="Cambria" w:hAnsi="Cambria"/>
                <w:sz w:val="22"/>
                <w:szCs w:val="22"/>
              </w:rPr>
            </w:pPr>
            <w:r w:rsidRPr="0033355F">
              <w:rPr>
                <w:rFonts w:ascii="Cambria" w:eastAsia="Cambria" w:hAnsi="Cambria"/>
                <w:sz w:val="22"/>
                <w:szCs w:val="22"/>
              </w:rPr>
              <w:t>at future date</w:t>
            </w:r>
          </w:p>
        </w:tc>
      </w:tr>
    </w:tbl>
    <w:p w:rsidR="00DA399B" w:rsidRPr="008B2560" w:rsidRDefault="00DA399B" w:rsidP="00241DF9">
      <w:pPr>
        <w:pStyle w:val="Numberedpara2ndindent"/>
        <w:numPr>
          <w:ilvl w:val="4"/>
          <w:numId w:val="12"/>
        </w:numPr>
        <w:spacing w:after="240"/>
      </w:pPr>
      <w:r w:rsidRPr="001D34D3">
        <w:t>The Unfunded Liability as at 30 June 201</w:t>
      </w:r>
      <w:r>
        <w:t>4</w:t>
      </w:r>
      <w:r w:rsidRPr="001D34D3">
        <w:t xml:space="preserve"> is determined as the sum of the present values of the benefits payable to the projected exits over all future years</w:t>
      </w:r>
      <w:r>
        <w:t>, offset by funded accumulated member and productivity contributions accounts as at 30 June 2014</w:t>
      </w:r>
      <w:r w:rsidR="00B84B61">
        <w:t>.</w:t>
      </w:r>
    </w:p>
    <w:p w:rsidR="008B2560" w:rsidRPr="00DA399B" w:rsidRDefault="008B2560" w:rsidP="00DA399B">
      <w:pPr>
        <w:pStyle w:val="Numberedpara1stindent"/>
        <w:spacing w:after="240"/>
      </w:pPr>
      <w:r w:rsidRPr="00BB234C">
        <w:t>The calculation methodology is</w:t>
      </w:r>
      <w:r w:rsidRPr="00DA399B">
        <w:t xml:space="preserve"> consistent with the Professional Standard No. 402 of the Actuaries</w:t>
      </w:r>
      <w:r>
        <w:t xml:space="preserve"> </w:t>
      </w:r>
      <w:r w:rsidRPr="00DA399B">
        <w:t>Institute relating to the determination of accrued benefits for defined benefit superannuation funds.</w:t>
      </w:r>
    </w:p>
    <w:p w:rsidR="008B2560" w:rsidRPr="00DA399B" w:rsidRDefault="008B2560" w:rsidP="00DA399B">
      <w:pPr>
        <w:pStyle w:val="Numberedpara1stindent"/>
        <w:spacing w:after="240"/>
      </w:pPr>
      <w:r w:rsidRPr="00DA399B">
        <w:t>The same valuation methodology was used for the 2011 Report.</w:t>
      </w:r>
    </w:p>
    <w:p w:rsidR="008B2560" w:rsidRPr="00415355" w:rsidRDefault="008B2560" w:rsidP="00A3590E">
      <w:pPr>
        <w:pStyle w:val="Heading3nonumbers"/>
      </w:pPr>
      <w:r>
        <w:br w:type="page"/>
      </w:r>
      <w:r w:rsidRPr="00DA399B">
        <w:lastRenderedPageBreak/>
        <w:t>Unfunded Liability as at 30 June 2014</w:t>
      </w:r>
    </w:p>
    <w:p w:rsidR="008B2560" w:rsidRDefault="008B2560" w:rsidP="00266A7E">
      <w:pPr>
        <w:pStyle w:val="Numberedpara1stindent"/>
        <w:spacing w:after="120"/>
      </w:pPr>
      <w:r w:rsidRPr="00DA399B">
        <w:t xml:space="preserve">The accrued Unfunded Liability as at 30 June 2014 for current members in respect of service up to 30 June 2014, preserved members and pensioners has been calculated to be $109.8 billion. A breakdown of this estimate is outlined in the table below. The results calculated in 2008 and 2011 are also shown for comparison purposes. </w:t>
      </w:r>
    </w:p>
    <w:p w:rsidR="00A3590E" w:rsidRPr="00DA399B" w:rsidRDefault="00A3590E" w:rsidP="00A3590E">
      <w:pPr>
        <w:pStyle w:val="Heading4nonumbers"/>
      </w:pPr>
      <w:r w:rsidRPr="00711F2B">
        <w:t xml:space="preserve">Estimate of Unfunded Liability for the PSS and CSS </w:t>
      </w:r>
      <w:r w:rsidR="00770E40">
        <w:br/>
        <w:t xml:space="preserve">as at 30 June </w:t>
      </w:r>
      <w:r w:rsidRPr="00711F2B">
        <w:t>($ billions)</w:t>
      </w:r>
    </w:p>
    <w:tbl>
      <w:tblPr>
        <w:tblW w:w="7513" w:type="dxa"/>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68"/>
        <w:gridCol w:w="1701"/>
        <w:gridCol w:w="1701"/>
        <w:gridCol w:w="1843"/>
      </w:tblGrid>
      <w:tr w:rsidR="008B2560" w:rsidRPr="00DA399B" w:rsidTr="00167104">
        <w:tc>
          <w:tcPr>
            <w:tcW w:w="2268" w:type="dxa"/>
            <w:shd w:val="clear" w:color="auto" w:fill="DDF3FA"/>
          </w:tcPr>
          <w:p w:rsidR="008B2560" w:rsidRPr="00711F2B" w:rsidRDefault="008B2560" w:rsidP="00711F2B">
            <w:pPr>
              <w:pStyle w:val="Tablecolumnheading"/>
            </w:pPr>
            <w:r w:rsidRPr="00711F2B">
              <w:t>Liability for</w:t>
            </w:r>
          </w:p>
        </w:tc>
        <w:tc>
          <w:tcPr>
            <w:tcW w:w="1701" w:type="dxa"/>
            <w:shd w:val="clear" w:color="auto" w:fill="DDF3FA"/>
          </w:tcPr>
          <w:p w:rsidR="008B2560" w:rsidRPr="00711F2B" w:rsidRDefault="008B2560" w:rsidP="00711F2B">
            <w:pPr>
              <w:pStyle w:val="Tablecolumnheading"/>
            </w:pPr>
            <w:r w:rsidRPr="00711F2B">
              <w:t>2008</w:t>
            </w:r>
          </w:p>
        </w:tc>
        <w:tc>
          <w:tcPr>
            <w:tcW w:w="1701" w:type="dxa"/>
            <w:shd w:val="clear" w:color="auto" w:fill="DDF3FA"/>
          </w:tcPr>
          <w:p w:rsidR="008B2560" w:rsidRPr="00711F2B" w:rsidRDefault="008B2560" w:rsidP="00711F2B">
            <w:pPr>
              <w:pStyle w:val="Tablecolumnheading"/>
            </w:pPr>
            <w:r w:rsidRPr="00711F2B">
              <w:t>2011</w:t>
            </w:r>
          </w:p>
        </w:tc>
        <w:tc>
          <w:tcPr>
            <w:tcW w:w="1843" w:type="dxa"/>
            <w:shd w:val="clear" w:color="auto" w:fill="DDF3FA"/>
          </w:tcPr>
          <w:p w:rsidR="008B2560" w:rsidRPr="00711F2B" w:rsidRDefault="008B2560" w:rsidP="00711F2B">
            <w:pPr>
              <w:pStyle w:val="Tablecolumnheading"/>
            </w:pPr>
            <w:r w:rsidRPr="00711F2B">
              <w:t>2014</w:t>
            </w:r>
          </w:p>
        </w:tc>
      </w:tr>
      <w:tr w:rsidR="008B2560" w:rsidRPr="00DA399B" w:rsidTr="00167104">
        <w:tc>
          <w:tcPr>
            <w:tcW w:w="2268" w:type="dxa"/>
          </w:tcPr>
          <w:p w:rsidR="008B2560" w:rsidRPr="00DA399B" w:rsidRDefault="008B2560" w:rsidP="00711F2B">
            <w:pPr>
              <w:pStyle w:val="Tablebodytext"/>
            </w:pPr>
            <w:r w:rsidRPr="00DA399B">
              <w:t>– Contributors</w:t>
            </w:r>
          </w:p>
        </w:tc>
        <w:tc>
          <w:tcPr>
            <w:tcW w:w="1701" w:type="dxa"/>
            <w:vAlign w:val="center"/>
          </w:tcPr>
          <w:p w:rsidR="008B2560" w:rsidRPr="00DA399B" w:rsidRDefault="008B2560" w:rsidP="00711F2B">
            <w:pPr>
              <w:pStyle w:val="Tablebodytext"/>
            </w:pPr>
            <w:r w:rsidRPr="00DA399B">
              <w:t>26.5</w:t>
            </w:r>
          </w:p>
        </w:tc>
        <w:tc>
          <w:tcPr>
            <w:tcW w:w="1701" w:type="dxa"/>
            <w:vAlign w:val="center"/>
          </w:tcPr>
          <w:p w:rsidR="008B2560" w:rsidRPr="00DA399B" w:rsidRDefault="008B2560" w:rsidP="00711F2B">
            <w:pPr>
              <w:pStyle w:val="Tablebodytext"/>
            </w:pPr>
            <w:r w:rsidRPr="00DA399B">
              <w:t>30.5</w:t>
            </w:r>
          </w:p>
        </w:tc>
        <w:tc>
          <w:tcPr>
            <w:tcW w:w="1843" w:type="dxa"/>
            <w:vAlign w:val="center"/>
          </w:tcPr>
          <w:p w:rsidR="008B2560" w:rsidRPr="00DA399B" w:rsidRDefault="008B2560" w:rsidP="00711F2B">
            <w:pPr>
              <w:pStyle w:val="Tablebodytext"/>
            </w:pPr>
            <w:r w:rsidRPr="00DA399B">
              <w:t>35.0</w:t>
            </w:r>
          </w:p>
        </w:tc>
      </w:tr>
      <w:tr w:rsidR="008B2560" w:rsidRPr="00DA399B" w:rsidTr="00167104">
        <w:tc>
          <w:tcPr>
            <w:tcW w:w="2268" w:type="dxa"/>
          </w:tcPr>
          <w:p w:rsidR="008B2560" w:rsidRPr="00DA399B" w:rsidRDefault="008B2560" w:rsidP="00711F2B">
            <w:pPr>
              <w:pStyle w:val="Tablebodytext"/>
            </w:pPr>
            <w:r w:rsidRPr="00DA399B">
              <w:t>– Pensioners</w:t>
            </w:r>
          </w:p>
        </w:tc>
        <w:tc>
          <w:tcPr>
            <w:tcW w:w="1701" w:type="dxa"/>
            <w:vAlign w:val="center"/>
          </w:tcPr>
          <w:p w:rsidR="008B2560" w:rsidRPr="00DA399B" w:rsidRDefault="008B2560" w:rsidP="00711F2B">
            <w:pPr>
              <w:pStyle w:val="Tablebodytext"/>
            </w:pPr>
            <w:r w:rsidRPr="00DA399B">
              <w:t>44.6</w:t>
            </w:r>
          </w:p>
        </w:tc>
        <w:tc>
          <w:tcPr>
            <w:tcW w:w="1701" w:type="dxa"/>
            <w:vAlign w:val="center"/>
          </w:tcPr>
          <w:p w:rsidR="008B2560" w:rsidRPr="00DA399B" w:rsidRDefault="008B2560" w:rsidP="00711F2B">
            <w:pPr>
              <w:pStyle w:val="Tablebodytext"/>
            </w:pPr>
            <w:r w:rsidRPr="00DA399B">
              <w:t>53.8</w:t>
            </w:r>
          </w:p>
        </w:tc>
        <w:tc>
          <w:tcPr>
            <w:tcW w:w="1843" w:type="dxa"/>
            <w:vAlign w:val="center"/>
          </w:tcPr>
          <w:p w:rsidR="008B2560" w:rsidRPr="00DA399B" w:rsidRDefault="008B2560" w:rsidP="00711F2B">
            <w:pPr>
              <w:pStyle w:val="Tablebodytext"/>
            </w:pPr>
            <w:r w:rsidRPr="00DA399B">
              <w:t>65.5</w:t>
            </w:r>
          </w:p>
        </w:tc>
      </w:tr>
      <w:tr w:rsidR="008B2560" w:rsidRPr="00DA399B" w:rsidTr="00167104">
        <w:tc>
          <w:tcPr>
            <w:tcW w:w="2268" w:type="dxa"/>
          </w:tcPr>
          <w:p w:rsidR="008B2560" w:rsidRPr="00DA399B" w:rsidRDefault="008B2560" w:rsidP="00711F2B">
            <w:pPr>
              <w:pStyle w:val="Tablebodytext"/>
            </w:pPr>
            <w:r w:rsidRPr="00DA399B">
              <w:t>– Preserved Members</w:t>
            </w:r>
          </w:p>
        </w:tc>
        <w:tc>
          <w:tcPr>
            <w:tcW w:w="1701" w:type="dxa"/>
            <w:vAlign w:val="center"/>
          </w:tcPr>
          <w:p w:rsidR="008B2560" w:rsidRPr="00DA399B" w:rsidRDefault="008B2560" w:rsidP="00711F2B">
            <w:pPr>
              <w:pStyle w:val="Tablebodytext"/>
            </w:pPr>
            <w:r w:rsidRPr="00DA399B">
              <w:t>9.0</w:t>
            </w:r>
          </w:p>
        </w:tc>
        <w:tc>
          <w:tcPr>
            <w:tcW w:w="1701" w:type="dxa"/>
            <w:vAlign w:val="center"/>
          </w:tcPr>
          <w:p w:rsidR="008B2560" w:rsidRPr="00DA399B" w:rsidRDefault="008B2560" w:rsidP="00711F2B">
            <w:pPr>
              <w:pStyle w:val="Tablebodytext"/>
            </w:pPr>
            <w:r w:rsidRPr="00DA399B">
              <w:t>8.7</w:t>
            </w:r>
          </w:p>
        </w:tc>
        <w:tc>
          <w:tcPr>
            <w:tcW w:w="1843" w:type="dxa"/>
            <w:vAlign w:val="center"/>
          </w:tcPr>
          <w:p w:rsidR="008B2560" w:rsidRPr="00DA399B" w:rsidRDefault="008B2560" w:rsidP="00711F2B">
            <w:pPr>
              <w:pStyle w:val="Tablebodytext"/>
            </w:pPr>
            <w:r w:rsidRPr="00DA399B">
              <w:t>9.3</w:t>
            </w:r>
          </w:p>
        </w:tc>
      </w:tr>
      <w:tr w:rsidR="008B2560" w:rsidRPr="00DA399B" w:rsidTr="00167104">
        <w:tc>
          <w:tcPr>
            <w:tcW w:w="2268" w:type="dxa"/>
          </w:tcPr>
          <w:p w:rsidR="008B2560" w:rsidRPr="00711F2B" w:rsidRDefault="008B2560" w:rsidP="00711F2B">
            <w:pPr>
              <w:pStyle w:val="Tablebodytext"/>
              <w:rPr>
                <w:b/>
                <w:bCs/>
                <w:iCs/>
              </w:rPr>
            </w:pPr>
            <w:r w:rsidRPr="00711F2B">
              <w:rPr>
                <w:b/>
                <w:bCs/>
                <w:iCs/>
              </w:rPr>
              <w:t>Unfunded Liability</w:t>
            </w:r>
          </w:p>
        </w:tc>
        <w:tc>
          <w:tcPr>
            <w:tcW w:w="1701" w:type="dxa"/>
            <w:vAlign w:val="center"/>
          </w:tcPr>
          <w:p w:rsidR="008B2560" w:rsidRPr="00DA399B" w:rsidRDefault="008B2560" w:rsidP="00711F2B">
            <w:pPr>
              <w:pStyle w:val="Tablebodytext"/>
              <w:rPr>
                <w:b/>
              </w:rPr>
            </w:pPr>
            <w:r w:rsidRPr="00DA399B">
              <w:rPr>
                <w:b/>
              </w:rPr>
              <w:t>80.1</w:t>
            </w:r>
          </w:p>
        </w:tc>
        <w:tc>
          <w:tcPr>
            <w:tcW w:w="1701" w:type="dxa"/>
            <w:vAlign w:val="center"/>
          </w:tcPr>
          <w:p w:rsidR="008B2560" w:rsidRPr="00DA399B" w:rsidRDefault="008B2560" w:rsidP="00711F2B">
            <w:pPr>
              <w:pStyle w:val="Tablebodytext"/>
              <w:rPr>
                <w:b/>
              </w:rPr>
            </w:pPr>
            <w:r w:rsidRPr="00DA399B">
              <w:rPr>
                <w:b/>
              </w:rPr>
              <w:t>93.0</w:t>
            </w:r>
          </w:p>
        </w:tc>
        <w:tc>
          <w:tcPr>
            <w:tcW w:w="1843" w:type="dxa"/>
            <w:vAlign w:val="center"/>
          </w:tcPr>
          <w:p w:rsidR="008B2560" w:rsidRPr="00DA399B" w:rsidRDefault="008B2560" w:rsidP="00711F2B">
            <w:pPr>
              <w:pStyle w:val="Tablebodytext"/>
              <w:rPr>
                <w:b/>
              </w:rPr>
            </w:pPr>
            <w:r w:rsidRPr="00DA399B">
              <w:rPr>
                <w:b/>
              </w:rPr>
              <w:t>109.8</w:t>
            </w:r>
          </w:p>
        </w:tc>
      </w:tr>
      <w:tr w:rsidR="008B2560" w:rsidRPr="00DA399B" w:rsidTr="00167104">
        <w:tc>
          <w:tcPr>
            <w:tcW w:w="2268" w:type="dxa"/>
          </w:tcPr>
          <w:p w:rsidR="008B2560" w:rsidRPr="00711F2B" w:rsidRDefault="008B2560" w:rsidP="00711F2B">
            <w:pPr>
              <w:pStyle w:val="Tablebodytext"/>
              <w:rPr>
                <w:b/>
                <w:bCs/>
                <w:iCs/>
              </w:rPr>
            </w:pPr>
            <w:r w:rsidRPr="00711F2B">
              <w:rPr>
                <w:b/>
                <w:bCs/>
                <w:iCs/>
              </w:rPr>
              <w:t>Total Unfunded Liability (as a percentage of GDP)</w:t>
            </w:r>
          </w:p>
        </w:tc>
        <w:tc>
          <w:tcPr>
            <w:tcW w:w="1701" w:type="dxa"/>
            <w:vAlign w:val="center"/>
          </w:tcPr>
          <w:p w:rsidR="008B2560" w:rsidRPr="00DA399B" w:rsidRDefault="008B2560" w:rsidP="00711F2B">
            <w:pPr>
              <w:pStyle w:val="Tablebodytext"/>
              <w:rPr>
                <w:b/>
              </w:rPr>
            </w:pPr>
            <w:r w:rsidRPr="00DA399B">
              <w:rPr>
                <w:b/>
              </w:rPr>
              <w:t>6.6%</w:t>
            </w:r>
          </w:p>
        </w:tc>
        <w:tc>
          <w:tcPr>
            <w:tcW w:w="1701" w:type="dxa"/>
            <w:vAlign w:val="center"/>
          </w:tcPr>
          <w:p w:rsidR="008B2560" w:rsidRPr="00DA399B" w:rsidRDefault="008B2560" w:rsidP="00711F2B">
            <w:pPr>
              <w:pStyle w:val="Tablebodytext"/>
              <w:rPr>
                <w:b/>
              </w:rPr>
            </w:pPr>
            <w:r w:rsidRPr="00DA399B">
              <w:rPr>
                <w:b/>
              </w:rPr>
              <w:t>6.3%</w:t>
            </w:r>
          </w:p>
        </w:tc>
        <w:tc>
          <w:tcPr>
            <w:tcW w:w="1843" w:type="dxa"/>
            <w:vAlign w:val="center"/>
          </w:tcPr>
          <w:p w:rsidR="008B2560" w:rsidRPr="00DA399B" w:rsidRDefault="008B2560" w:rsidP="00711F2B">
            <w:pPr>
              <w:pStyle w:val="Tablebodytext"/>
              <w:rPr>
                <w:b/>
              </w:rPr>
            </w:pPr>
            <w:r w:rsidRPr="00DA399B">
              <w:rPr>
                <w:b/>
              </w:rPr>
              <w:t>6.9%</w:t>
            </w:r>
          </w:p>
        </w:tc>
      </w:tr>
    </w:tbl>
    <w:p w:rsidR="008B2560" w:rsidRPr="000C7E11" w:rsidRDefault="008B2560" w:rsidP="00711F2B">
      <w:pPr>
        <w:pStyle w:val="Sourcenotetext"/>
      </w:pPr>
      <w:r w:rsidRPr="000C7E11">
        <w:t>Note:</w:t>
      </w:r>
      <w:r w:rsidR="00ED3831" w:rsidRPr="000C7E11">
        <w:t xml:space="preserve"> </w:t>
      </w:r>
      <w:r w:rsidRPr="000C7E11">
        <w:t>The prior year figures have not been adjusted to 2014 dollars.</w:t>
      </w:r>
    </w:p>
    <w:p w:rsidR="008B2560" w:rsidRDefault="008B2560" w:rsidP="00266A7E">
      <w:pPr>
        <w:pStyle w:val="Numberedpara1stindent"/>
        <w:spacing w:after="120"/>
      </w:pPr>
      <w:r w:rsidRPr="00DA399B">
        <w:t>The table below shows the total Unfunded Liabilities as at 30 June 2014 split between the PSS and CSS:</w:t>
      </w:r>
    </w:p>
    <w:p w:rsidR="00A3590E" w:rsidRPr="00DA399B" w:rsidRDefault="00A3590E" w:rsidP="00241DF9">
      <w:pPr>
        <w:pStyle w:val="Heading4nonumbers"/>
      </w:pPr>
      <w:r w:rsidRPr="00711F2B">
        <w:t xml:space="preserve">Estimate of Unfunded Liability for the PSS and CSS </w:t>
      </w:r>
      <w:r w:rsidR="00770E40">
        <w:br/>
      </w:r>
      <w:r w:rsidRPr="00711F2B">
        <w:t>as at 30 June 2014 ($ billions)</w:t>
      </w:r>
    </w:p>
    <w:tbl>
      <w:tblPr>
        <w:tblW w:w="7513" w:type="dxa"/>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68"/>
        <w:gridCol w:w="1701"/>
        <w:gridCol w:w="1701"/>
        <w:gridCol w:w="1843"/>
      </w:tblGrid>
      <w:tr w:rsidR="008B2560" w:rsidRPr="00DA399B" w:rsidTr="00167104">
        <w:tc>
          <w:tcPr>
            <w:tcW w:w="2268" w:type="dxa"/>
            <w:shd w:val="clear" w:color="auto" w:fill="DDF3FA"/>
          </w:tcPr>
          <w:p w:rsidR="008B2560" w:rsidRPr="00711F2B" w:rsidRDefault="008B2560" w:rsidP="00711F2B">
            <w:pPr>
              <w:pStyle w:val="Tablecolumnheading"/>
            </w:pPr>
            <w:r w:rsidRPr="00711F2B">
              <w:t>Liability for</w:t>
            </w:r>
          </w:p>
        </w:tc>
        <w:tc>
          <w:tcPr>
            <w:tcW w:w="1701" w:type="dxa"/>
            <w:shd w:val="clear" w:color="auto" w:fill="DDF3FA"/>
          </w:tcPr>
          <w:p w:rsidR="008B2560" w:rsidRPr="00711F2B" w:rsidRDefault="008B2560" w:rsidP="00711F2B">
            <w:pPr>
              <w:pStyle w:val="Tablecolumnheading"/>
            </w:pPr>
            <w:r w:rsidRPr="00711F2B">
              <w:t>PSS</w:t>
            </w:r>
          </w:p>
        </w:tc>
        <w:tc>
          <w:tcPr>
            <w:tcW w:w="1701" w:type="dxa"/>
            <w:shd w:val="clear" w:color="auto" w:fill="DDF3FA"/>
          </w:tcPr>
          <w:p w:rsidR="008B2560" w:rsidRPr="00711F2B" w:rsidRDefault="008B2560" w:rsidP="00711F2B">
            <w:pPr>
              <w:pStyle w:val="Tablecolumnheading"/>
            </w:pPr>
            <w:r w:rsidRPr="00711F2B">
              <w:t>CSS</w:t>
            </w:r>
          </w:p>
        </w:tc>
        <w:tc>
          <w:tcPr>
            <w:tcW w:w="1843" w:type="dxa"/>
            <w:shd w:val="clear" w:color="auto" w:fill="DDF3FA"/>
          </w:tcPr>
          <w:p w:rsidR="008B2560" w:rsidRPr="00711F2B" w:rsidRDefault="008B2560" w:rsidP="00711F2B">
            <w:pPr>
              <w:pStyle w:val="Tablecolumnheading"/>
            </w:pPr>
            <w:r w:rsidRPr="00711F2B">
              <w:t>Total</w:t>
            </w:r>
          </w:p>
        </w:tc>
      </w:tr>
      <w:tr w:rsidR="008B2560" w:rsidRPr="00DA399B" w:rsidTr="00167104">
        <w:tc>
          <w:tcPr>
            <w:tcW w:w="2268" w:type="dxa"/>
            <w:tcBorders>
              <w:bottom w:val="single" w:sz="2" w:space="0" w:color="A7B4BE"/>
            </w:tcBorders>
          </w:tcPr>
          <w:p w:rsidR="008B2560" w:rsidRPr="00DA399B" w:rsidRDefault="008B2560" w:rsidP="00711F2B">
            <w:pPr>
              <w:pStyle w:val="Tablebodytext"/>
            </w:pPr>
            <w:r w:rsidRPr="00DA399B">
              <w:t>– Contributors</w:t>
            </w:r>
          </w:p>
        </w:tc>
        <w:tc>
          <w:tcPr>
            <w:tcW w:w="1701" w:type="dxa"/>
            <w:tcBorders>
              <w:bottom w:val="single" w:sz="2" w:space="0" w:color="A7B4BE"/>
            </w:tcBorders>
            <w:vAlign w:val="center"/>
          </w:tcPr>
          <w:p w:rsidR="008B2560" w:rsidRPr="00DA399B" w:rsidRDefault="008B2560" w:rsidP="00711F2B">
            <w:pPr>
              <w:pStyle w:val="Tablebodytext"/>
            </w:pPr>
            <w:r w:rsidRPr="00DA399B">
              <w:t>25.8</w:t>
            </w:r>
          </w:p>
        </w:tc>
        <w:tc>
          <w:tcPr>
            <w:tcW w:w="1701" w:type="dxa"/>
            <w:tcBorders>
              <w:bottom w:val="single" w:sz="2" w:space="0" w:color="A7B4BE"/>
            </w:tcBorders>
            <w:vAlign w:val="center"/>
          </w:tcPr>
          <w:p w:rsidR="008B2560" w:rsidRPr="00DA399B" w:rsidRDefault="008B2560" w:rsidP="00711F2B">
            <w:pPr>
              <w:pStyle w:val="Tablebodytext"/>
            </w:pPr>
            <w:r w:rsidRPr="00DA399B">
              <w:t>9.2</w:t>
            </w:r>
          </w:p>
        </w:tc>
        <w:tc>
          <w:tcPr>
            <w:tcW w:w="1843" w:type="dxa"/>
            <w:tcBorders>
              <w:bottom w:val="single" w:sz="2" w:space="0" w:color="A7B4BE"/>
            </w:tcBorders>
            <w:vAlign w:val="center"/>
          </w:tcPr>
          <w:p w:rsidR="008B2560" w:rsidRPr="00DA399B" w:rsidRDefault="008B2560" w:rsidP="00711F2B">
            <w:pPr>
              <w:pStyle w:val="Tablebodytext"/>
            </w:pPr>
            <w:r w:rsidRPr="00DA399B">
              <w:t>35.0</w:t>
            </w:r>
          </w:p>
        </w:tc>
      </w:tr>
      <w:tr w:rsidR="008B2560" w:rsidRPr="00DA399B" w:rsidTr="00167104">
        <w:tc>
          <w:tcPr>
            <w:tcW w:w="2268" w:type="dxa"/>
            <w:tcBorders>
              <w:left w:val="nil"/>
              <w:bottom w:val="nil"/>
              <w:right w:val="single" w:sz="6" w:space="0" w:color="A7B4BE"/>
            </w:tcBorders>
          </w:tcPr>
          <w:p w:rsidR="008B2560" w:rsidRPr="00DA399B" w:rsidRDefault="008B2560" w:rsidP="00711F2B">
            <w:pPr>
              <w:pStyle w:val="Tablebodytext"/>
            </w:pPr>
            <w:r w:rsidRPr="00DA399B">
              <w:t>– Pensioners:</w:t>
            </w:r>
          </w:p>
        </w:tc>
        <w:tc>
          <w:tcPr>
            <w:tcW w:w="1701" w:type="dxa"/>
            <w:tcBorders>
              <w:left w:val="single" w:sz="6" w:space="0" w:color="A7B4BE"/>
              <w:bottom w:val="nil"/>
              <w:right w:val="single" w:sz="6" w:space="0" w:color="A7B4BE"/>
            </w:tcBorders>
            <w:vAlign w:val="center"/>
          </w:tcPr>
          <w:p w:rsidR="008B2560" w:rsidRPr="00DA399B" w:rsidRDefault="008B2560" w:rsidP="00711F2B">
            <w:pPr>
              <w:pStyle w:val="Tablebodytext"/>
            </w:pPr>
          </w:p>
        </w:tc>
        <w:tc>
          <w:tcPr>
            <w:tcW w:w="1701" w:type="dxa"/>
            <w:tcBorders>
              <w:left w:val="single" w:sz="6" w:space="0" w:color="A7B4BE"/>
              <w:bottom w:val="nil"/>
              <w:right w:val="single" w:sz="6" w:space="0" w:color="A7B4BE"/>
            </w:tcBorders>
            <w:vAlign w:val="center"/>
          </w:tcPr>
          <w:p w:rsidR="008B2560" w:rsidRPr="00DA399B" w:rsidRDefault="008B2560" w:rsidP="00711F2B">
            <w:pPr>
              <w:pStyle w:val="Tablebodytext"/>
            </w:pPr>
          </w:p>
        </w:tc>
        <w:tc>
          <w:tcPr>
            <w:tcW w:w="1843" w:type="dxa"/>
            <w:tcBorders>
              <w:left w:val="single" w:sz="6" w:space="0" w:color="A7B4BE"/>
              <w:bottom w:val="nil"/>
              <w:right w:val="nil"/>
            </w:tcBorders>
            <w:vAlign w:val="center"/>
          </w:tcPr>
          <w:p w:rsidR="008B2560" w:rsidRPr="00DA399B" w:rsidRDefault="008B2560" w:rsidP="00711F2B">
            <w:pPr>
              <w:pStyle w:val="Tablebodytext"/>
            </w:pPr>
          </w:p>
        </w:tc>
      </w:tr>
      <w:tr w:rsidR="008B2560" w:rsidRPr="00DA399B" w:rsidTr="00167104">
        <w:tc>
          <w:tcPr>
            <w:tcW w:w="2268" w:type="dxa"/>
            <w:tcBorders>
              <w:top w:val="nil"/>
              <w:left w:val="nil"/>
              <w:bottom w:val="nil"/>
              <w:right w:val="single" w:sz="6" w:space="0" w:color="A7B4BE"/>
            </w:tcBorders>
          </w:tcPr>
          <w:p w:rsidR="008B2560" w:rsidRPr="00DA399B" w:rsidRDefault="008B2560" w:rsidP="00711F2B">
            <w:pPr>
              <w:pStyle w:val="Tablebodytext"/>
              <w:rPr>
                <w:i/>
              </w:rPr>
            </w:pPr>
            <w:r w:rsidRPr="00DA399B">
              <w:rPr>
                <w:i/>
              </w:rPr>
              <w:t>1922 Pensioners</w:t>
            </w:r>
          </w:p>
        </w:tc>
        <w:tc>
          <w:tcPr>
            <w:tcW w:w="1701" w:type="dxa"/>
            <w:tcBorders>
              <w:top w:val="nil"/>
              <w:left w:val="single" w:sz="6" w:space="0" w:color="A7B4BE"/>
              <w:bottom w:val="nil"/>
              <w:right w:val="single" w:sz="6" w:space="0" w:color="A7B4BE"/>
            </w:tcBorders>
            <w:vAlign w:val="center"/>
          </w:tcPr>
          <w:p w:rsidR="008B2560" w:rsidRPr="00DA399B" w:rsidRDefault="008B2560" w:rsidP="00711F2B">
            <w:pPr>
              <w:pStyle w:val="Tablebodytext"/>
              <w:rPr>
                <w:i/>
              </w:rPr>
            </w:pPr>
            <w:r w:rsidRPr="00DA399B">
              <w:rPr>
                <w:i/>
              </w:rPr>
              <w:t>-</w:t>
            </w:r>
          </w:p>
        </w:tc>
        <w:tc>
          <w:tcPr>
            <w:tcW w:w="1701" w:type="dxa"/>
            <w:tcBorders>
              <w:top w:val="nil"/>
              <w:left w:val="single" w:sz="6" w:space="0" w:color="A7B4BE"/>
              <w:bottom w:val="nil"/>
              <w:right w:val="single" w:sz="6" w:space="0" w:color="A7B4BE"/>
            </w:tcBorders>
            <w:vAlign w:val="center"/>
          </w:tcPr>
          <w:p w:rsidR="008B2560" w:rsidRPr="00DA399B" w:rsidRDefault="008B2560" w:rsidP="00711F2B">
            <w:pPr>
              <w:pStyle w:val="Tablebodytext"/>
              <w:rPr>
                <w:i/>
              </w:rPr>
            </w:pPr>
            <w:r w:rsidRPr="00DA399B">
              <w:rPr>
                <w:i/>
              </w:rPr>
              <w:t>0.7</w:t>
            </w:r>
          </w:p>
        </w:tc>
        <w:tc>
          <w:tcPr>
            <w:tcW w:w="1843" w:type="dxa"/>
            <w:tcBorders>
              <w:top w:val="nil"/>
              <w:left w:val="single" w:sz="6" w:space="0" w:color="A7B4BE"/>
              <w:bottom w:val="nil"/>
              <w:right w:val="nil"/>
            </w:tcBorders>
            <w:vAlign w:val="center"/>
          </w:tcPr>
          <w:p w:rsidR="008B2560" w:rsidRPr="00DA399B" w:rsidRDefault="008B2560" w:rsidP="00711F2B">
            <w:pPr>
              <w:pStyle w:val="Tablebodytext"/>
              <w:rPr>
                <w:i/>
              </w:rPr>
            </w:pPr>
            <w:r w:rsidRPr="00DA399B">
              <w:rPr>
                <w:i/>
              </w:rPr>
              <w:t>0.7</w:t>
            </w:r>
          </w:p>
        </w:tc>
      </w:tr>
      <w:tr w:rsidR="008B2560" w:rsidRPr="00DA399B" w:rsidTr="00167104">
        <w:tc>
          <w:tcPr>
            <w:tcW w:w="2268" w:type="dxa"/>
            <w:tcBorders>
              <w:top w:val="nil"/>
              <w:left w:val="nil"/>
              <w:bottom w:val="nil"/>
              <w:right w:val="single" w:sz="6" w:space="0" w:color="A7B4BE"/>
            </w:tcBorders>
          </w:tcPr>
          <w:p w:rsidR="008B2560" w:rsidRPr="00DA399B" w:rsidRDefault="008B2560" w:rsidP="00711F2B">
            <w:pPr>
              <w:pStyle w:val="Tablebodytext"/>
              <w:rPr>
                <w:i/>
              </w:rPr>
            </w:pPr>
            <w:r w:rsidRPr="00DA399B">
              <w:rPr>
                <w:i/>
              </w:rPr>
              <w:t>1976 Pensioners</w:t>
            </w:r>
          </w:p>
        </w:tc>
        <w:tc>
          <w:tcPr>
            <w:tcW w:w="1701" w:type="dxa"/>
            <w:tcBorders>
              <w:top w:val="nil"/>
              <w:left w:val="single" w:sz="6" w:space="0" w:color="A7B4BE"/>
              <w:bottom w:val="nil"/>
              <w:right w:val="single" w:sz="6" w:space="0" w:color="A7B4BE"/>
            </w:tcBorders>
            <w:vAlign w:val="center"/>
          </w:tcPr>
          <w:p w:rsidR="008B2560" w:rsidRPr="00DA399B" w:rsidRDefault="008B2560" w:rsidP="00711F2B">
            <w:pPr>
              <w:pStyle w:val="Tablebodytext"/>
              <w:rPr>
                <w:i/>
              </w:rPr>
            </w:pPr>
            <w:r w:rsidRPr="00DA399B">
              <w:rPr>
                <w:i/>
              </w:rPr>
              <w:t>-</w:t>
            </w:r>
          </w:p>
        </w:tc>
        <w:tc>
          <w:tcPr>
            <w:tcW w:w="1701" w:type="dxa"/>
            <w:tcBorders>
              <w:top w:val="nil"/>
              <w:left w:val="single" w:sz="6" w:space="0" w:color="A7B4BE"/>
              <w:bottom w:val="nil"/>
              <w:right w:val="single" w:sz="6" w:space="0" w:color="A7B4BE"/>
            </w:tcBorders>
            <w:vAlign w:val="center"/>
          </w:tcPr>
          <w:p w:rsidR="008B2560" w:rsidRPr="00DA399B" w:rsidRDefault="008B2560" w:rsidP="00711F2B">
            <w:pPr>
              <w:pStyle w:val="Tablebodytext"/>
              <w:rPr>
                <w:i/>
              </w:rPr>
            </w:pPr>
            <w:r w:rsidRPr="00DA399B">
              <w:rPr>
                <w:i/>
              </w:rPr>
              <w:t>48.8</w:t>
            </w:r>
          </w:p>
        </w:tc>
        <w:tc>
          <w:tcPr>
            <w:tcW w:w="1843" w:type="dxa"/>
            <w:tcBorders>
              <w:top w:val="nil"/>
              <w:left w:val="single" w:sz="6" w:space="0" w:color="A7B4BE"/>
              <w:bottom w:val="nil"/>
              <w:right w:val="nil"/>
            </w:tcBorders>
            <w:vAlign w:val="center"/>
          </w:tcPr>
          <w:p w:rsidR="008B2560" w:rsidRPr="00DA399B" w:rsidRDefault="008B2560" w:rsidP="00711F2B">
            <w:pPr>
              <w:pStyle w:val="Tablebodytext"/>
              <w:rPr>
                <w:i/>
              </w:rPr>
            </w:pPr>
            <w:r w:rsidRPr="00DA399B">
              <w:rPr>
                <w:i/>
              </w:rPr>
              <w:t>48.8</w:t>
            </w:r>
          </w:p>
        </w:tc>
      </w:tr>
      <w:tr w:rsidR="008B2560" w:rsidRPr="00DA399B" w:rsidTr="00167104">
        <w:tc>
          <w:tcPr>
            <w:tcW w:w="2268" w:type="dxa"/>
            <w:tcBorders>
              <w:top w:val="nil"/>
              <w:left w:val="nil"/>
              <w:bottom w:val="nil"/>
              <w:right w:val="single" w:sz="6" w:space="0" w:color="A7B4BE"/>
            </w:tcBorders>
          </w:tcPr>
          <w:p w:rsidR="008B2560" w:rsidRPr="00DA399B" w:rsidRDefault="008B2560" w:rsidP="00711F2B">
            <w:pPr>
              <w:pStyle w:val="Tablebodytext"/>
              <w:rPr>
                <w:i/>
              </w:rPr>
            </w:pPr>
            <w:r w:rsidRPr="00DA399B">
              <w:rPr>
                <w:i/>
              </w:rPr>
              <w:t>1990 Pensioners</w:t>
            </w:r>
          </w:p>
        </w:tc>
        <w:tc>
          <w:tcPr>
            <w:tcW w:w="1701" w:type="dxa"/>
            <w:tcBorders>
              <w:top w:val="nil"/>
              <w:left w:val="single" w:sz="6" w:space="0" w:color="A7B4BE"/>
              <w:bottom w:val="nil"/>
              <w:right w:val="single" w:sz="6" w:space="0" w:color="A7B4BE"/>
            </w:tcBorders>
            <w:vAlign w:val="center"/>
          </w:tcPr>
          <w:p w:rsidR="008B2560" w:rsidRPr="00DA399B" w:rsidRDefault="008B2560" w:rsidP="00711F2B">
            <w:pPr>
              <w:pStyle w:val="Tablebodytext"/>
              <w:rPr>
                <w:i/>
              </w:rPr>
            </w:pPr>
            <w:r w:rsidRPr="00DA399B">
              <w:rPr>
                <w:i/>
              </w:rPr>
              <w:t>16.0</w:t>
            </w:r>
          </w:p>
        </w:tc>
        <w:tc>
          <w:tcPr>
            <w:tcW w:w="1701" w:type="dxa"/>
            <w:tcBorders>
              <w:top w:val="nil"/>
              <w:left w:val="single" w:sz="6" w:space="0" w:color="A7B4BE"/>
              <w:bottom w:val="nil"/>
              <w:right w:val="single" w:sz="6" w:space="0" w:color="A7B4BE"/>
            </w:tcBorders>
            <w:vAlign w:val="center"/>
          </w:tcPr>
          <w:p w:rsidR="008B2560" w:rsidRPr="00DA399B" w:rsidRDefault="008B2560" w:rsidP="00711F2B">
            <w:pPr>
              <w:pStyle w:val="Tablebodytext"/>
              <w:rPr>
                <w:i/>
              </w:rPr>
            </w:pPr>
            <w:r w:rsidRPr="00DA399B">
              <w:rPr>
                <w:i/>
              </w:rPr>
              <w:t>-</w:t>
            </w:r>
          </w:p>
        </w:tc>
        <w:tc>
          <w:tcPr>
            <w:tcW w:w="1843" w:type="dxa"/>
            <w:tcBorders>
              <w:top w:val="nil"/>
              <w:left w:val="single" w:sz="6" w:space="0" w:color="A7B4BE"/>
              <w:bottom w:val="nil"/>
              <w:right w:val="nil"/>
            </w:tcBorders>
            <w:vAlign w:val="center"/>
          </w:tcPr>
          <w:p w:rsidR="008B2560" w:rsidRPr="00DA399B" w:rsidRDefault="008B2560" w:rsidP="00711F2B">
            <w:pPr>
              <w:pStyle w:val="Tablebodytext"/>
              <w:rPr>
                <w:i/>
              </w:rPr>
            </w:pPr>
            <w:r w:rsidRPr="00DA399B">
              <w:rPr>
                <w:i/>
              </w:rPr>
              <w:t>16.0</w:t>
            </w:r>
          </w:p>
        </w:tc>
      </w:tr>
      <w:tr w:rsidR="008B2560" w:rsidRPr="00DA399B" w:rsidTr="00167104">
        <w:tc>
          <w:tcPr>
            <w:tcW w:w="2268" w:type="dxa"/>
            <w:tcBorders>
              <w:top w:val="nil"/>
              <w:left w:val="nil"/>
              <w:right w:val="single" w:sz="6" w:space="0" w:color="A7B4BE"/>
            </w:tcBorders>
          </w:tcPr>
          <w:p w:rsidR="008B2560" w:rsidRPr="00DA399B" w:rsidRDefault="008B2560" w:rsidP="00711F2B">
            <w:pPr>
              <w:pStyle w:val="Tablebodytext"/>
            </w:pPr>
            <w:r w:rsidRPr="00DA399B">
              <w:t>– Total pensioners</w:t>
            </w:r>
          </w:p>
        </w:tc>
        <w:tc>
          <w:tcPr>
            <w:tcW w:w="1701" w:type="dxa"/>
            <w:tcBorders>
              <w:top w:val="nil"/>
              <w:left w:val="single" w:sz="6" w:space="0" w:color="A7B4BE"/>
              <w:right w:val="single" w:sz="6" w:space="0" w:color="A7B4BE"/>
            </w:tcBorders>
            <w:vAlign w:val="center"/>
          </w:tcPr>
          <w:p w:rsidR="008B2560" w:rsidRPr="00DA399B" w:rsidRDefault="008B2560" w:rsidP="00711F2B">
            <w:pPr>
              <w:pStyle w:val="Tablebodytext"/>
            </w:pPr>
            <w:r w:rsidRPr="00DA399B">
              <w:t>16.0</w:t>
            </w:r>
          </w:p>
        </w:tc>
        <w:tc>
          <w:tcPr>
            <w:tcW w:w="1701" w:type="dxa"/>
            <w:tcBorders>
              <w:top w:val="nil"/>
              <w:left w:val="single" w:sz="6" w:space="0" w:color="A7B4BE"/>
              <w:right w:val="single" w:sz="6" w:space="0" w:color="A7B4BE"/>
            </w:tcBorders>
            <w:vAlign w:val="center"/>
          </w:tcPr>
          <w:p w:rsidR="008B2560" w:rsidRPr="00DA399B" w:rsidRDefault="008B2560" w:rsidP="00711F2B">
            <w:pPr>
              <w:pStyle w:val="Tablebodytext"/>
            </w:pPr>
            <w:r w:rsidRPr="00DA399B">
              <w:t>49.5</w:t>
            </w:r>
          </w:p>
        </w:tc>
        <w:tc>
          <w:tcPr>
            <w:tcW w:w="1843" w:type="dxa"/>
            <w:tcBorders>
              <w:top w:val="nil"/>
              <w:left w:val="single" w:sz="6" w:space="0" w:color="A7B4BE"/>
              <w:right w:val="nil"/>
            </w:tcBorders>
            <w:vAlign w:val="center"/>
          </w:tcPr>
          <w:p w:rsidR="008B2560" w:rsidRPr="00DA399B" w:rsidRDefault="008B2560" w:rsidP="00711F2B">
            <w:pPr>
              <w:pStyle w:val="Tablebodytext"/>
            </w:pPr>
            <w:r w:rsidRPr="00DA399B">
              <w:t>65.5</w:t>
            </w:r>
          </w:p>
        </w:tc>
      </w:tr>
      <w:tr w:rsidR="008B2560" w:rsidRPr="00DA399B" w:rsidTr="00167104">
        <w:tc>
          <w:tcPr>
            <w:tcW w:w="2268" w:type="dxa"/>
          </w:tcPr>
          <w:p w:rsidR="008B2560" w:rsidRPr="00711F2B" w:rsidRDefault="008B2560" w:rsidP="00711F2B">
            <w:pPr>
              <w:pStyle w:val="Tablebodytext"/>
              <w:rPr>
                <w:bCs/>
                <w:iCs/>
              </w:rPr>
            </w:pPr>
            <w:r w:rsidRPr="00711F2B">
              <w:rPr>
                <w:bCs/>
                <w:iCs/>
              </w:rPr>
              <w:t>– Preserved Members</w:t>
            </w:r>
          </w:p>
        </w:tc>
        <w:tc>
          <w:tcPr>
            <w:tcW w:w="1701" w:type="dxa"/>
            <w:vAlign w:val="center"/>
          </w:tcPr>
          <w:p w:rsidR="008B2560" w:rsidRPr="00DA399B" w:rsidRDefault="008B2560" w:rsidP="00711F2B">
            <w:pPr>
              <w:pStyle w:val="Tablebodytext"/>
            </w:pPr>
            <w:r w:rsidRPr="00DA399B">
              <w:t>5.1</w:t>
            </w:r>
          </w:p>
        </w:tc>
        <w:tc>
          <w:tcPr>
            <w:tcW w:w="1701" w:type="dxa"/>
            <w:vAlign w:val="center"/>
          </w:tcPr>
          <w:p w:rsidR="008B2560" w:rsidRPr="00DA399B" w:rsidRDefault="008B2560" w:rsidP="00711F2B">
            <w:pPr>
              <w:pStyle w:val="Tablebodytext"/>
            </w:pPr>
            <w:r w:rsidRPr="00DA399B">
              <w:t>4.2</w:t>
            </w:r>
          </w:p>
        </w:tc>
        <w:tc>
          <w:tcPr>
            <w:tcW w:w="1843" w:type="dxa"/>
            <w:vAlign w:val="center"/>
          </w:tcPr>
          <w:p w:rsidR="008B2560" w:rsidRPr="00DA399B" w:rsidRDefault="008B2560" w:rsidP="00711F2B">
            <w:pPr>
              <w:pStyle w:val="Tablebodytext"/>
            </w:pPr>
            <w:r w:rsidRPr="00DA399B">
              <w:t>9.3</w:t>
            </w:r>
          </w:p>
        </w:tc>
      </w:tr>
      <w:tr w:rsidR="008B2560" w:rsidRPr="00DA399B" w:rsidTr="00167104">
        <w:trPr>
          <w:trHeight w:val="332"/>
        </w:trPr>
        <w:tc>
          <w:tcPr>
            <w:tcW w:w="2268" w:type="dxa"/>
            <w:vAlign w:val="center"/>
          </w:tcPr>
          <w:p w:rsidR="008B2560" w:rsidRPr="00711F2B" w:rsidRDefault="008B2560" w:rsidP="00711F2B">
            <w:pPr>
              <w:pStyle w:val="Tablebodytext"/>
              <w:rPr>
                <w:b/>
                <w:bCs/>
                <w:iCs/>
              </w:rPr>
            </w:pPr>
            <w:r w:rsidRPr="00711F2B">
              <w:rPr>
                <w:b/>
                <w:bCs/>
                <w:iCs/>
              </w:rPr>
              <w:t>Unfunded Liability</w:t>
            </w:r>
          </w:p>
        </w:tc>
        <w:tc>
          <w:tcPr>
            <w:tcW w:w="1701" w:type="dxa"/>
            <w:vAlign w:val="center"/>
          </w:tcPr>
          <w:p w:rsidR="008B2560" w:rsidRPr="00711F2B" w:rsidRDefault="008B2560" w:rsidP="00711F2B">
            <w:pPr>
              <w:pStyle w:val="Tablebodytext"/>
              <w:rPr>
                <w:b/>
              </w:rPr>
            </w:pPr>
            <w:r w:rsidRPr="00711F2B">
              <w:rPr>
                <w:b/>
              </w:rPr>
              <w:t>46.9</w:t>
            </w:r>
          </w:p>
        </w:tc>
        <w:tc>
          <w:tcPr>
            <w:tcW w:w="1701" w:type="dxa"/>
            <w:vAlign w:val="center"/>
          </w:tcPr>
          <w:p w:rsidR="008B2560" w:rsidRPr="00711F2B" w:rsidRDefault="008B2560" w:rsidP="00711F2B">
            <w:pPr>
              <w:pStyle w:val="Tablebodytext"/>
              <w:rPr>
                <w:b/>
              </w:rPr>
            </w:pPr>
            <w:r w:rsidRPr="00711F2B">
              <w:rPr>
                <w:b/>
              </w:rPr>
              <w:t>62.9</w:t>
            </w:r>
          </w:p>
        </w:tc>
        <w:tc>
          <w:tcPr>
            <w:tcW w:w="1843" w:type="dxa"/>
            <w:vAlign w:val="center"/>
          </w:tcPr>
          <w:p w:rsidR="008B2560" w:rsidRPr="00711F2B" w:rsidRDefault="008B2560" w:rsidP="00711F2B">
            <w:pPr>
              <w:pStyle w:val="Tablebodytext"/>
              <w:rPr>
                <w:b/>
              </w:rPr>
            </w:pPr>
            <w:r w:rsidRPr="00711F2B">
              <w:rPr>
                <w:b/>
              </w:rPr>
              <w:t>109.8</w:t>
            </w:r>
          </w:p>
        </w:tc>
      </w:tr>
    </w:tbl>
    <w:p w:rsidR="003D75A6" w:rsidRDefault="003D75A6" w:rsidP="008B2560">
      <w:pPr>
        <w:pStyle w:val="BodyText1"/>
        <w:rPr>
          <w:rFonts w:eastAsia="Cambria"/>
          <w:szCs w:val="22"/>
        </w:rPr>
      </w:pPr>
    </w:p>
    <w:p w:rsidR="008B2560" w:rsidRDefault="003D75A6" w:rsidP="00241DF9">
      <w:pPr>
        <w:pStyle w:val="Heading3nonumbers"/>
      </w:pPr>
      <w:r>
        <w:rPr>
          <w:rFonts w:eastAsia="Cambria"/>
          <w:szCs w:val="22"/>
        </w:rPr>
        <w:br w:type="page"/>
      </w:r>
      <w:r w:rsidR="008B2560" w:rsidRPr="00B95356">
        <w:lastRenderedPageBreak/>
        <w:t>Summary of Changes in Unfunded Liability</w:t>
      </w:r>
    </w:p>
    <w:p w:rsidR="00B95356" w:rsidRDefault="00B95356" w:rsidP="003D75A6">
      <w:pPr>
        <w:pStyle w:val="Numberedpara1stindent"/>
        <w:spacing w:after="120"/>
      </w:pPr>
      <w:r w:rsidRPr="00B95356">
        <w:t>The 2011 Report projected that the Unfunded Liability would be $102.5 billion as at 30 June 2014, approximately $7.3 billion less than the current estimate of $109.8 billion calculated in this report. The factors leading to the higher than previously projected Unfunded Liability include</w:t>
      </w:r>
      <w:r>
        <w:t>:</w:t>
      </w:r>
    </w:p>
    <w:p w:rsidR="00B95356" w:rsidRDefault="00B95356" w:rsidP="003D75A6">
      <w:pPr>
        <w:pStyle w:val="Numberedpara2ndindent"/>
        <w:spacing w:after="120"/>
      </w:pPr>
      <w:r>
        <w:t xml:space="preserve">Increases in pension </w:t>
      </w:r>
      <w:r w:rsidRPr="00A22FE5">
        <w:t xml:space="preserve">take-up </w:t>
      </w:r>
      <w:r>
        <w:t xml:space="preserve">assumptions for the </w:t>
      </w:r>
      <w:r w:rsidRPr="00A22FE5">
        <w:t xml:space="preserve">PSS pensions </w:t>
      </w:r>
      <w:r>
        <w:t>and CSS non-indexed pensions reflecting the continuing increasing trend observed in recent member behaviours (approximately $2.2 billion increase in liabilities);</w:t>
      </w:r>
    </w:p>
    <w:p w:rsidR="00B95356" w:rsidRDefault="00B95356" w:rsidP="003D75A6">
      <w:pPr>
        <w:pStyle w:val="Numberedpara2ndindent"/>
        <w:spacing w:after="120"/>
      </w:pPr>
      <w:r w:rsidRPr="000B44F0">
        <w:t>Continuing improvements in pensioner mortality rates (approximately $1.9 billion increase in liabilities)</w:t>
      </w:r>
      <w:r>
        <w:t>;</w:t>
      </w:r>
    </w:p>
    <w:p w:rsidR="00B95356" w:rsidRDefault="00B95356" w:rsidP="003D75A6">
      <w:pPr>
        <w:pStyle w:val="Numberedpara2ndindent"/>
        <w:spacing w:after="120"/>
      </w:pPr>
      <w:r w:rsidRPr="000B44F0">
        <w:t>Member movements different from those expected, notably higher pension liabilities for the new pensioners than expected (approximately $2.8 billion increase in liabilities)</w:t>
      </w:r>
      <w:r>
        <w:t>; and</w:t>
      </w:r>
    </w:p>
    <w:p w:rsidR="00B95356" w:rsidRDefault="00B95356" w:rsidP="00B95356">
      <w:pPr>
        <w:pStyle w:val="Numberedpara2ndindent"/>
        <w:spacing w:after="240"/>
      </w:pPr>
      <w:r w:rsidRPr="000B44F0">
        <w:t>PSS members contributing at rates higher than assumed leading to higher benefit accruals than expected (approximately $0.2 billion increase in liabilities)</w:t>
      </w:r>
      <w:r>
        <w:t>.</w:t>
      </w:r>
    </w:p>
    <w:p w:rsidR="003D75A6" w:rsidRDefault="00B95356" w:rsidP="00B95356">
      <w:pPr>
        <w:pStyle w:val="Numberedpara2ndindent"/>
        <w:numPr>
          <w:ilvl w:val="0"/>
          <w:numId w:val="0"/>
        </w:numPr>
        <w:spacing w:after="240"/>
        <w:ind w:left="567"/>
        <w:rPr>
          <w:rFonts w:eastAsia="Cambria"/>
          <w:szCs w:val="22"/>
        </w:rPr>
      </w:pPr>
      <w:r w:rsidRPr="000B44F0">
        <w:rPr>
          <w:rFonts w:eastAsia="Cambria"/>
          <w:szCs w:val="22"/>
        </w:rPr>
        <w:t>Of the $7.3 billion higher than expected increase in Unfunded Liability, approximately $4.3 billion is due to the assumptions adopted for the 2014 report being different from those for the 2011 Report. Approximately $3.0 billion is due to experience differing from assu</w:t>
      </w:r>
      <w:r>
        <w:rPr>
          <w:rFonts w:eastAsia="Cambria"/>
          <w:szCs w:val="22"/>
        </w:rPr>
        <w:t>mptions made in the 2011 Report.</w:t>
      </w:r>
    </w:p>
    <w:p w:rsidR="008B2560" w:rsidRDefault="003D75A6" w:rsidP="00266A7E">
      <w:pPr>
        <w:pStyle w:val="Numberedpara1stindent"/>
        <w:spacing w:after="120"/>
      </w:pPr>
      <w:r>
        <w:rPr>
          <w:rFonts w:eastAsia="Cambria"/>
          <w:szCs w:val="22"/>
        </w:rPr>
        <w:br w:type="page"/>
      </w:r>
      <w:r w:rsidR="008B2560" w:rsidRPr="00B95356">
        <w:lastRenderedPageBreak/>
        <w:t>The table below shows the projected Unfunded Liability separately for the PSS and CSS and for the two schemes combined. It also reflects the combined Unfunded Liability as a percentage of future GDP.</w:t>
      </w:r>
    </w:p>
    <w:p w:rsidR="00711F2B" w:rsidRPr="00B95356" w:rsidRDefault="00711F2B" w:rsidP="00241DF9">
      <w:pPr>
        <w:pStyle w:val="Heading4nonumbers"/>
      </w:pPr>
      <w:r>
        <w:t>Projected Unfunded Liability</w:t>
      </w:r>
    </w:p>
    <w:tbl>
      <w:tblPr>
        <w:tblW w:w="5508" w:type="pct"/>
        <w:tblBorders>
          <w:top w:val="single" w:sz="2" w:space="0" w:color="A7B4BE"/>
          <w:bottom w:val="single" w:sz="2" w:space="0" w:color="A7B4BE"/>
          <w:insideH w:val="single" w:sz="2" w:space="0" w:color="A7B4BE"/>
          <w:insideV w:val="single" w:sz="2" w:space="0" w:color="A7B4BE"/>
        </w:tblBorders>
        <w:tblLayout w:type="fixed"/>
        <w:tblCellMar>
          <w:left w:w="0" w:type="dxa"/>
          <w:right w:w="0" w:type="dxa"/>
        </w:tblCellMar>
        <w:tblLook w:val="04A0"/>
      </w:tblPr>
      <w:tblGrid>
        <w:gridCol w:w="1092"/>
        <w:gridCol w:w="1092"/>
        <w:gridCol w:w="1092"/>
        <w:gridCol w:w="1092"/>
        <w:gridCol w:w="1092"/>
        <w:gridCol w:w="1092"/>
        <w:gridCol w:w="1092"/>
        <w:gridCol w:w="1092"/>
      </w:tblGrid>
      <w:tr w:rsidR="008B2560" w:rsidRPr="00591116" w:rsidTr="008B2560">
        <w:trPr>
          <w:trHeight w:val="236"/>
        </w:trPr>
        <w:tc>
          <w:tcPr>
            <w:tcW w:w="625" w:type="pct"/>
            <w:vMerge w:val="restart"/>
            <w:shd w:val="clear" w:color="auto" w:fill="DDF3FA"/>
            <w:vAlign w:val="center"/>
          </w:tcPr>
          <w:p w:rsidR="008B2560" w:rsidRPr="00AE25ED" w:rsidRDefault="008B2560" w:rsidP="00711F2B">
            <w:pPr>
              <w:pStyle w:val="Tablecolumnheading"/>
              <w:rPr>
                <w:lang w:val="en-US"/>
              </w:rPr>
            </w:pPr>
            <w:r w:rsidRPr="00AE25ED">
              <w:rPr>
                <w:lang w:val="en-US"/>
              </w:rPr>
              <w:t xml:space="preserve">As at </w:t>
            </w:r>
            <w:r w:rsidRPr="00711F2B">
              <w:t>30</w:t>
            </w:r>
            <w:r w:rsidRPr="00AE25ED">
              <w:rPr>
                <w:lang w:val="en-US"/>
              </w:rPr>
              <w:t xml:space="preserve"> June</w:t>
            </w:r>
          </w:p>
        </w:tc>
        <w:tc>
          <w:tcPr>
            <w:tcW w:w="1875" w:type="pct"/>
            <w:gridSpan w:val="3"/>
            <w:shd w:val="clear" w:color="auto" w:fill="DDF3FA"/>
            <w:vAlign w:val="center"/>
          </w:tcPr>
          <w:p w:rsidR="008B2560" w:rsidRPr="00711F2B" w:rsidRDefault="008B2560" w:rsidP="00472381">
            <w:pPr>
              <w:pStyle w:val="Tablecolumnheading"/>
            </w:pPr>
            <w:r w:rsidRPr="00711F2B">
              <w:t xml:space="preserve">Nominal Liability ($ </w:t>
            </w:r>
            <w:r w:rsidR="00472381">
              <w:t>b</w:t>
            </w:r>
            <w:r w:rsidRPr="00711F2B">
              <w:t>illions)</w:t>
            </w:r>
          </w:p>
        </w:tc>
        <w:tc>
          <w:tcPr>
            <w:tcW w:w="1875" w:type="pct"/>
            <w:gridSpan w:val="3"/>
            <w:shd w:val="clear" w:color="auto" w:fill="DDF3FA"/>
            <w:vAlign w:val="center"/>
          </w:tcPr>
          <w:p w:rsidR="008B2560" w:rsidRPr="00711F2B" w:rsidRDefault="00472381" w:rsidP="00711F2B">
            <w:pPr>
              <w:pStyle w:val="Tablecolumnheading"/>
            </w:pPr>
            <w:r>
              <w:t>Discounted Liability ($ b</w:t>
            </w:r>
            <w:r w:rsidR="008B2560" w:rsidRPr="00711F2B">
              <w:t>illions)</w:t>
            </w:r>
          </w:p>
        </w:tc>
        <w:tc>
          <w:tcPr>
            <w:tcW w:w="625" w:type="pct"/>
            <w:vMerge w:val="restart"/>
            <w:shd w:val="clear" w:color="auto" w:fill="DDF3FA"/>
          </w:tcPr>
          <w:p w:rsidR="008B2560" w:rsidRPr="00AE25ED" w:rsidRDefault="008B2560" w:rsidP="00711F2B">
            <w:pPr>
              <w:pStyle w:val="Tablecolumnheading"/>
              <w:rPr>
                <w:lang w:val="en-US"/>
              </w:rPr>
            </w:pPr>
            <w:r w:rsidRPr="00711F2B">
              <w:t>Nominal</w:t>
            </w:r>
            <w:r w:rsidRPr="00AE25ED">
              <w:rPr>
                <w:lang w:val="en-US"/>
              </w:rPr>
              <w:t xml:space="preserve"> Liability as % of GDP</w:t>
            </w:r>
          </w:p>
        </w:tc>
      </w:tr>
      <w:tr w:rsidR="008B2560" w:rsidRPr="00591116" w:rsidTr="008B2560">
        <w:trPr>
          <w:trHeight w:val="236"/>
        </w:trPr>
        <w:tc>
          <w:tcPr>
            <w:tcW w:w="625" w:type="pct"/>
            <w:vMerge/>
            <w:shd w:val="clear" w:color="auto" w:fill="DDF3FA"/>
            <w:vAlign w:val="center"/>
          </w:tcPr>
          <w:p w:rsidR="008B2560" w:rsidRPr="00415355" w:rsidRDefault="008B2560" w:rsidP="008B2560">
            <w:pPr>
              <w:pStyle w:val="Tablecolumnheading"/>
              <w:spacing w:line="220" w:lineRule="atLeast"/>
              <w:jc w:val="center"/>
            </w:pPr>
          </w:p>
        </w:tc>
        <w:tc>
          <w:tcPr>
            <w:tcW w:w="625" w:type="pct"/>
            <w:shd w:val="clear" w:color="auto" w:fill="DDF3FA"/>
            <w:vAlign w:val="center"/>
          </w:tcPr>
          <w:p w:rsidR="008B2560" w:rsidRPr="00711F2B" w:rsidRDefault="008B2560" w:rsidP="00711F2B">
            <w:pPr>
              <w:pStyle w:val="Tablecolumnheading"/>
            </w:pPr>
            <w:r w:rsidRPr="00711F2B">
              <w:t>PSS</w:t>
            </w:r>
          </w:p>
        </w:tc>
        <w:tc>
          <w:tcPr>
            <w:tcW w:w="625" w:type="pct"/>
            <w:shd w:val="clear" w:color="auto" w:fill="DDF3FA"/>
            <w:vAlign w:val="center"/>
          </w:tcPr>
          <w:p w:rsidR="008B2560" w:rsidRPr="00711F2B" w:rsidRDefault="008B2560" w:rsidP="00711F2B">
            <w:pPr>
              <w:pStyle w:val="Tablecolumnheading"/>
            </w:pPr>
            <w:r w:rsidRPr="00711F2B">
              <w:t>CSS</w:t>
            </w:r>
          </w:p>
        </w:tc>
        <w:tc>
          <w:tcPr>
            <w:tcW w:w="625" w:type="pct"/>
            <w:shd w:val="clear" w:color="auto" w:fill="DDF3FA"/>
            <w:vAlign w:val="center"/>
          </w:tcPr>
          <w:p w:rsidR="008B2560" w:rsidRPr="00711F2B" w:rsidRDefault="008B2560" w:rsidP="00711F2B">
            <w:pPr>
              <w:pStyle w:val="Tablecolumnheading"/>
            </w:pPr>
            <w:r w:rsidRPr="00711F2B">
              <w:t>Total</w:t>
            </w:r>
          </w:p>
        </w:tc>
        <w:tc>
          <w:tcPr>
            <w:tcW w:w="625" w:type="pct"/>
            <w:shd w:val="clear" w:color="auto" w:fill="DDF3FA"/>
            <w:vAlign w:val="center"/>
          </w:tcPr>
          <w:p w:rsidR="008B2560" w:rsidRPr="00711F2B" w:rsidRDefault="008B2560" w:rsidP="00711F2B">
            <w:pPr>
              <w:pStyle w:val="Tablecolumnheading"/>
            </w:pPr>
            <w:r w:rsidRPr="00711F2B">
              <w:t>PSS</w:t>
            </w:r>
          </w:p>
        </w:tc>
        <w:tc>
          <w:tcPr>
            <w:tcW w:w="625" w:type="pct"/>
            <w:shd w:val="clear" w:color="auto" w:fill="DDF3FA"/>
            <w:vAlign w:val="center"/>
          </w:tcPr>
          <w:p w:rsidR="008B2560" w:rsidRPr="00711F2B" w:rsidRDefault="008B2560" w:rsidP="00711F2B">
            <w:pPr>
              <w:pStyle w:val="Tablecolumnheading"/>
            </w:pPr>
            <w:r w:rsidRPr="00711F2B">
              <w:t>CSS</w:t>
            </w:r>
          </w:p>
        </w:tc>
        <w:tc>
          <w:tcPr>
            <w:tcW w:w="625" w:type="pct"/>
            <w:shd w:val="clear" w:color="auto" w:fill="DDF3FA"/>
            <w:vAlign w:val="center"/>
          </w:tcPr>
          <w:p w:rsidR="008B2560" w:rsidRPr="00711F2B" w:rsidRDefault="008B2560" w:rsidP="00711F2B">
            <w:pPr>
              <w:pStyle w:val="Tablecolumnheading"/>
            </w:pPr>
            <w:r w:rsidRPr="00711F2B">
              <w:t>Total</w:t>
            </w:r>
          </w:p>
        </w:tc>
        <w:tc>
          <w:tcPr>
            <w:tcW w:w="625" w:type="pct"/>
            <w:vMerge/>
            <w:shd w:val="clear" w:color="auto" w:fill="DDF3FA"/>
          </w:tcPr>
          <w:p w:rsidR="008B2560" w:rsidRPr="0015777B" w:rsidRDefault="008B2560" w:rsidP="008B2560">
            <w:pPr>
              <w:pStyle w:val="Tablecolumnheading"/>
              <w:spacing w:line="220" w:lineRule="atLeast"/>
              <w:jc w:val="center"/>
            </w:pPr>
          </w:p>
        </w:tc>
      </w:tr>
      <w:tr w:rsidR="008B2560" w:rsidRPr="00591116" w:rsidTr="008B2560">
        <w:trPr>
          <w:trHeight w:val="285"/>
        </w:trPr>
        <w:tc>
          <w:tcPr>
            <w:tcW w:w="625" w:type="pct"/>
            <w:tcBorders>
              <w:bottom w:val="single" w:sz="2" w:space="0" w:color="A7B4BE"/>
            </w:tcBorders>
          </w:tcPr>
          <w:p w:rsidR="008B2560" w:rsidRPr="005F5CCC" w:rsidRDefault="008B2560" w:rsidP="00711F2B">
            <w:pPr>
              <w:pStyle w:val="Tablebodytext"/>
            </w:pPr>
            <w:r>
              <w:t>2014</w:t>
            </w:r>
          </w:p>
        </w:tc>
        <w:tc>
          <w:tcPr>
            <w:tcW w:w="625" w:type="pct"/>
            <w:tcBorders>
              <w:bottom w:val="single" w:sz="2" w:space="0" w:color="A7B4BE"/>
            </w:tcBorders>
            <w:vAlign w:val="bottom"/>
          </w:tcPr>
          <w:p w:rsidR="008B2560" w:rsidRPr="00AE25ED" w:rsidRDefault="008B2560" w:rsidP="00711F2B">
            <w:pPr>
              <w:pStyle w:val="Tablebodytext"/>
            </w:pPr>
            <w:r w:rsidRPr="00AE25ED">
              <w:t>46.9</w:t>
            </w:r>
          </w:p>
        </w:tc>
        <w:tc>
          <w:tcPr>
            <w:tcW w:w="625" w:type="pct"/>
            <w:tcBorders>
              <w:bottom w:val="single" w:sz="2" w:space="0" w:color="A7B4BE"/>
            </w:tcBorders>
            <w:vAlign w:val="bottom"/>
          </w:tcPr>
          <w:p w:rsidR="008B2560" w:rsidRPr="00AE25ED" w:rsidRDefault="008B2560" w:rsidP="00711F2B">
            <w:pPr>
              <w:pStyle w:val="Tablebodytext"/>
            </w:pPr>
            <w:r w:rsidRPr="00AE25ED">
              <w:t>62.9</w:t>
            </w:r>
          </w:p>
        </w:tc>
        <w:tc>
          <w:tcPr>
            <w:tcW w:w="625" w:type="pct"/>
            <w:tcBorders>
              <w:bottom w:val="single" w:sz="2" w:space="0" w:color="A7B4BE"/>
            </w:tcBorders>
            <w:vAlign w:val="bottom"/>
          </w:tcPr>
          <w:p w:rsidR="008B2560" w:rsidRPr="00AE25ED" w:rsidRDefault="008B2560" w:rsidP="00711F2B">
            <w:pPr>
              <w:pStyle w:val="Tablebodytext"/>
            </w:pPr>
            <w:r w:rsidRPr="00AE25ED">
              <w:t>109.8</w:t>
            </w:r>
          </w:p>
        </w:tc>
        <w:tc>
          <w:tcPr>
            <w:tcW w:w="625" w:type="pct"/>
            <w:tcBorders>
              <w:bottom w:val="single" w:sz="2" w:space="0" w:color="A7B4BE"/>
            </w:tcBorders>
            <w:vAlign w:val="bottom"/>
          </w:tcPr>
          <w:p w:rsidR="008B2560" w:rsidRPr="00AE25ED" w:rsidRDefault="008B2560" w:rsidP="00711F2B">
            <w:pPr>
              <w:pStyle w:val="Tablebodytext"/>
            </w:pPr>
            <w:r w:rsidRPr="00AE25ED">
              <w:t>46.9</w:t>
            </w:r>
          </w:p>
        </w:tc>
        <w:tc>
          <w:tcPr>
            <w:tcW w:w="625" w:type="pct"/>
            <w:tcBorders>
              <w:bottom w:val="single" w:sz="2" w:space="0" w:color="A7B4BE"/>
            </w:tcBorders>
            <w:vAlign w:val="bottom"/>
          </w:tcPr>
          <w:p w:rsidR="008B2560" w:rsidRPr="00AE25ED" w:rsidRDefault="008B2560" w:rsidP="00711F2B">
            <w:pPr>
              <w:pStyle w:val="Tablebodytext"/>
            </w:pPr>
            <w:r w:rsidRPr="00AE25ED">
              <w:t>62.9</w:t>
            </w:r>
          </w:p>
        </w:tc>
        <w:tc>
          <w:tcPr>
            <w:tcW w:w="625" w:type="pct"/>
            <w:tcBorders>
              <w:bottom w:val="single" w:sz="2" w:space="0" w:color="A7B4BE"/>
            </w:tcBorders>
            <w:vAlign w:val="bottom"/>
          </w:tcPr>
          <w:p w:rsidR="008B2560" w:rsidRPr="00AE25ED" w:rsidRDefault="008B2560" w:rsidP="00711F2B">
            <w:pPr>
              <w:pStyle w:val="Tablebodytext"/>
            </w:pPr>
            <w:r w:rsidRPr="00AE25ED">
              <w:t>109.8</w:t>
            </w:r>
          </w:p>
        </w:tc>
        <w:tc>
          <w:tcPr>
            <w:tcW w:w="625" w:type="pct"/>
            <w:tcBorders>
              <w:bottom w:val="single" w:sz="2" w:space="0" w:color="A7B4BE"/>
            </w:tcBorders>
            <w:vAlign w:val="bottom"/>
          </w:tcPr>
          <w:p w:rsidR="008B2560" w:rsidRPr="00AE25ED" w:rsidRDefault="008B2560" w:rsidP="00711F2B">
            <w:pPr>
              <w:pStyle w:val="Tablebodytext"/>
            </w:pPr>
            <w:r w:rsidRPr="00AE25ED">
              <w:t>6.94%</w:t>
            </w:r>
          </w:p>
        </w:tc>
      </w:tr>
      <w:tr w:rsidR="008B2560" w:rsidRPr="00591116" w:rsidTr="008B2560">
        <w:trPr>
          <w:trHeight w:val="285"/>
        </w:trPr>
        <w:tc>
          <w:tcPr>
            <w:tcW w:w="625" w:type="pct"/>
            <w:tcBorders>
              <w:bottom w:val="single" w:sz="2" w:space="0" w:color="A7B4BE"/>
            </w:tcBorders>
          </w:tcPr>
          <w:p w:rsidR="008B2560" w:rsidRPr="005F5CCC" w:rsidRDefault="008B2560" w:rsidP="00711F2B">
            <w:pPr>
              <w:pStyle w:val="Tablebodytext"/>
            </w:pPr>
            <w:r>
              <w:t>2015</w:t>
            </w:r>
          </w:p>
        </w:tc>
        <w:tc>
          <w:tcPr>
            <w:tcW w:w="625" w:type="pct"/>
            <w:tcBorders>
              <w:bottom w:val="single" w:sz="2" w:space="0" w:color="A7B4BE"/>
            </w:tcBorders>
            <w:vAlign w:val="bottom"/>
          </w:tcPr>
          <w:p w:rsidR="008B2560" w:rsidRPr="00AE25ED" w:rsidRDefault="008B2560" w:rsidP="00711F2B">
            <w:pPr>
              <w:pStyle w:val="Tablebodytext"/>
            </w:pPr>
            <w:r w:rsidRPr="00AE25ED">
              <w:t>50.8</w:t>
            </w:r>
          </w:p>
        </w:tc>
        <w:tc>
          <w:tcPr>
            <w:tcW w:w="625" w:type="pct"/>
            <w:tcBorders>
              <w:bottom w:val="single" w:sz="2" w:space="0" w:color="A7B4BE"/>
            </w:tcBorders>
            <w:vAlign w:val="bottom"/>
          </w:tcPr>
          <w:p w:rsidR="008B2560" w:rsidRPr="00AE25ED" w:rsidRDefault="008B2560" w:rsidP="00711F2B">
            <w:pPr>
              <w:pStyle w:val="Tablebodytext"/>
            </w:pPr>
            <w:r w:rsidRPr="00AE25ED">
              <w:t>63.0</w:t>
            </w:r>
          </w:p>
        </w:tc>
        <w:tc>
          <w:tcPr>
            <w:tcW w:w="625" w:type="pct"/>
            <w:tcBorders>
              <w:bottom w:val="single" w:sz="2" w:space="0" w:color="A7B4BE"/>
            </w:tcBorders>
            <w:vAlign w:val="bottom"/>
          </w:tcPr>
          <w:p w:rsidR="008B2560" w:rsidRPr="00AE25ED" w:rsidRDefault="008B2560" w:rsidP="00711F2B">
            <w:pPr>
              <w:pStyle w:val="Tablebodytext"/>
            </w:pPr>
            <w:r w:rsidRPr="00AE25ED">
              <w:t>113.9</w:t>
            </w:r>
          </w:p>
        </w:tc>
        <w:tc>
          <w:tcPr>
            <w:tcW w:w="625" w:type="pct"/>
            <w:tcBorders>
              <w:bottom w:val="single" w:sz="2" w:space="0" w:color="A7B4BE"/>
            </w:tcBorders>
            <w:vAlign w:val="bottom"/>
          </w:tcPr>
          <w:p w:rsidR="008B2560" w:rsidRPr="00AE25ED" w:rsidRDefault="008B2560" w:rsidP="00711F2B">
            <w:pPr>
              <w:pStyle w:val="Tablebodytext"/>
            </w:pPr>
            <w:r w:rsidRPr="00AE25ED">
              <w:t>48.0</w:t>
            </w:r>
          </w:p>
        </w:tc>
        <w:tc>
          <w:tcPr>
            <w:tcW w:w="625" w:type="pct"/>
            <w:tcBorders>
              <w:bottom w:val="single" w:sz="2" w:space="0" w:color="A7B4BE"/>
            </w:tcBorders>
            <w:vAlign w:val="bottom"/>
          </w:tcPr>
          <w:p w:rsidR="008B2560" w:rsidRPr="00AE25ED" w:rsidRDefault="008B2560" w:rsidP="00711F2B">
            <w:pPr>
              <w:pStyle w:val="Tablebodytext"/>
            </w:pPr>
            <w:r w:rsidRPr="00AE25ED">
              <w:t>59.5</w:t>
            </w:r>
          </w:p>
        </w:tc>
        <w:tc>
          <w:tcPr>
            <w:tcW w:w="625" w:type="pct"/>
            <w:tcBorders>
              <w:bottom w:val="single" w:sz="2" w:space="0" w:color="A7B4BE"/>
            </w:tcBorders>
            <w:vAlign w:val="bottom"/>
          </w:tcPr>
          <w:p w:rsidR="008B2560" w:rsidRPr="00AE25ED" w:rsidRDefault="008B2560" w:rsidP="00711F2B">
            <w:pPr>
              <w:pStyle w:val="Tablebodytext"/>
            </w:pPr>
            <w:r w:rsidRPr="00AE25ED">
              <w:t>107.4</w:t>
            </w:r>
          </w:p>
        </w:tc>
        <w:tc>
          <w:tcPr>
            <w:tcW w:w="625" w:type="pct"/>
            <w:tcBorders>
              <w:bottom w:val="single" w:sz="2" w:space="0" w:color="A7B4BE"/>
            </w:tcBorders>
            <w:vAlign w:val="bottom"/>
          </w:tcPr>
          <w:p w:rsidR="008B2560" w:rsidRPr="00AE25ED" w:rsidRDefault="008B2560" w:rsidP="00711F2B">
            <w:pPr>
              <w:pStyle w:val="Tablebodytext"/>
            </w:pPr>
            <w:r w:rsidRPr="00AE25ED">
              <w:t>6.82%</w:t>
            </w:r>
          </w:p>
        </w:tc>
      </w:tr>
      <w:tr w:rsidR="008B2560" w:rsidRPr="00591116" w:rsidTr="008B2560">
        <w:trPr>
          <w:trHeight w:val="285"/>
        </w:trPr>
        <w:tc>
          <w:tcPr>
            <w:tcW w:w="625" w:type="pct"/>
            <w:tcBorders>
              <w:bottom w:val="single" w:sz="2" w:space="0" w:color="A7B4BE"/>
            </w:tcBorders>
          </w:tcPr>
          <w:p w:rsidR="008B2560" w:rsidRPr="005F5CCC" w:rsidRDefault="008B2560" w:rsidP="00711F2B">
            <w:pPr>
              <w:pStyle w:val="Tablebodytext"/>
            </w:pPr>
            <w:r>
              <w:t>2016</w:t>
            </w:r>
          </w:p>
        </w:tc>
        <w:tc>
          <w:tcPr>
            <w:tcW w:w="625" w:type="pct"/>
            <w:tcBorders>
              <w:bottom w:val="single" w:sz="2" w:space="0" w:color="A7B4BE"/>
            </w:tcBorders>
            <w:vAlign w:val="bottom"/>
          </w:tcPr>
          <w:p w:rsidR="008B2560" w:rsidRPr="00AE25ED" w:rsidRDefault="008B2560" w:rsidP="00711F2B">
            <w:pPr>
              <w:pStyle w:val="Tablebodytext"/>
            </w:pPr>
            <w:r w:rsidRPr="00AE25ED">
              <w:t>54.9</w:t>
            </w:r>
          </w:p>
        </w:tc>
        <w:tc>
          <w:tcPr>
            <w:tcW w:w="625" w:type="pct"/>
            <w:tcBorders>
              <w:bottom w:val="single" w:sz="2" w:space="0" w:color="A7B4BE"/>
            </w:tcBorders>
            <w:vAlign w:val="bottom"/>
          </w:tcPr>
          <w:p w:rsidR="008B2560" w:rsidRPr="00AE25ED" w:rsidRDefault="008B2560" w:rsidP="00711F2B">
            <w:pPr>
              <w:pStyle w:val="Tablebodytext"/>
            </w:pPr>
            <w:r w:rsidRPr="00AE25ED">
              <w:t>63.0</w:t>
            </w:r>
          </w:p>
        </w:tc>
        <w:tc>
          <w:tcPr>
            <w:tcW w:w="625" w:type="pct"/>
            <w:tcBorders>
              <w:bottom w:val="single" w:sz="2" w:space="0" w:color="A7B4BE"/>
            </w:tcBorders>
            <w:vAlign w:val="bottom"/>
          </w:tcPr>
          <w:p w:rsidR="008B2560" w:rsidRPr="00AE25ED" w:rsidRDefault="008B2560" w:rsidP="00711F2B">
            <w:pPr>
              <w:pStyle w:val="Tablebodytext"/>
            </w:pPr>
            <w:r w:rsidRPr="00AE25ED">
              <w:t>117.9</w:t>
            </w:r>
          </w:p>
        </w:tc>
        <w:tc>
          <w:tcPr>
            <w:tcW w:w="625" w:type="pct"/>
            <w:tcBorders>
              <w:bottom w:val="single" w:sz="2" w:space="0" w:color="A7B4BE"/>
            </w:tcBorders>
            <w:vAlign w:val="bottom"/>
          </w:tcPr>
          <w:p w:rsidR="008B2560" w:rsidRPr="00AE25ED" w:rsidRDefault="008B2560" w:rsidP="00711F2B">
            <w:pPr>
              <w:pStyle w:val="Tablebodytext"/>
            </w:pPr>
            <w:r w:rsidRPr="00AE25ED">
              <w:t>48.9</w:t>
            </w:r>
          </w:p>
        </w:tc>
        <w:tc>
          <w:tcPr>
            <w:tcW w:w="625" w:type="pct"/>
            <w:tcBorders>
              <w:bottom w:val="single" w:sz="2" w:space="0" w:color="A7B4BE"/>
            </w:tcBorders>
            <w:vAlign w:val="bottom"/>
          </w:tcPr>
          <w:p w:rsidR="008B2560" w:rsidRPr="00AE25ED" w:rsidRDefault="008B2560" w:rsidP="00711F2B">
            <w:pPr>
              <w:pStyle w:val="Tablebodytext"/>
            </w:pPr>
            <w:r w:rsidRPr="00AE25ED">
              <w:t>56.1</w:t>
            </w:r>
          </w:p>
        </w:tc>
        <w:tc>
          <w:tcPr>
            <w:tcW w:w="625" w:type="pct"/>
            <w:tcBorders>
              <w:bottom w:val="single" w:sz="2" w:space="0" w:color="A7B4BE"/>
            </w:tcBorders>
            <w:vAlign w:val="bottom"/>
          </w:tcPr>
          <w:p w:rsidR="008B2560" w:rsidRPr="00AE25ED" w:rsidRDefault="008B2560" w:rsidP="00711F2B">
            <w:pPr>
              <w:pStyle w:val="Tablebodytext"/>
            </w:pPr>
            <w:r w:rsidRPr="00AE25ED">
              <w:t>104.9</w:t>
            </w:r>
          </w:p>
        </w:tc>
        <w:tc>
          <w:tcPr>
            <w:tcW w:w="625" w:type="pct"/>
            <w:tcBorders>
              <w:bottom w:val="single" w:sz="2" w:space="0" w:color="A7B4BE"/>
            </w:tcBorders>
            <w:vAlign w:val="bottom"/>
          </w:tcPr>
          <w:p w:rsidR="008B2560" w:rsidRPr="00AE25ED" w:rsidRDefault="008B2560" w:rsidP="00711F2B">
            <w:pPr>
              <w:pStyle w:val="Tablebodytext"/>
            </w:pPr>
            <w:r w:rsidRPr="00AE25ED">
              <w:t>6.68%</w:t>
            </w:r>
          </w:p>
        </w:tc>
      </w:tr>
      <w:tr w:rsidR="008B2560" w:rsidRPr="00591116" w:rsidTr="008B2560">
        <w:trPr>
          <w:trHeight w:val="285"/>
        </w:trPr>
        <w:tc>
          <w:tcPr>
            <w:tcW w:w="625" w:type="pct"/>
            <w:tcBorders>
              <w:bottom w:val="single" w:sz="2" w:space="0" w:color="A7B4BE"/>
            </w:tcBorders>
          </w:tcPr>
          <w:p w:rsidR="008B2560" w:rsidRPr="005F5CCC" w:rsidRDefault="008B2560" w:rsidP="00711F2B">
            <w:pPr>
              <w:pStyle w:val="Tablebodytext"/>
            </w:pPr>
            <w:r>
              <w:t>2017</w:t>
            </w:r>
          </w:p>
        </w:tc>
        <w:tc>
          <w:tcPr>
            <w:tcW w:w="625" w:type="pct"/>
            <w:tcBorders>
              <w:bottom w:val="single" w:sz="2" w:space="0" w:color="A7B4BE"/>
            </w:tcBorders>
            <w:vAlign w:val="bottom"/>
          </w:tcPr>
          <w:p w:rsidR="008B2560" w:rsidRPr="00AE25ED" w:rsidRDefault="008B2560" w:rsidP="00711F2B">
            <w:pPr>
              <w:pStyle w:val="Tablebodytext"/>
            </w:pPr>
            <w:r w:rsidRPr="00AE25ED">
              <w:t>59.1</w:t>
            </w:r>
          </w:p>
        </w:tc>
        <w:tc>
          <w:tcPr>
            <w:tcW w:w="625" w:type="pct"/>
            <w:tcBorders>
              <w:bottom w:val="single" w:sz="2" w:space="0" w:color="A7B4BE"/>
            </w:tcBorders>
            <w:vAlign w:val="bottom"/>
          </w:tcPr>
          <w:p w:rsidR="008B2560" w:rsidRPr="00AE25ED" w:rsidRDefault="008B2560" w:rsidP="00711F2B">
            <w:pPr>
              <w:pStyle w:val="Tablebodytext"/>
            </w:pPr>
            <w:r w:rsidRPr="00AE25ED">
              <w:t>62.8</w:t>
            </w:r>
          </w:p>
        </w:tc>
        <w:tc>
          <w:tcPr>
            <w:tcW w:w="625" w:type="pct"/>
            <w:tcBorders>
              <w:bottom w:val="single" w:sz="2" w:space="0" w:color="A7B4BE"/>
            </w:tcBorders>
            <w:vAlign w:val="bottom"/>
          </w:tcPr>
          <w:p w:rsidR="008B2560" w:rsidRPr="00AE25ED" w:rsidRDefault="008B2560" w:rsidP="00711F2B">
            <w:pPr>
              <w:pStyle w:val="Tablebodytext"/>
            </w:pPr>
            <w:r w:rsidRPr="00AE25ED">
              <w:t>121.9</w:t>
            </w:r>
          </w:p>
        </w:tc>
        <w:tc>
          <w:tcPr>
            <w:tcW w:w="625" w:type="pct"/>
            <w:tcBorders>
              <w:bottom w:val="single" w:sz="2" w:space="0" w:color="A7B4BE"/>
            </w:tcBorders>
            <w:vAlign w:val="bottom"/>
          </w:tcPr>
          <w:p w:rsidR="008B2560" w:rsidRPr="00AE25ED" w:rsidRDefault="008B2560" w:rsidP="00711F2B">
            <w:pPr>
              <w:pStyle w:val="Tablebodytext"/>
            </w:pPr>
            <w:r w:rsidRPr="00AE25ED">
              <w:t>49.6</w:t>
            </w:r>
          </w:p>
        </w:tc>
        <w:tc>
          <w:tcPr>
            <w:tcW w:w="625" w:type="pct"/>
            <w:tcBorders>
              <w:bottom w:val="single" w:sz="2" w:space="0" w:color="A7B4BE"/>
            </w:tcBorders>
            <w:vAlign w:val="bottom"/>
          </w:tcPr>
          <w:p w:rsidR="008B2560" w:rsidRPr="00AE25ED" w:rsidRDefault="008B2560" w:rsidP="00711F2B">
            <w:pPr>
              <w:pStyle w:val="Tablebodytext"/>
            </w:pPr>
            <w:r w:rsidRPr="00AE25ED">
              <w:t>52.7</w:t>
            </w:r>
          </w:p>
        </w:tc>
        <w:tc>
          <w:tcPr>
            <w:tcW w:w="625" w:type="pct"/>
            <w:tcBorders>
              <w:bottom w:val="single" w:sz="2" w:space="0" w:color="A7B4BE"/>
            </w:tcBorders>
            <w:vAlign w:val="bottom"/>
          </w:tcPr>
          <w:p w:rsidR="008B2560" w:rsidRPr="00AE25ED" w:rsidRDefault="008B2560" w:rsidP="00711F2B">
            <w:pPr>
              <w:pStyle w:val="Tablebodytext"/>
            </w:pPr>
            <w:r w:rsidRPr="00AE25ED">
              <w:t>102.3</w:t>
            </w:r>
          </w:p>
        </w:tc>
        <w:tc>
          <w:tcPr>
            <w:tcW w:w="625" w:type="pct"/>
            <w:tcBorders>
              <w:bottom w:val="single" w:sz="2" w:space="0" w:color="A7B4BE"/>
            </w:tcBorders>
            <w:vAlign w:val="bottom"/>
          </w:tcPr>
          <w:p w:rsidR="008B2560" w:rsidRPr="00AE25ED" w:rsidRDefault="008B2560" w:rsidP="00711F2B">
            <w:pPr>
              <w:pStyle w:val="Tablebodytext"/>
            </w:pPr>
            <w:r w:rsidRPr="00AE25ED">
              <w:t>6.54%</w:t>
            </w:r>
          </w:p>
        </w:tc>
      </w:tr>
      <w:tr w:rsidR="008B2560" w:rsidRPr="00591116" w:rsidTr="008B2560">
        <w:trPr>
          <w:trHeight w:val="285"/>
        </w:trPr>
        <w:tc>
          <w:tcPr>
            <w:tcW w:w="625" w:type="pct"/>
            <w:tcBorders>
              <w:bottom w:val="single" w:sz="2" w:space="0" w:color="A7B4BE"/>
            </w:tcBorders>
          </w:tcPr>
          <w:p w:rsidR="008B2560" w:rsidRPr="005F5CCC" w:rsidRDefault="008B2560" w:rsidP="00711F2B">
            <w:pPr>
              <w:pStyle w:val="Tablebodytext"/>
            </w:pPr>
            <w:r>
              <w:t>2018</w:t>
            </w:r>
          </w:p>
        </w:tc>
        <w:tc>
          <w:tcPr>
            <w:tcW w:w="625" w:type="pct"/>
            <w:tcBorders>
              <w:bottom w:val="single" w:sz="2" w:space="0" w:color="A7B4BE"/>
            </w:tcBorders>
            <w:vAlign w:val="bottom"/>
          </w:tcPr>
          <w:p w:rsidR="008B2560" w:rsidRPr="00AE25ED" w:rsidRDefault="008B2560" w:rsidP="00711F2B">
            <w:pPr>
              <w:pStyle w:val="Tablebodytext"/>
            </w:pPr>
            <w:r w:rsidRPr="00AE25ED">
              <w:t>63.4</w:t>
            </w:r>
          </w:p>
        </w:tc>
        <w:tc>
          <w:tcPr>
            <w:tcW w:w="625" w:type="pct"/>
            <w:tcBorders>
              <w:bottom w:val="single" w:sz="2" w:space="0" w:color="A7B4BE"/>
            </w:tcBorders>
            <w:vAlign w:val="bottom"/>
          </w:tcPr>
          <w:p w:rsidR="008B2560" w:rsidRPr="00AE25ED" w:rsidRDefault="008B2560" w:rsidP="00711F2B">
            <w:pPr>
              <w:pStyle w:val="Tablebodytext"/>
            </w:pPr>
            <w:r w:rsidRPr="00AE25ED">
              <w:t>62.5</w:t>
            </w:r>
          </w:p>
        </w:tc>
        <w:tc>
          <w:tcPr>
            <w:tcW w:w="625" w:type="pct"/>
            <w:tcBorders>
              <w:bottom w:val="single" w:sz="2" w:space="0" w:color="A7B4BE"/>
            </w:tcBorders>
            <w:vAlign w:val="bottom"/>
          </w:tcPr>
          <w:p w:rsidR="008B2560" w:rsidRPr="00AE25ED" w:rsidRDefault="008B2560" w:rsidP="00711F2B">
            <w:pPr>
              <w:pStyle w:val="Tablebodytext"/>
            </w:pPr>
            <w:r w:rsidRPr="00AE25ED">
              <w:t>125.8</w:t>
            </w:r>
          </w:p>
        </w:tc>
        <w:tc>
          <w:tcPr>
            <w:tcW w:w="625" w:type="pct"/>
            <w:tcBorders>
              <w:bottom w:val="single" w:sz="2" w:space="0" w:color="A7B4BE"/>
            </w:tcBorders>
            <w:vAlign w:val="bottom"/>
          </w:tcPr>
          <w:p w:rsidR="008B2560" w:rsidRPr="00AE25ED" w:rsidRDefault="008B2560" w:rsidP="00711F2B">
            <w:pPr>
              <w:pStyle w:val="Tablebodytext"/>
            </w:pPr>
            <w:r w:rsidRPr="00AE25ED">
              <w:t>50.2</w:t>
            </w:r>
          </w:p>
        </w:tc>
        <w:tc>
          <w:tcPr>
            <w:tcW w:w="625" w:type="pct"/>
            <w:tcBorders>
              <w:bottom w:val="single" w:sz="2" w:space="0" w:color="A7B4BE"/>
            </w:tcBorders>
            <w:vAlign w:val="bottom"/>
          </w:tcPr>
          <w:p w:rsidR="008B2560" w:rsidRPr="00AE25ED" w:rsidRDefault="008B2560" w:rsidP="00711F2B">
            <w:pPr>
              <w:pStyle w:val="Tablebodytext"/>
            </w:pPr>
            <w:r w:rsidRPr="00AE25ED">
              <w:t>49.5</w:t>
            </w:r>
          </w:p>
        </w:tc>
        <w:tc>
          <w:tcPr>
            <w:tcW w:w="625" w:type="pct"/>
            <w:tcBorders>
              <w:bottom w:val="single" w:sz="2" w:space="0" w:color="A7B4BE"/>
            </w:tcBorders>
            <w:vAlign w:val="bottom"/>
          </w:tcPr>
          <w:p w:rsidR="008B2560" w:rsidRPr="00AE25ED" w:rsidRDefault="008B2560" w:rsidP="00711F2B">
            <w:pPr>
              <w:pStyle w:val="Tablebodytext"/>
            </w:pPr>
            <w:r w:rsidRPr="00AE25ED">
              <w:t>99.7</w:t>
            </w:r>
          </w:p>
        </w:tc>
        <w:tc>
          <w:tcPr>
            <w:tcW w:w="625" w:type="pct"/>
            <w:tcBorders>
              <w:bottom w:val="single" w:sz="2" w:space="0" w:color="A7B4BE"/>
            </w:tcBorders>
            <w:vAlign w:val="bottom"/>
          </w:tcPr>
          <w:p w:rsidR="008B2560" w:rsidRPr="00AE25ED" w:rsidRDefault="008B2560" w:rsidP="00711F2B">
            <w:pPr>
              <w:pStyle w:val="Tablebodytext"/>
            </w:pPr>
            <w:r w:rsidRPr="00AE25ED">
              <w:t>6.39%</w:t>
            </w:r>
          </w:p>
        </w:tc>
      </w:tr>
      <w:tr w:rsidR="008B2560" w:rsidRPr="00591116" w:rsidTr="008B2560">
        <w:trPr>
          <w:trHeight w:val="285"/>
        </w:trPr>
        <w:tc>
          <w:tcPr>
            <w:tcW w:w="625" w:type="pct"/>
            <w:tcBorders>
              <w:bottom w:val="single" w:sz="2" w:space="0" w:color="A7B4BE"/>
            </w:tcBorders>
          </w:tcPr>
          <w:p w:rsidR="008B2560" w:rsidRPr="005F5CCC" w:rsidRDefault="008B2560" w:rsidP="00711F2B">
            <w:pPr>
              <w:pStyle w:val="Tablebodytext"/>
            </w:pPr>
            <w:r>
              <w:t>2019</w:t>
            </w:r>
          </w:p>
        </w:tc>
        <w:tc>
          <w:tcPr>
            <w:tcW w:w="625" w:type="pct"/>
            <w:tcBorders>
              <w:bottom w:val="single" w:sz="2" w:space="0" w:color="A7B4BE"/>
            </w:tcBorders>
            <w:vAlign w:val="bottom"/>
          </w:tcPr>
          <w:p w:rsidR="008B2560" w:rsidRPr="00AE25ED" w:rsidRDefault="008B2560" w:rsidP="00711F2B">
            <w:pPr>
              <w:pStyle w:val="Tablebodytext"/>
            </w:pPr>
            <w:r w:rsidRPr="00AE25ED">
              <w:t>67.7</w:t>
            </w:r>
          </w:p>
        </w:tc>
        <w:tc>
          <w:tcPr>
            <w:tcW w:w="625" w:type="pct"/>
            <w:tcBorders>
              <w:bottom w:val="single" w:sz="2" w:space="0" w:color="A7B4BE"/>
            </w:tcBorders>
            <w:vAlign w:val="bottom"/>
          </w:tcPr>
          <w:p w:rsidR="008B2560" w:rsidRPr="00AE25ED" w:rsidRDefault="008B2560" w:rsidP="00711F2B">
            <w:pPr>
              <w:pStyle w:val="Tablebodytext"/>
            </w:pPr>
            <w:r w:rsidRPr="00AE25ED">
              <w:t>62.0</w:t>
            </w:r>
          </w:p>
        </w:tc>
        <w:tc>
          <w:tcPr>
            <w:tcW w:w="625" w:type="pct"/>
            <w:tcBorders>
              <w:bottom w:val="single" w:sz="2" w:space="0" w:color="A7B4BE"/>
            </w:tcBorders>
            <w:vAlign w:val="bottom"/>
          </w:tcPr>
          <w:p w:rsidR="008B2560" w:rsidRPr="00AE25ED" w:rsidRDefault="008B2560" w:rsidP="00711F2B">
            <w:pPr>
              <w:pStyle w:val="Tablebodytext"/>
            </w:pPr>
            <w:r w:rsidRPr="00AE25ED">
              <w:t>129.8</w:t>
            </w:r>
          </w:p>
        </w:tc>
        <w:tc>
          <w:tcPr>
            <w:tcW w:w="625" w:type="pct"/>
            <w:tcBorders>
              <w:bottom w:val="single" w:sz="2" w:space="0" w:color="A7B4BE"/>
            </w:tcBorders>
            <w:vAlign w:val="bottom"/>
          </w:tcPr>
          <w:p w:rsidR="008B2560" w:rsidRPr="00AE25ED" w:rsidRDefault="008B2560" w:rsidP="00711F2B">
            <w:pPr>
              <w:pStyle w:val="Tablebodytext"/>
            </w:pPr>
            <w:r w:rsidRPr="00AE25ED">
              <w:t>50.6</w:t>
            </w:r>
          </w:p>
        </w:tc>
        <w:tc>
          <w:tcPr>
            <w:tcW w:w="625" w:type="pct"/>
            <w:tcBorders>
              <w:bottom w:val="single" w:sz="2" w:space="0" w:color="A7B4BE"/>
            </w:tcBorders>
            <w:vAlign w:val="bottom"/>
          </w:tcPr>
          <w:p w:rsidR="008B2560" w:rsidRPr="00AE25ED" w:rsidRDefault="008B2560" w:rsidP="00711F2B">
            <w:pPr>
              <w:pStyle w:val="Tablebodytext"/>
            </w:pPr>
            <w:r w:rsidRPr="00AE25ED">
              <w:t>46.3</w:t>
            </w:r>
          </w:p>
        </w:tc>
        <w:tc>
          <w:tcPr>
            <w:tcW w:w="625" w:type="pct"/>
            <w:tcBorders>
              <w:bottom w:val="single" w:sz="2" w:space="0" w:color="A7B4BE"/>
            </w:tcBorders>
            <w:vAlign w:val="bottom"/>
          </w:tcPr>
          <w:p w:rsidR="008B2560" w:rsidRPr="00AE25ED" w:rsidRDefault="008B2560" w:rsidP="00711F2B">
            <w:pPr>
              <w:pStyle w:val="Tablebodytext"/>
            </w:pPr>
            <w:r w:rsidRPr="00AE25ED">
              <w:t>97.0</w:t>
            </w:r>
          </w:p>
        </w:tc>
        <w:tc>
          <w:tcPr>
            <w:tcW w:w="625" w:type="pct"/>
            <w:tcBorders>
              <w:bottom w:val="single" w:sz="2" w:space="0" w:color="A7B4BE"/>
            </w:tcBorders>
            <w:vAlign w:val="bottom"/>
          </w:tcPr>
          <w:p w:rsidR="008B2560" w:rsidRPr="00AE25ED" w:rsidRDefault="008B2560" w:rsidP="00711F2B">
            <w:pPr>
              <w:pStyle w:val="Tablebodytext"/>
            </w:pPr>
            <w:r w:rsidRPr="00AE25ED">
              <w:t>6.22%</w:t>
            </w:r>
          </w:p>
        </w:tc>
      </w:tr>
      <w:tr w:rsidR="008B2560" w:rsidRPr="00591116" w:rsidTr="008B2560">
        <w:trPr>
          <w:trHeight w:val="285"/>
        </w:trPr>
        <w:tc>
          <w:tcPr>
            <w:tcW w:w="625" w:type="pct"/>
            <w:tcBorders>
              <w:bottom w:val="single" w:sz="2" w:space="0" w:color="A7B4BE"/>
            </w:tcBorders>
          </w:tcPr>
          <w:p w:rsidR="008B2560" w:rsidRPr="005F5CCC" w:rsidRDefault="008B2560" w:rsidP="00711F2B">
            <w:pPr>
              <w:pStyle w:val="Tablebodytext"/>
            </w:pPr>
            <w:r>
              <w:t>2020</w:t>
            </w:r>
          </w:p>
        </w:tc>
        <w:tc>
          <w:tcPr>
            <w:tcW w:w="625" w:type="pct"/>
            <w:tcBorders>
              <w:bottom w:val="single" w:sz="2" w:space="0" w:color="A7B4BE"/>
            </w:tcBorders>
            <w:vAlign w:val="bottom"/>
          </w:tcPr>
          <w:p w:rsidR="008B2560" w:rsidRPr="00AE25ED" w:rsidRDefault="008B2560" w:rsidP="00711F2B">
            <w:pPr>
              <w:pStyle w:val="Tablebodytext"/>
            </w:pPr>
            <w:r w:rsidRPr="00AE25ED">
              <w:t>72.2</w:t>
            </w:r>
          </w:p>
        </w:tc>
        <w:tc>
          <w:tcPr>
            <w:tcW w:w="625" w:type="pct"/>
            <w:tcBorders>
              <w:bottom w:val="single" w:sz="2" w:space="0" w:color="A7B4BE"/>
            </w:tcBorders>
            <w:vAlign w:val="bottom"/>
          </w:tcPr>
          <w:p w:rsidR="008B2560" w:rsidRPr="00AE25ED" w:rsidRDefault="008B2560" w:rsidP="00711F2B">
            <w:pPr>
              <w:pStyle w:val="Tablebodytext"/>
            </w:pPr>
            <w:r w:rsidRPr="00AE25ED">
              <w:t>61.4</w:t>
            </w:r>
          </w:p>
        </w:tc>
        <w:tc>
          <w:tcPr>
            <w:tcW w:w="625" w:type="pct"/>
            <w:tcBorders>
              <w:bottom w:val="single" w:sz="2" w:space="0" w:color="A7B4BE"/>
            </w:tcBorders>
            <w:vAlign w:val="bottom"/>
          </w:tcPr>
          <w:p w:rsidR="008B2560" w:rsidRPr="00AE25ED" w:rsidRDefault="008B2560" w:rsidP="00711F2B">
            <w:pPr>
              <w:pStyle w:val="Tablebodytext"/>
            </w:pPr>
            <w:r w:rsidRPr="00AE25ED">
              <w:t>133.6</w:t>
            </w:r>
          </w:p>
        </w:tc>
        <w:tc>
          <w:tcPr>
            <w:tcW w:w="625" w:type="pct"/>
            <w:tcBorders>
              <w:bottom w:val="single" w:sz="2" w:space="0" w:color="A7B4BE"/>
            </w:tcBorders>
            <w:vAlign w:val="bottom"/>
          </w:tcPr>
          <w:p w:rsidR="008B2560" w:rsidRPr="00AE25ED" w:rsidRDefault="008B2560" w:rsidP="00711F2B">
            <w:pPr>
              <w:pStyle w:val="Tablebodytext"/>
            </w:pPr>
            <w:r w:rsidRPr="00AE25ED">
              <w:t>50.9</w:t>
            </w:r>
          </w:p>
        </w:tc>
        <w:tc>
          <w:tcPr>
            <w:tcW w:w="625" w:type="pct"/>
            <w:tcBorders>
              <w:bottom w:val="single" w:sz="2" w:space="0" w:color="A7B4BE"/>
            </w:tcBorders>
            <w:vAlign w:val="bottom"/>
          </w:tcPr>
          <w:p w:rsidR="008B2560" w:rsidRPr="00AE25ED" w:rsidRDefault="008B2560" w:rsidP="00711F2B">
            <w:pPr>
              <w:pStyle w:val="Tablebodytext"/>
            </w:pPr>
            <w:r w:rsidRPr="00AE25ED">
              <w:t>43.3</w:t>
            </w:r>
          </w:p>
        </w:tc>
        <w:tc>
          <w:tcPr>
            <w:tcW w:w="625" w:type="pct"/>
            <w:tcBorders>
              <w:bottom w:val="single" w:sz="2" w:space="0" w:color="A7B4BE"/>
            </w:tcBorders>
            <w:vAlign w:val="bottom"/>
          </w:tcPr>
          <w:p w:rsidR="008B2560" w:rsidRPr="00AE25ED" w:rsidRDefault="008B2560" w:rsidP="00711F2B">
            <w:pPr>
              <w:pStyle w:val="Tablebodytext"/>
            </w:pPr>
            <w:r w:rsidRPr="00AE25ED">
              <w:t>94.2</w:t>
            </w:r>
          </w:p>
        </w:tc>
        <w:tc>
          <w:tcPr>
            <w:tcW w:w="625" w:type="pct"/>
            <w:tcBorders>
              <w:bottom w:val="single" w:sz="2" w:space="0" w:color="A7B4BE"/>
            </w:tcBorders>
            <w:vAlign w:val="bottom"/>
          </w:tcPr>
          <w:p w:rsidR="008B2560" w:rsidRPr="00AE25ED" w:rsidRDefault="008B2560" w:rsidP="00711F2B">
            <w:pPr>
              <w:pStyle w:val="Tablebodytext"/>
            </w:pPr>
            <w:r w:rsidRPr="00AE25ED">
              <w:t>6.06%</w:t>
            </w:r>
          </w:p>
        </w:tc>
      </w:tr>
      <w:tr w:rsidR="008B2560" w:rsidRPr="00591116" w:rsidTr="008B2560">
        <w:trPr>
          <w:trHeight w:val="285"/>
        </w:trPr>
        <w:tc>
          <w:tcPr>
            <w:tcW w:w="625" w:type="pct"/>
            <w:tcBorders>
              <w:bottom w:val="single" w:sz="2" w:space="0" w:color="A7B4BE"/>
            </w:tcBorders>
          </w:tcPr>
          <w:p w:rsidR="008B2560" w:rsidRPr="005F5CCC" w:rsidRDefault="008B2560" w:rsidP="00711F2B">
            <w:pPr>
              <w:pStyle w:val="Tablebodytext"/>
            </w:pPr>
            <w:r>
              <w:t>2021</w:t>
            </w:r>
          </w:p>
        </w:tc>
        <w:tc>
          <w:tcPr>
            <w:tcW w:w="625" w:type="pct"/>
            <w:tcBorders>
              <w:bottom w:val="single" w:sz="2" w:space="0" w:color="A7B4BE"/>
            </w:tcBorders>
            <w:vAlign w:val="bottom"/>
          </w:tcPr>
          <w:p w:rsidR="008B2560" w:rsidRPr="00AE25ED" w:rsidRDefault="008B2560" w:rsidP="00711F2B">
            <w:pPr>
              <w:pStyle w:val="Tablebodytext"/>
            </w:pPr>
            <w:r w:rsidRPr="00AE25ED">
              <w:t>76.7</w:t>
            </w:r>
          </w:p>
        </w:tc>
        <w:tc>
          <w:tcPr>
            <w:tcW w:w="625" w:type="pct"/>
            <w:tcBorders>
              <w:bottom w:val="single" w:sz="2" w:space="0" w:color="A7B4BE"/>
            </w:tcBorders>
            <w:vAlign w:val="bottom"/>
          </w:tcPr>
          <w:p w:rsidR="008B2560" w:rsidRPr="00AE25ED" w:rsidRDefault="008B2560" w:rsidP="00711F2B">
            <w:pPr>
              <w:pStyle w:val="Tablebodytext"/>
            </w:pPr>
            <w:r w:rsidRPr="00AE25ED">
              <w:t>60.7</w:t>
            </w:r>
          </w:p>
        </w:tc>
        <w:tc>
          <w:tcPr>
            <w:tcW w:w="625" w:type="pct"/>
            <w:tcBorders>
              <w:bottom w:val="single" w:sz="2" w:space="0" w:color="A7B4BE"/>
            </w:tcBorders>
            <w:vAlign w:val="bottom"/>
          </w:tcPr>
          <w:p w:rsidR="008B2560" w:rsidRPr="00AE25ED" w:rsidRDefault="008B2560" w:rsidP="00711F2B">
            <w:pPr>
              <w:pStyle w:val="Tablebodytext"/>
            </w:pPr>
            <w:r w:rsidRPr="00AE25ED">
              <w:t>137.4</w:t>
            </w:r>
          </w:p>
        </w:tc>
        <w:tc>
          <w:tcPr>
            <w:tcW w:w="625" w:type="pct"/>
            <w:tcBorders>
              <w:bottom w:val="single" w:sz="2" w:space="0" w:color="A7B4BE"/>
            </w:tcBorders>
            <w:vAlign w:val="bottom"/>
          </w:tcPr>
          <w:p w:rsidR="008B2560" w:rsidRPr="00AE25ED" w:rsidRDefault="008B2560" w:rsidP="00711F2B">
            <w:pPr>
              <w:pStyle w:val="Tablebodytext"/>
            </w:pPr>
            <w:r w:rsidRPr="00AE25ED">
              <w:t>51.0</w:t>
            </w:r>
          </w:p>
        </w:tc>
        <w:tc>
          <w:tcPr>
            <w:tcW w:w="625" w:type="pct"/>
            <w:tcBorders>
              <w:bottom w:val="single" w:sz="2" w:space="0" w:color="A7B4BE"/>
            </w:tcBorders>
            <w:vAlign w:val="bottom"/>
          </w:tcPr>
          <w:p w:rsidR="008B2560" w:rsidRPr="00AE25ED" w:rsidRDefault="008B2560" w:rsidP="00711F2B">
            <w:pPr>
              <w:pStyle w:val="Tablebodytext"/>
            </w:pPr>
            <w:r w:rsidRPr="00AE25ED">
              <w:t>40.4</w:t>
            </w:r>
          </w:p>
        </w:tc>
        <w:tc>
          <w:tcPr>
            <w:tcW w:w="625" w:type="pct"/>
            <w:tcBorders>
              <w:bottom w:val="single" w:sz="2" w:space="0" w:color="A7B4BE"/>
            </w:tcBorders>
            <w:vAlign w:val="bottom"/>
          </w:tcPr>
          <w:p w:rsidR="008B2560" w:rsidRPr="00AE25ED" w:rsidRDefault="008B2560" w:rsidP="00711F2B">
            <w:pPr>
              <w:pStyle w:val="Tablebodytext"/>
            </w:pPr>
            <w:r w:rsidRPr="00AE25ED">
              <w:t>91.4</w:t>
            </w:r>
          </w:p>
        </w:tc>
        <w:tc>
          <w:tcPr>
            <w:tcW w:w="625" w:type="pct"/>
            <w:tcBorders>
              <w:bottom w:val="single" w:sz="2" w:space="0" w:color="A7B4BE"/>
            </w:tcBorders>
            <w:vAlign w:val="bottom"/>
          </w:tcPr>
          <w:p w:rsidR="008B2560" w:rsidRPr="00AE25ED" w:rsidRDefault="008B2560" w:rsidP="00711F2B">
            <w:pPr>
              <w:pStyle w:val="Tablebodytext"/>
            </w:pPr>
            <w:r w:rsidRPr="00AE25ED">
              <w:t>5.90%</w:t>
            </w:r>
          </w:p>
        </w:tc>
      </w:tr>
      <w:tr w:rsidR="008B2560" w:rsidRPr="00591116" w:rsidTr="008B2560">
        <w:trPr>
          <w:trHeight w:val="285"/>
        </w:trPr>
        <w:tc>
          <w:tcPr>
            <w:tcW w:w="625" w:type="pct"/>
            <w:tcBorders>
              <w:bottom w:val="single" w:sz="2" w:space="0" w:color="A7B4BE"/>
            </w:tcBorders>
          </w:tcPr>
          <w:p w:rsidR="008B2560" w:rsidRPr="005F5CCC" w:rsidRDefault="008B2560" w:rsidP="00711F2B">
            <w:pPr>
              <w:pStyle w:val="Tablebodytext"/>
            </w:pPr>
            <w:r>
              <w:t>2022</w:t>
            </w:r>
          </w:p>
        </w:tc>
        <w:tc>
          <w:tcPr>
            <w:tcW w:w="625" w:type="pct"/>
            <w:tcBorders>
              <w:bottom w:val="single" w:sz="2" w:space="0" w:color="A7B4BE"/>
            </w:tcBorders>
            <w:vAlign w:val="bottom"/>
          </w:tcPr>
          <w:p w:rsidR="008B2560" w:rsidRPr="00AE25ED" w:rsidRDefault="008B2560" w:rsidP="00711F2B">
            <w:pPr>
              <w:pStyle w:val="Tablebodytext"/>
            </w:pPr>
            <w:r w:rsidRPr="00AE25ED">
              <w:t>81.2</w:t>
            </w:r>
          </w:p>
        </w:tc>
        <w:tc>
          <w:tcPr>
            <w:tcW w:w="625" w:type="pct"/>
            <w:tcBorders>
              <w:bottom w:val="single" w:sz="2" w:space="0" w:color="A7B4BE"/>
            </w:tcBorders>
            <w:vAlign w:val="bottom"/>
          </w:tcPr>
          <w:p w:rsidR="008B2560" w:rsidRPr="00AE25ED" w:rsidRDefault="008B2560" w:rsidP="00711F2B">
            <w:pPr>
              <w:pStyle w:val="Tablebodytext"/>
            </w:pPr>
            <w:r w:rsidRPr="00AE25ED">
              <w:t>59.8</w:t>
            </w:r>
          </w:p>
        </w:tc>
        <w:tc>
          <w:tcPr>
            <w:tcW w:w="625" w:type="pct"/>
            <w:tcBorders>
              <w:bottom w:val="single" w:sz="2" w:space="0" w:color="A7B4BE"/>
            </w:tcBorders>
            <w:vAlign w:val="bottom"/>
          </w:tcPr>
          <w:p w:rsidR="008B2560" w:rsidRPr="00AE25ED" w:rsidRDefault="008B2560" w:rsidP="00711F2B">
            <w:pPr>
              <w:pStyle w:val="Tablebodytext"/>
            </w:pPr>
            <w:r w:rsidRPr="00AE25ED">
              <w:t>141.1</w:t>
            </w:r>
          </w:p>
        </w:tc>
        <w:tc>
          <w:tcPr>
            <w:tcW w:w="625" w:type="pct"/>
            <w:tcBorders>
              <w:bottom w:val="single" w:sz="2" w:space="0" w:color="A7B4BE"/>
            </w:tcBorders>
            <w:vAlign w:val="bottom"/>
          </w:tcPr>
          <w:p w:rsidR="008B2560" w:rsidRPr="00AE25ED" w:rsidRDefault="008B2560" w:rsidP="00711F2B">
            <w:pPr>
              <w:pStyle w:val="Tablebodytext"/>
            </w:pPr>
            <w:r w:rsidRPr="00AE25ED">
              <w:t>51.0</w:t>
            </w:r>
          </w:p>
        </w:tc>
        <w:tc>
          <w:tcPr>
            <w:tcW w:w="625" w:type="pct"/>
            <w:tcBorders>
              <w:bottom w:val="single" w:sz="2" w:space="0" w:color="A7B4BE"/>
            </w:tcBorders>
            <w:vAlign w:val="bottom"/>
          </w:tcPr>
          <w:p w:rsidR="008B2560" w:rsidRPr="00AE25ED" w:rsidRDefault="008B2560" w:rsidP="00711F2B">
            <w:pPr>
              <w:pStyle w:val="Tablebodytext"/>
            </w:pPr>
            <w:r w:rsidRPr="00AE25ED">
              <w:t>37.5</w:t>
            </w:r>
          </w:p>
        </w:tc>
        <w:tc>
          <w:tcPr>
            <w:tcW w:w="625" w:type="pct"/>
            <w:tcBorders>
              <w:bottom w:val="single" w:sz="2" w:space="0" w:color="A7B4BE"/>
            </w:tcBorders>
            <w:vAlign w:val="bottom"/>
          </w:tcPr>
          <w:p w:rsidR="008B2560" w:rsidRPr="00AE25ED" w:rsidRDefault="008B2560" w:rsidP="00711F2B">
            <w:pPr>
              <w:pStyle w:val="Tablebodytext"/>
            </w:pPr>
            <w:r w:rsidRPr="00AE25ED">
              <w:t>88.5</w:t>
            </w:r>
          </w:p>
        </w:tc>
        <w:tc>
          <w:tcPr>
            <w:tcW w:w="625" w:type="pct"/>
            <w:tcBorders>
              <w:bottom w:val="single" w:sz="2" w:space="0" w:color="A7B4BE"/>
            </w:tcBorders>
            <w:vAlign w:val="bottom"/>
          </w:tcPr>
          <w:p w:rsidR="008B2560" w:rsidRPr="00AE25ED" w:rsidRDefault="008B2560" w:rsidP="00711F2B">
            <w:pPr>
              <w:pStyle w:val="Tablebodytext"/>
            </w:pPr>
            <w:r w:rsidRPr="00AE25ED">
              <w:t>5.74%</w:t>
            </w:r>
          </w:p>
        </w:tc>
      </w:tr>
      <w:tr w:rsidR="008B2560" w:rsidRPr="00591116" w:rsidTr="008B2560">
        <w:trPr>
          <w:trHeight w:val="285"/>
        </w:trPr>
        <w:tc>
          <w:tcPr>
            <w:tcW w:w="625" w:type="pct"/>
            <w:tcBorders>
              <w:bottom w:val="single" w:sz="2" w:space="0" w:color="A7B4BE"/>
            </w:tcBorders>
          </w:tcPr>
          <w:p w:rsidR="008B2560" w:rsidRPr="005F5CCC" w:rsidRDefault="008B2560" w:rsidP="00711F2B">
            <w:pPr>
              <w:pStyle w:val="Tablebodytext"/>
            </w:pPr>
            <w:r>
              <w:t>2023</w:t>
            </w:r>
          </w:p>
        </w:tc>
        <w:tc>
          <w:tcPr>
            <w:tcW w:w="625" w:type="pct"/>
            <w:tcBorders>
              <w:bottom w:val="single" w:sz="2" w:space="0" w:color="A7B4BE"/>
            </w:tcBorders>
            <w:vAlign w:val="bottom"/>
          </w:tcPr>
          <w:p w:rsidR="008B2560" w:rsidRPr="00AE25ED" w:rsidRDefault="008B2560" w:rsidP="00711F2B">
            <w:pPr>
              <w:pStyle w:val="Tablebodytext"/>
            </w:pPr>
            <w:r w:rsidRPr="00AE25ED">
              <w:t>85.7</w:t>
            </w:r>
          </w:p>
        </w:tc>
        <w:tc>
          <w:tcPr>
            <w:tcW w:w="625" w:type="pct"/>
            <w:tcBorders>
              <w:bottom w:val="single" w:sz="2" w:space="0" w:color="A7B4BE"/>
            </w:tcBorders>
            <w:vAlign w:val="bottom"/>
          </w:tcPr>
          <w:p w:rsidR="008B2560" w:rsidRPr="00AE25ED" w:rsidRDefault="008B2560" w:rsidP="00711F2B">
            <w:pPr>
              <w:pStyle w:val="Tablebodytext"/>
            </w:pPr>
            <w:r w:rsidRPr="00AE25ED">
              <w:t>58.9</w:t>
            </w:r>
          </w:p>
        </w:tc>
        <w:tc>
          <w:tcPr>
            <w:tcW w:w="625" w:type="pct"/>
            <w:tcBorders>
              <w:bottom w:val="single" w:sz="2" w:space="0" w:color="A7B4BE"/>
            </w:tcBorders>
            <w:vAlign w:val="bottom"/>
          </w:tcPr>
          <w:p w:rsidR="008B2560" w:rsidRPr="00AE25ED" w:rsidRDefault="008B2560" w:rsidP="00711F2B">
            <w:pPr>
              <w:pStyle w:val="Tablebodytext"/>
            </w:pPr>
            <w:r w:rsidRPr="00AE25ED">
              <w:t>144.6</w:t>
            </w:r>
          </w:p>
        </w:tc>
        <w:tc>
          <w:tcPr>
            <w:tcW w:w="625" w:type="pct"/>
            <w:tcBorders>
              <w:bottom w:val="single" w:sz="2" w:space="0" w:color="A7B4BE"/>
            </w:tcBorders>
            <w:vAlign w:val="bottom"/>
          </w:tcPr>
          <w:p w:rsidR="008B2560" w:rsidRPr="00AE25ED" w:rsidRDefault="008B2560" w:rsidP="00711F2B">
            <w:pPr>
              <w:pStyle w:val="Tablebodytext"/>
            </w:pPr>
            <w:r w:rsidRPr="00AE25ED">
              <w:t>50.8</w:t>
            </w:r>
          </w:p>
        </w:tc>
        <w:tc>
          <w:tcPr>
            <w:tcW w:w="625" w:type="pct"/>
            <w:tcBorders>
              <w:bottom w:val="single" w:sz="2" w:space="0" w:color="A7B4BE"/>
            </w:tcBorders>
            <w:vAlign w:val="bottom"/>
          </w:tcPr>
          <w:p w:rsidR="008B2560" w:rsidRPr="00AE25ED" w:rsidRDefault="008B2560" w:rsidP="00711F2B">
            <w:pPr>
              <w:pStyle w:val="Tablebodytext"/>
            </w:pPr>
            <w:r w:rsidRPr="00AE25ED">
              <w:t>34.8</w:t>
            </w:r>
          </w:p>
        </w:tc>
        <w:tc>
          <w:tcPr>
            <w:tcW w:w="625" w:type="pct"/>
            <w:tcBorders>
              <w:bottom w:val="single" w:sz="2" w:space="0" w:color="A7B4BE"/>
            </w:tcBorders>
            <w:vAlign w:val="bottom"/>
          </w:tcPr>
          <w:p w:rsidR="008B2560" w:rsidRPr="00AE25ED" w:rsidRDefault="008B2560" w:rsidP="00711F2B">
            <w:pPr>
              <w:pStyle w:val="Tablebodytext"/>
            </w:pPr>
            <w:r w:rsidRPr="00AE25ED">
              <w:t>85.6</w:t>
            </w:r>
          </w:p>
        </w:tc>
        <w:tc>
          <w:tcPr>
            <w:tcW w:w="625" w:type="pct"/>
            <w:tcBorders>
              <w:bottom w:val="single" w:sz="2" w:space="0" w:color="A7B4BE"/>
            </w:tcBorders>
            <w:vAlign w:val="bottom"/>
          </w:tcPr>
          <w:p w:rsidR="008B2560" w:rsidRPr="00AE25ED" w:rsidRDefault="008B2560" w:rsidP="00711F2B">
            <w:pPr>
              <w:pStyle w:val="Tablebodytext"/>
            </w:pPr>
            <w:r w:rsidRPr="00AE25ED">
              <w:t>5.58%</w:t>
            </w:r>
          </w:p>
        </w:tc>
      </w:tr>
      <w:tr w:rsidR="008B2560" w:rsidRPr="00591116" w:rsidTr="00711F2B">
        <w:trPr>
          <w:trHeight w:val="285"/>
        </w:trPr>
        <w:tc>
          <w:tcPr>
            <w:tcW w:w="625" w:type="pct"/>
            <w:tcBorders>
              <w:bottom w:val="single" w:sz="2" w:space="0" w:color="A7B4BE"/>
            </w:tcBorders>
          </w:tcPr>
          <w:p w:rsidR="008B2560" w:rsidRPr="00AE25ED" w:rsidRDefault="008B2560" w:rsidP="00711F2B">
            <w:pPr>
              <w:pStyle w:val="Tablebodytext"/>
            </w:pPr>
            <w:r w:rsidRPr="00AE25ED">
              <w:t>2024</w:t>
            </w:r>
          </w:p>
        </w:tc>
        <w:tc>
          <w:tcPr>
            <w:tcW w:w="625" w:type="pct"/>
            <w:tcBorders>
              <w:bottom w:val="single" w:sz="2" w:space="0" w:color="A7B4BE"/>
            </w:tcBorders>
            <w:vAlign w:val="bottom"/>
          </w:tcPr>
          <w:p w:rsidR="008B2560" w:rsidRPr="00AE25ED" w:rsidRDefault="008B2560" w:rsidP="00711F2B">
            <w:pPr>
              <w:pStyle w:val="Tablebodytext"/>
            </w:pPr>
            <w:r w:rsidRPr="00AE25ED">
              <w:t>90.3</w:t>
            </w:r>
          </w:p>
        </w:tc>
        <w:tc>
          <w:tcPr>
            <w:tcW w:w="625" w:type="pct"/>
            <w:tcBorders>
              <w:bottom w:val="single" w:sz="2" w:space="0" w:color="A7B4BE"/>
            </w:tcBorders>
            <w:vAlign w:val="bottom"/>
          </w:tcPr>
          <w:p w:rsidR="008B2560" w:rsidRPr="00AE25ED" w:rsidRDefault="008B2560" w:rsidP="00711F2B">
            <w:pPr>
              <w:pStyle w:val="Tablebodytext"/>
            </w:pPr>
            <w:r w:rsidRPr="00AE25ED">
              <w:t>57.8</w:t>
            </w:r>
          </w:p>
        </w:tc>
        <w:tc>
          <w:tcPr>
            <w:tcW w:w="625" w:type="pct"/>
            <w:tcBorders>
              <w:bottom w:val="single" w:sz="2" w:space="0" w:color="A7B4BE"/>
            </w:tcBorders>
            <w:vAlign w:val="bottom"/>
          </w:tcPr>
          <w:p w:rsidR="008B2560" w:rsidRPr="00AE25ED" w:rsidRDefault="008B2560" w:rsidP="00711F2B">
            <w:pPr>
              <w:pStyle w:val="Tablebodytext"/>
            </w:pPr>
            <w:r w:rsidRPr="00AE25ED">
              <w:t>148.0</w:t>
            </w:r>
          </w:p>
        </w:tc>
        <w:tc>
          <w:tcPr>
            <w:tcW w:w="625" w:type="pct"/>
            <w:tcBorders>
              <w:bottom w:val="single" w:sz="2" w:space="0" w:color="A7B4BE"/>
            </w:tcBorders>
            <w:vAlign w:val="bottom"/>
          </w:tcPr>
          <w:p w:rsidR="008B2560" w:rsidRPr="00AE25ED" w:rsidRDefault="008B2560" w:rsidP="00711F2B">
            <w:pPr>
              <w:pStyle w:val="Tablebodytext"/>
            </w:pPr>
            <w:r w:rsidRPr="00AE25ED">
              <w:t>50.4</w:t>
            </w:r>
          </w:p>
        </w:tc>
        <w:tc>
          <w:tcPr>
            <w:tcW w:w="625" w:type="pct"/>
            <w:tcBorders>
              <w:bottom w:val="single" w:sz="2" w:space="0" w:color="A7B4BE"/>
            </w:tcBorders>
            <w:vAlign w:val="bottom"/>
          </w:tcPr>
          <w:p w:rsidR="008B2560" w:rsidRPr="00AE25ED" w:rsidRDefault="008B2560" w:rsidP="00711F2B">
            <w:pPr>
              <w:pStyle w:val="Tablebodytext"/>
            </w:pPr>
            <w:r w:rsidRPr="00AE25ED">
              <w:t>32.3</w:t>
            </w:r>
          </w:p>
        </w:tc>
        <w:tc>
          <w:tcPr>
            <w:tcW w:w="625" w:type="pct"/>
            <w:tcBorders>
              <w:bottom w:val="single" w:sz="2" w:space="0" w:color="A7B4BE"/>
            </w:tcBorders>
            <w:vAlign w:val="bottom"/>
          </w:tcPr>
          <w:p w:rsidR="008B2560" w:rsidRPr="00AE25ED" w:rsidRDefault="008B2560" w:rsidP="00711F2B">
            <w:pPr>
              <w:pStyle w:val="Tablebodytext"/>
            </w:pPr>
            <w:r w:rsidRPr="00AE25ED">
              <w:t>82.7</w:t>
            </w:r>
          </w:p>
        </w:tc>
        <w:tc>
          <w:tcPr>
            <w:tcW w:w="625" w:type="pct"/>
            <w:tcBorders>
              <w:bottom w:val="single" w:sz="2" w:space="0" w:color="A7B4BE"/>
            </w:tcBorders>
            <w:vAlign w:val="bottom"/>
          </w:tcPr>
          <w:p w:rsidR="008B2560" w:rsidRPr="00AE25ED" w:rsidRDefault="008B2560" w:rsidP="00711F2B">
            <w:pPr>
              <w:pStyle w:val="Tablebodytext"/>
            </w:pPr>
            <w:r w:rsidRPr="00AE25ED">
              <w:t>5.41%</w:t>
            </w:r>
          </w:p>
        </w:tc>
      </w:tr>
      <w:tr w:rsidR="008B2560" w:rsidRPr="00591116" w:rsidTr="00711F2B">
        <w:trPr>
          <w:trHeight w:val="225"/>
        </w:trPr>
        <w:tc>
          <w:tcPr>
            <w:tcW w:w="625" w:type="pct"/>
            <w:tcBorders>
              <w:left w:val="nil"/>
            </w:tcBorders>
          </w:tcPr>
          <w:p w:rsidR="008B2560" w:rsidRPr="00AE25ED" w:rsidRDefault="008B2560" w:rsidP="00711F2B">
            <w:pPr>
              <w:pStyle w:val="Tablebodytext"/>
            </w:pPr>
            <w:r w:rsidRPr="00AE25ED">
              <w:t>2025</w:t>
            </w:r>
          </w:p>
        </w:tc>
        <w:tc>
          <w:tcPr>
            <w:tcW w:w="625" w:type="pct"/>
            <w:vAlign w:val="bottom"/>
          </w:tcPr>
          <w:p w:rsidR="008B2560" w:rsidRPr="00AE25ED" w:rsidRDefault="008B2560" w:rsidP="00711F2B">
            <w:pPr>
              <w:pStyle w:val="Tablebodytext"/>
            </w:pPr>
            <w:r w:rsidRPr="00AE25ED">
              <w:t>94.7</w:t>
            </w:r>
          </w:p>
        </w:tc>
        <w:tc>
          <w:tcPr>
            <w:tcW w:w="625" w:type="pct"/>
            <w:vAlign w:val="bottom"/>
          </w:tcPr>
          <w:p w:rsidR="008B2560" w:rsidRPr="00AE25ED" w:rsidRDefault="008B2560" w:rsidP="00711F2B">
            <w:pPr>
              <w:pStyle w:val="Tablebodytext"/>
            </w:pPr>
            <w:r w:rsidRPr="00AE25ED">
              <w:t>56.6</w:t>
            </w:r>
          </w:p>
        </w:tc>
        <w:tc>
          <w:tcPr>
            <w:tcW w:w="625" w:type="pct"/>
            <w:vAlign w:val="bottom"/>
          </w:tcPr>
          <w:p w:rsidR="008B2560" w:rsidRPr="00AE25ED" w:rsidRDefault="008B2560" w:rsidP="00711F2B">
            <w:pPr>
              <w:pStyle w:val="Tablebodytext"/>
            </w:pPr>
            <w:r w:rsidRPr="00AE25ED">
              <w:t>151.3</w:t>
            </w:r>
          </w:p>
        </w:tc>
        <w:tc>
          <w:tcPr>
            <w:tcW w:w="625" w:type="pct"/>
            <w:vAlign w:val="bottom"/>
          </w:tcPr>
          <w:p w:rsidR="008B2560" w:rsidRPr="00AE25ED" w:rsidRDefault="008B2560" w:rsidP="00711F2B">
            <w:pPr>
              <w:pStyle w:val="Tablebodytext"/>
            </w:pPr>
            <w:r w:rsidRPr="00AE25ED">
              <w:t>49.9</w:t>
            </w:r>
          </w:p>
        </w:tc>
        <w:tc>
          <w:tcPr>
            <w:tcW w:w="625" w:type="pct"/>
            <w:vAlign w:val="bottom"/>
          </w:tcPr>
          <w:p w:rsidR="008B2560" w:rsidRPr="00AE25ED" w:rsidRDefault="008B2560" w:rsidP="00711F2B">
            <w:pPr>
              <w:pStyle w:val="Tablebodytext"/>
            </w:pPr>
            <w:r w:rsidRPr="00AE25ED">
              <w:t>29.8</w:t>
            </w:r>
          </w:p>
        </w:tc>
        <w:tc>
          <w:tcPr>
            <w:tcW w:w="625" w:type="pct"/>
            <w:vAlign w:val="bottom"/>
          </w:tcPr>
          <w:p w:rsidR="008B2560" w:rsidRPr="00AE25ED" w:rsidRDefault="008B2560" w:rsidP="00711F2B">
            <w:pPr>
              <w:pStyle w:val="Tablebodytext"/>
            </w:pPr>
            <w:r w:rsidRPr="00AE25ED">
              <w:t>79.7</w:t>
            </w:r>
          </w:p>
        </w:tc>
        <w:tc>
          <w:tcPr>
            <w:tcW w:w="625" w:type="pct"/>
            <w:tcBorders>
              <w:right w:val="nil"/>
            </w:tcBorders>
            <w:vAlign w:val="bottom"/>
          </w:tcPr>
          <w:p w:rsidR="008B2560" w:rsidRPr="00AE25ED" w:rsidRDefault="008B2560" w:rsidP="00711F2B">
            <w:pPr>
              <w:pStyle w:val="Tablebodytext"/>
            </w:pPr>
            <w:r w:rsidRPr="00AE25ED">
              <w:t>5.24%</w:t>
            </w:r>
          </w:p>
        </w:tc>
      </w:tr>
      <w:tr w:rsidR="008B2560" w:rsidRPr="00591116" w:rsidTr="00711F2B">
        <w:trPr>
          <w:trHeight w:val="225"/>
        </w:trPr>
        <w:tc>
          <w:tcPr>
            <w:tcW w:w="625" w:type="pct"/>
            <w:tcBorders>
              <w:top w:val="single" w:sz="2" w:space="0" w:color="A7B4BE"/>
              <w:left w:val="nil"/>
              <w:bottom w:val="single" w:sz="2" w:space="0" w:color="A7B4BE"/>
              <w:right w:val="single" w:sz="2" w:space="0" w:color="A7B4BE"/>
            </w:tcBorders>
          </w:tcPr>
          <w:p w:rsidR="008B2560" w:rsidRPr="00AE25ED" w:rsidRDefault="008B2560" w:rsidP="00711F2B">
            <w:pPr>
              <w:pStyle w:val="Tablebodytext"/>
            </w:pPr>
            <w:r w:rsidRPr="00AE25ED">
              <w:t>2026</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99.1</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55.2</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154.3</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49.3</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27.4</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76.7</w:t>
            </w:r>
          </w:p>
        </w:tc>
        <w:tc>
          <w:tcPr>
            <w:tcW w:w="625" w:type="pct"/>
            <w:tcBorders>
              <w:top w:val="single" w:sz="2" w:space="0" w:color="A7B4BE"/>
              <w:left w:val="single" w:sz="2" w:space="0" w:color="A7B4BE"/>
              <w:bottom w:val="single" w:sz="2" w:space="0" w:color="A7B4BE"/>
              <w:right w:val="nil"/>
            </w:tcBorders>
            <w:vAlign w:val="bottom"/>
          </w:tcPr>
          <w:p w:rsidR="008B2560" w:rsidRPr="00AE25ED" w:rsidRDefault="008B2560" w:rsidP="00711F2B">
            <w:pPr>
              <w:pStyle w:val="Tablebodytext"/>
            </w:pPr>
            <w:r w:rsidRPr="00AE25ED">
              <w:t>5.07%</w:t>
            </w:r>
          </w:p>
        </w:tc>
      </w:tr>
      <w:tr w:rsidR="008B2560" w:rsidRPr="00591116" w:rsidTr="00711F2B">
        <w:trPr>
          <w:trHeight w:val="225"/>
        </w:trPr>
        <w:tc>
          <w:tcPr>
            <w:tcW w:w="625" w:type="pct"/>
            <w:tcBorders>
              <w:top w:val="single" w:sz="2" w:space="0" w:color="A7B4BE"/>
              <w:left w:val="nil"/>
              <w:bottom w:val="single" w:sz="2" w:space="0" w:color="A7B4BE"/>
              <w:right w:val="single" w:sz="2" w:space="0" w:color="A7B4BE"/>
            </w:tcBorders>
          </w:tcPr>
          <w:p w:rsidR="008B2560" w:rsidRPr="00AE25ED" w:rsidRDefault="008B2560" w:rsidP="00711F2B">
            <w:pPr>
              <w:pStyle w:val="Tablebodytext"/>
            </w:pPr>
            <w:r>
              <w:t>2027</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103.4</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53.8</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157.2</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48.5</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25.2</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AE25ED" w:rsidRDefault="008B2560" w:rsidP="00711F2B">
            <w:pPr>
              <w:pStyle w:val="Tablebodytext"/>
            </w:pPr>
            <w:r w:rsidRPr="00AE25ED">
              <w:t>73.7</w:t>
            </w:r>
          </w:p>
        </w:tc>
        <w:tc>
          <w:tcPr>
            <w:tcW w:w="625" w:type="pct"/>
            <w:tcBorders>
              <w:top w:val="single" w:sz="2" w:space="0" w:color="A7B4BE"/>
              <w:left w:val="single" w:sz="2" w:space="0" w:color="A7B4BE"/>
              <w:bottom w:val="single" w:sz="2" w:space="0" w:color="A7B4BE"/>
              <w:right w:val="nil"/>
            </w:tcBorders>
            <w:vAlign w:val="bottom"/>
          </w:tcPr>
          <w:p w:rsidR="008B2560" w:rsidRPr="00AE25ED" w:rsidRDefault="008B2560" w:rsidP="00711F2B">
            <w:pPr>
              <w:pStyle w:val="Tablebodytext"/>
            </w:pPr>
            <w:r w:rsidRPr="00AE25ED">
              <w:t>4.90%</w:t>
            </w:r>
          </w:p>
        </w:tc>
      </w:tr>
      <w:tr w:rsidR="008B2560" w:rsidRPr="00591116" w:rsidTr="00711F2B">
        <w:trPr>
          <w:trHeight w:val="295"/>
        </w:trPr>
        <w:tc>
          <w:tcPr>
            <w:tcW w:w="625" w:type="pct"/>
            <w:tcBorders>
              <w:top w:val="single" w:sz="2" w:space="0" w:color="A7B4BE"/>
              <w:left w:val="nil"/>
              <w:right w:val="single" w:sz="2" w:space="0" w:color="A7B4BE"/>
            </w:tcBorders>
          </w:tcPr>
          <w:p w:rsidR="008B2560" w:rsidRPr="005F5CCC" w:rsidRDefault="008B2560" w:rsidP="00711F2B">
            <w:pPr>
              <w:pStyle w:val="Tablebodytext"/>
            </w:pPr>
            <w:r>
              <w:t>2028</w:t>
            </w:r>
          </w:p>
        </w:tc>
        <w:tc>
          <w:tcPr>
            <w:tcW w:w="625" w:type="pct"/>
            <w:tcBorders>
              <w:top w:val="single" w:sz="2" w:space="0" w:color="A7B4BE"/>
              <w:left w:val="single" w:sz="2" w:space="0" w:color="A7B4BE"/>
              <w:right w:val="single" w:sz="2" w:space="0" w:color="A7B4BE"/>
            </w:tcBorders>
            <w:vAlign w:val="bottom"/>
          </w:tcPr>
          <w:p w:rsidR="008B2560" w:rsidRPr="00AE25ED" w:rsidRDefault="008B2560" w:rsidP="00711F2B">
            <w:pPr>
              <w:pStyle w:val="Tablebodytext"/>
            </w:pPr>
            <w:r w:rsidRPr="00AE25ED">
              <w:t>107.5</w:t>
            </w:r>
          </w:p>
        </w:tc>
        <w:tc>
          <w:tcPr>
            <w:tcW w:w="625" w:type="pct"/>
            <w:tcBorders>
              <w:top w:val="single" w:sz="2" w:space="0" w:color="A7B4BE"/>
              <w:left w:val="single" w:sz="2" w:space="0" w:color="A7B4BE"/>
              <w:right w:val="single" w:sz="2" w:space="0" w:color="A7B4BE"/>
            </w:tcBorders>
            <w:vAlign w:val="bottom"/>
          </w:tcPr>
          <w:p w:rsidR="008B2560" w:rsidRPr="00AE25ED" w:rsidRDefault="008B2560" w:rsidP="00711F2B">
            <w:pPr>
              <w:pStyle w:val="Tablebodytext"/>
            </w:pPr>
            <w:r w:rsidRPr="00AE25ED">
              <w:t>52.3</w:t>
            </w:r>
          </w:p>
        </w:tc>
        <w:tc>
          <w:tcPr>
            <w:tcW w:w="625" w:type="pct"/>
            <w:tcBorders>
              <w:top w:val="single" w:sz="2" w:space="0" w:color="A7B4BE"/>
              <w:left w:val="single" w:sz="2" w:space="0" w:color="A7B4BE"/>
              <w:right w:val="single" w:sz="2" w:space="0" w:color="A7B4BE"/>
            </w:tcBorders>
            <w:vAlign w:val="bottom"/>
          </w:tcPr>
          <w:p w:rsidR="008B2560" w:rsidRPr="00AE25ED" w:rsidRDefault="008B2560" w:rsidP="00711F2B">
            <w:pPr>
              <w:pStyle w:val="Tablebodytext"/>
            </w:pPr>
            <w:r w:rsidRPr="00AE25ED">
              <w:t>159.7</w:t>
            </w:r>
          </w:p>
        </w:tc>
        <w:tc>
          <w:tcPr>
            <w:tcW w:w="625" w:type="pct"/>
            <w:tcBorders>
              <w:top w:val="single" w:sz="2" w:space="0" w:color="A7B4BE"/>
              <w:left w:val="single" w:sz="2" w:space="0" w:color="A7B4BE"/>
              <w:right w:val="single" w:sz="2" w:space="0" w:color="A7B4BE"/>
            </w:tcBorders>
            <w:vAlign w:val="bottom"/>
          </w:tcPr>
          <w:p w:rsidR="008B2560" w:rsidRPr="00AE25ED" w:rsidRDefault="008B2560" w:rsidP="00711F2B">
            <w:pPr>
              <w:pStyle w:val="Tablebodytext"/>
            </w:pPr>
            <w:r w:rsidRPr="00AE25ED">
              <w:t>47.5</w:t>
            </w:r>
          </w:p>
        </w:tc>
        <w:tc>
          <w:tcPr>
            <w:tcW w:w="625" w:type="pct"/>
            <w:tcBorders>
              <w:top w:val="single" w:sz="2" w:space="0" w:color="A7B4BE"/>
              <w:left w:val="single" w:sz="2" w:space="0" w:color="A7B4BE"/>
              <w:right w:val="single" w:sz="2" w:space="0" w:color="A7B4BE"/>
            </w:tcBorders>
            <w:vAlign w:val="bottom"/>
          </w:tcPr>
          <w:p w:rsidR="008B2560" w:rsidRPr="00AE25ED" w:rsidRDefault="008B2560" w:rsidP="00711F2B">
            <w:pPr>
              <w:pStyle w:val="Tablebodytext"/>
            </w:pPr>
            <w:r w:rsidRPr="00AE25ED">
              <w:t>23.1</w:t>
            </w:r>
          </w:p>
        </w:tc>
        <w:tc>
          <w:tcPr>
            <w:tcW w:w="625" w:type="pct"/>
            <w:tcBorders>
              <w:top w:val="single" w:sz="2" w:space="0" w:color="A7B4BE"/>
              <w:left w:val="single" w:sz="2" w:space="0" w:color="A7B4BE"/>
              <w:right w:val="single" w:sz="2" w:space="0" w:color="A7B4BE"/>
            </w:tcBorders>
            <w:vAlign w:val="bottom"/>
          </w:tcPr>
          <w:p w:rsidR="008B2560" w:rsidRPr="00AE25ED" w:rsidRDefault="008B2560" w:rsidP="00711F2B">
            <w:pPr>
              <w:pStyle w:val="Tablebodytext"/>
            </w:pPr>
            <w:r w:rsidRPr="00AE25ED">
              <w:t>70.6</w:t>
            </w:r>
          </w:p>
        </w:tc>
        <w:tc>
          <w:tcPr>
            <w:tcW w:w="625" w:type="pct"/>
            <w:tcBorders>
              <w:top w:val="single" w:sz="2" w:space="0" w:color="A7B4BE"/>
              <w:left w:val="single" w:sz="2" w:space="0" w:color="A7B4BE"/>
              <w:right w:val="nil"/>
            </w:tcBorders>
            <w:vAlign w:val="bottom"/>
          </w:tcPr>
          <w:p w:rsidR="008B2560" w:rsidRPr="00AE25ED" w:rsidRDefault="008B2560" w:rsidP="00711F2B">
            <w:pPr>
              <w:pStyle w:val="Tablebodytext"/>
            </w:pPr>
            <w:r w:rsidRPr="00AE25ED">
              <w:t>4.72%</w:t>
            </w:r>
          </w:p>
        </w:tc>
      </w:tr>
      <w:tr w:rsidR="008B2560" w:rsidRPr="00591116" w:rsidTr="008B2560">
        <w:trPr>
          <w:trHeight w:val="363"/>
        </w:trPr>
        <w:tc>
          <w:tcPr>
            <w:tcW w:w="625" w:type="pct"/>
          </w:tcPr>
          <w:p w:rsidR="008B2560" w:rsidRPr="000C7E11" w:rsidRDefault="008B2560" w:rsidP="00711F2B">
            <w:pPr>
              <w:pStyle w:val="Tablebodytext"/>
              <w:rPr>
                <w:b/>
                <w:bCs/>
                <w:iCs/>
              </w:rPr>
            </w:pPr>
            <w:r>
              <w:rPr>
                <w:b/>
                <w:bCs/>
                <w:iCs/>
              </w:rPr>
              <w:t>2029</w:t>
            </w:r>
          </w:p>
        </w:tc>
        <w:tc>
          <w:tcPr>
            <w:tcW w:w="625" w:type="pct"/>
            <w:vAlign w:val="bottom"/>
          </w:tcPr>
          <w:p w:rsidR="008B2560" w:rsidRPr="00AE25ED" w:rsidRDefault="008B2560" w:rsidP="00711F2B">
            <w:pPr>
              <w:pStyle w:val="Tablebodytext"/>
            </w:pPr>
            <w:r w:rsidRPr="00AE25ED">
              <w:t>111.4</w:t>
            </w:r>
          </w:p>
        </w:tc>
        <w:tc>
          <w:tcPr>
            <w:tcW w:w="625" w:type="pct"/>
            <w:vAlign w:val="bottom"/>
          </w:tcPr>
          <w:p w:rsidR="008B2560" w:rsidRPr="00AE25ED" w:rsidRDefault="008B2560" w:rsidP="00711F2B">
            <w:pPr>
              <w:pStyle w:val="Tablebodytext"/>
            </w:pPr>
            <w:r w:rsidRPr="00AE25ED">
              <w:t>50.6</w:t>
            </w:r>
          </w:p>
        </w:tc>
        <w:tc>
          <w:tcPr>
            <w:tcW w:w="625" w:type="pct"/>
            <w:vAlign w:val="bottom"/>
          </w:tcPr>
          <w:p w:rsidR="008B2560" w:rsidRPr="00AE25ED" w:rsidRDefault="008B2560" w:rsidP="00711F2B">
            <w:pPr>
              <w:pStyle w:val="Tablebodytext"/>
            </w:pPr>
            <w:r w:rsidRPr="00AE25ED">
              <w:t>162.0</w:t>
            </w:r>
          </w:p>
        </w:tc>
        <w:tc>
          <w:tcPr>
            <w:tcW w:w="625" w:type="pct"/>
            <w:vAlign w:val="bottom"/>
          </w:tcPr>
          <w:p w:rsidR="008B2560" w:rsidRPr="00AE25ED" w:rsidRDefault="008B2560" w:rsidP="00711F2B">
            <w:pPr>
              <w:pStyle w:val="Tablebodytext"/>
            </w:pPr>
            <w:r w:rsidRPr="00AE25ED">
              <w:t>46.5</w:t>
            </w:r>
          </w:p>
        </w:tc>
        <w:tc>
          <w:tcPr>
            <w:tcW w:w="625" w:type="pct"/>
            <w:vAlign w:val="bottom"/>
          </w:tcPr>
          <w:p w:rsidR="008B2560" w:rsidRPr="00AE25ED" w:rsidRDefault="008B2560" w:rsidP="00711F2B">
            <w:pPr>
              <w:pStyle w:val="Tablebodytext"/>
            </w:pPr>
            <w:r w:rsidRPr="00AE25ED">
              <w:t>21.1</w:t>
            </w:r>
          </w:p>
        </w:tc>
        <w:tc>
          <w:tcPr>
            <w:tcW w:w="625" w:type="pct"/>
            <w:vAlign w:val="bottom"/>
          </w:tcPr>
          <w:p w:rsidR="008B2560" w:rsidRPr="00AE25ED" w:rsidRDefault="008B2560" w:rsidP="00711F2B">
            <w:pPr>
              <w:pStyle w:val="Tablebodytext"/>
            </w:pPr>
            <w:r w:rsidRPr="00AE25ED">
              <w:t>67.6</w:t>
            </w:r>
          </w:p>
        </w:tc>
        <w:tc>
          <w:tcPr>
            <w:tcW w:w="625" w:type="pct"/>
            <w:vAlign w:val="bottom"/>
          </w:tcPr>
          <w:p w:rsidR="008B2560" w:rsidRPr="00AE25ED" w:rsidRDefault="008B2560" w:rsidP="00711F2B">
            <w:pPr>
              <w:pStyle w:val="Tablebodytext"/>
            </w:pPr>
            <w:r w:rsidRPr="00AE25ED">
              <w:t>4.54%</w:t>
            </w:r>
          </w:p>
        </w:tc>
      </w:tr>
      <w:tr w:rsidR="008B2560" w:rsidRPr="00591116" w:rsidTr="008B2560">
        <w:trPr>
          <w:trHeight w:val="241"/>
        </w:trPr>
        <w:tc>
          <w:tcPr>
            <w:tcW w:w="625" w:type="pct"/>
          </w:tcPr>
          <w:p w:rsidR="008B2560" w:rsidRPr="00AE25ED" w:rsidRDefault="008B2560" w:rsidP="00711F2B">
            <w:pPr>
              <w:pStyle w:val="Tablebodytext"/>
              <w:rPr>
                <w:b/>
                <w:bCs/>
                <w:iCs/>
              </w:rPr>
            </w:pPr>
            <w:r w:rsidRPr="00AE25ED">
              <w:rPr>
                <w:b/>
                <w:bCs/>
                <w:iCs/>
              </w:rPr>
              <w:t>2034</w:t>
            </w:r>
          </w:p>
        </w:tc>
        <w:tc>
          <w:tcPr>
            <w:tcW w:w="625" w:type="pct"/>
            <w:vAlign w:val="bottom"/>
          </w:tcPr>
          <w:p w:rsidR="008B2560" w:rsidRPr="00AE25ED" w:rsidRDefault="008B2560" w:rsidP="00711F2B">
            <w:pPr>
              <w:pStyle w:val="Tablebodytext"/>
            </w:pPr>
            <w:r w:rsidRPr="00AE25ED">
              <w:t>127.3</w:t>
            </w:r>
          </w:p>
        </w:tc>
        <w:tc>
          <w:tcPr>
            <w:tcW w:w="625" w:type="pct"/>
            <w:vAlign w:val="bottom"/>
          </w:tcPr>
          <w:p w:rsidR="008B2560" w:rsidRPr="00AE25ED" w:rsidRDefault="008B2560" w:rsidP="00711F2B">
            <w:pPr>
              <w:pStyle w:val="Tablebodytext"/>
            </w:pPr>
            <w:r w:rsidRPr="00AE25ED">
              <w:t>41.4</w:t>
            </w:r>
          </w:p>
        </w:tc>
        <w:tc>
          <w:tcPr>
            <w:tcW w:w="625" w:type="pct"/>
            <w:vAlign w:val="bottom"/>
          </w:tcPr>
          <w:p w:rsidR="008B2560" w:rsidRPr="00AE25ED" w:rsidRDefault="008B2560" w:rsidP="00711F2B">
            <w:pPr>
              <w:pStyle w:val="Tablebodytext"/>
            </w:pPr>
            <w:r w:rsidRPr="00AE25ED">
              <w:t>168.7</w:t>
            </w:r>
          </w:p>
        </w:tc>
        <w:tc>
          <w:tcPr>
            <w:tcW w:w="625" w:type="pct"/>
            <w:vAlign w:val="bottom"/>
          </w:tcPr>
          <w:p w:rsidR="008B2560" w:rsidRPr="00AE25ED" w:rsidRDefault="008B2560" w:rsidP="00711F2B">
            <w:pPr>
              <w:pStyle w:val="Tablebodytext"/>
            </w:pPr>
            <w:r w:rsidRPr="00AE25ED">
              <w:t>39.7</w:t>
            </w:r>
          </w:p>
        </w:tc>
        <w:tc>
          <w:tcPr>
            <w:tcW w:w="625" w:type="pct"/>
            <w:vAlign w:val="bottom"/>
          </w:tcPr>
          <w:p w:rsidR="008B2560" w:rsidRPr="00AE25ED" w:rsidRDefault="008B2560" w:rsidP="00711F2B">
            <w:pPr>
              <w:pStyle w:val="Tablebodytext"/>
            </w:pPr>
            <w:r w:rsidRPr="00AE25ED">
              <w:t>12.9</w:t>
            </w:r>
          </w:p>
        </w:tc>
        <w:tc>
          <w:tcPr>
            <w:tcW w:w="625" w:type="pct"/>
            <w:vAlign w:val="bottom"/>
          </w:tcPr>
          <w:p w:rsidR="008B2560" w:rsidRPr="00AE25ED" w:rsidRDefault="008B2560" w:rsidP="00711F2B">
            <w:pPr>
              <w:pStyle w:val="Tablebodytext"/>
            </w:pPr>
            <w:r w:rsidRPr="00AE25ED">
              <w:t>52.6</w:t>
            </w:r>
          </w:p>
        </w:tc>
        <w:tc>
          <w:tcPr>
            <w:tcW w:w="625" w:type="pct"/>
            <w:vAlign w:val="bottom"/>
          </w:tcPr>
          <w:p w:rsidR="008B2560" w:rsidRPr="00AE25ED" w:rsidRDefault="008B2560" w:rsidP="00711F2B">
            <w:pPr>
              <w:pStyle w:val="Tablebodytext"/>
            </w:pPr>
            <w:r w:rsidRPr="00AE25ED">
              <w:t>3.63%</w:t>
            </w:r>
          </w:p>
        </w:tc>
      </w:tr>
      <w:tr w:rsidR="008B2560" w:rsidRPr="00591116" w:rsidTr="008B2560">
        <w:trPr>
          <w:trHeight w:val="241"/>
        </w:trPr>
        <w:tc>
          <w:tcPr>
            <w:tcW w:w="625" w:type="pct"/>
          </w:tcPr>
          <w:p w:rsidR="008B2560" w:rsidRPr="00AE25ED" w:rsidRDefault="008B2560" w:rsidP="00711F2B">
            <w:pPr>
              <w:pStyle w:val="Tablebodytext"/>
              <w:rPr>
                <w:b/>
                <w:bCs/>
                <w:iCs/>
              </w:rPr>
            </w:pPr>
            <w:r>
              <w:rPr>
                <w:b/>
                <w:bCs/>
                <w:iCs/>
              </w:rPr>
              <w:t>2039</w:t>
            </w:r>
          </w:p>
        </w:tc>
        <w:tc>
          <w:tcPr>
            <w:tcW w:w="625" w:type="pct"/>
            <w:vAlign w:val="bottom"/>
          </w:tcPr>
          <w:p w:rsidR="008B2560" w:rsidRPr="00AE25ED" w:rsidRDefault="008B2560" w:rsidP="00711F2B">
            <w:pPr>
              <w:pStyle w:val="Tablebodytext"/>
            </w:pPr>
            <w:r w:rsidRPr="00AE25ED">
              <w:t>134.2</w:t>
            </w:r>
          </w:p>
        </w:tc>
        <w:tc>
          <w:tcPr>
            <w:tcW w:w="625" w:type="pct"/>
            <w:vAlign w:val="bottom"/>
          </w:tcPr>
          <w:p w:rsidR="008B2560" w:rsidRPr="00AE25ED" w:rsidRDefault="008B2560" w:rsidP="00711F2B">
            <w:pPr>
              <w:pStyle w:val="Tablebodytext"/>
            </w:pPr>
            <w:r w:rsidRPr="00AE25ED">
              <w:t>31.0</w:t>
            </w:r>
          </w:p>
        </w:tc>
        <w:tc>
          <w:tcPr>
            <w:tcW w:w="625" w:type="pct"/>
            <w:vAlign w:val="bottom"/>
          </w:tcPr>
          <w:p w:rsidR="008B2560" w:rsidRPr="00AE25ED" w:rsidRDefault="008B2560" w:rsidP="00711F2B">
            <w:pPr>
              <w:pStyle w:val="Tablebodytext"/>
            </w:pPr>
            <w:r w:rsidRPr="00AE25ED">
              <w:t>165.1</w:t>
            </w:r>
          </w:p>
        </w:tc>
        <w:tc>
          <w:tcPr>
            <w:tcW w:w="625" w:type="pct"/>
            <w:vAlign w:val="bottom"/>
          </w:tcPr>
          <w:p w:rsidR="008B2560" w:rsidRPr="00AE25ED" w:rsidRDefault="008B2560" w:rsidP="00711F2B">
            <w:pPr>
              <w:pStyle w:val="Tablebodytext"/>
            </w:pPr>
            <w:r w:rsidRPr="00AE25ED">
              <w:t>31.3</w:t>
            </w:r>
          </w:p>
        </w:tc>
        <w:tc>
          <w:tcPr>
            <w:tcW w:w="625" w:type="pct"/>
            <w:vAlign w:val="bottom"/>
          </w:tcPr>
          <w:p w:rsidR="008B2560" w:rsidRPr="00AE25ED" w:rsidRDefault="008B2560" w:rsidP="00711F2B">
            <w:pPr>
              <w:pStyle w:val="Tablebodytext"/>
            </w:pPr>
            <w:r w:rsidRPr="00AE25ED">
              <w:t>7.2</w:t>
            </w:r>
          </w:p>
        </w:tc>
        <w:tc>
          <w:tcPr>
            <w:tcW w:w="625" w:type="pct"/>
            <w:vAlign w:val="bottom"/>
          </w:tcPr>
          <w:p w:rsidR="008B2560" w:rsidRPr="00AE25ED" w:rsidRDefault="008B2560" w:rsidP="00711F2B">
            <w:pPr>
              <w:pStyle w:val="Tablebodytext"/>
            </w:pPr>
            <w:r w:rsidRPr="00AE25ED">
              <w:t>38.5</w:t>
            </w:r>
          </w:p>
        </w:tc>
        <w:tc>
          <w:tcPr>
            <w:tcW w:w="625" w:type="pct"/>
            <w:vAlign w:val="bottom"/>
          </w:tcPr>
          <w:p w:rsidR="008B2560" w:rsidRPr="00AE25ED" w:rsidRDefault="008B2560" w:rsidP="00711F2B">
            <w:pPr>
              <w:pStyle w:val="Tablebodytext"/>
            </w:pPr>
            <w:r w:rsidRPr="00AE25ED">
              <w:t>2.73%</w:t>
            </w:r>
          </w:p>
        </w:tc>
      </w:tr>
      <w:tr w:rsidR="008B2560" w:rsidRPr="00591116" w:rsidTr="008B2560">
        <w:trPr>
          <w:trHeight w:val="241"/>
        </w:trPr>
        <w:tc>
          <w:tcPr>
            <w:tcW w:w="625" w:type="pct"/>
          </w:tcPr>
          <w:p w:rsidR="008B2560" w:rsidRPr="00AE25ED" w:rsidRDefault="008B2560" w:rsidP="00711F2B">
            <w:pPr>
              <w:pStyle w:val="Tablebodytext"/>
              <w:rPr>
                <w:b/>
                <w:bCs/>
                <w:iCs/>
              </w:rPr>
            </w:pPr>
            <w:r>
              <w:rPr>
                <w:b/>
                <w:bCs/>
                <w:iCs/>
              </w:rPr>
              <w:t>2044</w:t>
            </w:r>
          </w:p>
        </w:tc>
        <w:tc>
          <w:tcPr>
            <w:tcW w:w="625" w:type="pct"/>
            <w:vAlign w:val="bottom"/>
          </w:tcPr>
          <w:p w:rsidR="008B2560" w:rsidRPr="00AE25ED" w:rsidRDefault="008B2560" w:rsidP="00711F2B">
            <w:pPr>
              <w:pStyle w:val="Tablebodytext"/>
            </w:pPr>
            <w:r w:rsidRPr="00AE25ED">
              <w:t>129.3</w:t>
            </w:r>
          </w:p>
        </w:tc>
        <w:tc>
          <w:tcPr>
            <w:tcW w:w="625" w:type="pct"/>
            <w:vAlign w:val="bottom"/>
          </w:tcPr>
          <w:p w:rsidR="008B2560" w:rsidRPr="00AE25ED" w:rsidRDefault="008B2560" w:rsidP="00711F2B">
            <w:pPr>
              <w:pStyle w:val="Tablebodytext"/>
            </w:pPr>
            <w:r w:rsidRPr="00AE25ED">
              <w:t>20.8</w:t>
            </w:r>
          </w:p>
        </w:tc>
        <w:tc>
          <w:tcPr>
            <w:tcW w:w="625" w:type="pct"/>
            <w:vAlign w:val="bottom"/>
          </w:tcPr>
          <w:p w:rsidR="008B2560" w:rsidRPr="00AE25ED" w:rsidRDefault="008B2560" w:rsidP="00711F2B">
            <w:pPr>
              <w:pStyle w:val="Tablebodytext"/>
            </w:pPr>
            <w:r w:rsidRPr="00AE25ED">
              <w:t>150.2</w:t>
            </w:r>
          </w:p>
        </w:tc>
        <w:tc>
          <w:tcPr>
            <w:tcW w:w="625" w:type="pct"/>
            <w:vAlign w:val="bottom"/>
          </w:tcPr>
          <w:p w:rsidR="008B2560" w:rsidRPr="00AE25ED" w:rsidRDefault="008B2560" w:rsidP="00711F2B">
            <w:pPr>
              <w:pStyle w:val="Tablebodytext"/>
            </w:pPr>
            <w:r w:rsidRPr="00AE25ED">
              <w:t>22.5</w:t>
            </w:r>
          </w:p>
        </w:tc>
        <w:tc>
          <w:tcPr>
            <w:tcW w:w="625" w:type="pct"/>
            <w:vAlign w:val="bottom"/>
          </w:tcPr>
          <w:p w:rsidR="008B2560" w:rsidRPr="00AE25ED" w:rsidRDefault="008B2560" w:rsidP="00711F2B">
            <w:pPr>
              <w:pStyle w:val="Tablebodytext"/>
            </w:pPr>
            <w:r w:rsidRPr="00AE25ED">
              <w:t>3.6</w:t>
            </w:r>
          </w:p>
        </w:tc>
        <w:tc>
          <w:tcPr>
            <w:tcW w:w="625" w:type="pct"/>
            <w:vAlign w:val="bottom"/>
          </w:tcPr>
          <w:p w:rsidR="008B2560" w:rsidRPr="00AE25ED" w:rsidRDefault="008B2560" w:rsidP="00711F2B">
            <w:pPr>
              <w:pStyle w:val="Tablebodytext"/>
            </w:pPr>
            <w:r w:rsidRPr="00AE25ED">
              <w:t>26.1</w:t>
            </w:r>
          </w:p>
        </w:tc>
        <w:tc>
          <w:tcPr>
            <w:tcW w:w="625" w:type="pct"/>
            <w:vAlign w:val="bottom"/>
          </w:tcPr>
          <w:p w:rsidR="008B2560" w:rsidRPr="00AE25ED" w:rsidRDefault="008B2560" w:rsidP="00711F2B">
            <w:pPr>
              <w:pStyle w:val="Tablebodytext"/>
            </w:pPr>
            <w:r w:rsidRPr="00AE25ED">
              <w:t>1.92%</w:t>
            </w:r>
          </w:p>
        </w:tc>
      </w:tr>
      <w:tr w:rsidR="008B2560" w:rsidRPr="00591116" w:rsidTr="008B2560">
        <w:trPr>
          <w:trHeight w:val="241"/>
        </w:trPr>
        <w:tc>
          <w:tcPr>
            <w:tcW w:w="625" w:type="pct"/>
          </w:tcPr>
          <w:p w:rsidR="008B2560" w:rsidRPr="00AE25ED" w:rsidRDefault="008B2560" w:rsidP="00711F2B">
            <w:pPr>
              <w:pStyle w:val="Tablebodytext"/>
              <w:rPr>
                <w:b/>
                <w:bCs/>
                <w:iCs/>
              </w:rPr>
            </w:pPr>
            <w:r>
              <w:rPr>
                <w:b/>
                <w:bCs/>
                <w:iCs/>
              </w:rPr>
              <w:t>2049</w:t>
            </w:r>
          </w:p>
        </w:tc>
        <w:tc>
          <w:tcPr>
            <w:tcW w:w="625" w:type="pct"/>
            <w:vAlign w:val="bottom"/>
          </w:tcPr>
          <w:p w:rsidR="008B2560" w:rsidRPr="00AE25ED" w:rsidRDefault="008B2560" w:rsidP="00711F2B">
            <w:pPr>
              <w:pStyle w:val="Tablebodytext"/>
            </w:pPr>
            <w:r w:rsidRPr="00AE25ED">
              <w:t>113.5</w:t>
            </w:r>
          </w:p>
        </w:tc>
        <w:tc>
          <w:tcPr>
            <w:tcW w:w="625" w:type="pct"/>
            <w:vAlign w:val="bottom"/>
          </w:tcPr>
          <w:p w:rsidR="008B2560" w:rsidRPr="00AE25ED" w:rsidRDefault="008B2560" w:rsidP="00711F2B">
            <w:pPr>
              <w:pStyle w:val="Tablebodytext"/>
            </w:pPr>
            <w:r w:rsidRPr="00AE25ED">
              <w:t>12.3</w:t>
            </w:r>
          </w:p>
        </w:tc>
        <w:tc>
          <w:tcPr>
            <w:tcW w:w="625" w:type="pct"/>
            <w:vAlign w:val="bottom"/>
          </w:tcPr>
          <w:p w:rsidR="008B2560" w:rsidRPr="00AE25ED" w:rsidRDefault="008B2560" w:rsidP="00711F2B">
            <w:pPr>
              <w:pStyle w:val="Tablebodytext"/>
            </w:pPr>
            <w:r w:rsidRPr="00AE25ED">
              <w:t>125.8</w:t>
            </w:r>
          </w:p>
        </w:tc>
        <w:tc>
          <w:tcPr>
            <w:tcW w:w="625" w:type="pct"/>
            <w:vAlign w:val="bottom"/>
          </w:tcPr>
          <w:p w:rsidR="008B2560" w:rsidRPr="00AE25ED" w:rsidRDefault="008B2560" w:rsidP="00711F2B">
            <w:pPr>
              <w:pStyle w:val="Tablebodytext"/>
            </w:pPr>
            <w:r w:rsidRPr="00AE25ED">
              <w:t>14.8</w:t>
            </w:r>
          </w:p>
        </w:tc>
        <w:tc>
          <w:tcPr>
            <w:tcW w:w="625" w:type="pct"/>
            <w:vAlign w:val="bottom"/>
          </w:tcPr>
          <w:p w:rsidR="008B2560" w:rsidRPr="00AE25ED" w:rsidRDefault="008B2560" w:rsidP="00711F2B">
            <w:pPr>
              <w:pStyle w:val="Tablebodytext"/>
            </w:pPr>
            <w:r w:rsidRPr="00AE25ED">
              <w:t>1.6</w:t>
            </w:r>
          </w:p>
        </w:tc>
        <w:tc>
          <w:tcPr>
            <w:tcW w:w="625" w:type="pct"/>
            <w:vAlign w:val="bottom"/>
          </w:tcPr>
          <w:p w:rsidR="008B2560" w:rsidRPr="00AE25ED" w:rsidRDefault="008B2560" w:rsidP="00711F2B">
            <w:pPr>
              <w:pStyle w:val="Tablebodytext"/>
            </w:pPr>
            <w:r w:rsidRPr="00AE25ED">
              <w:t>16.4</w:t>
            </w:r>
          </w:p>
        </w:tc>
        <w:tc>
          <w:tcPr>
            <w:tcW w:w="625" w:type="pct"/>
            <w:vAlign w:val="bottom"/>
          </w:tcPr>
          <w:p w:rsidR="008B2560" w:rsidRPr="00AE25ED" w:rsidRDefault="008B2560" w:rsidP="00711F2B">
            <w:pPr>
              <w:pStyle w:val="Tablebodytext"/>
            </w:pPr>
            <w:r w:rsidRPr="00AE25ED">
              <w:t>1.25%</w:t>
            </w:r>
          </w:p>
        </w:tc>
      </w:tr>
      <w:tr w:rsidR="008B2560" w:rsidRPr="00591116" w:rsidTr="008B2560">
        <w:trPr>
          <w:trHeight w:val="241"/>
        </w:trPr>
        <w:tc>
          <w:tcPr>
            <w:tcW w:w="625" w:type="pct"/>
          </w:tcPr>
          <w:p w:rsidR="008B2560" w:rsidRPr="00AE25ED" w:rsidRDefault="008B2560" w:rsidP="00711F2B">
            <w:pPr>
              <w:pStyle w:val="Tablebodytext"/>
              <w:rPr>
                <w:b/>
                <w:bCs/>
                <w:iCs/>
              </w:rPr>
            </w:pPr>
            <w:r>
              <w:rPr>
                <w:b/>
                <w:bCs/>
                <w:iCs/>
              </w:rPr>
              <w:t>2054</w:t>
            </w:r>
          </w:p>
        </w:tc>
        <w:tc>
          <w:tcPr>
            <w:tcW w:w="625" w:type="pct"/>
            <w:vAlign w:val="bottom"/>
          </w:tcPr>
          <w:p w:rsidR="008B2560" w:rsidRPr="00AE25ED" w:rsidRDefault="008B2560" w:rsidP="00711F2B">
            <w:pPr>
              <w:pStyle w:val="Tablebodytext"/>
            </w:pPr>
            <w:r w:rsidRPr="00AE25ED">
              <w:t>91.0</w:t>
            </w:r>
          </w:p>
        </w:tc>
        <w:tc>
          <w:tcPr>
            <w:tcW w:w="625" w:type="pct"/>
            <w:vAlign w:val="bottom"/>
          </w:tcPr>
          <w:p w:rsidR="008B2560" w:rsidRPr="00AE25ED" w:rsidRDefault="008B2560" w:rsidP="00711F2B">
            <w:pPr>
              <w:pStyle w:val="Tablebodytext"/>
            </w:pPr>
            <w:r w:rsidRPr="00AE25ED">
              <w:t>6.1</w:t>
            </w:r>
          </w:p>
        </w:tc>
        <w:tc>
          <w:tcPr>
            <w:tcW w:w="625" w:type="pct"/>
            <w:vAlign w:val="bottom"/>
          </w:tcPr>
          <w:p w:rsidR="008B2560" w:rsidRPr="00AE25ED" w:rsidRDefault="008B2560" w:rsidP="00711F2B">
            <w:pPr>
              <w:pStyle w:val="Tablebodytext"/>
            </w:pPr>
            <w:r w:rsidRPr="00AE25ED">
              <w:t>97.1</w:t>
            </w:r>
          </w:p>
        </w:tc>
        <w:tc>
          <w:tcPr>
            <w:tcW w:w="625" w:type="pct"/>
            <w:vAlign w:val="bottom"/>
          </w:tcPr>
          <w:p w:rsidR="008B2560" w:rsidRPr="00AE25ED" w:rsidRDefault="008B2560" w:rsidP="00711F2B">
            <w:pPr>
              <w:pStyle w:val="Tablebodytext"/>
            </w:pPr>
            <w:r w:rsidRPr="00AE25ED">
              <w:t>8.8</w:t>
            </w:r>
          </w:p>
        </w:tc>
        <w:tc>
          <w:tcPr>
            <w:tcW w:w="625" w:type="pct"/>
            <w:vAlign w:val="bottom"/>
          </w:tcPr>
          <w:p w:rsidR="008B2560" w:rsidRPr="00AE25ED" w:rsidRDefault="008B2560" w:rsidP="00711F2B">
            <w:pPr>
              <w:pStyle w:val="Tablebodytext"/>
            </w:pPr>
            <w:r w:rsidRPr="00AE25ED">
              <w:t>0.6</w:t>
            </w:r>
          </w:p>
        </w:tc>
        <w:tc>
          <w:tcPr>
            <w:tcW w:w="625" w:type="pct"/>
            <w:vAlign w:val="bottom"/>
          </w:tcPr>
          <w:p w:rsidR="008B2560" w:rsidRPr="00AE25ED" w:rsidRDefault="008B2560" w:rsidP="00711F2B">
            <w:pPr>
              <w:pStyle w:val="Tablebodytext"/>
            </w:pPr>
            <w:r w:rsidRPr="00AE25ED">
              <w:t>9.4</w:t>
            </w:r>
          </w:p>
        </w:tc>
        <w:tc>
          <w:tcPr>
            <w:tcW w:w="625" w:type="pct"/>
            <w:vAlign w:val="bottom"/>
          </w:tcPr>
          <w:p w:rsidR="008B2560" w:rsidRPr="00AE25ED" w:rsidRDefault="008B2560" w:rsidP="00711F2B">
            <w:pPr>
              <w:pStyle w:val="Tablebodytext"/>
            </w:pPr>
            <w:r w:rsidRPr="00AE25ED">
              <w:t>0.75%</w:t>
            </w:r>
          </w:p>
        </w:tc>
      </w:tr>
    </w:tbl>
    <w:p w:rsidR="00770E40" w:rsidRDefault="00770E40" w:rsidP="00770E40">
      <w:pPr>
        <w:pStyle w:val="Sourcenotetext"/>
      </w:pPr>
      <w:r w:rsidRPr="002606E3">
        <w:t>Note: The discounted figures in the above table have been adjusted to 2014 dollars using the discount rate of 6% per annum, which has been used to calculate the present value of the liability at each date.</w:t>
      </w:r>
    </w:p>
    <w:p w:rsidR="00664B77" w:rsidRDefault="008B2560" w:rsidP="00B95356">
      <w:pPr>
        <w:pStyle w:val="Numberedpara1stindent"/>
        <w:spacing w:after="240"/>
      </w:pPr>
      <w:r w:rsidRPr="00B95356">
        <w:t>The total Unfunded Liability is expected to reduce as a percentage of projected GDP from 6.94% as at 30 June 2014 to 0.75% as at 30 June 2054. This is consistent with the schemes being closed to new members and the ageing of the membership.</w:t>
      </w:r>
    </w:p>
    <w:p w:rsidR="008B2560" w:rsidRDefault="00664B77" w:rsidP="00DF00E2">
      <w:pPr>
        <w:pStyle w:val="Heading2"/>
        <w:tabs>
          <w:tab w:val="clear" w:pos="567"/>
        </w:tabs>
        <w:spacing w:after="720"/>
      </w:pPr>
      <w:r>
        <w:br w:type="page"/>
      </w:r>
      <w:bookmarkStart w:id="11" w:name="_Toc422302161"/>
      <w:r w:rsidR="00485922">
        <w:lastRenderedPageBreak/>
        <w:t>Projected Outlays</w:t>
      </w:r>
      <w:bookmarkEnd w:id="11"/>
    </w:p>
    <w:p w:rsidR="00664B77" w:rsidRDefault="00664B77" w:rsidP="00C4706A">
      <w:pPr>
        <w:pStyle w:val="Numberedpara1stindent"/>
        <w:spacing w:after="120"/>
      </w:pPr>
      <w:r w:rsidRPr="00664B77">
        <w:rPr>
          <w:rFonts w:eastAsia="Cambria"/>
          <w:szCs w:val="22"/>
        </w:rPr>
        <w:t>The projected outlays in each year are calculated as follows</w:t>
      </w:r>
      <w:r>
        <w:t>:</w:t>
      </w:r>
    </w:p>
    <w:p w:rsidR="00664B77" w:rsidRDefault="00664B77" w:rsidP="00C4706A">
      <w:pPr>
        <w:pStyle w:val="Numberedpara2ndindent"/>
        <w:spacing w:after="120"/>
      </w:pPr>
      <w:r>
        <w:t xml:space="preserve">productivity superannuation contributions paid by the employer to the PSS </w:t>
      </w:r>
      <w:r w:rsidRPr="004C573D">
        <w:t>and CSS</w:t>
      </w:r>
      <w:r>
        <w:t>; plus</w:t>
      </w:r>
    </w:p>
    <w:p w:rsidR="00664B77" w:rsidRDefault="00664B77" w:rsidP="00C4706A">
      <w:pPr>
        <w:pStyle w:val="Numberedpara2ndindent"/>
        <w:spacing w:after="120"/>
      </w:pPr>
      <w:r>
        <w:t xml:space="preserve">benefit payments made from the CRF (including payments made under the </w:t>
      </w:r>
      <w:r w:rsidRPr="002606E3">
        <w:t>Superannuation Act 1922</w:t>
      </w:r>
      <w:r>
        <w:t xml:space="preserve">); </w:t>
      </w:r>
      <w:r w:rsidRPr="002606E3">
        <w:t>less</w:t>
      </w:r>
    </w:p>
    <w:p w:rsidR="00664B77" w:rsidRDefault="00664B77" w:rsidP="00664B77">
      <w:pPr>
        <w:pStyle w:val="Numberedpara2ndindent"/>
        <w:spacing w:after="240"/>
      </w:pPr>
      <w:r>
        <w:t xml:space="preserve">payments made from the PSS </w:t>
      </w:r>
      <w:r w:rsidRPr="00A3224E">
        <w:t>and CSS</w:t>
      </w:r>
      <w:r>
        <w:t xml:space="preserve"> to the CRF.</w:t>
      </w:r>
    </w:p>
    <w:p w:rsidR="008B2560" w:rsidRPr="00664B77" w:rsidRDefault="008B2560" w:rsidP="00664B77">
      <w:pPr>
        <w:pStyle w:val="Numberedpara1stindent"/>
        <w:spacing w:after="240"/>
      </w:pPr>
      <w:r w:rsidRPr="00664B77">
        <w:t>When a member becomes entitled to a benefit from the PSS or CSS, the member's accumulation accounts (i.e. funded member and productivity contributions plus interest) are paid from the PSS or CSS to the CRF. The total benefit payment to the member is then made from the CRF.</w:t>
      </w:r>
    </w:p>
    <w:p w:rsidR="008B2560" w:rsidRPr="00664B77" w:rsidRDefault="008B2560" w:rsidP="00664B77">
      <w:pPr>
        <w:pStyle w:val="Numberedpara1stindent"/>
        <w:spacing w:after="240"/>
      </w:pPr>
      <w:r w:rsidRPr="00664B77">
        <w:t>The indexed pension benefit from the CSS is therefore financed from the CRF on an unfunded basis. Similarly the benefit from the PSS after deducting the accumulated value of the member contributions and productivity superannuation contributions is also financed from the CRF on an unfunded basis.</w:t>
      </w:r>
    </w:p>
    <w:p w:rsidR="008B2560" w:rsidRPr="00664B77" w:rsidRDefault="008B2560" w:rsidP="00664B77">
      <w:pPr>
        <w:pStyle w:val="Numberedpara1stindent"/>
        <w:spacing w:after="240"/>
      </w:pPr>
      <w:r w:rsidRPr="00664B77">
        <w:t xml:space="preserve">The projected outlays represent the total cost to the Australian Government of funding the PSS and CSS benefits to current and past employees and their dependants, as such the projected outlays are better representations of the expected future contributions required from the Australian Government.  </w:t>
      </w:r>
    </w:p>
    <w:p w:rsidR="00DF00E2" w:rsidRDefault="008B2560" w:rsidP="00664B77">
      <w:pPr>
        <w:pStyle w:val="Numberedpara1stindent"/>
        <w:spacing w:after="240"/>
      </w:pPr>
      <w:r w:rsidRPr="00664B77">
        <w:t>In comparison, the NECRs represent the estimated contribution rates that would be required to fund the benefits accruing to contributors over the next three years assuming PSS and CSS were fully funded at the start of the three-year period and based on actuarial projection assumptions. The NECRs are therefore short-term in nature and relate to the cost of funding future benefit accruals of contributors only.</w:t>
      </w:r>
    </w:p>
    <w:p w:rsidR="00711F2B" w:rsidRPr="00770E40" w:rsidRDefault="00DF00E2" w:rsidP="00770E40">
      <w:pPr>
        <w:pStyle w:val="Numberedpara1stindent"/>
        <w:spacing w:after="120"/>
        <w:rPr>
          <w:rFonts w:eastAsia="Cambria"/>
          <w:szCs w:val="22"/>
        </w:rPr>
      </w:pPr>
      <w:r>
        <w:br w:type="page"/>
      </w:r>
      <w:r w:rsidR="008B2560" w:rsidRPr="00664B77">
        <w:lastRenderedPageBreak/>
        <w:t>We have projected the outlay for the next 40 years. This has been done by projecting the membership into the future based on the assumptions for the level of future salary increases, and the timing and nature of exits from the schemes based on the assumptions set out in Section 4. The table below summarises the projected outlay separately for the PSS and CSS and for the two schemes combined</w:t>
      </w:r>
      <w:r w:rsidR="008B2560" w:rsidRPr="00DF00E2">
        <w:t>.</w:t>
      </w:r>
      <w:r w:rsidR="008B2560" w:rsidRPr="002606E3">
        <w:rPr>
          <w:rFonts w:eastAsia="Cambria"/>
          <w:szCs w:val="22"/>
        </w:rPr>
        <w:t xml:space="preserve"> </w:t>
      </w:r>
    </w:p>
    <w:p w:rsidR="00711F2B" w:rsidRPr="002606E3" w:rsidRDefault="00711F2B" w:rsidP="00241DF9">
      <w:pPr>
        <w:pStyle w:val="Heading4nonumbers"/>
        <w:rPr>
          <w:rFonts w:eastAsia="Cambria"/>
          <w:szCs w:val="22"/>
        </w:rPr>
      </w:pPr>
      <w:r w:rsidRPr="000A559D">
        <w:rPr>
          <w:lang w:val="en-US"/>
        </w:rPr>
        <w:t>Projected Future Outlays</w:t>
      </w:r>
    </w:p>
    <w:tbl>
      <w:tblPr>
        <w:tblW w:w="5508" w:type="pct"/>
        <w:tblBorders>
          <w:top w:val="single" w:sz="2" w:space="0" w:color="A7B4BE"/>
          <w:bottom w:val="single" w:sz="2" w:space="0" w:color="A7B4BE"/>
          <w:insideH w:val="single" w:sz="2" w:space="0" w:color="A7B4BE"/>
          <w:insideV w:val="single" w:sz="2" w:space="0" w:color="A7B4BE"/>
        </w:tblBorders>
        <w:tblLayout w:type="fixed"/>
        <w:tblCellMar>
          <w:left w:w="0" w:type="dxa"/>
          <w:right w:w="0" w:type="dxa"/>
        </w:tblCellMar>
        <w:tblLook w:val="04A0"/>
      </w:tblPr>
      <w:tblGrid>
        <w:gridCol w:w="1092"/>
        <w:gridCol w:w="1092"/>
        <w:gridCol w:w="1092"/>
        <w:gridCol w:w="1092"/>
        <w:gridCol w:w="1092"/>
        <w:gridCol w:w="1092"/>
        <w:gridCol w:w="1092"/>
        <w:gridCol w:w="1092"/>
      </w:tblGrid>
      <w:tr w:rsidR="008B2560" w:rsidRPr="000A559D" w:rsidTr="008B2560">
        <w:trPr>
          <w:trHeight w:val="236"/>
        </w:trPr>
        <w:tc>
          <w:tcPr>
            <w:tcW w:w="625" w:type="pct"/>
            <w:vMerge w:val="restart"/>
            <w:shd w:val="clear" w:color="auto" w:fill="DDF3FA"/>
            <w:vAlign w:val="center"/>
          </w:tcPr>
          <w:p w:rsidR="008B2560" w:rsidRPr="00E125B0" w:rsidRDefault="008B2560" w:rsidP="00E125B0">
            <w:pPr>
              <w:pStyle w:val="Tablecolumnheading"/>
            </w:pPr>
            <w:r w:rsidRPr="00E125B0">
              <w:t>Year ending 30 June</w:t>
            </w:r>
          </w:p>
        </w:tc>
        <w:tc>
          <w:tcPr>
            <w:tcW w:w="1875" w:type="pct"/>
            <w:gridSpan w:val="3"/>
            <w:shd w:val="clear" w:color="auto" w:fill="DDF3FA"/>
            <w:vAlign w:val="center"/>
          </w:tcPr>
          <w:p w:rsidR="008B2560" w:rsidRPr="00E125B0" w:rsidRDefault="00472381" w:rsidP="00E125B0">
            <w:pPr>
              <w:pStyle w:val="Tablecolumnheading"/>
            </w:pPr>
            <w:r>
              <w:t>Nominal Outlays ($ m</w:t>
            </w:r>
            <w:r w:rsidR="008B2560" w:rsidRPr="00E125B0">
              <w:t>illions)</w:t>
            </w:r>
          </w:p>
        </w:tc>
        <w:tc>
          <w:tcPr>
            <w:tcW w:w="1875" w:type="pct"/>
            <w:gridSpan w:val="3"/>
            <w:shd w:val="clear" w:color="auto" w:fill="DDF3FA"/>
            <w:vAlign w:val="center"/>
          </w:tcPr>
          <w:p w:rsidR="008B2560" w:rsidRPr="00E125B0" w:rsidRDefault="00472381" w:rsidP="00E125B0">
            <w:pPr>
              <w:pStyle w:val="Tablecolumnheading"/>
            </w:pPr>
            <w:r>
              <w:t>Discounted Outlays ($ m</w:t>
            </w:r>
            <w:r w:rsidR="008B2560" w:rsidRPr="00E125B0">
              <w:t>illions)</w:t>
            </w:r>
          </w:p>
        </w:tc>
        <w:tc>
          <w:tcPr>
            <w:tcW w:w="625" w:type="pct"/>
            <w:vMerge w:val="restart"/>
            <w:shd w:val="clear" w:color="auto" w:fill="DDF3FA"/>
          </w:tcPr>
          <w:p w:rsidR="008B2560" w:rsidRPr="00E125B0" w:rsidRDefault="008B2560" w:rsidP="00E125B0">
            <w:pPr>
              <w:pStyle w:val="Tablecolumnheading"/>
            </w:pPr>
            <w:r w:rsidRPr="00E125B0">
              <w:t>Nominal Outlays as % of GDP</w:t>
            </w:r>
          </w:p>
        </w:tc>
      </w:tr>
      <w:tr w:rsidR="008B2560" w:rsidRPr="000A559D" w:rsidTr="008B2560">
        <w:trPr>
          <w:trHeight w:val="236"/>
        </w:trPr>
        <w:tc>
          <w:tcPr>
            <w:tcW w:w="625" w:type="pct"/>
            <w:vMerge/>
            <w:shd w:val="clear" w:color="auto" w:fill="DDF3FA"/>
            <w:vAlign w:val="center"/>
          </w:tcPr>
          <w:p w:rsidR="008B2560" w:rsidRPr="000A559D" w:rsidRDefault="008B2560" w:rsidP="008B2560">
            <w:pPr>
              <w:pStyle w:val="Tablecolumnheading"/>
              <w:spacing w:line="220" w:lineRule="atLeast"/>
              <w:jc w:val="center"/>
              <w:rPr>
                <w:rFonts w:cs="Arial"/>
              </w:rPr>
            </w:pPr>
          </w:p>
        </w:tc>
        <w:tc>
          <w:tcPr>
            <w:tcW w:w="625" w:type="pct"/>
            <w:shd w:val="clear" w:color="auto" w:fill="DDF3FA"/>
            <w:vAlign w:val="center"/>
          </w:tcPr>
          <w:p w:rsidR="008B2560" w:rsidRPr="00E125B0" w:rsidRDefault="008B2560" w:rsidP="00E125B0">
            <w:pPr>
              <w:pStyle w:val="Tablecolumnheading"/>
            </w:pPr>
            <w:r w:rsidRPr="00E125B0">
              <w:t>PSS</w:t>
            </w:r>
          </w:p>
        </w:tc>
        <w:tc>
          <w:tcPr>
            <w:tcW w:w="625" w:type="pct"/>
            <w:shd w:val="clear" w:color="auto" w:fill="DDF3FA"/>
            <w:vAlign w:val="center"/>
          </w:tcPr>
          <w:p w:rsidR="008B2560" w:rsidRPr="00E125B0" w:rsidRDefault="008B2560" w:rsidP="00E125B0">
            <w:pPr>
              <w:pStyle w:val="Tablecolumnheading"/>
            </w:pPr>
            <w:r w:rsidRPr="00E125B0">
              <w:t>CSS</w:t>
            </w:r>
          </w:p>
        </w:tc>
        <w:tc>
          <w:tcPr>
            <w:tcW w:w="625" w:type="pct"/>
            <w:shd w:val="clear" w:color="auto" w:fill="DDF3FA"/>
            <w:vAlign w:val="center"/>
          </w:tcPr>
          <w:p w:rsidR="008B2560" w:rsidRPr="00E125B0" w:rsidRDefault="008B2560" w:rsidP="00E125B0">
            <w:pPr>
              <w:pStyle w:val="Tablecolumnheading"/>
            </w:pPr>
            <w:r w:rsidRPr="00E125B0">
              <w:t>Total</w:t>
            </w:r>
          </w:p>
        </w:tc>
        <w:tc>
          <w:tcPr>
            <w:tcW w:w="625" w:type="pct"/>
            <w:shd w:val="clear" w:color="auto" w:fill="DDF3FA"/>
            <w:vAlign w:val="center"/>
          </w:tcPr>
          <w:p w:rsidR="008B2560" w:rsidRPr="00E125B0" w:rsidRDefault="008B2560" w:rsidP="00E125B0">
            <w:pPr>
              <w:pStyle w:val="Tablecolumnheading"/>
            </w:pPr>
            <w:r w:rsidRPr="00E125B0">
              <w:t>PSS</w:t>
            </w:r>
          </w:p>
        </w:tc>
        <w:tc>
          <w:tcPr>
            <w:tcW w:w="625" w:type="pct"/>
            <w:shd w:val="clear" w:color="auto" w:fill="DDF3FA"/>
            <w:vAlign w:val="center"/>
          </w:tcPr>
          <w:p w:rsidR="008B2560" w:rsidRPr="00E125B0" w:rsidRDefault="008B2560" w:rsidP="00E125B0">
            <w:pPr>
              <w:pStyle w:val="Tablecolumnheading"/>
            </w:pPr>
            <w:r w:rsidRPr="00E125B0">
              <w:t>CSS</w:t>
            </w:r>
          </w:p>
        </w:tc>
        <w:tc>
          <w:tcPr>
            <w:tcW w:w="625" w:type="pct"/>
            <w:shd w:val="clear" w:color="auto" w:fill="DDF3FA"/>
            <w:vAlign w:val="center"/>
          </w:tcPr>
          <w:p w:rsidR="008B2560" w:rsidRPr="00E125B0" w:rsidRDefault="008B2560" w:rsidP="00E125B0">
            <w:pPr>
              <w:pStyle w:val="Tablecolumnheading"/>
            </w:pPr>
            <w:r w:rsidRPr="00E125B0">
              <w:t>Total</w:t>
            </w:r>
          </w:p>
        </w:tc>
        <w:tc>
          <w:tcPr>
            <w:tcW w:w="625" w:type="pct"/>
            <w:vMerge/>
            <w:shd w:val="clear" w:color="auto" w:fill="DDF3FA"/>
          </w:tcPr>
          <w:p w:rsidR="008B2560" w:rsidRPr="000A559D" w:rsidRDefault="008B2560" w:rsidP="008B2560">
            <w:pPr>
              <w:pStyle w:val="Tablecolumnheading"/>
              <w:spacing w:line="220" w:lineRule="atLeast"/>
              <w:jc w:val="center"/>
              <w:rPr>
                <w:rFonts w:cs="Arial"/>
              </w:rPr>
            </w:pPr>
          </w:p>
        </w:tc>
      </w:tr>
      <w:tr w:rsidR="008B2560" w:rsidRPr="000A559D" w:rsidTr="008B256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2015</w:t>
            </w:r>
          </w:p>
        </w:tc>
        <w:tc>
          <w:tcPr>
            <w:tcW w:w="625" w:type="pct"/>
            <w:tcBorders>
              <w:bottom w:val="single" w:sz="2" w:space="0" w:color="A7B4BE"/>
            </w:tcBorders>
            <w:vAlign w:val="bottom"/>
          </w:tcPr>
          <w:p w:rsidR="008B2560" w:rsidRPr="000A559D" w:rsidRDefault="008B2560" w:rsidP="00E125B0">
            <w:pPr>
              <w:pStyle w:val="Tablebodytext"/>
            </w:pPr>
            <w:r w:rsidRPr="000A559D">
              <w:t>926</w:t>
            </w:r>
          </w:p>
        </w:tc>
        <w:tc>
          <w:tcPr>
            <w:tcW w:w="625" w:type="pct"/>
            <w:tcBorders>
              <w:bottom w:val="single" w:sz="2" w:space="0" w:color="A7B4BE"/>
            </w:tcBorders>
            <w:vAlign w:val="bottom"/>
          </w:tcPr>
          <w:p w:rsidR="008B2560" w:rsidRPr="000A559D" w:rsidRDefault="008B2560" w:rsidP="00E125B0">
            <w:pPr>
              <w:pStyle w:val="Tablebodytext"/>
            </w:pPr>
            <w:r w:rsidRPr="000A559D">
              <w:t>3,769</w:t>
            </w:r>
          </w:p>
        </w:tc>
        <w:tc>
          <w:tcPr>
            <w:tcW w:w="625" w:type="pct"/>
            <w:tcBorders>
              <w:bottom w:val="single" w:sz="2" w:space="0" w:color="A7B4BE"/>
            </w:tcBorders>
            <w:vAlign w:val="bottom"/>
          </w:tcPr>
          <w:p w:rsidR="008B2560" w:rsidRPr="000A559D" w:rsidRDefault="008B2560" w:rsidP="00E125B0">
            <w:pPr>
              <w:pStyle w:val="Tablebodytext"/>
            </w:pPr>
            <w:r w:rsidRPr="000A559D">
              <w:t>4,695</w:t>
            </w:r>
          </w:p>
        </w:tc>
        <w:tc>
          <w:tcPr>
            <w:tcW w:w="625" w:type="pct"/>
            <w:tcBorders>
              <w:bottom w:val="single" w:sz="2" w:space="0" w:color="A7B4BE"/>
            </w:tcBorders>
            <w:vAlign w:val="bottom"/>
          </w:tcPr>
          <w:p w:rsidR="008B2560" w:rsidRPr="000A559D" w:rsidRDefault="008B2560" w:rsidP="00E125B0">
            <w:pPr>
              <w:pStyle w:val="Tablebodytext"/>
            </w:pPr>
            <w:r w:rsidRPr="000A559D">
              <w:t>899</w:t>
            </w:r>
          </w:p>
        </w:tc>
        <w:tc>
          <w:tcPr>
            <w:tcW w:w="625" w:type="pct"/>
            <w:tcBorders>
              <w:bottom w:val="single" w:sz="2" w:space="0" w:color="A7B4BE"/>
            </w:tcBorders>
            <w:vAlign w:val="bottom"/>
          </w:tcPr>
          <w:p w:rsidR="008B2560" w:rsidRPr="000A559D" w:rsidRDefault="008B2560" w:rsidP="00E125B0">
            <w:pPr>
              <w:pStyle w:val="Tablebodytext"/>
            </w:pPr>
            <w:r w:rsidRPr="000A559D">
              <w:t>3,661</w:t>
            </w:r>
          </w:p>
        </w:tc>
        <w:tc>
          <w:tcPr>
            <w:tcW w:w="625" w:type="pct"/>
            <w:tcBorders>
              <w:bottom w:val="single" w:sz="2" w:space="0" w:color="A7B4BE"/>
            </w:tcBorders>
            <w:vAlign w:val="bottom"/>
          </w:tcPr>
          <w:p w:rsidR="008B2560" w:rsidRPr="000A559D" w:rsidRDefault="008B2560" w:rsidP="00E125B0">
            <w:pPr>
              <w:pStyle w:val="Tablebodytext"/>
            </w:pPr>
            <w:r w:rsidRPr="000A559D">
              <w:t>4,560</w:t>
            </w:r>
          </w:p>
        </w:tc>
        <w:tc>
          <w:tcPr>
            <w:tcW w:w="625" w:type="pct"/>
            <w:tcBorders>
              <w:bottom w:val="single" w:sz="2" w:space="0" w:color="A7B4BE"/>
            </w:tcBorders>
            <w:vAlign w:val="bottom"/>
          </w:tcPr>
          <w:p w:rsidR="008B2560" w:rsidRPr="000A559D" w:rsidRDefault="008B2560" w:rsidP="00E125B0">
            <w:pPr>
              <w:pStyle w:val="Tablebodytext"/>
            </w:pPr>
            <w:r w:rsidRPr="000A559D">
              <w:t>0.28%</w:t>
            </w:r>
          </w:p>
        </w:tc>
      </w:tr>
      <w:tr w:rsidR="008B2560" w:rsidRPr="000A559D" w:rsidTr="008B256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2016</w:t>
            </w:r>
          </w:p>
        </w:tc>
        <w:tc>
          <w:tcPr>
            <w:tcW w:w="625" w:type="pct"/>
            <w:tcBorders>
              <w:bottom w:val="single" w:sz="2" w:space="0" w:color="A7B4BE"/>
            </w:tcBorders>
            <w:vAlign w:val="bottom"/>
          </w:tcPr>
          <w:p w:rsidR="008B2560" w:rsidRPr="000A559D" w:rsidRDefault="008B2560" w:rsidP="00E125B0">
            <w:pPr>
              <w:pStyle w:val="Tablebodytext"/>
            </w:pPr>
            <w:r w:rsidRPr="000A559D">
              <w:t>1,031</w:t>
            </w:r>
          </w:p>
        </w:tc>
        <w:tc>
          <w:tcPr>
            <w:tcW w:w="625" w:type="pct"/>
            <w:tcBorders>
              <w:bottom w:val="single" w:sz="2" w:space="0" w:color="A7B4BE"/>
            </w:tcBorders>
            <w:vAlign w:val="bottom"/>
          </w:tcPr>
          <w:p w:rsidR="008B2560" w:rsidRPr="000A559D" w:rsidRDefault="008B2560" w:rsidP="00E125B0">
            <w:pPr>
              <w:pStyle w:val="Tablebodytext"/>
            </w:pPr>
            <w:r w:rsidRPr="000A559D">
              <w:t>3,879</w:t>
            </w:r>
          </w:p>
        </w:tc>
        <w:tc>
          <w:tcPr>
            <w:tcW w:w="625" w:type="pct"/>
            <w:tcBorders>
              <w:bottom w:val="single" w:sz="2" w:space="0" w:color="A7B4BE"/>
            </w:tcBorders>
            <w:vAlign w:val="bottom"/>
          </w:tcPr>
          <w:p w:rsidR="008B2560" w:rsidRPr="000A559D" w:rsidRDefault="008B2560" w:rsidP="00E125B0">
            <w:pPr>
              <w:pStyle w:val="Tablebodytext"/>
            </w:pPr>
            <w:r w:rsidRPr="000A559D">
              <w:t>4,910</w:t>
            </w:r>
          </w:p>
        </w:tc>
        <w:tc>
          <w:tcPr>
            <w:tcW w:w="625" w:type="pct"/>
            <w:tcBorders>
              <w:bottom w:val="single" w:sz="2" w:space="0" w:color="A7B4BE"/>
            </w:tcBorders>
            <w:vAlign w:val="bottom"/>
          </w:tcPr>
          <w:p w:rsidR="008B2560" w:rsidRPr="000A559D" w:rsidRDefault="008B2560" w:rsidP="00E125B0">
            <w:pPr>
              <w:pStyle w:val="Tablebodytext"/>
            </w:pPr>
            <w:r w:rsidRPr="000A559D">
              <w:t>944</w:t>
            </w:r>
          </w:p>
        </w:tc>
        <w:tc>
          <w:tcPr>
            <w:tcW w:w="625" w:type="pct"/>
            <w:tcBorders>
              <w:bottom w:val="single" w:sz="2" w:space="0" w:color="A7B4BE"/>
            </w:tcBorders>
            <w:vAlign w:val="bottom"/>
          </w:tcPr>
          <w:p w:rsidR="008B2560" w:rsidRPr="000A559D" w:rsidRDefault="008B2560" w:rsidP="00E125B0">
            <w:pPr>
              <w:pStyle w:val="Tablebodytext"/>
            </w:pPr>
            <w:r w:rsidRPr="000A559D">
              <w:t>3,555</w:t>
            </w:r>
          </w:p>
        </w:tc>
        <w:tc>
          <w:tcPr>
            <w:tcW w:w="625" w:type="pct"/>
            <w:tcBorders>
              <w:bottom w:val="single" w:sz="2" w:space="0" w:color="A7B4BE"/>
            </w:tcBorders>
            <w:vAlign w:val="bottom"/>
          </w:tcPr>
          <w:p w:rsidR="008B2560" w:rsidRPr="000A559D" w:rsidRDefault="008B2560" w:rsidP="00E125B0">
            <w:pPr>
              <w:pStyle w:val="Tablebodytext"/>
            </w:pPr>
            <w:r w:rsidRPr="000A559D">
              <w:t>4,499</w:t>
            </w:r>
          </w:p>
        </w:tc>
        <w:tc>
          <w:tcPr>
            <w:tcW w:w="625" w:type="pct"/>
            <w:tcBorders>
              <w:bottom w:val="single" w:sz="2" w:space="0" w:color="A7B4BE"/>
            </w:tcBorders>
            <w:vAlign w:val="bottom"/>
          </w:tcPr>
          <w:p w:rsidR="008B2560" w:rsidRPr="000A559D" w:rsidRDefault="008B2560" w:rsidP="00E125B0">
            <w:pPr>
              <w:pStyle w:val="Tablebodytext"/>
            </w:pPr>
            <w:r w:rsidRPr="000A559D">
              <w:t>0.28%</w:t>
            </w:r>
          </w:p>
        </w:tc>
      </w:tr>
      <w:tr w:rsidR="008B2560" w:rsidRPr="000A559D" w:rsidTr="008B256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2017</w:t>
            </w:r>
          </w:p>
        </w:tc>
        <w:tc>
          <w:tcPr>
            <w:tcW w:w="625" w:type="pct"/>
            <w:tcBorders>
              <w:bottom w:val="single" w:sz="2" w:space="0" w:color="A7B4BE"/>
            </w:tcBorders>
            <w:vAlign w:val="bottom"/>
          </w:tcPr>
          <w:p w:rsidR="008B2560" w:rsidRPr="000A559D" w:rsidRDefault="008B2560" w:rsidP="00E125B0">
            <w:pPr>
              <w:pStyle w:val="Tablebodytext"/>
            </w:pPr>
            <w:r w:rsidRPr="000A559D">
              <w:t>1,148</w:t>
            </w:r>
          </w:p>
        </w:tc>
        <w:tc>
          <w:tcPr>
            <w:tcW w:w="625" w:type="pct"/>
            <w:tcBorders>
              <w:bottom w:val="single" w:sz="2" w:space="0" w:color="A7B4BE"/>
            </w:tcBorders>
            <w:vAlign w:val="bottom"/>
          </w:tcPr>
          <w:p w:rsidR="008B2560" w:rsidRPr="000A559D" w:rsidRDefault="008B2560" w:rsidP="00E125B0">
            <w:pPr>
              <w:pStyle w:val="Tablebodytext"/>
            </w:pPr>
            <w:r w:rsidRPr="000A559D">
              <w:t>3,987</w:t>
            </w:r>
          </w:p>
        </w:tc>
        <w:tc>
          <w:tcPr>
            <w:tcW w:w="625" w:type="pct"/>
            <w:tcBorders>
              <w:bottom w:val="single" w:sz="2" w:space="0" w:color="A7B4BE"/>
            </w:tcBorders>
            <w:vAlign w:val="bottom"/>
          </w:tcPr>
          <w:p w:rsidR="008B2560" w:rsidRPr="000A559D" w:rsidRDefault="008B2560" w:rsidP="00E125B0">
            <w:pPr>
              <w:pStyle w:val="Tablebodytext"/>
            </w:pPr>
            <w:r w:rsidRPr="000A559D">
              <w:t>5,134</w:t>
            </w:r>
          </w:p>
        </w:tc>
        <w:tc>
          <w:tcPr>
            <w:tcW w:w="625" w:type="pct"/>
            <w:tcBorders>
              <w:bottom w:val="single" w:sz="2" w:space="0" w:color="A7B4BE"/>
            </w:tcBorders>
            <w:vAlign w:val="bottom"/>
          </w:tcPr>
          <w:p w:rsidR="008B2560" w:rsidRPr="000A559D" w:rsidRDefault="008B2560" w:rsidP="00E125B0">
            <w:pPr>
              <w:pStyle w:val="Tablebodytext"/>
            </w:pPr>
            <w:r w:rsidRPr="000A559D">
              <w:t>992</w:t>
            </w:r>
          </w:p>
        </w:tc>
        <w:tc>
          <w:tcPr>
            <w:tcW w:w="625" w:type="pct"/>
            <w:tcBorders>
              <w:bottom w:val="single" w:sz="2" w:space="0" w:color="A7B4BE"/>
            </w:tcBorders>
            <w:vAlign w:val="bottom"/>
          </w:tcPr>
          <w:p w:rsidR="008B2560" w:rsidRPr="000A559D" w:rsidRDefault="008B2560" w:rsidP="00E125B0">
            <w:pPr>
              <w:pStyle w:val="Tablebodytext"/>
            </w:pPr>
            <w:r w:rsidRPr="000A559D">
              <w:t>3,446</w:t>
            </w:r>
          </w:p>
        </w:tc>
        <w:tc>
          <w:tcPr>
            <w:tcW w:w="625" w:type="pct"/>
            <w:tcBorders>
              <w:bottom w:val="single" w:sz="2" w:space="0" w:color="A7B4BE"/>
            </w:tcBorders>
            <w:vAlign w:val="bottom"/>
          </w:tcPr>
          <w:p w:rsidR="008B2560" w:rsidRPr="000A559D" w:rsidRDefault="008B2560" w:rsidP="00E125B0">
            <w:pPr>
              <w:pStyle w:val="Tablebodytext"/>
            </w:pPr>
            <w:r w:rsidRPr="000A559D">
              <w:t>4,438</w:t>
            </w:r>
          </w:p>
        </w:tc>
        <w:tc>
          <w:tcPr>
            <w:tcW w:w="625" w:type="pct"/>
            <w:tcBorders>
              <w:bottom w:val="single" w:sz="2" w:space="0" w:color="A7B4BE"/>
            </w:tcBorders>
            <w:vAlign w:val="bottom"/>
          </w:tcPr>
          <w:p w:rsidR="008B2560" w:rsidRPr="000A559D" w:rsidRDefault="008B2560" w:rsidP="00E125B0">
            <w:pPr>
              <w:pStyle w:val="Tablebodytext"/>
            </w:pPr>
            <w:r w:rsidRPr="000A559D">
              <w:t>0.28%</w:t>
            </w:r>
          </w:p>
        </w:tc>
      </w:tr>
      <w:tr w:rsidR="008B2560" w:rsidRPr="000A559D" w:rsidTr="008B256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2018</w:t>
            </w:r>
          </w:p>
        </w:tc>
        <w:tc>
          <w:tcPr>
            <w:tcW w:w="625" w:type="pct"/>
            <w:tcBorders>
              <w:bottom w:val="single" w:sz="2" w:space="0" w:color="A7B4BE"/>
            </w:tcBorders>
            <w:vAlign w:val="bottom"/>
          </w:tcPr>
          <w:p w:rsidR="008B2560" w:rsidRPr="000A559D" w:rsidRDefault="008B2560" w:rsidP="00E125B0">
            <w:pPr>
              <w:pStyle w:val="Tablebodytext"/>
            </w:pPr>
            <w:r w:rsidRPr="000A559D">
              <w:t>1,278</w:t>
            </w:r>
          </w:p>
        </w:tc>
        <w:tc>
          <w:tcPr>
            <w:tcW w:w="625" w:type="pct"/>
            <w:tcBorders>
              <w:bottom w:val="single" w:sz="2" w:space="0" w:color="A7B4BE"/>
            </w:tcBorders>
            <w:vAlign w:val="bottom"/>
          </w:tcPr>
          <w:p w:rsidR="008B2560" w:rsidRPr="000A559D" w:rsidRDefault="008B2560" w:rsidP="00E125B0">
            <w:pPr>
              <w:pStyle w:val="Tablebodytext"/>
            </w:pPr>
            <w:r w:rsidRPr="000A559D">
              <w:t>4,087</w:t>
            </w:r>
          </w:p>
        </w:tc>
        <w:tc>
          <w:tcPr>
            <w:tcW w:w="625" w:type="pct"/>
            <w:tcBorders>
              <w:bottom w:val="single" w:sz="2" w:space="0" w:color="A7B4BE"/>
            </w:tcBorders>
            <w:vAlign w:val="bottom"/>
          </w:tcPr>
          <w:p w:rsidR="008B2560" w:rsidRPr="000A559D" w:rsidRDefault="008B2560" w:rsidP="00E125B0">
            <w:pPr>
              <w:pStyle w:val="Tablebodytext"/>
            </w:pPr>
            <w:r w:rsidRPr="000A559D">
              <w:t>5,365</w:t>
            </w:r>
          </w:p>
        </w:tc>
        <w:tc>
          <w:tcPr>
            <w:tcW w:w="625" w:type="pct"/>
            <w:tcBorders>
              <w:bottom w:val="single" w:sz="2" w:space="0" w:color="A7B4BE"/>
            </w:tcBorders>
            <w:vAlign w:val="bottom"/>
          </w:tcPr>
          <w:p w:rsidR="008B2560" w:rsidRPr="000A559D" w:rsidRDefault="008B2560" w:rsidP="00E125B0">
            <w:pPr>
              <w:pStyle w:val="Tablebodytext"/>
            </w:pPr>
            <w:r w:rsidRPr="000A559D">
              <w:t>1,043</w:t>
            </w:r>
          </w:p>
        </w:tc>
        <w:tc>
          <w:tcPr>
            <w:tcW w:w="625" w:type="pct"/>
            <w:tcBorders>
              <w:bottom w:val="single" w:sz="2" w:space="0" w:color="A7B4BE"/>
            </w:tcBorders>
            <w:vAlign w:val="bottom"/>
          </w:tcPr>
          <w:p w:rsidR="008B2560" w:rsidRPr="000A559D" w:rsidRDefault="008B2560" w:rsidP="00E125B0">
            <w:pPr>
              <w:pStyle w:val="Tablebodytext"/>
            </w:pPr>
            <w:r w:rsidRPr="000A559D">
              <w:t>3,333</w:t>
            </w:r>
          </w:p>
        </w:tc>
        <w:tc>
          <w:tcPr>
            <w:tcW w:w="625" w:type="pct"/>
            <w:tcBorders>
              <w:bottom w:val="single" w:sz="2" w:space="0" w:color="A7B4BE"/>
            </w:tcBorders>
            <w:vAlign w:val="bottom"/>
          </w:tcPr>
          <w:p w:rsidR="008B2560" w:rsidRPr="000A559D" w:rsidRDefault="008B2560" w:rsidP="00E125B0">
            <w:pPr>
              <w:pStyle w:val="Tablebodytext"/>
            </w:pPr>
            <w:r w:rsidRPr="000A559D">
              <w:t>4,376</w:t>
            </w:r>
          </w:p>
        </w:tc>
        <w:tc>
          <w:tcPr>
            <w:tcW w:w="625" w:type="pct"/>
            <w:tcBorders>
              <w:bottom w:val="single" w:sz="2" w:space="0" w:color="A7B4BE"/>
            </w:tcBorders>
            <w:vAlign w:val="bottom"/>
          </w:tcPr>
          <w:p w:rsidR="008B2560" w:rsidRPr="000A559D" w:rsidRDefault="008B2560" w:rsidP="00E125B0">
            <w:pPr>
              <w:pStyle w:val="Tablebodytext"/>
            </w:pPr>
            <w:r w:rsidRPr="000A559D">
              <w:t>0.27%</w:t>
            </w:r>
          </w:p>
        </w:tc>
      </w:tr>
      <w:tr w:rsidR="008B2560" w:rsidRPr="000A559D" w:rsidTr="008B256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2019</w:t>
            </w:r>
          </w:p>
        </w:tc>
        <w:tc>
          <w:tcPr>
            <w:tcW w:w="625" w:type="pct"/>
            <w:tcBorders>
              <w:bottom w:val="single" w:sz="2" w:space="0" w:color="A7B4BE"/>
            </w:tcBorders>
            <w:vAlign w:val="bottom"/>
          </w:tcPr>
          <w:p w:rsidR="008B2560" w:rsidRPr="000A559D" w:rsidRDefault="008B2560" w:rsidP="00E125B0">
            <w:pPr>
              <w:pStyle w:val="Tablebodytext"/>
            </w:pPr>
            <w:r w:rsidRPr="000A559D">
              <w:t>1,427</w:t>
            </w:r>
          </w:p>
        </w:tc>
        <w:tc>
          <w:tcPr>
            <w:tcW w:w="625" w:type="pct"/>
            <w:tcBorders>
              <w:bottom w:val="single" w:sz="2" w:space="0" w:color="A7B4BE"/>
            </w:tcBorders>
            <w:vAlign w:val="bottom"/>
          </w:tcPr>
          <w:p w:rsidR="008B2560" w:rsidRPr="000A559D" w:rsidRDefault="008B2560" w:rsidP="00E125B0">
            <w:pPr>
              <w:pStyle w:val="Tablebodytext"/>
            </w:pPr>
            <w:r w:rsidRPr="000A559D">
              <w:t>4,176</w:t>
            </w:r>
          </w:p>
        </w:tc>
        <w:tc>
          <w:tcPr>
            <w:tcW w:w="625" w:type="pct"/>
            <w:tcBorders>
              <w:bottom w:val="single" w:sz="2" w:space="0" w:color="A7B4BE"/>
            </w:tcBorders>
            <w:vAlign w:val="bottom"/>
          </w:tcPr>
          <w:p w:rsidR="008B2560" w:rsidRPr="000A559D" w:rsidRDefault="008B2560" w:rsidP="00E125B0">
            <w:pPr>
              <w:pStyle w:val="Tablebodytext"/>
            </w:pPr>
            <w:r w:rsidRPr="000A559D">
              <w:t>5,602</w:t>
            </w:r>
          </w:p>
        </w:tc>
        <w:tc>
          <w:tcPr>
            <w:tcW w:w="625" w:type="pct"/>
            <w:tcBorders>
              <w:bottom w:val="single" w:sz="2" w:space="0" w:color="A7B4BE"/>
            </w:tcBorders>
            <w:vAlign w:val="bottom"/>
          </w:tcPr>
          <w:p w:rsidR="008B2560" w:rsidRPr="000A559D" w:rsidRDefault="008B2560" w:rsidP="00E125B0">
            <w:pPr>
              <w:pStyle w:val="Tablebodytext"/>
            </w:pPr>
            <w:r w:rsidRPr="000A559D">
              <w:t>1,097</w:t>
            </w:r>
          </w:p>
        </w:tc>
        <w:tc>
          <w:tcPr>
            <w:tcW w:w="625" w:type="pct"/>
            <w:tcBorders>
              <w:bottom w:val="single" w:sz="2" w:space="0" w:color="A7B4BE"/>
            </w:tcBorders>
            <w:vAlign w:val="bottom"/>
          </w:tcPr>
          <w:p w:rsidR="008B2560" w:rsidRPr="000A559D" w:rsidRDefault="008B2560" w:rsidP="00E125B0">
            <w:pPr>
              <w:pStyle w:val="Tablebodytext"/>
            </w:pPr>
            <w:r w:rsidRPr="000A559D">
              <w:t>3,212</w:t>
            </w:r>
          </w:p>
        </w:tc>
        <w:tc>
          <w:tcPr>
            <w:tcW w:w="625" w:type="pct"/>
            <w:tcBorders>
              <w:bottom w:val="single" w:sz="2" w:space="0" w:color="A7B4BE"/>
            </w:tcBorders>
            <w:vAlign w:val="bottom"/>
          </w:tcPr>
          <w:p w:rsidR="008B2560" w:rsidRPr="000A559D" w:rsidRDefault="008B2560" w:rsidP="00E125B0">
            <w:pPr>
              <w:pStyle w:val="Tablebodytext"/>
            </w:pPr>
            <w:r w:rsidRPr="000A559D">
              <w:t>4,310</w:t>
            </w:r>
          </w:p>
        </w:tc>
        <w:tc>
          <w:tcPr>
            <w:tcW w:w="625" w:type="pct"/>
            <w:tcBorders>
              <w:bottom w:val="single" w:sz="2" w:space="0" w:color="A7B4BE"/>
            </w:tcBorders>
            <w:vAlign w:val="bottom"/>
          </w:tcPr>
          <w:p w:rsidR="008B2560" w:rsidRPr="000A559D" w:rsidRDefault="008B2560" w:rsidP="00E125B0">
            <w:pPr>
              <w:pStyle w:val="Tablebodytext"/>
            </w:pPr>
            <w:r w:rsidRPr="000A559D">
              <w:t>0.27%</w:t>
            </w:r>
          </w:p>
        </w:tc>
      </w:tr>
      <w:tr w:rsidR="008B2560" w:rsidRPr="000A559D" w:rsidTr="008B256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2020</w:t>
            </w:r>
          </w:p>
        </w:tc>
        <w:tc>
          <w:tcPr>
            <w:tcW w:w="625" w:type="pct"/>
            <w:tcBorders>
              <w:bottom w:val="single" w:sz="2" w:space="0" w:color="A7B4BE"/>
            </w:tcBorders>
            <w:vAlign w:val="bottom"/>
          </w:tcPr>
          <w:p w:rsidR="008B2560" w:rsidRPr="000A559D" w:rsidRDefault="008B2560" w:rsidP="00E125B0">
            <w:pPr>
              <w:pStyle w:val="Tablebodytext"/>
            </w:pPr>
            <w:r w:rsidRPr="000A559D">
              <w:t>1,593</w:t>
            </w:r>
          </w:p>
        </w:tc>
        <w:tc>
          <w:tcPr>
            <w:tcW w:w="625" w:type="pct"/>
            <w:tcBorders>
              <w:bottom w:val="single" w:sz="2" w:space="0" w:color="A7B4BE"/>
            </w:tcBorders>
            <w:vAlign w:val="bottom"/>
          </w:tcPr>
          <w:p w:rsidR="008B2560" w:rsidRPr="000A559D" w:rsidRDefault="008B2560" w:rsidP="00E125B0">
            <w:pPr>
              <w:pStyle w:val="Tablebodytext"/>
            </w:pPr>
            <w:r w:rsidRPr="000A559D">
              <w:t>4,259</w:t>
            </w:r>
          </w:p>
        </w:tc>
        <w:tc>
          <w:tcPr>
            <w:tcW w:w="625" w:type="pct"/>
            <w:tcBorders>
              <w:bottom w:val="single" w:sz="2" w:space="0" w:color="A7B4BE"/>
            </w:tcBorders>
            <w:vAlign w:val="bottom"/>
          </w:tcPr>
          <w:p w:rsidR="008B2560" w:rsidRPr="000A559D" w:rsidRDefault="008B2560" w:rsidP="00E125B0">
            <w:pPr>
              <w:pStyle w:val="Tablebodytext"/>
            </w:pPr>
            <w:r w:rsidRPr="000A559D">
              <w:t>5,851</w:t>
            </w:r>
          </w:p>
        </w:tc>
        <w:tc>
          <w:tcPr>
            <w:tcW w:w="625" w:type="pct"/>
            <w:tcBorders>
              <w:bottom w:val="single" w:sz="2" w:space="0" w:color="A7B4BE"/>
            </w:tcBorders>
            <w:vAlign w:val="bottom"/>
          </w:tcPr>
          <w:p w:rsidR="008B2560" w:rsidRPr="000A559D" w:rsidRDefault="008B2560" w:rsidP="00E125B0">
            <w:pPr>
              <w:pStyle w:val="Tablebodytext"/>
            </w:pPr>
            <w:r w:rsidRPr="000A559D">
              <w:t>1,156</w:t>
            </w:r>
          </w:p>
        </w:tc>
        <w:tc>
          <w:tcPr>
            <w:tcW w:w="625" w:type="pct"/>
            <w:tcBorders>
              <w:bottom w:val="single" w:sz="2" w:space="0" w:color="A7B4BE"/>
            </w:tcBorders>
            <w:vAlign w:val="bottom"/>
          </w:tcPr>
          <w:p w:rsidR="008B2560" w:rsidRPr="000A559D" w:rsidRDefault="008B2560" w:rsidP="00E125B0">
            <w:pPr>
              <w:pStyle w:val="Tablebodytext"/>
            </w:pPr>
            <w:r w:rsidRPr="000A559D">
              <w:t>3,091</w:t>
            </w:r>
          </w:p>
        </w:tc>
        <w:tc>
          <w:tcPr>
            <w:tcW w:w="625" w:type="pct"/>
            <w:tcBorders>
              <w:bottom w:val="single" w:sz="2" w:space="0" w:color="A7B4BE"/>
            </w:tcBorders>
            <w:vAlign w:val="bottom"/>
          </w:tcPr>
          <w:p w:rsidR="008B2560" w:rsidRPr="000A559D" w:rsidRDefault="008B2560" w:rsidP="00E125B0">
            <w:pPr>
              <w:pStyle w:val="Tablebodytext"/>
            </w:pPr>
            <w:r w:rsidRPr="000A559D">
              <w:t>4,247</w:t>
            </w:r>
          </w:p>
        </w:tc>
        <w:tc>
          <w:tcPr>
            <w:tcW w:w="625" w:type="pct"/>
            <w:tcBorders>
              <w:bottom w:val="single" w:sz="2" w:space="0" w:color="A7B4BE"/>
            </w:tcBorders>
            <w:vAlign w:val="bottom"/>
          </w:tcPr>
          <w:p w:rsidR="008B2560" w:rsidRPr="000A559D" w:rsidRDefault="008B2560" w:rsidP="00E125B0">
            <w:pPr>
              <w:pStyle w:val="Tablebodytext"/>
            </w:pPr>
            <w:r w:rsidRPr="000A559D">
              <w:t>0.27%</w:t>
            </w:r>
          </w:p>
        </w:tc>
      </w:tr>
      <w:tr w:rsidR="008B2560" w:rsidRPr="000A559D" w:rsidTr="008B256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2021</w:t>
            </w:r>
          </w:p>
        </w:tc>
        <w:tc>
          <w:tcPr>
            <w:tcW w:w="625" w:type="pct"/>
            <w:tcBorders>
              <w:bottom w:val="single" w:sz="2" w:space="0" w:color="A7B4BE"/>
            </w:tcBorders>
            <w:vAlign w:val="bottom"/>
          </w:tcPr>
          <w:p w:rsidR="008B2560" w:rsidRPr="000A559D" w:rsidRDefault="008B2560" w:rsidP="00E125B0">
            <w:pPr>
              <w:pStyle w:val="Tablebodytext"/>
            </w:pPr>
            <w:r w:rsidRPr="000A559D">
              <w:t>1,767</w:t>
            </w:r>
          </w:p>
        </w:tc>
        <w:tc>
          <w:tcPr>
            <w:tcW w:w="625" w:type="pct"/>
            <w:tcBorders>
              <w:bottom w:val="single" w:sz="2" w:space="0" w:color="A7B4BE"/>
            </w:tcBorders>
            <w:vAlign w:val="bottom"/>
          </w:tcPr>
          <w:p w:rsidR="008B2560" w:rsidRPr="000A559D" w:rsidRDefault="008B2560" w:rsidP="00E125B0">
            <w:pPr>
              <w:pStyle w:val="Tablebodytext"/>
            </w:pPr>
            <w:r w:rsidRPr="000A559D">
              <w:t>4,332</w:t>
            </w:r>
          </w:p>
        </w:tc>
        <w:tc>
          <w:tcPr>
            <w:tcW w:w="625" w:type="pct"/>
            <w:tcBorders>
              <w:bottom w:val="single" w:sz="2" w:space="0" w:color="A7B4BE"/>
            </w:tcBorders>
            <w:vAlign w:val="bottom"/>
          </w:tcPr>
          <w:p w:rsidR="008B2560" w:rsidRPr="000A559D" w:rsidRDefault="008B2560" w:rsidP="00E125B0">
            <w:pPr>
              <w:pStyle w:val="Tablebodytext"/>
            </w:pPr>
            <w:r w:rsidRPr="000A559D">
              <w:t>6,099</w:t>
            </w:r>
          </w:p>
        </w:tc>
        <w:tc>
          <w:tcPr>
            <w:tcW w:w="625" w:type="pct"/>
            <w:tcBorders>
              <w:bottom w:val="single" w:sz="2" w:space="0" w:color="A7B4BE"/>
            </w:tcBorders>
            <w:vAlign w:val="bottom"/>
          </w:tcPr>
          <w:p w:rsidR="008B2560" w:rsidRPr="000A559D" w:rsidRDefault="008B2560" w:rsidP="00E125B0">
            <w:pPr>
              <w:pStyle w:val="Tablebodytext"/>
            </w:pPr>
            <w:r w:rsidRPr="000A559D">
              <w:t>1,210</w:t>
            </w:r>
          </w:p>
        </w:tc>
        <w:tc>
          <w:tcPr>
            <w:tcW w:w="625" w:type="pct"/>
            <w:tcBorders>
              <w:bottom w:val="single" w:sz="2" w:space="0" w:color="A7B4BE"/>
            </w:tcBorders>
            <w:vAlign w:val="bottom"/>
          </w:tcPr>
          <w:p w:rsidR="008B2560" w:rsidRPr="000A559D" w:rsidRDefault="008B2560" w:rsidP="00E125B0">
            <w:pPr>
              <w:pStyle w:val="Tablebodytext"/>
            </w:pPr>
            <w:r w:rsidRPr="000A559D">
              <w:t>2,966</w:t>
            </w:r>
          </w:p>
        </w:tc>
        <w:tc>
          <w:tcPr>
            <w:tcW w:w="625" w:type="pct"/>
            <w:tcBorders>
              <w:bottom w:val="single" w:sz="2" w:space="0" w:color="A7B4BE"/>
            </w:tcBorders>
            <w:vAlign w:val="bottom"/>
          </w:tcPr>
          <w:p w:rsidR="008B2560" w:rsidRPr="000A559D" w:rsidRDefault="008B2560" w:rsidP="00E125B0">
            <w:pPr>
              <w:pStyle w:val="Tablebodytext"/>
            </w:pPr>
            <w:r w:rsidRPr="000A559D">
              <w:t>4,176</w:t>
            </w:r>
          </w:p>
        </w:tc>
        <w:tc>
          <w:tcPr>
            <w:tcW w:w="625" w:type="pct"/>
            <w:tcBorders>
              <w:bottom w:val="single" w:sz="2" w:space="0" w:color="A7B4BE"/>
            </w:tcBorders>
            <w:vAlign w:val="bottom"/>
          </w:tcPr>
          <w:p w:rsidR="008B2560" w:rsidRPr="000A559D" w:rsidRDefault="008B2560" w:rsidP="00E125B0">
            <w:pPr>
              <w:pStyle w:val="Tablebodytext"/>
            </w:pPr>
            <w:r w:rsidRPr="000A559D">
              <w:t>0.26%</w:t>
            </w:r>
          </w:p>
        </w:tc>
      </w:tr>
      <w:tr w:rsidR="008B2560" w:rsidRPr="000A559D" w:rsidTr="008B256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2022</w:t>
            </w:r>
          </w:p>
        </w:tc>
        <w:tc>
          <w:tcPr>
            <w:tcW w:w="625" w:type="pct"/>
            <w:tcBorders>
              <w:bottom w:val="single" w:sz="2" w:space="0" w:color="A7B4BE"/>
            </w:tcBorders>
            <w:vAlign w:val="bottom"/>
          </w:tcPr>
          <w:p w:rsidR="008B2560" w:rsidRPr="000A559D" w:rsidRDefault="008B2560" w:rsidP="00E125B0">
            <w:pPr>
              <w:pStyle w:val="Tablebodytext"/>
            </w:pPr>
            <w:r w:rsidRPr="000A559D">
              <w:t>1,964</w:t>
            </w:r>
          </w:p>
        </w:tc>
        <w:tc>
          <w:tcPr>
            <w:tcW w:w="625" w:type="pct"/>
            <w:tcBorders>
              <w:bottom w:val="single" w:sz="2" w:space="0" w:color="A7B4BE"/>
            </w:tcBorders>
            <w:vAlign w:val="bottom"/>
          </w:tcPr>
          <w:p w:rsidR="008B2560" w:rsidRPr="000A559D" w:rsidRDefault="008B2560" w:rsidP="00E125B0">
            <w:pPr>
              <w:pStyle w:val="Tablebodytext"/>
            </w:pPr>
            <w:r w:rsidRPr="000A559D">
              <w:t>4,401</w:t>
            </w:r>
          </w:p>
        </w:tc>
        <w:tc>
          <w:tcPr>
            <w:tcW w:w="625" w:type="pct"/>
            <w:tcBorders>
              <w:bottom w:val="single" w:sz="2" w:space="0" w:color="A7B4BE"/>
            </w:tcBorders>
            <w:vAlign w:val="bottom"/>
          </w:tcPr>
          <w:p w:rsidR="008B2560" w:rsidRPr="000A559D" w:rsidRDefault="008B2560" w:rsidP="00E125B0">
            <w:pPr>
              <w:pStyle w:val="Tablebodytext"/>
            </w:pPr>
            <w:r w:rsidRPr="000A559D">
              <w:t>6,364</w:t>
            </w:r>
          </w:p>
        </w:tc>
        <w:tc>
          <w:tcPr>
            <w:tcW w:w="625" w:type="pct"/>
            <w:tcBorders>
              <w:bottom w:val="single" w:sz="2" w:space="0" w:color="A7B4BE"/>
            </w:tcBorders>
            <w:vAlign w:val="bottom"/>
          </w:tcPr>
          <w:p w:rsidR="008B2560" w:rsidRPr="000A559D" w:rsidRDefault="008B2560" w:rsidP="00E125B0">
            <w:pPr>
              <w:pStyle w:val="Tablebodytext"/>
            </w:pPr>
            <w:r w:rsidRPr="000A559D">
              <w:t>1,268</w:t>
            </w:r>
          </w:p>
        </w:tc>
        <w:tc>
          <w:tcPr>
            <w:tcW w:w="625" w:type="pct"/>
            <w:tcBorders>
              <w:bottom w:val="single" w:sz="2" w:space="0" w:color="A7B4BE"/>
            </w:tcBorders>
            <w:vAlign w:val="bottom"/>
          </w:tcPr>
          <w:p w:rsidR="008B2560" w:rsidRPr="000A559D" w:rsidRDefault="008B2560" w:rsidP="00E125B0">
            <w:pPr>
              <w:pStyle w:val="Tablebodytext"/>
            </w:pPr>
            <w:r w:rsidRPr="000A559D">
              <w:t>2,843</w:t>
            </w:r>
          </w:p>
        </w:tc>
        <w:tc>
          <w:tcPr>
            <w:tcW w:w="625" w:type="pct"/>
            <w:tcBorders>
              <w:bottom w:val="single" w:sz="2" w:space="0" w:color="A7B4BE"/>
            </w:tcBorders>
            <w:vAlign w:val="bottom"/>
          </w:tcPr>
          <w:p w:rsidR="008B2560" w:rsidRPr="000A559D" w:rsidRDefault="008B2560" w:rsidP="00E125B0">
            <w:pPr>
              <w:pStyle w:val="Tablebodytext"/>
            </w:pPr>
            <w:r w:rsidRPr="000A559D">
              <w:t>4,111</w:t>
            </w:r>
          </w:p>
        </w:tc>
        <w:tc>
          <w:tcPr>
            <w:tcW w:w="625" w:type="pct"/>
            <w:tcBorders>
              <w:bottom w:val="single" w:sz="2" w:space="0" w:color="A7B4BE"/>
            </w:tcBorders>
            <w:vAlign w:val="bottom"/>
          </w:tcPr>
          <w:p w:rsidR="008B2560" w:rsidRPr="000A559D" w:rsidRDefault="008B2560" w:rsidP="00E125B0">
            <w:pPr>
              <w:pStyle w:val="Tablebodytext"/>
            </w:pPr>
            <w:r w:rsidRPr="000A559D">
              <w:t>0.26%</w:t>
            </w:r>
          </w:p>
        </w:tc>
      </w:tr>
      <w:tr w:rsidR="008B2560" w:rsidRPr="000A559D" w:rsidTr="008B256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2023</w:t>
            </w:r>
          </w:p>
        </w:tc>
        <w:tc>
          <w:tcPr>
            <w:tcW w:w="625" w:type="pct"/>
            <w:tcBorders>
              <w:bottom w:val="single" w:sz="2" w:space="0" w:color="A7B4BE"/>
            </w:tcBorders>
            <w:vAlign w:val="bottom"/>
          </w:tcPr>
          <w:p w:rsidR="008B2560" w:rsidRPr="000A559D" w:rsidRDefault="008B2560" w:rsidP="00E125B0">
            <w:pPr>
              <w:pStyle w:val="Tablebodytext"/>
            </w:pPr>
            <w:r w:rsidRPr="000A559D">
              <w:t>2,178</w:t>
            </w:r>
          </w:p>
        </w:tc>
        <w:tc>
          <w:tcPr>
            <w:tcW w:w="625" w:type="pct"/>
            <w:tcBorders>
              <w:bottom w:val="single" w:sz="2" w:space="0" w:color="A7B4BE"/>
            </w:tcBorders>
            <w:vAlign w:val="bottom"/>
          </w:tcPr>
          <w:p w:rsidR="008B2560" w:rsidRPr="000A559D" w:rsidRDefault="008B2560" w:rsidP="00E125B0">
            <w:pPr>
              <w:pStyle w:val="Tablebodytext"/>
            </w:pPr>
            <w:r w:rsidRPr="000A559D">
              <w:t>4,463</w:t>
            </w:r>
          </w:p>
        </w:tc>
        <w:tc>
          <w:tcPr>
            <w:tcW w:w="625" w:type="pct"/>
            <w:tcBorders>
              <w:bottom w:val="single" w:sz="2" w:space="0" w:color="A7B4BE"/>
            </w:tcBorders>
            <w:vAlign w:val="bottom"/>
          </w:tcPr>
          <w:p w:rsidR="008B2560" w:rsidRPr="000A559D" w:rsidRDefault="008B2560" w:rsidP="00E125B0">
            <w:pPr>
              <w:pStyle w:val="Tablebodytext"/>
            </w:pPr>
            <w:r w:rsidRPr="000A559D">
              <w:t>6,641</w:t>
            </w:r>
          </w:p>
        </w:tc>
        <w:tc>
          <w:tcPr>
            <w:tcW w:w="625" w:type="pct"/>
            <w:tcBorders>
              <w:bottom w:val="single" w:sz="2" w:space="0" w:color="A7B4BE"/>
            </w:tcBorders>
            <w:vAlign w:val="bottom"/>
          </w:tcPr>
          <w:p w:rsidR="008B2560" w:rsidRPr="000A559D" w:rsidRDefault="008B2560" w:rsidP="00E125B0">
            <w:pPr>
              <w:pStyle w:val="Tablebodytext"/>
            </w:pPr>
            <w:r w:rsidRPr="000A559D">
              <w:t>1,327</w:t>
            </w:r>
          </w:p>
        </w:tc>
        <w:tc>
          <w:tcPr>
            <w:tcW w:w="625" w:type="pct"/>
            <w:tcBorders>
              <w:bottom w:val="single" w:sz="2" w:space="0" w:color="A7B4BE"/>
            </w:tcBorders>
            <w:vAlign w:val="bottom"/>
          </w:tcPr>
          <w:p w:rsidR="008B2560" w:rsidRPr="000A559D" w:rsidRDefault="008B2560" w:rsidP="00E125B0">
            <w:pPr>
              <w:pStyle w:val="Tablebodytext"/>
            </w:pPr>
            <w:r w:rsidRPr="000A559D">
              <w:t>2,720</w:t>
            </w:r>
          </w:p>
        </w:tc>
        <w:tc>
          <w:tcPr>
            <w:tcW w:w="625" w:type="pct"/>
            <w:tcBorders>
              <w:bottom w:val="single" w:sz="2" w:space="0" w:color="A7B4BE"/>
            </w:tcBorders>
            <w:vAlign w:val="bottom"/>
          </w:tcPr>
          <w:p w:rsidR="008B2560" w:rsidRPr="000A559D" w:rsidRDefault="008B2560" w:rsidP="00E125B0">
            <w:pPr>
              <w:pStyle w:val="Tablebodytext"/>
            </w:pPr>
            <w:r w:rsidRPr="000A559D">
              <w:t>4,047</w:t>
            </w:r>
          </w:p>
        </w:tc>
        <w:tc>
          <w:tcPr>
            <w:tcW w:w="625" w:type="pct"/>
            <w:tcBorders>
              <w:bottom w:val="single" w:sz="2" w:space="0" w:color="A7B4BE"/>
            </w:tcBorders>
            <w:vAlign w:val="bottom"/>
          </w:tcPr>
          <w:p w:rsidR="008B2560" w:rsidRPr="000A559D" w:rsidRDefault="008B2560" w:rsidP="00E125B0">
            <w:pPr>
              <w:pStyle w:val="Tablebodytext"/>
            </w:pPr>
            <w:r w:rsidRPr="000A559D">
              <w:t>0.26%</w:t>
            </w:r>
          </w:p>
        </w:tc>
      </w:tr>
      <w:tr w:rsidR="008B2560" w:rsidRPr="000A559D" w:rsidTr="008B256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2024</w:t>
            </w:r>
          </w:p>
        </w:tc>
        <w:tc>
          <w:tcPr>
            <w:tcW w:w="625" w:type="pct"/>
            <w:tcBorders>
              <w:bottom w:val="single" w:sz="2" w:space="0" w:color="A7B4BE"/>
            </w:tcBorders>
            <w:vAlign w:val="bottom"/>
          </w:tcPr>
          <w:p w:rsidR="008B2560" w:rsidRPr="000A559D" w:rsidRDefault="008B2560" w:rsidP="00E125B0">
            <w:pPr>
              <w:pStyle w:val="Tablebodytext"/>
            </w:pPr>
            <w:r w:rsidRPr="000A559D">
              <w:t>2,421</w:t>
            </w:r>
          </w:p>
        </w:tc>
        <w:tc>
          <w:tcPr>
            <w:tcW w:w="625" w:type="pct"/>
            <w:tcBorders>
              <w:bottom w:val="single" w:sz="2" w:space="0" w:color="A7B4BE"/>
            </w:tcBorders>
            <w:vAlign w:val="bottom"/>
          </w:tcPr>
          <w:p w:rsidR="008B2560" w:rsidRPr="000A559D" w:rsidRDefault="008B2560" w:rsidP="00E125B0">
            <w:pPr>
              <w:pStyle w:val="Tablebodytext"/>
            </w:pPr>
            <w:r w:rsidRPr="000A559D">
              <w:t>4,514</w:t>
            </w:r>
          </w:p>
        </w:tc>
        <w:tc>
          <w:tcPr>
            <w:tcW w:w="625" w:type="pct"/>
            <w:tcBorders>
              <w:bottom w:val="single" w:sz="2" w:space="0" w:color="A7B4BE"/>
            </w:tcBorders>
            <w:vAlign w:val="bottom"/>
          </w:tcPr>
          <w:p w:rsidR="008B2560" w:rsidRPr="000A559D" w:rsidRDefault="008B2560" w:rsidP="00E125B0">
            <w:pPr>
              <w:pStyle w:val="Tablebodytext"/>
            </w:pPr>
            <w:r w:rsidRPr="000A559D">
              <w:t>6,935</w:t>
            </w:r>
          </w:p>
        </w:tc>
        <w:tc>
          <w:tcPr>
            <w:tcW w:w="625" w:type="pct"/>
            <w:tcBorders>
              <w:bottom w:val="single" w:sz="2" w:space="0" w:color="A7B4BE"/>
            </w:tcBorders>
            <w:vAlign w:val="bottom"/>
          </w:tcPr>
          <w:p w:rsidR="008B2560" w:rsidRPr="000A559D" w:rsidRDefault="008B2560" w:rsidP="00E125B0">
            <w:pPr>
              <w:pStyle w:val="Tablebodytext"/>
            </w:pPr>
            <w:r w:rsidRPr="000A559D">
              <w:t>1,392</w:t>
            </w:r>
          </w:p>
        </w:tc>
        <w:tc>
          <w:tcPr>
            <w:tcW w:w="625" w:type="pct"/>
            <w:tcBorders>
              <w:bottom w:val="single" w:sz="2" w:space="0" w:color="A7B4BE"/>
            </w:tcBorders>
            <w:vAlign w:val="bottom"/>
          </w:tcPr>
          <w:p w:rsidR="008B2560" w:rsidRPr="000A559D" w:rsidRDefault="008B2560" w:rsidP="00E125B0">
            <w:pPr>
              <w:pStyle w:val="Tablebodytext"/>
            </w:pPr>
            <w:r w:rsidRPr="000A559D">
              <w:t>2,595</w:t>
            </w:r>
          </w:p>
        </w:tc>
        <w:tc>
          <w:tcPr>
            <w:tcW w:w="625" w:type="pct"/>
            <w:tcBorders>
              <w:bottom w:val="single" w:sz="2" w:space="0" w:color="A7B4BE"/>
            </w:tcBorders>
            <w:vAlign w:val="bottom"/>
          </w:tcPr>
          <w:p w:rsidR="008B2560" w:rsidRPr="000A559D" w:rsidRDefault="008B2560" w:rsidP="00E125B0">
            <w:pPr>
              <w:pStyle w:val="Tablebodytext"/>
            </w:pPr>
            <w:r w:rsidRPr="000A559D">
              <w:t>3,987</w:t>
            </w:r>
          </w:p>
        </w:tc>
        <w:tc>
          <w:tcPr>
            <w:tcW w:w="625" w:type="pct"/>
            <w:tcBorders>
              <w:bottom w:val="single" w:sz="2" w:space="0" w:color="A7B4BE"/>
            </w:tcBorders>
            <w:vAlign w:val="bottom"/>
          </w:tcPr>
          <w:p w:rsidR="008B2560" w:rsidRPr="000A559D" w:rsidRDefault="008B2560" w:rsidP="00E125B0">
            <w:pPr>
              <w:pStyle w:val="Tablebodytext"/>
            </w:pPr>
            <w:r w:rsidRPr="000A559D">
              <w:t>0.25%</w:t>
            </w:r>
          </w:p>
        </w:tc>
      </w:tr>
      <w:tr w:rsidR="008B2560" w:rsidRPr="000A559D" w:rsidTr="00E125B0">
        <w:trPr>
          <w:trHeight w:val="285"/>
        </w:trPr>
        <w:tc>
          <w:tcPr>
            <w:tcW w:w="625" w:type="pct"/>
            <w:tcBorders>
              <w:bottom w:val="single" w:sz="2" w:space="0" w:color="A7B4BE"/>
            </w:tcBorders>
            <w:vAlign w:val="bottom"/>
          </w:tcPr>
          <w:p w:rsidR="008B2560" w:rsidRPr="000A559D" w:rsidRDefault="008B2560" w:rsidP="00E125B0">
            <w:pPr>
              <w:pStyle w:val="Tablebodytext"/>
            </w:pPr>
            <w:r w:rsidRPr="000A559D">
              <w:t>2025</w:t>
            </w:r>
          </w:p>
        </w:tc>
        <w:tc>
          <w:tcPr>
            <w:tcW w:w="625" w:type="pct"/>
            <w:tcBorders>
              <w:bottom w:val="single" w:sz="2" w:space="0" w:color="A7B4BE"/>
            </w:tcBorders>
            <w:vAlign w:val="bottom"/>
          </w:tcPr>
          <w:p w:rsidR="008B2560" w:rsidRPr="000A559D" w:rsidRDefault="008B2560" w:rsidP="00E125B0">
            <w:pPr>
              <w:pStyle w:val="Tablebodytext"/>
            </w:pPr>
            <w:r w:rsidRPr="000A559D">
              <w:t>2,675</w:t>
            </w:r>
          </w:p>
        </w:tc>
        <w:tc>
          <w:tcPr>
            <w:tcW w:w="625" w:type="pct"/>
            <w:tcBorders>
              <w:bottom w:val="single" w:sz="2" w:space="0" w:color="A7B4BE"/>
            </w:tcBorders>
            <w:vAlign w:val="bottom"/>
          </w:tcPr>
          <w:p w:rsidR="008B2560" w:rsidRPr="000A559D" w:rsidRDefault="008B2560" w:rsidP="00E125B0">
            <w:pPr>
              <w:pStyle w:val="Tablebodytext"/>
            </w:pPr>
            <w:r w:rsidRPr="000A559D">
              <w:t>4,556</w:t>
            </w:r>
          </w:p>
        </w:tc>
        <w:tc>
          <w:tcPr>
            <w:tcW w:w="625" w:type="pct"/>
            <w:tcBorders>
              <w:bottom w:val="single" w:sz="2" w:space="0" w:color="A7B4BE"/>
            </w:tcBorders>
            <w:vAlign w:val="bottom"/>
          </w:tcPr>
          <w:p w:rsidR="008B2560" w:rsidRPr="000A559D" w:rsidRDefault="008B2560" w:rsidP="00E125B0">
            <w:pPr>
              <w:pStyle w:val="Tablebodytext"/>
            </w:pPr>
            <w:r w:rsidRPr="000A559D">
              <w:t>7,231</w:t>
            </w:r>
          </w:p>
        </w:tc>
        <w:tc>
          <w:tcPr>
            <w:tcW w:w="625" w:type="pct"/>
            <w:tcBorders>
              <w:bottom w:val="single" w:sz="2" w:space="0" w:color="A7B4BE"/>
            </w:tcBorders>
            <w:vAlign w:val="bottom"/>
          </w:tcPr>
          <w:p w:rsidR="008B2560" w:rsidRPr="000A559D" w:rsidRDefault="008B2560" w:rsidP="00E125B0">
            <w:pPr>
              <w:pStyle w:val="Tablebodytext"/>
            </w:pPr>
            <w:r w:rsidRPr="000A559D">
              <w:t>1,451</w:t>
            </w:r>
          </w:p>
        </w:tc>
        <w:tc>
          <w:tcPr>
            <w:tcW w:w="625" w:type="pct"/>
            <w:tcBorders>
              <w:bottom w:val="single" w:sz="2" w:space="0" w:color="A7B4BE"/>
            </w:tcBorders>
            <w:vAlign w:val="bottom"/>
          </w:tcPr>
          <w:p w:rsidR="008B2560" w:rsidRPr="000A559D" w:rsidRDefault="008B2560" w:rsidP="00E125B0">
            <w:pPr>
              <w:pStyle w:val="Tablebodytext"/>
            </w:pPr>
            <w:r w:rsidRPr="000A559D">
              <w:t>2,471</w:t>
            </w:r>
          </w:p>
        </w:tc>
        <w:tc>
          <w:tcPr>
            <w:tcW w:w="625" w:type="pct"/>
            <w:tcBorders>
              <w:bottom w:val="single" w:sz="2" w:space="0" w:color="A7B4BE"/>
            </w:tcBorders>
            <w:vAlign w:val="bottom"/>
          </w:tcPr>
          <w:p w:rsidR="008B2560" w:rsidRPr="000A559D" w:rsidRDefault="008B2560" w:rsidP="00E125B0">
            <w:pPr>
              <w:pStyle w:val="Tablebodytext"/>
            </w:pPr>
            <w:r w:rsidRPr="000A559D">
              <w:t>3,922</w:t>
            </w:r>
          </w:p>
        </w:tc>
        <w:tc>
          <w:tcPr>
            <w:tcW w:w="625" w:type="pct"/>
            <w:tcBorders>
              <w:bottom w:val="single" w:sz="2" w:space="0" w:color="A7B4BE"/>
            </w:tcBorders>
            <w:vAlign w:val="bottom"/>
          </w:tcPr>
          <w:p w:rsidR="008B2560" w:rsidRPr="000A559D" w:rsidRDefault="008B2560" w:rsidP="00E125B0">
            <w:pPr>
              <w:pStyle w:val="Tablebodytext"/>
            </w:pPr>
            <w:r w:rsidRPr="000A559D">
              <w:t>0.25%</w:t>
            </w:r>
          </w:p>
        </w:tc>
      </w:tr>
      <w:tr w:rsidR="008B2560" w:rsidRPr="000A559D" w:rsidTr="00E125B0">
        <w:trPr>
          <w:trHeight w:val="225"/>
        </w:trPr>
        <w:tc>
          <w:tcPr>
            <w:tcW w:w="625" w:type="pct"/>
            <w:tcBorders>
              <w:left w:val="nil"/>
            </w:tcBorders>
            <w:vAlign w:val="bottom"/>
          </w:tcPr>
          <w:p w:rsidR="008B2560" w:rsidRPr="000A559D" w:rsidRDefault="008B2560" w:rsidP="00E125B0">
            <w:pPr>
              <w:pStyle w:val="Tablebodytext"/>
            </w:pPr>
            <w:r w:rsidRPr="000A559D">
              <w:t>2026</w:t>
            </w:r>
          </w:p>
        </w:tc>
        <w:tc>
          <w:tcPr>
            <w:tcW w:w="625" w:type="pct"/>
            <w:vAlign w:val="bottom"/>
          </w:tcPr>
          <w:p w:rsidR="008B2560" w:rsidRPr="000A559D" w:rsidRDefault="008B2560" w:rsidP="00E125B0">
            <w:pPr>
              <w:pStyle w:val="Tablebodytext"/>
            </w:pPr>
            <w:r w:rsidRPr="000A559D">
              <w:t>2,960</w:t>
            </w:r>
          </w:p>
        </w:tc>
        <w:tc>
          <w:tcPr>
            <w:tcW w:w="625" w:type="pct"/>
            <w:vAlign w:val="bottom"/>
          </w:tcPr>
          <w:p w:rsidR="008B2560" w:rsidRPr="000A559D" w:rsidRDefault="008B2560" w:rsidP="00E125B0">
            <w:pPr>
              <w:pStyle w:val="Tablebodytext"/>
            </w:pPr>
            <w:r w:rsidRPr="000A559D">
              <w:t>4,588</w:t>
            </w:r>
          </w:p>
        </w:tc>
        <w:tc>
          <w:tcPr>
            <w:tcW w:w="625" w:type="pct"/>
            <w:vAlign w:val="bottom"/>
          </w:tcPr>
          <w:p w:rsidR="008B2560" w:rsidRPr="000A559D" w:rsidRDefault="008B2560" w:rsidP="00E125B0">
            <w:pPr>
              <w:pStyle w:val="Tablebodytext"/>
            </w:pPr>
            <w:r w:rsidRPr="000A559D">
              <w:t>7,548</w:t>
            </w:r>
          </w:p>
        </w:tc>
        <w:tc>
          <w:tcPr>
            <w:tcW w:w="625" w:type="pct"/>
            <w:vAlign w:val="bottom"/>
          </w:tcPr>
          <w:p w:rsidR="008B2560" w:rsidRPr="000A559D" w:rsidRDefault="008B2560" w:rsidP="00E125B0">
            <w:pPr>
              <w:pStyle w:val="Tablebodytext"/>
            </w:pPr>
            <w:r w:rsidRPr="000A559D">
              <w:t>1,514</w:t>
            </w:r>
          </w:p>
        </w:tc>
        <w:tc>
          <w:tcPr>
            <w:tcW w:w="625" w:type="pct"/>
            <w:vAlign w:val="bottom"/>
          </w:tcPr>
          <w:p w:rsidR="008B2560" w:rsidRPr="000A559D" w:rsidRDefault="008B2560" w:rsidP="00E125B0">
            <w:pPr>
              <w:pStyle w:val="Tablebodytext"/>
            </w:pPr>
            <w:r w:rsidRPr="000A559D">
              <w:t>2,347</w:t>
            </w:r>
          </w:p>
        </w:tc>
        <w:tc>
          <w:tcPr>
            <w:tcW w:w="625" w:type="pct"/>
            <w:vAlign w:val="bottom"/>
          </w:tcPr>
          <w:p w:rsidR="008B2560" w:rsidRPr="000A559D" w:rsidRDefault="008B2560" w:rsidP="00E125B0">
            <w:pPr>
              <w:pStyle w:val="Tablebodytext"/>
            </w:pPr>
            <w:r w:rsidRPr="000A559D">
              <w:t>3,862</w:t>
            </w:r>
          </w:p>
        </w:tc>
        <w:tc>
          <w:tcPr>
            <w:tcW w:w="625" w:type="pct"/>
            <w:tcBorders>
              <w:right w:val="nil"/>
            </w:tcBorders>
            <w:vAlign w:val="bottom"/>
          </w:tcPr>
          <w:p w:rsidR="008B2560" w:rsidRPr="000A559D" w:rsidRDefault="008B2560" w:rsidP="00E125B0">
            <w:pPr>
              <w:pStyle w:val="Tablebodytext"/>
            </w:pPr>
            <w:r w:rsidRPr="000A559D">
              <w:t>0.25%</w:t>
            </w:r>
          </w:p>
        </w:tc>
      </w:tr>
      <w:tr w:rsidR="008B2560" w:rsidRPr="000A559D" w:rsidTr="00E125B0">
        <w:trPr>
          <w:trHeight w:val="225"/>
        </w:trPr>
        <w:tc>
          <w:tcPr>
            <w:tcW w:w="625" w:type="pct"/>
            <w:tcBorders>
              <w:top w:val="single" w:sz="2" w:space="0" w:color="A7B4BE"/>
              <w:left w:val="nil"/>
              <w:bottom w:val="single" w:sz="2" w:space="0" w:color="A7B4BE"/>
              <w:right w:val="single" w:sz="2" w:space="0" w:color="A7B4BE"/>
            </w:tcBorders>
            <w:vAlign w:val="bottom"/>
          </w:tcPr>
          <w:p w:rsidR="008B2560" w:rsidRPr="000A559D" w:rsidRDefault="008B2560" w:rsidP="00E125B0">
            <w:pPr>
              <w:pStyle w:val="Tablebodytext"/>
            </w:pPr>
            <w:r w:rsidRPr="000A559D">
              <w:t>2027</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3,264</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4,610</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7,874</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1,575</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2,225</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3,801</w:t>
            </w:r>
          </w:p>
        </w:tc>
        <w:tc>
          <w:tcPr>
            <w:tcW w:w="625" w:type="pct"/>
            <w:tcBorders>
              <w:top w:val="single" w:sz="2" w:space="0" w:color="A7B4BE"/>
              <w:left w:val="single" w:sz="2" w:space="0" w:color="A7B4BE"/>
              <w:bottom w:val="single" w:sz="2" w:space="0" w:color="A7B4BE"/>
              <w:right w:val="nil"/>
            </w:tcBorders>
            <w:vAlign w:val="bottom"/>
          </w:tcPr>
          <w:p w:rsidR="008B2560" w:rsidRPr="000A559D" w:rsidRDefault="008B2560" w:rsidP="00E125B0">
            <w:pPr>
              <w:pStyle w:val="Tablebodytext"/>
            </w:pPr>
            <w:r w:rsidRPr="000A559D">
              <w:t>0.25%</w:t>
            </w:r>
          </w:p>
        </w:tc>
      </w:tr>
      <w:tr w:rsidR="008B2560" w:rsidRPr="000A559D" w:rsidTr="00E125B0">
        <w:trPr>
          <w:trHeight w:val="225"/>
        </w:trPr>
        <w:tc>
          <w:tcPr>
            <w:tcW w:w="625" w:type="pct"/>
            <w:tcBorders>
              <w:top w:val="single" w:sz="2" w:space="0" w:color="A7B4BE"/>
              <w:left w:val="nil"/>
              <w:bottom w:val="single" w:sz="2" w:space="0" w:color="A7B4BE"/>
              <w:right w:val="single" w:sz="2" w:space="0" w:color="A7B4BE"/>
            </w:tcBorders>
            <w:vAlign w:val="bottom"/>
          </w:tcPr>
          <w:p w:rsidR="008B2560" w:rsidRPr="000A559D" w:rsidRDefault="008B2560" w:rsidP="00E125B0">
            <w:pPr>
              <w:pStyle w:val="Tablebodytext"/>
            </w:pPr>
            <w:r w:rsidRPr="000A559D">
              <w:t>2028</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3,581</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4,620</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8,201</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1,631</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2,104</w:t>
            </w:r>
          </w:p>
        </w:tc>
        <w:tc>
          <w:tcPr>
            <w:tcW w:w="625" w:type="pct"/>
            <w:tcBorders>
              <w:top w:val="single" w:sz="2" w:space="0" w:color="A7B4BE"/>
              <w:left w:val="single" w:sz="2" w:space="0" w:color="A7B4BE"/>
              <w:bottom w:val="single" w:sz="2" w:space="0" w:color="A7B4BE"/>
              <w:right w:val="single" w:sz="2" w:space="0" w:color="A7B4BE"/>
            </w:tcBorders>
            <w:vAlign w:val="bottom"/>
          </w:tcPr>
          <w:p w:rsidR="008B2560" w:rsidRPr="000A559D" w:rsidRDefault="008B2560" w:rsidP="00E125B0">
            <w:pPr>
              <w:pStyle w:val="Tablebodytext"/>
            </w:pPr>
            <w:r w:rsidRPr="000A559D">
              <w:t>3,735</w:t>
            </w:r>
          </w:p>
        </w:tc>
        <w:tc>
          <w:tcPr>
            <w:tcW w:w="625" w:type="pct"/>
            <w:tcBorders>
              <w:top w:val="single" w:sz="2" w:space="0" w:color="A7B4BE"/>
              <w:left w:val="single" w:sz="2" w:space="0" w:color="A7B4BE"/>
              <w:bottom w:val="single" w:sz="2" w:space="0" w:color="A7B4BE"/>
              <w:right w:val="nil"/>
            </w:tcBorders>
            <w:vAlign w:val="bottom"/>
          </w:tcPr>
          <w:p w:rsidR="008B2560" w:rsidRPr="000A559D" w:rsidRDefault="008B2560" w:rsidP="00E125B0">
            <w:pPr>
              <w:pStyle w:val="Tablebodytext"/>
            </w:pPr>
            <w:r w:rsidRPr="000A559D">
              <w:t>0.24%</w:t>
            </w:r>
          </w:p>
        </w:tc>
      </w:tr>
      <w:tr w:rsidR="008B2560" w:rsidRPr="000A559D" w:rsidTr="00E125B0">
        <w:trPr>
          <w:trHeight w:val="295"/>
        </w:trPr>
        <w:tc>
          <w:tcPr>
            <w:tcW w:w="625" w:type="pct"/>
            <w:tcBorders>
              <w:top w:val="single" w:sz="2" w:space="0" w:color="A7B4BE"/>
              <w:left w:val="nil"/>
              <w:right w:val="single" w:sz="2" w:space="0" w:color="A7B4BE"/>
            </w:tcBorders>
            <w:vAlign w:val="bottom"/>
          </w:tcPr>
          <w:p w:rsidR="008B2560" w:rsidRPr="000A559D" w:rsidRDefault="008B2560" w:rsidP="00E125B0">
            <w:pPr>
              <w:pStyle w:val="Tablebodytext"/>
            </w:pPr>
            <w:r w:rsidRPr="000A559D">
              <w:t>2029</w:t>
            </w:r>
          </w:p>
        </w:tc>
        <w:tc>
          <w:tcPr>
            <w:tcW w:w="625" w:type="pct"/>
            <w:tcBorders>
              <w:top w:val="single" w:sz="2" w:space="0" w:color="A7B4BE"/>
              <w:left w:val="single" w:sz="2" w:space="0" w:color="A7B4BE"/>
              <w:right w:val="single" w:sz="2" w:space="0" w:color="A7B4BE"/>
            </w:tcBorders>
            <w:vAlign w:val="bottom"/>
          </w:tcPr>
          <w:p w:rsidR="008B2560" w:rsidRPr="000A559D" w:rsidRDefault="008B2560" w:rsidP="00E125B0">
            <w:pPr>
              <w:pStyle w:val="Tablebodytext"/>
            </w:pPr>
            <w:r w:rsidRPr="000A559D">
              <w:t>3,913</w:t>
            </w:r>
          </w:p>
        </w:tc>
        <w:tc>
          <w:tcPr>
            <w:tcW w:w="625" w:type="pct"/>
            <w:tcBorders>
              <w:top w:val="single" w:sz="2" w:space="0" w:color="A7B4BE"/>
              <w:left w:val="single" w:sz="2" w:space="0" w:color="A7B4BE"/>
              <w:right w:val="single" w:sz="2" w:space="0" w:color="A7B4BE"/>
            </w:tcBorders>
            <w:vAlign w:val="bottom"/>
          </w:tcPr>
          <w:p w:rsidR="008B2560" w:rsidRPr="000A559D" w:rsidRDefault="008B2560" w:rsidP="00E125B0">
            <w:pPr>
              <w:pStyle w:val="Tablebodytext"/>
            </w:pPr>
            <w:r w:rsidRPr="000A559D">
              <w:t>4,618</w:t>
            </w:r>
          </w:p>
        </w:tc>
        <w:tc>
          <w:tcPr>
            <w:tcW w:w="625" w:type="pct"/>
            <w:tcBorders>
              <w:top w:val="single" w:sz="2" w:space="0" w:color="A7B4BE"/>
              <w:left w:val="single" w:sz="2" w:space="0" w:color="A7B4BE"/>
              <w:right w:val="single" w:sz="2" w:space="0" w:color="A7B4BE"/>
            </w:tcBorders>
            <w:vAlign w:val="bottom"/>
          </w:tcPr>
          <w:p w:rsidR="008B2560" w:rsidRPr="000A559D" w:rsidRDefault="008B2560" w:rsidP="00E125B0">
            <w:pPr>
              <w:pStyle w:val="Tablebodytext"/>
            </w:pPr>
            <w:r w:rsidRPr="000A559D">
              <w:t>8,532</w:t>
            </w:r>
          </w:p>
        </w:tc>
        <w:tc>
          <w:tcPr>
            <w:tcW w:w="625" w:type="pct"/>
            <w:tcBorders>
              <w:top w:val="single" w:sz="2" w:space="0" w:color="A7B4BE"/>
              <w:left w:val="single" w:sz="2" w:space="0" w:color="A7B4BE"/>
              <w:right w:val="single" w:sz="2" w:space="0" w:color="A7B4BE"/>
            </w:tcBorders>
            <w:vAlign w:val="bottom"/>
          </w:tcPr>
          <w:p w:rsidR="008B2560" w:rsidRPr="000A559D" w:rsidRDefault="008B2560" w:rsidP="00E125B0">
            <w:pPr>
              <w:pStyle w:val="Tablebodytext"/>
            </w:pPr>
            <w:r w:rsidRPr="000A559D">
              <w:t>1,681</w:t>
            </w:r>
          </w:p>
        </w:tc>
        <w:tc>
          <w:tcPr>
            <w:tcW w:w="625" w:type="pct"/>
            <w:tcBorders>
              <w:top w:val="single" w:sz="2" w:space="0" w:color="A7B4BE"/>
              <w:left w:val="single" w:sz="2" w:space="0" w:color="A7B4BE"/>
              <w:right w:val="single" w:sz="2" w:space="0" w:color="A7B4BE"/>
            </w:tcBorders>
            <w:vAlign w:val="bottom"/>
          </w:tcPr>
          <w:p w:rsidR="008B2560" w:rsidRPr="000A559D" w:rsidRDefault="008B2560" w:rsidP="00E125B0">
            <w:pPr>
              <w:pStyle w:val="Tablebodytext"/>
            </w:pPr>
            <w:r w:rsidRPr="000A559D">
              <w:t>1,984</w:t>
            </w:r>
          </w:p>
        </w:tc>
        <w:tc>
          <w:tcPr>
            <w:tcW w:w="625" w:type="pct"/>
            <w:tcBorders>
              <w:top w:val="single" w:sz="2" w:space="0" w:color="A7B4BE"/>
              <w:left w:val="single" w:sz="2" w:space="0" w:color="A7B4BE"/>
              <w:right w:val="single" w:sz="2" w:space="0" w:color="A7B4BE"/>
            </w:tcBorders>
            <w:vAlign w:val="bottom"/>
          </w:tcPr>
          <w:p w:rsidR="008B2560" w:rsidRPr="000A559D" w:rsidRDefault="008B2560" w:rsidP="00E125B0">
            <w:pPr>
              <w:pStyle w:val="Tablebodytext"/>
            </w:pPr>
            <w:r w:rsidRPr="000A559D">
              <w:t>3,665</w:t>
            </w:r>
          </w:p>
        </w:tc>
        <w:tc>
          <w:tcPr>
            <w:tcW w:w="625" w:type="pct"/>
            <w:tcBorders>
              <w:top w:val="single" w:sz="2" w:space="0" w:color="A7B4BE"/>
              <w:left w:val="single" w:sz="2" w:space="0" w:color="A7B4BE"/>
              <w:right w:val="nil"/>
            </w:tcBorders>
            <w:vAlign w:val="bottom"/>
          </w:tcPr>
          <w:p w:rsidR="008B2560" w:rsidRPr="000A559D" w:rsidRDefault="008B2560" w:rsidP="00E125B0">
            <w:pPr>
              <w:pStyle w:val="Tablebodytext"/>
            </w:pPr>
            <w:r w:rsidRPr="000A559D">
              <w:t>0.24%</w:t>
            </w:r>
          </w:p>
        </w:tc>
      </w:tr>
      <w:tr w:rsidR="008B2560" w:rsidRPr="000A559D" w:rsidTr="008B2560">
        <w:trPr>
          <w:trHeight w:val="363"/>
        </w:trPr>
        <w:tc>
          <w:tcPr>
            <w:tcW w:w="625" w:type="pct"/>
            <w:vAlign w:val="bottom"/>
          </w:tcPr>
          <w:p w:rsidR="008B2560" w:rsidRPr="000A559D" w:rsidRDefault="008B2560" w:rsidP="00E125B0">
            <w:pPr>
              <w:pStyle w:val="Tablebodytext"/>
            </w:pPr>
            <w:r w:rsidRPr="000A559D">
              <w:t>2034</w:t>
            </w:r>
          </w:p>
        </w:tc>
        <w:tc>
          <w:tcPr>
            <w:tcW w:w="625" w:type="pct"/>
            <w:vAlign w:val="bottom"/>
          </w:tcPr>
          <w:p w:rsidR="008B2560" w:rsidRPr="000A559D" w:rsidRDefault="008B2560" w:rsidP="00E125B0">
            <w:pPr>
              <w:pStyle w:val="Tablebodytext"/>
            </w:pPr>
            <w:r w:rsidRPr="000A559D">
              <w:t>5,777</w:t>
            </w:r>
          </w:p>
        </w:tc>
        <w:tc>
          <w:tcPr>
            <w:tcW w:w="625" w:type="pct"/>
            <w:vAlign w:val="bottom"/>
          </w:tcPr>
          <w:p w:rsidR="008B2560" w:rsidRPr="000A559D" w:rsidRDefault="008B2560" w:rsidP="00E125B0">
            <w:pPr>
              <w:pStyle w:val="Tablebodytext"/>
            </w:pPr>
            <w:r w:rsidRPr="000A559D">
              <w:t>4,439</w:t>
            </w:r>
          </w:p>
        </w:tc>
        <w:tc>
          <w:tcPr>
            <w:tcW w:w="625" w:type="pct"/>
            <w:vAlign w:val="bottom"/>
          </w:tcPr>
          <w:p w:rsidR="008B2560" w:rsidRPr="000A559D" w:rsidRDefault="008B2560" w:rsidP="00E125B0">
            <w:pPr>
              <w:pStyle w:val="Tablebodytext"/>
            </w:pPr>
            <w:r w:rsidRPr="000A559D">
              <w:t>10,216</w:t>
            </w:r>
          </w:p>
        </w:tc>
        <w:tc>
          <w:tcPr>
            <w:tcW w:w="625" w:type="pct"/>
            <w:vAlign w:val="bottom"/>
          </w:tcPr>
          <w:p w:rsidR="008B2560" w:rsidRPr="000A559D" w:rsidRDefault="008B2560" w:rsidP="00E125B0">
            <w:pPr>
              <w:pStyle w:val="Tablebodytext"/>
            </w:pPr>
            <w:r w:rsidRPr="000A559D">
              <w:t>1,855</w:t>
            </w:r>
          </w:p>
        </w:tc>
        <w:tc>
          <w:tcPr>
            <w:tcW w:w="625" w:type="pct"/>
            <w:vAlign w:val="bottom"/>
          </w:tcPr>
          <w:p w:rsidR="008B2560" w:rsidRPr="000A559D" w:rsidRDefault="008B2560" w:rsidP="00E125B0">
            <w:pPr>
              <w:pStyle w:val="Tablebodytext"/>
            </w:pPr>
            <w:r w:rsidRPr="000A559D">
              <w:t>1,425</w:t>
            </w:r>
          </w:p>
        </w:tc>
        <w:tc>
          <w:tcPr>
            <w:tcW w:w="625" w:type="pct"/>
            <w:vAlign w:val="bottom"/>
          </w:tcPr>
          <w:p w:rsidR="008B2560" w:rsidRPr="000A559D" w:rsidRDefault="008B2560" w:rsidP="00E125B0">
            <w:pPr>
              <w:pStyle w:val="Tablebodytext"/>
            </w:pPr>
            <w:r w:rsidRPr="000A559D">
              <w:t>3,280</w:t>
            </w:r>
          </w:p>
        </w:tc>
        <w:tc>
          <w:tcPr>
            <w:tcW w:w="625" w:type="pct"/>
            <w:vAlign w:val="bottom"/>
          </w:tcPr>
          <w:p w:rsidR="008B2560" w:rsidRPr="000A559D" w:rsidRDefault="008B2560" w:rsidP="00E125B0">
            <w:pPr>
              <w:pStyle w:val="Tablebodytext"/>
            </w:pPr>
            <w:r w:rsidRPr="000A559D">
              <w:t>0.22%</w:t>
            </w:r>
          </w:p>
        </w:tc>
      </w:tr>
      <w:tr w:rsidR="008B2560" w:rsidRPr="000A559D" w:rsidTr="008B2560">
        <w:trPr>
          <w:trHeight w:val="241"/>
        </w:trPr>
        <w:tc>
          <w:tcPr>
            <w:tcW w:w="625" w:type="pct"/>
            <w:vAlign w:val="bottom"/>
          </w:tcPr>
          <w:p w:rsidR="008B2560" w:rsidRPr="000A559D" w:rsidRDefault="008B2560" w:rsidP="00E125B0">
            <w:pPr>
              <w:pStyle w:val="Tablebodytext"/>
            </w:pPr>
            <w:r w:rsidRPr="000A559D">
              <w:t>2039</w:t>
            </w:r>
          </w:p>
        </w:tc>
        <w:tc>
          <w:tcPr>
            <w:tcW w:w="625" w:type="pct"/>
            <w:vAlign w:val="bottom"/>
          </w:tcPr>
          <w:p w:rsidR="008B2560" w:rsidRPr="000A559D" w:rsidRDefault="008B2560" w:rsidP="00E125B0">
            <w:pPr>
              <w:pStyle w:val="Tablebodytext"/>
            </w:pPr>
            <w:r w:rsidRPr="000A559D">
              <w:t>7,839</w:t>
            </w:r>
          </w:p>
        </w:tc>
        <w:tc>
          <w:tcPr>
            <w:tcW w:w="625" w:type="pct"/>
            <w:vAlign w:val="bottom"/>
          </w:tcPr>
          <w:p w:rsidR="008B2560" w:rsidRPr="000A559D" w:rsidRDefault="008B2560" w:rsidP="00E125B0">
            <w:pPr>
              <w:pStyle w:val="Tablebodytext"/>
            </w:pPr>
            <w:r w:rsidRPr="000A559D">
              <w:t>3,961</w:t>
            </w:r>
          </w:p>
        </w:tc>
        <w:tc>
          <w:tcPr>
            <w:tcW w:w="625" w:type="pct"/>
            <w:vAlign w:val="bottom"/>
          </w:tcPr>
          <w:p w:rsidR="008B2560" w:rsidRPr="000A559D" w:rsidRDefault="008B2560" w:rsidP="00E125B0">
            <w:pPr>
              <w:pStyle w:val="Tablebodytext"/>
            </w:pPr>
            <w:r w:rsidRPr="000A559D">
              <w:t>11,800</w:t>
            </w:r>
          </w:p>
        </w:tc>
        <w:tc>
          <w:tcPr>
            <w:tcW w:w="625" w:type="pct"/>
            <w:vAlign w:val="bottom"/>
          </w:tcPr>
          <w:p w:rsidR="008B2560" w:rsidRPr="000A559D" w:rsidRDefault="008B2560" w:rsidP="00E125B0">
            <w:pPr>
              <w:pStyle w:val="Tablebodytext"/>
            </w:pPr>
            <w:r w:rsidRPr="000A559D">
              <w:t>1,880</w:t>
            </w:r>
          </w:p>
        </w:tc>
        <w:tc>
          <w:tcPr>
            <w:tcW w:w="625" w:type="pct"/>
            <w:vAlign w:val="bottom"/>
          </w:tcPr>
          <w:p w:rsidR="008B2560" w:rsidRPr="000A559D" w:rsidRDefault="008B2560" w:rsidP="00E125B0">
            <w:pPr>
              <w:pStyle w:val="Tablebodytext"/>
            </w:pPr>
            <w:r w:rsidRPr="000A559D">
              <w:t>950</w:t>
            </w:r>
          </w:p>
        </w:tc>
        <w:tc>
          <w:tcPr>
            <w:tcW w:w="625" w:type="pct"/>
            <w:vAlign w:val="bottom"/>
          </w:tcPr>
          <w:p w:rsidR="008B2560" w:rsidRPr="000A559D" w:rsidRDefault="008B2560" w:rsidP="00E125B0">
            <w:pPr>
              <w:pStyle w:val="Tablebodytext"/>
            </w:pPr>
            <w:r w:rsidRPr="000A559D">
              <w:t>2,831</w:t>
            </w:r>
          </w:p>
        </w:tc>
        <w:tc>
          <w:tcPr>
            <w:tcW w:w="625" w:type="pct"/>
            <w:vAlign w:val="bottom"/>
          </w:tcPr>
          <w:p w:rsidR="008B2560" w:rsidRPr="000A559D" w:rsidRDefault="008B2560" w:rsidP="00E125B0">
            <w:pPr>
              <w:pStyle w:val="Tablebodytext"/>
            </w:pPr>
            <w:r w:rsidRPr="000A559D">
              <w:t>0.20%</w:t>
            </w:r>
          </w:p>
        </w:tc>
      </w:tr>
      <w:tr w:rsidR="008B2560" w:rsidRPr="000A559D" w:rsidTr="008B2560">
        <w:trPr>
          <w:trHeight w:val="241"/>
        </w:trPr>
        <w:tc>
          <w:tcPr>
            <w:tcW w:w="625" w:type="pct"/>
            <w:vAlign w:val="bottom"/>
          </w:tcPr>
          <w:p w:rsidR="008B2560" w:rsidRPr="000A559D" w:rsidRDefault="008B2560" w:rsidP="00E125B0">
            <w:pPr>
              <w:pStyle w:val="Tablebodytext"/>
            </w:pPr>
            <w:r w:rsidRPr="000A559D">
              <w:t>2044</w:t>
            </w:r>
          </w:p>
        </w:tc>
        <w:tc>
          <w:tcPr>
            <w:tcW w:w="625" w:type="pct"/>
            <w:vAlign w:val="bottom"/>
          </w:tcPr>
          <w:p w:rsidR="008B2560" w:rsidRPr="000A559D" w:rsidRDefault="008B2560" w:rsidP="00E125B0">
            <w:pPr>
              <w:pStyle w:val="Tablebodytext"/>
            </w:pPr>
            <w:r w:rsidRPr="000A559D">
              <w:t>9,722</w:t>
            </w:r>
          </w:p>
        </w:tc>
        <w:tc>
          <w:tcPr>
            <w:tcW w:w="625" w:type="pct"/>
            <w:vAlign w:val="bottom"/>
          </w:tcPr>
          <w:p w:rsidR="008B2560" w:rsidRPr="000A559D" w:rsidRDefault="008B2560" w:rsidP="00E125B0">
            <w:pPr>
              <w:pStyle w:val="Tablebodytext"/>
            </w:pPr>
            <w:r w:rsidRPr="000A559D">
              <w:t>3,205</w:t>
            </w:r>
          </w:p>
        </w:tc>
        <w:tc>
          <w:tcPr>
            <w:tcW w:w="625" w:type="pct"/>
            <w:vAlign w:val="bottom"/>
          </w:tcPr>
          <w:p w:rsidR="008B2560" w:rsidRPr="000A559D" w:rsidRDefault="008B2560" w:rsidP="00E125B0">
            <w:pPr>
              <w:pStyle w:val="Tablebodytext"/>
            </w:pPr>
            <w:r w:rsidRPr="000A559D">
              <w:t>12,927</w:t>
            </w:r>
          </w:p>
        </w:tc>
        <w:tc>
          <w:tcPr>
            <w:tcW w:w="625" w:type="pct"/>
            <w:vAlign w:val="bottom"/>
          </w:tcPr>
          <w:p w:rsidR="008B2560" w:rsidRPr="000A559D" w:rsidRDefault="008B2560" w:rsidP="00E125B0">
            <w:pPr>
              <w:pStyle w:val="Tablebodytext"/>
            </w:pPr>
            <w:r w:rsidRPr="000A559D">
              <w:t>1,743</w:t>
            </w:r>
          </w:p>
        </w:tc>
        <w:tc>
          <w:tcPr>
            <w:tcW w:w="625" w:type="pct"/>
            <w:vAlign w:val="bottom"/>
          </w:tcPr>
          <w:p w:rsidR="008B2560" w:rsidRPr="000A559D" w:rsidRDefault="008B2560" w:rsidP="00E125B0">
            <w:pPr>
              <w:pStyle w:val="Tablebodytext"/>
            </w:pPr>
            <w:r w:rsidRPr="000A559D">
              <w:t>575</w:t>
            </w:r>
          </w:p>
        </w:tc>
        <w:tc>
          <w:tcPr>
            <w:tcW w:w="625" w:type="pct"/>
            <w:vAlign w:val="bottom"/>
          </w:tcPr>
          <w:p w:rsidR="008B2560" w:rsidRPr="000A559D" w:rsidRDefault="008B2560" w:rsidP="00E125B0">
            <w:pPr>
              <w:pStyle w:val="Tablebodytext"/>
            </w:pPr>
            <w:r w:rsidRPr="000A559D">
              <w:t>2,317</w:t>
            </w:r>
          </w:p>
        </w:tc>
        <w:tc>
          <w:tcPr>
            <w:tcW w:w="625" w:type="pct"/>
            <w:vAlign w:val="bottom"/>
          </w:tcPr>
          <w:p w:rsidR="008B2560" w:rsidRPr="000A559D" w:rsidRDefault="008B2560" w:rsidP="00E125B0">
            <w:pPr>
              <w:pStyle w:val="Tablebodytext"/>
            </w:pPr>
            <w:r w:rsidRPr="000A559D">
              <w:t>0.17%</w:t>
            </w:r>
          </w:p>
        </w:tc>
      </w:tr>
      <w:tr w:rsidR="008B2560" w:rsidRPr="000A559D" w:rsidTr="008B2560">
        <w:trPr>
          <w:trHeight w:val="241"/>
        </w:trPr>
        <w:tc>
          <w:tcPr>
            <w:tcW w:w="625" w:type="pct"/>
            <w:vAlign w:val="bottom"/>
          </w:tcPr>
          <w:p w:rsidR="008B2560" w:rsidRPr="000A559D" w:rsidRDefault="008B2560" w:rsidP="00E125B0">
            <w:pPr>
              <w:pStyle w:val="Tablebodytext"/>
            </w:pPr>
            <w:r w:rsidRPr="000A559D">
              <w:t>2049</w:t>
            </w:r>
          </w:p>
        </w:tc>
        <w:tc>
          <w:tcPr>
            <w:tcW w:w="625" w:type="pct"/>
            <w:vAlign w:val="bottom"/>
          </w:tcPr>
          <w:p w:rsidR="008B2560" w:rsidRPr="000A559D" w:rsidRDefault="008B2560" w:rsidP="00E125B0">
            <w:pPr>
              <w:pStyle w:val="Tablebodytext"/>
            </w:pPr>
            <w:r w:rsidRPr="000A559D">
              <w:t>10,571</w:t>
            </w:r>
          </w:p>
        </w:tc>
        <w:tc>
          <w:tcPr>
            <w:tcW w:w="625" w:type="pct"/>
            <w:vAlign w:val="bottom"/>
          </w:tcPr>
          <w:p w:rsidR="008B2560" w:rsidRPr="000A559D" w:rsidRDefault="008B2560" w:rsidP="00E125B0">
            <w:pPr>
              <w:pStyle w:val="Tablebodytext"/>
            </w:pPr>
            <w:r w:rsidRPr="000A559D">
              <w:t>2,292</w:t>
            </w:r>
          </w:p>
        </w:tc>
        <w:tc>
          <w:tcPr>
            <w:tcW w:w="625" w:type="pct"/>
            <w:vAlign w:val="bottom"/>
          </w:tcPr>
          <w:p w:rsidR="008B2560" w:rsidRPr="000A559D" w:rsidRDefault="008B2560" w:rsidP="00E125B0">
            <w:pPr>
              <w:pStyle w:val="Tablebodytext"/>
            </w:pPr>
            <w:r w:rsidRPr="000A559D">
              <w:t>12,862</w:t>
            </w:r>
          </w:p>
        </w:tc>
        <w:tc>
          <w:tcPr>
            <w:tcW w:w="625" w:type="pct"/>
            <w:vAlign w:val="bottom"/>
          </w:tcPr>
          <w:p w:rsidR="008B2560" w:rsidRPr="000A559D" w:rsidRDefault="008B2560" w:rsidP="00E125B0">
            <w:pPr>
              <w:pStyle w:val="Tablebodytext"/>
            </w:pPr>
            <w:r w:rsidRPr="000A559D">
              <w:t>1,416</w:t>
            </w:r>
          </w:p>
        </w:tc>
        <w:tc>
          <w:tcPr>
            <w:tcW w:w="625" w:type="pct"/>
            <w:vAlign w:val="bottom"/>
          </w:tcPr>
          <w:p w:rsidR="008B2560" w:rsidRPr="000A559D" w:rsidRDefault="008B2560" w:rsidP="00E125B0">
            <w:pPr>
              <w:pStyle w:val="Tablebodytext"/>
            </w:pPr>
            <w:r w:rsidRPr="000A559D">
              <w:t>307</w:t>
            </w:r>
          </w:p>
        </w:tc>
        <w:tc>
          <w:tcPr>
            <w:tcW w:w="625" w:type="pct"/>
            <w:vAlign w:val="bottom"/>
          </w:tcPr>
          <w:p w:rsidR="008B2560" w:rsidRPr="000A559D" w:rsidRDefault="008B2560" w:rsidP="00E125B0">
            <w:pPr>
              <w:pStyle w:val="Tablebodytext"/>
            </w:pPr>
            <w:r w:rsidRPr="000A559D">
              <w:t>1,723</w:t>
            </w:r>
          </w:p>
        </w:tc>
        <w:tc>
          <w:tcPr>
            <w:tcW w:w="625" w:type="pct"/>
            <w:vAlign w:val="bottom"/>
          </w:tcPr>
          <w:p w:rsidR="008B2560" w:rsidRPr="000A559D" w:rsidRDefault="008B2560" w:rsidP="00E125B0">
            <w:pPr>
              <w:pStyle w:val="Tablebodytext"/>
            </w:pPr>
            <w:r w:rsidRPr="000A559D">
              <w:t>0.13%</w:t>
            </w:r>
          </w:p>
        </w:tc>
      </w:tr>
      <w:tr w:rsidR="008B2560" w:rsidRPr="000A559D" w:rsidTr="008B2560">
        <w:trPr>
          <w:trHeight w:val="241"/>
        </w:trPr>
        <w:tc>
          <w:tcPr>
            <w:tcW w:w="625" w:type="pct"/>
            <w:vAlign w:val="bottom"/>
          </w:tcPr>
          <w:p w:rsidR="008B2560" w:rsidRPr="000A559D" w:rsidRDefault="008B2560" w:rsidP="00E125B0">
            <w:pPr>
              <w:pStyle w:val="Tablebodytext"/>
            </w:pPr>
            <w:r w:rsidRPr="000A559D">
              <w:t>2054</w:t>
            </w:r>
          </w:p>
        </w:tc>
        <w:tc>
          <w:tcPr>
            <w:tcW w:w="625" w:type="pct"/>
            <w:vAlign w:val="bottom"/>
          </w:tcPr>
          <w:p w:rsidR="008B2560" w:rsidRPr="000A559D" w:rsidRDefault="008B2560" w:rsidP="00E125B0">
            <w:pPr>
              <w:pStyle w:val="Tablebodytext"/>
            </w:pPr>
            <w:r w:rsidRPr="000A559D">
              <w:t>10,258</w:t>
            </w:r>
          </w:p>
        </w:tc>
        <w:tc>
          <w:tcPr>
            <w:tcW w:w="625" w:type="pct"/>
            <w:vAlign w:val="bottom"/>
          </w:tcPr>
          <w:p w:rsidR="008B2560" w:rsidRPr="000A559D" w:rsidRDefault="008B2560" w:rsidP="00E125B0">
            <w:pPr>
              <w:pStyle w:val="Tablebodytext"/>
            </w:pPr>
            <w:r w:rsidRPr="000A559D">
              <w:t>1,409</w:t>
            </w:r>
          </w:p>
        </w:tc>
        <w:tc>
          <w:tcPr>
            <w:tcW w:w="625" w:type="pct"/>
            <w:vAlign w:val="bottom"/>
          </w:tcPr>
          <w:p w:rsidR="008B2560" w:rsidRPr="000A559D" w:rsidRDefault="008B2560" w:rsidP="00E125B0">
            <w:pPr>
              <w:pStyle w:val="Tablebodytext"/>
            </w:pPr>
            <w:r w:rsidRPr="000A559D">
              <w:t>11,666</w:t>
            </w:r>
          </w:p>
        </w:tc>
        <w:tc>
          <w:tcPr>
            <w:tcW w:w="625" w:type="pct"/>
            <w:vAlign w:val="bottom"/>
          </w:tcPr>
          <w:p w:rsidR="008B2560" w:rsidRPr="000A559D" w:rsidRDefault="008B2560" w:rsidP="00E125B0">
            <w:pPr>
              <w:pStyle w:val="Tablebodytext"/>
            </w:pPr>
            <w:r w:rsidRPr="000A559D">
              <w:t>1,027</w:t>
            </w:r>
          </w:p>
        </w:tc>
        <w:tc>
          <w:tcPr>
            <w:tcW w:w="625" w:type="pct"/>
            <w:vAlign w:val="bottom"/>
          </w:tcPr>
          <w:p w:rsidR="008B2560" w:rsidRPr="000A559D" w:rsidRDefault="008B2560" w:rsidP="00E125B0">
            <w:pPr>
              <w:pStyle w:val="Tablebodytext"/>
            </w:pPr>
            <w:r w:rsidRPr="000A559D">
              <w:t>141</w:t>
            </w:r>
          </w:p>
        </w:tc>
        <w:tc>
          <w:tcPr>
            <w:tcW w:w="625" w:type="pct"/>
            <w:vAlign w:val="bottom"/>
          </w:tcPr>
          <w:p w:rsidR="008B2560" w:rsidRPr="000A559D" w:rsidRDefault="008B2560" w:rsidP="00E125B0">
            <w:pPr>
              <w:pStyle w:val="Tablebodytext"/>
            </w:pPr>
            <w:r w:rsidRPr="000A559D">
              <w:t>1,168</w:t>
            </w:r>
          </w:p>
        </w:tc>
        <w:tc>
          <w:tcPr>
            <w:tcW w:w="625" w:type="pct"/>
            <w:vAlign w:val="bottom"/>
          </w:tcPr>
          <w:p w:rsidR="008B2560" w:rsidRPr="000A559D" w:rsidRDefault="008B2560" w:rsidP="00E125B0">
            <w:pPr>
              <w:pStyle w:val="Tablebodytext"/>
            </w:pPr>
            <w:r w:rsidRPr="000A559D">
              <w:t>0.09%</w:t>
            </w:r>
          </w:p>
        </w:tc>
      </w:tr>
    </w:tbl>
    <w:p w:rsidR="008B2560" w:rsidRDefault="008B2560" w:rsidP="00E125B0">
      <w:pPr>
        <w:pStyle w:val="Sourcenotetext"/>
      </w:pPr>
      <w:r w:rsidRPr="003417EB">
        <w:t>Notes:</w:t>
      </w:r>
    </w:p>
    <w:p w:rsidR="008B2560" w:rsidRDefault="008B2560" w:rsidP="00E125B0">
      <w:pPr>
        <w:pStyle w:val="Sourcenotetext"/>
      </w:pPr>
      <w:r w:rsidRPr="003417EB">
        <w:t>The discounted outlays have been adjusted to 2014 dollars using the discount rate of 6% per annum.</w:t>
      </w:r>
    </w:p>
    <w:p w:rsidR="008B2560" w:rsidRPr="003417EB" w:rsidRDefault="008B2560" w:rsidP="00E125B0">
      <w:pPr>
        <w:pStyle w:val="Sourcenotetext"/>
      </w:pPr>
      <w:r w:rsidRPr="003417EB">
        <w:t>The projected future outlays include productivity superannuation contributions by approved agencies to schemes outside the CSS</w:t>
      </w:r>
      <w:r>
        <w:t xml:space="preserve">. </w:t>
      </w:r>
    </w:p>
    <w:p w:rsidR="008B2560" w:rsidRPr="00664B77" w:rsidRDefault="00DF00E2" w:rsidP="00664B77">
      <w:pPr>
        <w:pStyle w:val="Numberedpara1stindent"/>
        <w:spacing w:after="240"/>
      </w:pPr>
      <w:r>
        <w:br w:type="page"/>
      </w:r>
      <w:r w:rsidR="008B2560" w:rsidRPr="00664B77">
        <w:lastRenderedPageBreak/>
        <w:t>Future outlays are expected to reduce as a percentage of projected GDP from 0.28% in the year ending 30 June 2015 to 0.09% in the year ending 30 June 2054. The decline over the next 40 years is consistent with the schemes being closed to new entrants and the ageing of the membership.</w:t>
      </w:r>
    </w:p>
    <w:p w:rsidR="008B2560" w:rsidRPr="00664B77" w:rsidRDefault="008B2560" w:rsidP="00664B77">
      <w:pPr>
        <w:pStyle w:val="Numberedpara1stindent"/>
        <w:spacing w:after="240"/>
      </w:pPr>
      <w:r w:rsidRPr="00664B77">
        <w:t>The main reasons for the increase in outlays compared with the 2011 projections are the increased pension take-up rate assumption for PSS members (which means fewer lump sum payments initially, replaced by a</w:t>
      </w:r>
      <w:r w:rsidRPr="003417EB">
        <w:rPr>
          <w:rFonts w:eastAsia="Cambria"/>
          <w:szCs w:val="22"/>
        </w:rPr>
        <w:t xml:space="preserve"> </w:t>
      </w:r>
      <w:r w:rsidRPr="00664B77">
        <w:t>longer stream of pension payments) and the increased PSS member contribution rate assumption (members are assumed to be accruing benefits at a faster rate leading to higher benefit entitlements). Other assumptions such as the decrease in mortality rates have also had an impact.</w:t>
      </w:r>
    </w:p>
    <w:p w:rsidR="008B2560" w:rsidRPr="00664B77" w:rsidRDefault="008B2560" w:rsidP="00664B77">
      <w:pPr>
        <w:pStyle w:val="Numberedpara1stindent"/>
        <w:spacing w:after="240"/>
      </w:pPr>
      <w:r w:rsidRPr="00664B77">
        <w:t>We consider that the Australian Government has sufficient liquidity and financial resources to provide for Scheme benefits from the CRF as they become due, taking into account the credit rating of the Australian Government and the level and trend of projected outlays as a percentage of GDP.</w:t>
      </w:r>
    </w:p>
    <w:p w:rsidR="008B2560" w:rsidRPr="000D3660" w:rsidRDefault="008B2560" w:rsidP="00664B77">
      <w:pPr>
        <w:pStyle w:val="Heading5"/>
        <w:rPr>
          <w:b w:val="0"/>
        </w:rPr>
      </w:pPr>
      <w:r w:rsidRPr="00664B77">
        <w:rPr>
          <w:bCs/>
          <w:iCs/>
          <w:color w:val="005A77"/>
          <w:sz w:val="24"/>
        </w:rPr>
        <w:t>Post Valuation Date Experience</w:t>
      </w:r>
    </w:p>
    <w:p w:rsidR="008B2560" w:rsidRPr="00664B77" w:rsidRDefault="008B2560" w:rsidP="00664B77">
      <w:pPr>
        <w:pStyle w:val="Numberedpara1stindent"/>
        <w:spacing w:after="240"/>
      </w:pPr>
      <w:r w:rsidRPr="00664B77">
        <w:t xml:space="preserve">Since 30 June 2014, there has been a higher than anticipated number of exits from the schemes. This subsequent experience has not been allowed for in the results or projections of this Report.  </w:t>
      </w:r>
    </w:p>
    <w:p w:rsidR="008B2560" w:rsidRPr="00664B77" w:rsidRDefault="008B2560" w:rsidP="00664B77">
      <w:pPr>
        <w:pStyle w:val="Numberedpara1stindent"/>
        <w:spacing w:after="240"/>
      </w:pPr>
      <w:r w:rsidRPr="00664B77">
        <w:t>The impact of this post valuation date experience is to generate variations in the short term cash flows.  The long term financial position (UFL) is not expected to be materially affected as the short term increase in total benefits paid from the schemes will be offset by lower amounts in future years.</w:t>
      </w:r>
    </w:p>
    <w:p w:rsidR="008B2560" w:rsidRPr="00664B77" w:rsidRDefault="008B2560" w:rsidP="00266A7E">
      <w:pPr>
        <w:pStyle w:val="Numberedpara1stindent"/>
        <w:spacing w:after="120"/>
      </w:pPr>
      <w:r w:rsidRPr="00664B77">
        <w:t>The table below illustrates the actual benefit payments provided by the Department of Finance for the period from 1 July 2014 to 31 January 2015 compared to the projected benefit payments for the same period. The figures are inclusive of emerging cost agency cash flows.  For CSS the pensioner payments made under the Superannuation Act 1922 have been excluded.</w:t>
      </w:r>
    </w:p>
    <w:tbl>
      <w:tblPr>
        <w:tblW w:w="8080" w:type="dxa"/>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584"/>
        <w:gridCol w:w="1242"/>
        <w:gridCol w:w="1478"/>
        <w:gridCol w:w="1390"/>
        <w:gridCol w:w="1386"/>
      </w:tblGrid>
      <w:tr w:rsidR="008B2560" w:rsidRPr="00591116" w:rsidTr="008B2560">
        <w:tc>
          <w:tcPr>
            <w:tcW w:w="2584" w:type="dxa"/>
            <w:vMerge w:val="restart"/>
            <w:shd w:val="clear" w:color="auto" w:fill="DDF3FA"/>
            <w:vAlign w:val="center"/>
          </w:tcPr>
          <w:p w:rsidR="008B2560" w:rsidRPr="0015777B" w:rsidRDefault="008B2560" w:rsidP="008B2560">
            <w:pPr>
              <w:pStyle w:val="Tablecolumnheading"/>
              <w:spacing w:line="220" w:lineRule="atLeast"/>
              <w:jc w:val="center"/>
            </w:pPr>
            <w:r>
              <w:t>Cash flows from 1 July 2014 to 31 January 2015</w:t>
            </w:r>
          </w:p>
        </w:tc>
        <w:tc>
          <w:tcPr>
            <w:tcW w:w="2720" w:type="dxa"/>
            <w:gridSpan w:val="2"/>
            <w:shd w:val="clear" w:color="auto" w:fill="DDF3FA"/>
          </w:tcPr>
          <w:p w:rsidR="008B2560" w:rsidRPr="0015777B" w:rsidRDefault="008B2560" w:rsidP="008B2560">
            <w:pPr>
              <w:pStyle w:val="Tablecolumnheading"/>
              <w:spacing w:line="220" w:lineRule="atLeast"/>
              <w:jc w:val="center"/>
            </w:pPr>
            <w:r>
              <w:t>PSS</w:t>
            </w:r>
          </w:p>
        </w:tc>
        <w:tc>
          <w:tcPr>
            <w:tcW w:w="2776" w:type="dxa"/>
            <w:gridSpan w:val="2"/>
            <w:shd w:val="clear" w:color="auto" w:fill="DDF3FA"/>
          </w:tcPr>
          <w:p w:rsidR="008B2560" w:rsidRDefault="008B2560" w:rsidP="008B2560">
            <w:pPr>
              <w:pStyle w:val="Tablecolumnheading"/>
              <w:spacing w:line="220" w:lineRule="atLeast"/>
              <w:jc w:val="center"/>
            </w:pPr>
            <w:r>
              <w:t>CSS (excluding OSS)</w:t>
            </w:r>
          </w:p>
        </w:tc>
      </w:tr>
      <w:tr w:rsidR="008B2560" w:rsidRPr="00591116" w:rsidTr="008B2560">
        <w:tc>
          <w:tcPr>
            <w:tcW w:w="2584" w:type="dxa"/>
            <w:vMerge/>
            <w:shd w:val="clear" w:color="auto" w:fill="DDF3FA"/>
          </w:tcPr>
          <w:p w:rsidR="008B2560" w:rsidRPr="0015777B" w:rsidRDefault="008B2560" w:rsidP="008B2560">
            <w:pPr>
              <w:pStyle w:val="Tablecolumnheading"/>
              <w:spacing w:line="220" w:lineRule="atLeast"/>
            </w:pPr>
          </w:p>
        </w:tc>
        <w:tc>
          <w:tcPr>
            <w:tcW w:w="1242" w:type="dxa"/>
            <w:shd w:val="clear" w:color="auto" w:fill="DDF3FA"/>
          </w:tcPr>
          <w:p w:rsidR="008B2560" w:rsidRDefault="008B2560" w:rsidP="008B2560">
            <w:pPr>
              <w:pStyle w:val="Tablecolumnheading"/>
              <w:spacing w:line="220" w:lineRule="atLeast"/>
              <w:jc w:val="center"/>
            </w:pPr>
            <w:r>
              <w:t>Actual</w:t>
            </w:r>
          </w:p>
          <w:p w:rsidR="008B2560" w:rsidRPr="0015777B" w:rsidRDefault="008B2560" w:rsidP="008B2560">
            <w:pPr>
              <w:pStyle w:val="Tablecolumnheading"/>
              <w:spacing w:line="220" w:lineRule="atLeast"/>
              <w:jc w:val="center"/>
            </w:pPr>
            <w:r>
              <w:t>($millions)</w:t>
            </w:r>
          </w:p>
        </w:tc>
        <w:tc>
          <w:tcPr>
            <w:tcW w:w="1478" w:type="dxa"/>
            <w:shd w:val="clear" w:color="auto" w:fill="DDF3FA"/>
          </w:tcPr>
          <w:p w:rsidR="008B2560" w:rsidRPr="0015777B" w:rsidRDefault="008B2560" w:rsidP="008B2560">
            <w:pPr>
              <w:pStyle w:val="Tablecolumnheading"/>
              <w:spacing w:line="220" w:lineRule="atLeast"/>
              <w:jc w:val="center"/>
            </w:pPr>
            <w:r>
              <w:t>Projected ($millions)</w:t>
            </w:r>
          </w:p>
        </w:tc>
        <w:tc>
          <w:tcPr>
            <w:tcW w:w="1390" w:type="dxa"/>
            <w:shd w:val="clear" w:color="auto" w:fill="DDF3FA"/>
          </w:tcPr>
          <w:p w:rsidR="008B2560" w:rsidRPr="0015777B" w:rsidRDefault="008B2560" w:rsidP="008B2560">
            <w:pPr>
              <w:pStyle w:val="Tablecolumnheading"/>
              <w:spacing w:line="220" w:lineRule="atLeast"/>
              <w:jc w:val="center"/>
            </w:pPr>
            <w:r>
              <w:t>Actual ($millions)</w:t>
            </w:r>
          </w:p>
        </w:tc>
        <w:tc>
          <w:tcPr>
            <w:tcW w:w="1386" w:type="dxa"/>
            <w:shd w:val="clear" w:color="auto" w:fill="DDF3FA"/>
          </w:tcPr>
          <w:p w:rsidR="008B2560" w:rsidRDefault="008B2560" w:rsidP="008B2560">
            <w:pPr>
              <w:pStyle w:val="Tablecolumnheading"/>
              <w:spacing w:line="220" w:lineRule="atLeast"/>
              <w:jc w:val="center"/>
            </w:pPr>
            <w:r>
              <w:t>Projected ($millions)</w:t>
            </w:r>
          </w:p>
        </w:tc>
      </w:tr>
      <w:tr w:rsidR="008B2560" w:rsidRPr="00591116" w:rsidTr="008B2560">
        <w:tc>
          <w:tcPr>
            <w:tcW w:w="2584" w:type="dxa"/>
            <w:vAlign w:val="bottom"/>
          </w:tcPr>
          <w:p w:rsidR="008B2560" w:rsidRPr="00157B10" w:rsidRDefault="008B2560" w:rsidP="00E125B0">
            <w:pPr>
              <w:pStyle w:val="Tablebodytext"/>
            </w:pPr>
            <w:r w:rsidRPr="00157B10">
              <w:t>1. Total benefits paid from scheme</w:t>
            </w:r>
          </w:p>
        </w:tc>
        <w:tc>
          <w:tcPr>
            <w:tcW w:w="1242" w:type="dxa"/>
            <w:vAlign w:val="center"/>
          </w:tcPr>
          <w:p w:rsidR="008B2560" w:rsidRPr="00157B10" w:rsidRDefault="008B2560" w:rsidP="00E125B0">
            <w:pPr>
              <w:pStyle w:val="Tablebodytext"/>
            </w:pPr>
            <w:r w:rsidRPr="00157B10">
              <w:t>1,063</w:t>
            </w:r>
          </w:p>
        </w:tc>
        <w:tc>
          <w:tcPr>
            <w:tcW w:w="1478" w:type="dxa"/>
            <w:vAlign w:val="center"/>
          </w:tcPr>
          <w:p w:rsidR="008B2560" w:rsidRPr="00157B10" w:rsidRDefault="008B2560" w:rsidP="00E125B0">
            <w:pPr>
              <w:pStyle w:val="Tablebodytext"/>
            </w:pPr>
            <w:r w:rsidRPr="00157B10">
              <w:t>823</w:t>
            </w:r>
          </w:p>
        </w:tc>
        <w:tc>
          <w:tcPr>
            <w:tcW w:w="1390" w:type="dxa"/>
            <w:vAlign w:val="center"/>
          </w:tcPr>
          <w:p w:rsidR="008B2560" w:rsidRPr="00157B10" w:rsidRDefault="008B2560" w:rsidP="00E125B0">
            <w:pPr>
              <w:pStyle w:val="Tablebodytext"/>
            </w:pPr>
            <w:r w:rsidRPr="00157B10">
              <w:t xml:space="preserve">2,620 </w:t>
            </w:r>
          </w:p>
        </w:tc>
        <w:tc>
          <w:tcPr>
            <w:tcW w:w="1386" w:type="dxa"/>
            <w:vAlign w:val="center"/>
          </w:tcPr>
          <w:p w:rsidR="008B2560" w:rsidRPr="00157B10" w:rsidRDefault="008B2560" w:rsidP="00E125B0">
            <w:pPr>
              <w:pStyle w:val="Tablebodytext"/>
            </w:pPr>
            <w:r w:rsidRPr="00157B10">
              <w:t>2,470</w:t>
            </w:r>
          </w:p>
        </w:tc>
      </w:tr>
      <w:tr w:rsidR="008B2560" w:rsidRPr="00591116" w:rsidTr="008B2560">
        <w:tc>
          <w:tcPr>
            <w:tcW w:w="2584" w:type="dxa"/>
            <w:vAlign w:val="bottom"/>
          </w:tcPr>
          <w:p w:rsidR="008B2560" w:rsidRPr="00157B10" w:rsidRDefault="008B2560" w:rsidP="00E125B0">
            <w:pPr>
              <w:pStyle w:val="Tablebodytext"/>
            </w:pPr>
            <w:r w:rsidRPr="00157B10">
              <w:t>2. Total offsets/ funded benefits paid from scheme</w:t>
            </w:r>
          </w:p>
        </w:tc>
        <w:tc>
          <w:tcPr>
            <w:tcW w:w="1242" w:type="dxa"/>
            <w:vAlign w:val="center"/>
          </w:tcPr>
          <w:p w:rsidR="008B2560" w:rsidRPr="00157B10" w:rsidRDefault="008B2560" w:rsidP="00E125B0">
            <w:pPr>
              <w:pStyle w:val="Tablebodytext"/>
            </w:pPr>
            <w:r w:rsidRPr="00157B10">
              <w:t>1,029</w:t>
            </w:r>
          </w:p>
        </w:tc>
        <w:tc>
          <w:tcPr>
            <w:tcW w:w="1478" w:type="dxa"/>
            <w:vAlign w:val="center"/>
          </w:tcPr>
          <w:p w:rsidR="008B2560" w:rsidRPr="00157B10" w:rsidRDefault="008B2560" w:rsidP="00E125B0">
            <w:pPr>
              <w:pStyle w:val="Tablebodytext"/>
            </w:pPr>
            <w:r w:rsidRPr="00157B10">
              <w:t xml:space="preserve">408  </w:t>
            </w:r>
          </w:p>
        </w:tc>
        <w:tc>
          <w:tcPr>
            <w:tcW w:w="1390" w:type="dxa"/>
            <w:vAlign w:val="center"/>
          </w:tcPr>
          <w:p w:rsidR="008B2560" w:rsidRPr="00157B10" w:rsidRDefault="008B2560" w:rsidP="00E125B0">
            <w:pPr>
              <w:pStyle w:val="Tablebodytext"/>
            </w:pPr>
            <w:r w:rsidRPr="00157B10">
              <w:t>558</w:t>
            </w:r>
          </w:p>
        </w:tc>
        <w:tc>
          <w:tcPr>
            <w:tcW w:w="1386" w:type="dxa"/>
            <w:vAlign w:val="center"/>
          </w:tcPr>
          <w:p w:rsidR="008B2560" w:rsidRPr="00157B10" w:rsidRDefault="008B2560" w:rsidP="00E125B0">
            <w:pPr>
              <w:pStyle w:val="Tablebodytext"/>
            </w:pPr>
            <w:r w:rsidRPr="00157B10">
              <w:t>345</w:t>
            </w:r>
          </w:p>
        </w:tc>
      </w:tr>
      <w:tr w:rsidR="008B2560" w:rsidRPr="00591116" w:rsidTr="008B2560">
        <w:trPr>
          <w:trHeight w:val="672"/>
        </w:trPr>
        <w:tc>
          <w:tcPr>
            <w:tcW w:w="2584" w:type="dxa"/>
            <w:vAlign w:val="bottom"/>
          </w:tcPr>
          <w:p w:rsidR="008B2560" w:rsidRPr="00157B10" w:rsidRDefault="008B2560" w:rsidP="00E125B0">
            <w:pPr>
              <w:pStyle w:val="Tablebodytext"/>
              <w:rPr>
                <w:b/>
              </w:rPr>
            </w:pPr>
            <w:r w:rsidRPr="00157B10">
              <w:rPr>
                <w:b/>
              </w:rPr>
              <w:t>3. Total net appropriations from CRF/unfunded benefits paid from scheme (1. – 2.)</w:t>
            </w:r>
          </w:p>
        </w:tc>
        <w:tc>
          <w:tcPr>
            <w:tcW w:w="1242" w:type="dxa"/>
            <w:vAlign w:val="center"/>
          </w:tcPr>
          <w:p w:rsidR="008B2560" w:rsidRPr="00157B10" w:rsidRDefault="008B2560" w:rsidP="00E125B0">
            <w:pPr>
              <w:pStyle w:val="Tablebodytext"/>
              <w:rPr>
                <w:b/>
              </w:rPr>
            </w:pPr>
            <w:r w:rsidRPr="00157B10">
              <w:rPr>
                <w:b/>
              </w:rPr>
              <w:t>34</w:t>
            </w:r>
          </w:p>
        </w:tc>
        <w:tc>
          <w:tcPr>
            <w:tcW w:w="1478" w:type="dxa"/>
            <w:vAlign w:val="center"/>
          </w:tcPr>
          <w:p w:rsidR="008B2560" w:rsidRPr="00157B10" w:rsidRDefault="008B2560" w:rsidP="00E125B0">
            <w:pPr>
              <w:pStyle w:val="Tablebodytext"/>
              <w:rPr>
                <w:b/>
              </w:rPr>
            </w:pPr>
            <w:r w:rsidRPr="00157B10">
              <w:rPr>
                <w:b/>
              </w:rPr>
              <w:t xml:space="preserve">415 </w:t>
            </w:r>
          </w:p>
        </w:tc>
        <w:tc>
          <w:tcPr>
            <w:tcW w:w="1390" w:type="dxa"/>
            <w:vAlign w:val="center"/>
          </w:tcPr>
          <w:p w:rsidR="008B2560" w:rsidRPr="00157B10" w:rsidRDefault="008B2560" w:rsidP="00E125B0">
            <w:pPr>
              <w:pStyle w:val="Tablebodytext"/>
              <w:rPr>
                <w:b/>
              </w:rPr>
            </w:pPr>
            <w:r w:rsidRPr="00157B10">
              <w:rPr>
                <w:b/>
              </w:rPr>
              <w:t>2,062</w:t>
            </w:r>
          </w:p>
        </w:tc>
        <w:tc>
          <w:tcPr>
            <w:tcW w:w="1386" w:type="dxa"/>
            <w:vAlign w:val="center"/>
          </w:tcPr>
          <w:p w:rsidR="008B2560" w:rsidRPr="00157B10" w:rsidRDefault="008B2560" w:rsidP="00E125B0">
            <w:pPr>
              <w:pStyle w:val="Tablebodytext"/>
              <w:rPr>
                <w:b/>
              </w:rPr>
            </w:pPr>
            <w:r w:rsidRPr="00157B10">
              <w:rPr>
                <w:b/>
              </w:rPr>
              <w:t>2,125</w:t>
            </w:r>
          </w:p>
        </w:tc>
      </w:tr>
    </w:tbl>
    <w:p w:rsidR="008B2560" w:rsidRDefault="008B2560" w:rsidP="00E125B0">
      <w:pPr>
        <w:pStyle w:val="Sourcenotetext"/>
      </w:pPr>
      <w:r w:rsidRPr="00326C03">
        <w:t>* Projected cash flows are based on pro-rata of the full year projections from 1 July 2014 using the long term assumptions adopted for this Report.</w:t>
      </w:r>
    </w:p>
    <w:p w:rsidR="000A559D" w:rsidRDefault="00250368" w:rsidP="000A559D">
      <w:pPr>
        <w:pStyle w:val="Numberedpara1stindent"/>
        <w:spacing w:after="240"/>
      </w:pPr>
      <w:r>
        <w:br w:type="page"/>
      </w:r>
      <w:r w:rsidR="008B2560" w:rsidRPr="00664B77">
        <w:lastRenderedPageBreak/>
        <w:t xml:space="preserve"> The immediate impact of the increased number of exits is a reduction in net appropriations from CRF due to the increased payments of members’ funded accounts to the CRF. Following this, outlays would increase due to members receiving pension benefits earlier than projected. The long term impact on outlays is a slight reduction due to members ceasing to accrue benefits earlier than projected.</w:t>
      </w:r>
    </w:p>
    <w:p w:rsidR="00250368" w:rsidRDefault="008B2560" w:rsidP="000A559D">
      <w:pPr>
        <w:pStyle w:val="Numberedpara1stindent"/>
        <w:spacing w:after="240"/>
      </w:pPr>
      <w:r w:rsidRPr="000A559D">
        <w:t>The overall impact on unfunded liabilities is not</w:t>
      </w:r>
      <w:r>
        <w:t xml:space="preserve"> expected to be material, due to the offsetting changes to the outlays described above.</w:t>
      </w:r>
    </w:p>
    <w:p w:rsidR="0064528E" w:rsidRPr="00927BEC" w:rsidRDefault="00250368" w:rsidP="00250368">
      <w:pPr>
        <w:pStyle w:val="Numberedpara1stindent"/>
        <w:numPr>
          <w:ilvl w:val="0"/>
          <w:numId w:val="0"/>
        </w:numPr>
        <w:spacing w:after="240"/>
        <w:ind w:left="567"/>
      </w:pPr>
      <w:r>
        <w:br w:type="page"/>
      </w:r>
    </w:p>
    <w:p w:rsidR="005729B5" w:rsidRDefault="005729B5" w:rsidP="0011465D">
      <w:pPr>
        <w:pStyle w:val="Heading2"/>
        <w:tabs>
          <w:tab w:val="clear" w:pos="567"/>
        </w:tabs>
        <w:spacing w:after="720"/>
        <w:rPr>
          <w:noProof/>
          <w:lang w:eastAsia="en-AU"/>
        </w:rPr>
      </w:pPr>
      <w:bookmarkStart w:id="12" w:name="_Toc422302162"/>
      <w:r w:rsidRPr="00927BEC">
        <w:rPr>
          <w:noProof/>
          <w:lang w:eastAsia="en-AU"/>
        </w:rPr>
        <w:lastRenderedPageBreak/>
        <w:t>Notional Employer Contribution Rates</w:t>
      </w:r>
      <w:bookmarkEnd w:id="12"/>
    </w:p>
    <w:p w:rsidR="005729B5" w:rsidRDefault="005729B5" w:rsidP="005729B5">
      <w:pPr>
        <w:pStyle w:val="Numberedpara1stindent"/>
        <w:spacing w:after="240"/>
        <w:rPr>
          <w:lang w:eastAsia="en-AU"/>
        </w:rPr>
      </w:pPr>
      <w:r>
        <w:rPr>
          <w:lang w:eastAsia="en-AU"/>
        </w:rPr>
        <w:t xml:space="preserve">The Notional Employer Contribution Rates (NECRs) represent the estimated contribution rates that would be required to fund the benefits accruing to contributors over the next three years (from 1 July 2014 to 30 June 2017) based on current projections – that is, if the PSS and CSS schemes were fully funded at the valuation date and contributions were made at their respective NECRs, then the liability for contributors would be expected to be fully funded at the end of the period. </w:t>
      </w:r>
    </w:p>
    <w:p w:rsidR="00F1023F" w:rsidRDefault="00E55C18" w:rsidP="005729B5">
      <w:pPr>
        <w:pStyle w:val="Numberedpara1stindent"/>
        <w:spacing w:after="240"/>
        <w:rPr>
          <w:lang w:eastAsia="en-AU"/>
        </w:rPr>
      </w:pPr>
      <w:r w:rsidRPr="00157B01">
        <w:t xml:space="preserve">The NECRs disclosed in this Report are determined using long term assumptions as these rates are notional in nature.  These assumptions may differ from current settings – for example the assumed 4 per cent salary growth rate is different </w:t>
      </w:r>
      <w:r>
        <w:t>to the Commonwealth Government’s stated intention to keep average annual wage rises across the public service to 1.5 per cent or less over the next three years, as outlined in the 2014-15 Mid-Year Economic and Fiscal Outlook</w:t>
      </w:r>
      <w:r w:rsidR="00F1023F">
        <w:t>.</w:t>
      </w:r>
    </w:p>
    <w:p w:rsidR="005729B5" w:rsidRDefault="005729B5" w:rsidP="005729B5">
      <w:pPr>
        <w:pStyle w:val="Numberedpara1stindent"/>
        <w:spacing w:after="240"/>
        <w:rPr>
          <w:lang w:eastAsia="en-AU"/>
        </w:rPr>
      </w:pPr>
      <w:r>
        <w:rPr>
          <w:lang w:eastAsia="en-AU"/>
        </w:rPr>
        <w:t>Only the productivity components of the NECRs are actually paid by the employers to the PSS and CSS schemes and are invested in actual assets by the Trustee. The non-productivity components of the NECRs are notional in nature and no such employer contributions are paid to the schemes.</w:t>
      </w:r>
    </w:p>
    <w:p w:rsidR="00F1023F" w:rsidRDefault="005729B5" w:rsidP="005729B5">
      <w:pPr>
        <w:pStyle w:val="Numberedpara1stindent"/>
        <w:spacing w:after="240"/>
        <w:rPr>
          <w:lang w:eastAsia="en-AU"/>
        </w:rPr>
      </w:pPr>
      <w:r>
        <w:rPr>
          <w:lang w:eastAsia="en-AU"/>
        </w:rPr>
        <w:t>The calculation of the NECR takes into account (by offsetting the cost of benefits accruing for the purposes of the calculation) any additional lump sums paid in the previous three years under the Agency Assessment Framework, under which agencies pay additional lump sums for employees with large salary increases. The Agency Assessment adjustment to NECR is 0.3% for the PSS and 0.1% for the CSS.</w:t>
      </w:r>
    </w:p>
    <w:p w:rsidR="00241DF9" w:rsidRDefault="00F1023F" w:rsidP="00241DF9">
      <w:pPr>
        <w:pStyle w:val="Numberedpara1stindent"/>
        <w:spacing w:after="120"/>
        <w:rPr>
          <w:lang w:eastAsia="en-AU"/>
        </w:rPr>
      </w:pPr>
      <w:r>
        <w:rPr>
          <w:lang w:eastAsia="en-AU"/>
        </w:rPr>
        <w:br w:type="page"/>
      </w:r>
      <w:r w:rsidR="005729B5">
        <w:rPr>
          <w:lang w:eastAsia="en-AU"/>
        </w:rPr>
        <w:lastRenderedPageBreak/>
        <w:t>The NECRs for the two schemes (including allowances for contributions towards the productivity superannuation benefit) are summarised in the following table:</w:t>
      </w:r>
    </w:p>
    <w:p w:rsidR="00241DF9" w:rsidRDefault="00241DF9" w:rsidP="00241DF9">
      <w:pPr>
        <w:pStyle w:val="Heading4nonumbers"/>
        <w:rPr>
          <w:lang w:eastAsia="en-AU"/>
        </w:rPr>
      </w:pPr>
      <w:r w:rsidRPr="006E6EA4">
        <w:t xml:space="preserve">Notional Employer Contribution Rates </w:t>
      </w:r>
      <w:r w:rsidRPr="006E6EA4">
        <w:br/>
        <w:t>(% of Superannuation Salaries)</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245"/>
        <w:gridCol w:w="1895"/>
        <w:gridCol w:w="1895"/>
        <w:gridCol w:w="1895"/>
      </w:tblGrid>
      <w:tr w:rsidR="005729B5" w:rsidRPr="006E6EA4" w:rsidTr="008B2560">
        <w:tc>
          <w:tcPr>
            <w:tcW w:w="2245" w:type="dxa"/>
            <w:shd w:val="clear" w:color="auto" w:fill="DDF3FA"/>
          </w:tcPr>
          <w:p w:rsidR="005729B5" w:rsidRPr="00241DF9" w:rsidRDefault="005729B5" w:rsidP="00241DF9">
            <w:pPr>
              <w:pStyle w:val="Tablecolumnheading"/>
            </w:pPr>
            <w:r w:rsidRPr="00241DF9">
              <w:t>Report as at</w:t>
            </w:r>
          </w:p>
        </w:tc>
        <w:tc>
          <w:tcPr>
            <w:tcW w:w="1895" w:type="dxa"/>
            <w:shd w:val="clear" w:color="auto" w:fill="DDF3FA"/>
          </w:tcPr>
          <w:p w:rsidR="005729B5" w:rsidRPr="00241DF9" w:rsidRDefault="005729B5" w:rsidP="00241DF9">
            <w:pPr>
              <w:pStyle w:val="Tablecolumnheading"/>
            </w:pPr>
            <w:r w:rsidRPr="00241DF9">
              <w:t>PSS</w:t>
            </w:r>
          </w:p>
        </w:tc>
        <w:tc>
          <w:tcPr>
            <w:tcW w:w="1895" w:type="dxa"/>
            <w:shd w:val="clear" w:color="auto" w:fill="DDF3FA"/>
          </w:tcPr>
          <w:p w:rsidR="005729B5" w:rsidRPr="00241DF9" w:rsidRDefault="005729B5" w:rsidP="00241DF9">
            <w:pPr>
              <w:pStyle w:val="Tablecolumnheading"/>
            </w:pPr>
            <w:r w:rsidRPr="00241DF9">
              <w:t>CSS</w:t>
            </w:r>
          </w:p>
        </w:tc>
        <w:tc>
          <w:tcPr>
            <w:tcW w:w="1895" w:type="dxa"/>
            <w:shd w:val="clear" w:color="auto" w:fill="DDF3FA"/>
          </w:tcPr>
          <w:p w:rsidR="005729B5" w:rsidRPr="00241DF9" w:rsidRDefault="005729B5" w:rsidP="00241DF9">
            <w:pPr>
              <w:pStyle w:val="Tablecolumnheading"/>
            </w:pPr>
            <w:r w:rsidRPr="00241DF9">
              <w:t>Combined</w:t>
            </w:r>
          </w:p>
        </w:tc>
      </w:tr>
      <w:tr w:rsidR="005729B5" w:rsidRPr="006E6EA4" w:rsidTr="008B2560">
        <w:tc>
          <w:tcPr>
            <w:tcW w:w="2245" w:type="dxa"/>
          </w:tcPr>
          <w:p w:rsidR="005729B5" w:rsidRPr="006E6EA4" w:rsidRDefault="005729B5" w:rsidP="00241DF9">
            <w:pPr>
              <w:pStyle w:val="Tablebodytext"/>
            </w:pPr>
            <w:r w:rsidRPr="006E6EA4">
              <w:t>30 June 2002*</w:t>
            </w:r>
          </w:p>
        </w:tc>
        <w:tc>
          <w:tcPr>
            <w:tcW w:w="1895" w:type="dxa"/>
          </w:tcPr>
          <w:p w:rsidR="005729B5" w:rsidRPr="006E6EA4" w:rsidRDefault="005729B5" w:rsidP="00241DF9">
            <w:pPr>
              <w:pStyle w:val="Tablebodytext"/>
            </w:pPr>
            <w:r w:rsidRPr="006E6EA4">
              <w:t>15.4</w:t>
            </w:r>
          </w:p>
        </w:tc>
        <w:tc>
          <w:tcPr>
            <w:tcW w:w="1895" w:type="dxa"/>
          </w:tcPr>
          <w:p w:rsidR="005729B5" w:rsidRPr="006E6EA4" w:rsidRDefault="005729B5" w:rsidP="00241DF9">
            <w:pPr>
              <w:pStyle w:val="Tablebodytext"/>
            </w:pPr>
            <w:r w:rsidRPr="006E6EA4">
              <w:t>28.3</w:t>
            </w:r>
          </w:p>
        </w:tc>
        <w:tc>
          <w:tcPr>
            <w:tcW w:w="1895" w:type="dxa"/>
          </w:tcPr>
          <w:p w:rsidR="005729B5" w:rsidRPr="006E6EA4" w:rsidRDefault="005729B5" w:rsidP="00241DF9">
            <w:pPr>
              <w:pStyle w:val="Tablebodytext"/>
            </w:pPr>
            <w:r w:rsidRPr="006E6EA4">
              <w:t>19.3</w:t>
            </w:r>
          </w:p>
        </w:tc>
      </w:tr>
      <w:tr w:rsidR="005729B5" w:rsidRPr="006E6EA4" w:rsidTr="008B2560">
        <w:tc>
          <w:tcPr>
            <w:tcW w:w="2245" w:type="dxa"/>
          </w:tcPr>
          <w:p w:rsidR="005729B5" w:rsidRPr="006E6EA4" w:rsidRDefault="005729B5" w:rsidP="00241DF9">
            <w:pPr>
              <w:pStyle w:val="Tablebodytext"/>
            </w:pPr>
            <w:r w:rsidRPr="006E6EA4">
              <w:t>30 June 2005*</w:t>
            </w:r>
          </w:p>
        </w:tc>
        <w:tc>
          <w:tcPr>
            <w:tcW w:w="1895" w:type="dxa"/>
          </w:tcPr>
          <w:p w:rsidR="005729B5" w:rsidRPr="006E6EA4" w:rsidRDefault="005729B5" w:rsidP="00241DF9">
            <w:pPr>
              <w:pStyle w:val="Tablebodytext"/>
            </w:pPr>
            <w:r w:rsidRPr="006E6EA4">
              <w:t>15.6</w:t>
            </w:r>
          </w:p>
        </w:tc>
        <w:tc>
          <w:tcPr>
            <w:tcW w:w="1895" w:type="dxa"/>
          </w:tcPr>
          <w:p w:rsidR="005729B5" w:rsidRPr="006E6EA4" w:rsidRDefault="005729B5" w:rsidP="00241DF9">
            <w:pPr>
              <w:pStyle w:val="Tablebodytext"/>
            </w:pPr>
            <w:r w:rsidRPr="006E6EA4">
              <w:t>28.2</w:t>
            </w:r>
          </w:p>
        </w:tc>
        <w:tc>
          <w:tcPr>
            <w:tcW w:w="1895" w:type="dxa"/>
          </w:tcPr>
          <w:p w:rsidR="005729B5" w:rsidRPr="006E6EA4" w:rsidRDefault="005729B5" w:rsidP="00241DF9">
            <w:pPr>
              <w:pStyle w:val="Tablebodytext"/>
            </w:pPr>
            <w:r w:rsidRPr="006E6EA4">
              <w:t>18.3</w:t>
            </w:r>
          </w:p>
        </w:tc>
      </w:tr>
      <w:tr w:rsidR="005729B5" w:rsidRPr="006E6EA4" w:rsidTr="008B2560">
        <w:tc>
          <w:tcPr>
            <w:tcW w:w="2245" w:type="dxa"/>
          </w:tcPr>
          <w:p w:rsidR="005729B5" w:rsidRPr="006E6EA4" w:rsidRDefault="005729B5" w:rsidP="00241DF9">
            <w:pPr>
              <w:pStyle w:val="Tablebodytext"/>
            </w:pPr>
            <w:r w:rsidRPr="006E6EA4">
              <w:t>30 June 2008</w:t>
            </w:r>
          </w:p>
        </w:tc>
        <w:tc>
          <w:tcPr>
            <w:tcW w:w="1895" w:type="dxa"/>
          </w:tcPr>
          <w:p w:rsidR="005729B5" w:rsidRPr="006E6EA4" w:rsidRDefault="005729B5" w:rsidP="00241DF9">
            <w:pPr>
              <w:pStyle w:val="Tablebodytext"/>
            </w:pPr>
            <w:r w:rsidRPr="006E6EA4">
              <w:t>16.3</w:t>
            </w:r>
          </w:p>
        </w:tc>
        <w:tc>
          <w:tcPr>
            <w:tcW w:w="1895" w:type="dxa"/>
          </w:tcPr>
          <w:p w:rsidR="005729B5" w:rsidRPr="006E6EA4" w:rsidRDefault="005729B5" w:rsidP="00241DF9">
            <w:pPr>
              <w:pStyle w:val="Tablebodytext"/>
            </w:pPr>
            <w:r w:rsidRPr="006E6EA4">
              <w:t>21.4</w:t>
            </w:r>
          </w:p>
        </w:tc>
        <w:tc>
          <w:tcPr>
            <w:tcW w:w="1895" w:type="dxa"/>
          </w:tcPr>
          <w:p w:rsidR="005729B5" w:rsidRPr="006E6EA4" w:rsidRDefault="005729B5" w:rsidP="00241DF9">
            <w:pPr>
              <w:pStyle w:val="Tablebodytext"/>
            </w:pPr>
            <w:r w:rsidRPr="006E6EA4">
              <w:t>17.1</w:t>
            </w:r>
          </w:p>
        </w:tc>
      </w:tr>
      <w:tr w:rsidR="005729B5" w:rsidRPr="006E6EA4" w:rsidTr="008B2560">
        <w:tc>
          <w:tcPr>
            <w:tcW w:w="2245" w:type="dxa"/>
          </w:tcPr>
          <w:p w:rsidR="005729B5" w:rsidRPr="006E6EA4" w:rsidRDefault="005729B5" w:rsidP="00241DF9">
            <w:pPr>
              <w:pStyle w:val="Tablebodytext"/>
            </w:pPr>
            <w:r w:rsidRPr="006E6EA4">
              <w:t>30 June 2011</w:t>
            </w:r>
          </w:p>
        </w:tc>
        <w:tc>
          <w:tcPr>
            <w:tcW w:w="1895" w:type="dxa"/>
          </w:tcPr>
          <w:p w:rsidR="005729B5" w:rsidRPr="006E6EA4" w:rsidRDefault="005729B5" w:rsidP="00241DF9">
            <w:pPr>
              <w:pStyle w:val="Tablebodytext"/>
            </w:pPr>
            <w:r w:rsidRPr="006E6EA4">
              <w:t>18.8</w:t>
            </w:r>
          </w:p>
        </w:tc>
        <w:tc>
          <w:tcPr>
            <w:tcW w:w="1895" w:type="dxa"/>
          </w:tcPr>
          <w:p w:rsidR="005729B5" w:rsidRPr="006E6EA4" w:rsidRDefault="005729B5" w:rsidP="00241DF9">
            <w:pPr>
              <w:pStyle w:val="Tablebodytext"/>
            </w:pPr>
            <w:r w:rsidRPr="006E6EA4">
              <w:t>20.3</w:t>
            </w:r>
          </w:p>
        </w:tc>
        <w:tc>
          <w:tcPr>
            <w:tcW w:w="1895" w:type="dxa"/>
          </w:tcPr>
          <w:p w:rsidR="005729B5" w:rsidRPr="006E6EA4" w:rsidRDefault="005729B5" w:rsidP="00241DF9">
            <w:pPr>
              <w:pStyle w:val="Tablebodytext"/>
            </w:pPr>
            <w:r w:rsidRPr="006E6EA4">
              <w:t>19.0</w:t>
            </w:r>
          </w:p>
        </w:tc>
      </w:tr>
      <w:tr w:rsidR="005729B5" w:rsidRPr="006E6EA4" w:rsidTr="008B2560">
        <w:tc>
          <w:tcPr>
            <w:tcW w:w="2245" w:type="dxa"/>
            <w:tcBorders>
              <w:bottom w:val="single" w:sz="2" w:space="0" w:color="A7B4BE"/>
            </w:tcBorders>
          </w:tcPr>
          <w:p w:rsidR="005729B5" w:rsidRPr="006E6EA4" w:rsidRDefault="005729B5" w:rsidP="00241DF9">
            <w:pPr>
              <w:pStyle w:val="Tablebodytext"/>
            </w:pPr>
            <w:r w:rsidRPr="006E6EA4">
              <w:t>30 June 2014^</w:t>
            </w:r>
          </w:p>
        </w:tc>
        <w:tc>
          <w:tcPr>
            <w:tcW w:w="1895" w:type="dxa"/>
            <w:tcBorders>
              <w:bottom w:val="single" w:sz="2" w:space="0" w:color="A7B4BE"/>
            </w:tcBorders>
          </w:tcPr>
          <w:p w:rsidR="005729B5" w:rsidRPr="006E6EA4" w:rsidRDefault="005729B5" w:rsidP="00241DF9">
            <w:pPr>
              <w:pStyle w:val="Tablebodytext"/>
            </w:pPr>
            <w:r w:rsidRPr="006E6EA4">
              <w:t>22.6</w:t>
            </w:r>
          </w:p>
        </w:tc>
        <w:tc>
          <w:tcPr>
            <w:tcW w:w="1895" w:type="dxa"/>
            <w:tcBorders>
              <w:bottom w:val="single" w:sz="2" w:space="0" w:color="A7B4BE"/>
            </w:tcBorders>
          </w:tcPr>
          <w:p w:rsidR="005729B5" w:rsidRPr="006E6EA4" w:rsidRDefault="005729B5" w:rsidP="00241DF9">
            <w:pPr>
              <w:pStyle w:val="Tablebodytext"/>
            </w:pPr>
            <w:r w:rsidRPr="006E6EA4">
              <w:t>18.3</w:t>
            </w:r>
          </w:p>
        </w:tc>
        <w:tc>
          <w:tcPr>
            <w:tcW w:w="1895" w:type="dxa"/>
            <w:tcBorders>
              <w:bottom w:val="single" w:sz="2" w:space="0" w:color="A7B4BE"/>
            </w:tcBorders>
          </w:tcPr>
          <w:p w:rsidR="005729B5" w:rsidRPr="006E6EA4" w:rsidRDefault="005729B5" w:rsidP="00241DF9">
            <w:pPr>
              <w:pStyle w:val="Tablebodytext"/>
            </w:pPr>
            <w:r w:rsidRPr="006E6EA4">
              <w:t>22.1</w:t>
            </w:r>
          </w:p>
        </w:tc>
      </w:tr>
      <w:tr w:rsidR="005729B5" w:rsidRPr="006E6EA4" w:rsidTr="008B2560">
        <w:tc>
          <w:tcPr>
            <w:tcW w:w="7930" w:type="dxa"/>
            <w:gridSpan w:val="4"/>
            <w:tcBorders>
              <w:bottom w:val="nil"/>
            </w:tcBorders>
          </w:tcPr>
          <w:p w:rsidR="005729B5" w:rsidRPr="006E6EA4" w:rsidRDefault="005729B5" w:rsidP="00E125B0">
            <w:pPr>
              <w:pStyle w:val="Sourcenotetext"/>
            </w:pPr>
            <w:r w:rsidRPr="006E6EA4">
              <w:t>* Old methodology.  The methodology was changed in the 2008 Long Term Cost Report to bring calculations more in line with the approach used in Australian Accounting Standards and the Budget process.  Please refer to the 2008 Long Term Cost Report for further details of the change.</w:t>
            </w:r>
          </w:p>
        </w:tc>
      </w:tr>
      <w:tr w:rsidR="005729B5" w:rsidRPr="006E6EA4" w:rsidTr="008B2560">
        <w:tc>
          <w:tcPr>
            <w:tcW w:w="7930" w:type="dxa"/>
            <w:gridSpan w:val="4"/>
            <w:tcBorders>
              <w:top w:val="nil"/>
              <w:bottom w:val="nil"/>
            </w:tcBorders>
          </w:tcPr>
          <w:p w:rsidR="005729B5" w:rsidRPr="006E6EA4" w:rsidRDefault="005729B5" w:rsidP="00E125B0">
            <w:pPr>
              <w:pStyle w:val="Sourcenotetext"/>
            </w:pPr>
            <w:r w:rsidRPr="006E6EA4">
              <w:t>^ The 2014 NECR have been expressed as a percentage of full time equivalent salaries for consistency with NECRs published in previous LTCR reports. If the 2014 NECR were to be expressed as actual salaries (allowing for part-timers) the 2014 NECR would be 23.6% for PSS and 18.5% for CSS.</w:t>
            </w:r>
          </w:p>
        </w:tc>
      </w:tr>
      <w:tr w:rsidR="005729B5" w:rsidRPr="006E6EA4" w:rsidTr="008B2560">
        <w:tc>
          <w:tcPr>
            <w:tcW w:w="7930" w:type="dxa"/>
            <w:gridSpan w:val="4"/>
            <w:tcBorders>
              <w:top w:val="nil"/>
              <w:bottom w:val="nil"/>
            </w:tcBorders>
          </w:tcPr>
          <w:p w:rsidR="005729B5" w:rsidRPr="006E6EA4" w:rsidRDefault="005729B5" w:rsidP="00E125B0">
            <w:pPr>
              <w:pStyle w:val="Sourcenotetext"/>
            </w:pPr>
            <w:r w:rsidRPr="006E6EA4">
              <w:t>Note 1: Productivity contributions of approximately 3% were included in the 2002 to 2011 NECRs.  Productivity contributions of approximately 2.6% for PSS and 2.4% for CSS are included in the 2014 NECRs reflecting more accurate allowance for productivity contributions based on salary thresholds.</w:t>
            </w:r>
          </w:p>
        </w:tc>
      </w:tr>
      <w:tr w:rsidR="005729B5" w:rsidRPr="006E6EA4" w:rsidTr="008B2560">
        <w:tc>
          <w:tcPr>
            <w:tcW w:w="7930" w:type="dxa"/>
            <w:gridSpan w:val="4"/>
            <w:tcBorders>
              <w:top w:val="nil"/>
              <w:bottom w:val="nil"/>
            </w:tcBorders>
          </w:tcPr>
          <w:p w:rsidR="005729B5" w:rsidRPr="006E6EA4" w:rsidRDefault="005729B5" w:rsidP="00E125B0">
            <w:pPr>
              <w:pStyle w:val="Sourcenotetext"/>
            </w:pPr>
            <w:r w:rsidRPr="006E6EA4">
              <w:t>Note 2: The combined rates are weighted average rates based on the superannuation salaries of the members of the two schemes.</w:t>
            </w:r>
          </w:p>
        </w:tc>
      </w:tr>
    </w:tbl>
    <w:p w:rsidR="005729B5" w:rsidRDefault="005729B5" w:rsidP="005729B5">
      <w:pPr>
        <w:pStyle w:val="Numberedpara1stindent"/>
        <w:spacing w:after="240"/>
        <w:rPr>
          <w:lang w:eastAsia="en-AU"/>
        </w:rPr>
      </w:pPr>
      <w:r>
        <w:rPr>
          <w:lang w:eastAsia="en-AU"/>
        </w:rPr>
        <w:t>The contribution rate for the PSS as at 30 June 2014 has increased by 3.8 percentage points of superannuation salaries compared to the rate as at 30 June 2011.  The contribution rate for the CSS as at 30 June 2014 has decreased by 2.0 percentage points compared to the rate as at 30 June 2011.</w:t>
      </w:r>
    </w:p>
    <w:p w:rsidR="005729B5" w:rsidRDefault="005729B5" w:rsidP="005729B5">
      <w:pPr>
        <w:pStyle w:val="Numberedpara1stindent"/>
        <w:spacing w:after="240"/>
        <w:rPr>
          <w:lang w:eastAsia="en-AU"/>
        </w:rPr>
      </w:pPr>
      <w:r>
        <w:rPr>
          <w:lang w:eastAsia="en-AU"/>
        </w:rPr>
        <w:t>The significant increase in the NECR for PSS is primarily due to changes in assumptions, based on observed member behaviour, relating to:</w:t>
      </w:r>
    </w:p>
    <w:p w:rsidR="005729B5" w:rsidRDefault="005729B5" w:rsidP="003F71DA">
      <w:pPr>
        <w:pStyle w:val="Numberedpara2ndindent"/>
        <w:spacing w:after="120"/>
      </w:pPr>
      <w:r>
        <w:t>Increase in the proportion of PSS benefits taken as a pension from 70% to 80%.  Under the assumptions made in this actuarial investigation, a member electing to take their benefit as a pension leads to a more valuable benefit, and</w:t>
      </w:r>
    </w:p>
    <w:p w:rsidR="005729B5" w:rsidRDefault="005729B5" w:rsidP="005729B5">
      <w:pPr>
        <w:pStyle w:val="Numberedpara2ndindent"/>
        <w:spacing w:after="240"/>
      </w:pPr>
      <w:r>
        <w:t>Introducing age-based member contribution rates reflecting the observation that as members age they increase their member contribution rates.  Higher member contribution rates lead to a higher accrual of benefits and therefore more valuable benefits.</w:t>
      </w:r>
    </w:p>
    <w:p w:rsidR="005729B5" w:rsidRPr="00927BEC" w:rsidRDefault="005729B5" w:rsidP="005729B5">
      <w:pPr>
        <w:pStyle w:val="Numberedpara1stindent"/>
        <w:spacing w:after="240"/>
        <w:rPr>
          <w:lang w:eastAsia="en-AU"/>
        </w:rPr>
      </w:pPr>
      <w:r>
        <w:rPr>
          <w:lang w:eastAsia="en-AU"/>
        </w:rPr>
        <w:t>The decrease in the NECR for the CSS is due to the nature of the benefit design whereby the rate of benefit accrual declines with length of membership. The more accurate allowance for productivity contributions has also reduced the NECR.</w:t>
      </w:r>
    </w:p>
    <w:p w:rsidR="005729B5" w:rsidRDefault="005729B5" w:rsidP="0011465D">
      <w:pPr>
        <w:pStyle w:val="Heading2"/>
        <w:tabs>
          <w:tab w:val="clear" w:pos="567"/>
        </w:tabs>
        <w:spacing w:after="720"/>
        <w:rPr>
          <w:lang w:eastAsia="en-AU"/>
        </w:rPr>
      </w:pPr>
      <w:r>
        <w:rPr>
          <w:lang w:eastAsia="en-AU"/>
        </w:rPr>
        <w:br w:type="page"/>
      </w:r>
      <w:r w:rsidRPr="0051723D">
        <w:rPr>
          <w:lang w:eastAsia="en-AU"/>
        </w:rPr>
        <w:lastRenderedPageBreak/>
        <w:tab/>
      </w:r>
      <w:bookmarkStart w:id="13" w:name="_Toc422302163"/>
      <w:r w:rsidRPr="0051723D">
        <w:rPr>
          <w:lang w:eastAsia="en-AU"/>
        </w:rPr>
        <w:t>Sensitivity Analysis</w:t>
      </w:r>
      <w:bookmarkEnd w:id="13"/>
    </w:p>
    <w:p w:rsidR="005729B5" w:rsidRPr="007E3448" w:rsidRDefault="005729B5" w:rsidP="00241DF9">
      <w:pPr>
        <w:pStyle w:val="Heading3nonumbers"/>
      </w:pPr>
      <w:r w:rsidRPr="007E3448">
        <w:t>Economic Assumptions</w:t>
      </w:r>
    </w:p>
    <w:p w:rsidR="005729B5" w:rsidRDefault="005729B5" w:rsidP="003F639C">
      <w:pPr>
        <w:pStyle w:val="Numberedpara1stindent"/>
        <w:spacing w:after="120"/>
        <w:rPr>
          <w:lang w:eastAsia="en-AU"/>
        </w:rPr>
      </w:pPr>
      <w:r>
        <w:rPr>
          <w:lang w:eastAsia="en-AU"/>
        </w:rPr>
        <w:t>The sensitivity of the estimated Unfunded Liability as at 30 June 2014 and total projected outlays to the key economic assumptions were tested by measuring the effect on the Unfunded Liability and total projected outlays of varying each key assumption in turn by plus or minus 1% whilst keeping all other assumptions unchanged. The alternative assumptions used were:</w:t>
      </w:r>
    </w:p>
    <w:p w:rsidR="005729B5" w:rsidRDefault="005729B5" w:rsidP="0000300E">
      <w:pPr>
        <w:pStyle w:val="Numberedpara2ndindent"/>
      </w:pPr>
      <w:r>
        <w:t>Investment Return / Discount Rate plus 1%; increased to 7% per annum (nominal).</w:t>
      </w:r>
    </w:p>
    <w:p w:rsidR="005729B5" w:rsidRDefault="005729B5" w:rsidP="003F639C">
      <w:pPr>
        <w:pStyle w:val="Numberedpara2ndindent"/>
        <w:spacing w:after="120"/>
      </w:pPr>
      <w:r>
        <w:t>Investment Return / Discount Rate minus 1%; reduced to 5% per annum (nominal).</w:t>
      </w:r>
    </w:p>
    <w:p w:rsidR="005729B5" w:rsidRDefault="005729B5" w:rsidP="0000300E">
      <w:pPr>
        <w:pStyle w:val="Numberedpara2ndindent"/>
      </w:pPr>
      <w:r>
        <w:t>General Salary Increases plus 1%; increased to 5% per annum (nominal).</w:t>
      </w:r>
    </w:p>
    <w:p w:rsidR="005729B5" w:rsidRDefault="005729B5" w:rsidP="003F639C">
      <w:pPr>
        <w:pStyle w:val="Numberedpara2ndindent"/>
        <w:spacing w:after="120"/>
      </w:pPr>
      <w:r>
        <w:t>General Salary Increases minus 1%; reduced to 3% per annum (nominal).</w:t>
      </w:r>
    </w:p>
    <w:p w:rsidR="005729B5" w:rsidRDefault="005729B5" w:rsidP="0000300E">
      <w:pPr>
        <w:pStyle w:val="Numberedpara2ndindent"/>
      </w:pPr>
      <w:r>
        <w:t>CPI Increases plus 1%; increased to 3.5% per annum.</w:t>
      </w:r>
    </w:p>
    <w:p w:rsidR="005729B5" w:rsidRDefault="005729B5" w:rsidP="003F639C">
      <w:pPr>
        <w:pStyle w:val="Numberedpara2ndindent"/>
        <w:spacing w:after="120"/>
      </w:pPr>
      <w:r>
        <w:t>CPI Increases minus 1%; reduced to 1.5% per annum.</w:t>
      </w:r>
    </w:p>
    <w:p w:rsidR="00D41AAC" w:rsidRDefault="005729B5" w:rsidP="00D41AAC">
      <w:pPr>
        <w:pStyle w:val="Numberedpara1stindent"/>
        <w:numPr>
          <w:ilvl w:val="0"/>
          <w:numId w:val="0"/>
        </w:numPr>
        <w:spacing w:after="240"/>
        <w:ind w:left="567"/>
        <w:rPr>
          <w:lang w:eastAsia="en-AU"/>
        </w:rPr>
      </w:pPr>
      <w:r>
        <w:rPr>
          <w:lang w:eastAsia="en-AU"/>
        </w:rPr>
        <w:t>For the CPI analysis we have assumed that the nominal rates of return remain unchanged i.e. the nominal rate of Investment Return / Discount Rate remains at 6.0% per annum and the nominal rate of General Salary Increases remains at 4.0% per annum.</w:t>
      </w:r>
    </w:p>
    <w:p w:rsidR="005729B5" w:rsidRPr="007E3448" w:rsidRDefault="005729B5" w:rsidP="00241DF9">
      <w:pPr>
        <w:pStyle w:val="Heading4nonumbers"/>
      </w:pPr>
      <w:r w:rsidRPr="007E3448">
        <w:t>Unfunded Liability</w:t>
      </w:r>
    </w:p>
    <w:p w:rsidR="005729B5" w:rsidRDefault="005729B5" w:rsidP="00266A7E">
      <w:pPr>
        <w:pStyle w:val="Numberedpara1stindent"/>
        <w:spacing w:after="120"/>
        <w:rPr>
          <w:lang w:eastAsia="en-AU"/>
        </w:rPr>
      </w:pPr>
      <w:r>
        <w:rPr>
          <w:lang w:eastAsia="en-AU"/>
        </w:rPr>
        <w:t>The table below shows the Unfunded Liability of the PSS and CSS at 30 June 2014 under each of the above alternative assumptions.</w:t>
      </w:r>
    </w:p>
    <w:p w:rsidR="00241DF9" w:rsidRDefault="00241DF9" w:rsidP="00241DF9">
      <w:pPr>
        <w:pStyle w:val="Heading4nonumbers"/>
        <w:rPr>
          <w:lang w:eastAsia="en-AU"/>
        </w:rPr>
      </w:pPr>
      <w:r w:rsidRPr="006E6EA4">
        <w:t>Sensitivity of Unfunded Liability to Key Economic Assumptions</w:t>
      </w:r>
    </w:p>
    <w:tbl>
      <w:tblPr>
        <w:tblW w:w="8222" w:type="dxa"/>
        <w:tblBorders>
          <w:top w:val="single" w:sz="2" w:space="0" w:color="A7B4BE"/>
          <w:bottom w:val="single" w:sz="2" w:space="0" w:color="A7B4BE"/>
          <w:insideH w:val="single" w:sz="2" w:space="0" w:color="A7B4BE"/>
          <w:insideV w:val="single" w:sz="2" w:space="0" w:color="A7B4BE"/>
        </w:tblBorders>
        <w:tblLayout w:type="fixed"/>
        <w:tblCellMar>
          <w:left w:w="0" w:type="dxa"/>
          <w:right w:w="0" w:type="dxa"/>
        </w:tblCellMar>
        <w:tblLook w:val="04A0"/>
      </w:tblPr>
      <w:tblGrid>
        <w:gridCol w:w="1230"/>
        <w:gridCol w:w="613"/>
        <w:gridCol w:w="1134"/>
        <w:gridCol w:w="992"/>
        <w:gridCol w:w="1134"/>
        <w:gridCol w:w="993"/>
        <w:gridCol w:w="1134"/>
        <w:gridCol w:w="992"/>
      </w:tblGrid>
      <w:tr w:rsidR="005729B5" w:rsidRPr="006E6EA4" w:rsidTr="008B2560">
        <w:tc>
          <w:tcPr>
            <w:tcW w:w="1843" w:type="dxa"/>
            <w:gridSpan w:val="2"/>
            <w:vMerge w:val="restart"/>
            <w:shd w:val="clear" w:color="auto" w:fill="DDF3FA"/>
          </w:tcPr>
          <w:p w:rsidR="005729B5" w:rsidRPr="006E6EA4" w:rsidRDefault="005729B5" w:rsidP="008B2560">
            <w:pPr>
              <w:pStyle w:val="Tablecolumnheading"/>
              <w:spacing w:line="220" w:lineRule="atLeast"/>
              <w:rPr>
                <w:rFonts w:cs="Arial"/>
              </w:rPr>
            </w:pPr>
            <w:r w:rsidRPr="006E6EA4">
              <w:rPr>
                <w:rFonts w:cs="Arial"/>
              </w:rPr>
              <w:t>Assumption</w:t>
            </w:r>
          </w:p>
        </w:tc>
        <w:tc>
          <w:tcPr>
            <w:tcW w:w="2126" w:type="dxa"/>
            <w:gridSpan w:val="2"/>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PSS</w:t>
            </w:r>
          </w:p>
          <w:p w:rsidR="005729B5" w:rsidRPr="006E6EA4" w:rsidRDefault="005729B5" w:rsidP="008B2560">
            <w:pPr>
              <w:pStyle w:val="Tablecolumnheading"/>
              <w:spacing w:line="220" w:lineRule="atLeast"/>
              <w:jc w:val="center"/>
              <w:rPr>
                <w:rFonts w:cs="Arial"/>
              </w:rPr>
            </w:pPr>
            <w:r w:rsidRPr="006E6EA4">
              <w:rPr>
                <w:rFonts w:cs="Arial"/>
              </w:rPr>
              <w:t>($ billions)</w:t>
            </w:r>
          </w:p>
        </w:tc>
        <w:tc>
          <w:tcPr>
            <w:tcW w:w="2127" w:type="dxa"/>
            <w:gridSpan w:val="2"/>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CSS</w:t>
            </w:r>
          </w:p>
          <w:p w:rsidR="005729B5" w:rsidRPr="006E6EA4" w:rsidRDefault="005729B5" w:rsidP="008B2560">
            <w:pPr>
              <w:pStyle w:val="Tablecolumnheading"/>
              <w:spacing w:line="220" w:lineRule="atLeast"/>
              <w:jc w:val="center"/>
              <w:rPr>
                <w:rFonts w:cs="Arial"/>
              </w:rPr>
            </w:pPr>
            <w:r w:rsidRPr="006E6EA4">
              <w:rPr>
                <w:rFonts w:cs="Arial"/>
              </w:rPr>
              <w:t>($ billions)</w:t>
            </w:r>
          </w:p>
        </w:tc>
        <w:tc>
          <w:tcPr>
            <w:tcW w:w="2126" w:type="dxa"/>
            <w:gridSpan w:val="2"/>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Combined</w:t>
            </w:r>
          </w:p>
          <w:p w:rsidR="005729B5" w:rsidRPr="006E6EA4" w:rsidRDefault="005729B5" w:rsidP="008B2560">
            <w:pPr>
              <w:pStyle w:val="Tablecolumnheading"/>
              <w:spacing w:line="220" w:lineRule="atLeast"/>
              <w:jc w:val="center"/>
              <w:rPr>
                <w:rFonts w:cs="Arial"/>
              </w:rPr>
            </w:pPr>
            <w:r w:rsidRPr="006E6EA4">
              <w:rPr>
                <w:rFonts w:cs="Arial"/>
              </w:rPr>
              <w:t>($ billions)</w:t>
            </w:r>
          </w:p>
        </w:tc>
      </w:tr>
      <w:tr w:rsidR="005729B5" w:rsidRPr="006E6EA4" w:rsidTr="008B2560">
        <w:tc>
          <w:tcPr>
            <w:tcW w:w="1843" w:type="dxa"/>
            <w:gridSpan w:val="2"/>
            <w:vMerge/>
            <w:shd w:val="clear" w:color="auto" w:fill="DDF3FA"/>
          </w:tcPr>
          <w:p w:rsidR="005729B5" w:rsidRPr="006E6EA4" w:rsidRDefault="005729B5" w:rsidP="008B2560">
            <w:pPr>
              <w:pStyle w:val="Tablecolumnheading"/>
              <w:spacing w:line="220" w:lineRule="atLeast"/>
              <w:rPr>
                <w:rFonts w:cs="Arial"/>
              </w:rPr>
            </w:pPr>
          </w:p>
        </w:tc>
        <w:tc>
          <w:tcPr>
            <w:tcW w:w="1134"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UFL</w:t>
            </w:r>
          </w:p>
        </w:tc>
        <w:tc>
          <w:tcPr>
            <w:tcW w:w="992"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Change</w:t>
            </w:r>
          </w:p>
        </w:tc>
        <w:tc>
          <w:tcPr>
            <w:tcW w:w="1134"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UFL</w:t>
            </w:r>
          </w:p>
        </w:tc>
        <w:tc>
          <w:tcPr>
            <w:tcW w:w="993"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Change</w:t>
            </w:r>
          </w:p>
        </w:tc>
        <w:tc>
          <w:tcPr>
            <w:tcW w:w="1134"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UFL</w:t>
            </w:r>
          </w:p>
        </w:tc>
        <w:tc>
          <w:tcPr>
            <w:tcW w:w="992"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Change</w:t>
            </w:r>
          </w:p>
        </w:tc>
      </w:tr>
      <w:tr w:rsidR="005729B5" w:rsidRPr="006E6EA4" w:rsidTr="008B2560">
        <w:tc>
          <w:tcPr>
            <w:tcW w:w="1230" w:type="dxa"/>
          </w:tcPr>
          <w:p w:rsidR="005729B5" w:rsidRPr="00241DF9" w:rsidRDefault="005729B5" w:rsidP="00241DF9">
            <w:pPr>
              <w:pStyle w:val="Tablebodytext"/>
              <w:rPr>
                <w:b/>
              </w:rPr>
            </w:pPr>
            <w:r w:rsidRPr="00241DF9">
              <w:rPr>
                <w:b/>
              </w:rPr>
              <w:t>Valuation basis</w:t>
            </w:r>
          </w:p>
        </w:tc>
        <w:tc>
          <w:tcPr>
            <w:tcW w:w="613" w:type="dxa"/>
          </w:tcPr>
          <w:p w:rsidR="005729B5" w:rsidRPr="006E6EA4" w:rsidRDefault="005729B5" w:rsidP="00241DF9">
            <w:pPr>
              <w:pStyle w:val="Tablebodytext"/>
            </w:pPr>
          </w:p>
        </w:tc>
        <w:tc>
          <w:tcPr>
            <w:tcW w:w="1134" w:type="dxa"/>
            <w:vAlign w:val="center"/>
          </w:tcPr>
          <w:p w:rsidR="005729B5" w:rsidRPr="006E6EA4" w:rsidRDefault="005729B5" w:rsidP="00241DF9">
            <w:pPr>
              <w:pStyle w:val="Tablebodytext"/>
            </w:pPr>
            <w:r w:rsidRPr="006E6EA4">
              <w:t>46.9</w:t>
            </w:r>
          </w:p>
        </w:tc>
        <w:tc>
          <w:tcPr>
            <w:tcW w:w="992" w:type="dxa"/>
            <w:vAlign w:val="center"/>
          </w:tcPr>
          <w:p w:rsidR="005729B5" w:rsidRPr="006E6EA4" w:rsidRDefault="005729B5" w:rsidP="00241DF9">
            <w:pPr>
              <w:pStyle w:val="Tablebodytext"/>
            </w:pPr>
          </w:p>
        </w:tc>
        <w:tc>
          <w:tcPr>
            <w:tcW w:w="1134" w:type="dxa"/>
            <w:vAlign w:val="center"/>
          </w:tcPr>
          <w:p w:rsidR="005729B5" w:rsidRPr="006E6EA4" w:rsidRDefault="005729B5" w:rsidP="00241DF9">
            <w:pPr>
              <w:pStyle w:val="Tablebodytext"/>
            </w:pPr>
            <w:r w:rsidRPr="006E6EA4">
              <w:t>62.9</w:t>
            </w:r>
          </w:p>
        </w:tc>
        <w:tc>
          <w:tcPr>
            <w:tcW w:w="993" w:type="dxa"/>
            <w:vAlign w:val="center"/>
          </w:tcPr>
          <w:p w:rsidR="005729B5" w:rsidRPr="006E6EA4" w:rsidRDefault="005729B5" w:rsidP="00241DF9">
            <w:pPr>
              <w:pStyle w:val="Tablebodytext"/>
            </w:pPr>
          </w:p>
        </w:tc>
        <w:tc>
          <w:tcPr>
            <w:tcW w:w="1134" w:type="dxa"/>
            <w:vAlign w:val="center"/>
          </w:tcPr>
          <w:p w:rsidR="005729B5" w:rsidRPr="006E6EA4" w:rsidRDefault="005729B5" w:rsidP="00241DF9">
            <w:pPr>
              <w:pStyle w:val="Tablebodytext"/>
            </w:pPr>
            <w:r w:rsidRPr="006E6EA4">
              <w:t>109.8</w:t>
            </w:r>
          </w:p>
        </w:tc>
        <w:tc>
          <w:tcPr>
            <w:tcW w:w="992" w:type="dxa"/>
            <w:vAlign w:val="center"/>
          </w:tcPr>
          <w:p w:rsidR="005729B5" w:rsidRPr="006E6EA4" w:rsidRDefault="005729B5" w:rsidP="00241DF9">
            <w:pPr>
              <w:pStyle w:val="Tablebodytext"/>
            </w:pPr>
          </w:p>
        </w:tc>
      </w:tr>
      <w:tr w:rsidR="005729B5" w:rsidRPr="006E6EA4" w:rsidTr="008B2560">
        <w:tc>
          <w:tcPr>
            <w:tcW w:w="1230" w:type="dxa"/>
            <w:vMerge w:val="restart"/>
          </w:tcPr>
          <w:p w:rsidR="005729B5" w:rsidRPr="00241DF9" w:rsidRDefault="005729B5" w:rsidP="00241DF9">
            <w:pPr>
              <w:pStyle w:val="Tablebodytext"/>
              <w:rPr>
                <w:b/>
              </w:rPr>
            </w:pPr>
            <w:r w:rsidRPr="00241DF9">
              <w:rPr>
                <w:b/>
              </w:rPr>
              <w:t>Investment Return/ Discount Rate</w:t>
            </w:r>
          </w:p>
        </w:tc>
        <w:tc>
          <w:tcPr>
            <w:tcW w:w="613" w:type="dxa"/>
          </w:tcPr>
          <w:p w:rsidR="005729B5" w:rsidRPr="006E6EA4" w:rsidRDefault="005729B5" w:rsidP="00241DF9">
            <w:pPr>
              <w:pStyle w:val="Tablebodytext"/>
            </w:pPr>
            <w:r w:rsidRPr="006E6EA4">
              <w:t>+1%</w:t>
            </w:r>
          </w:p>
        </w:tc>
        <w:tc>
          <w:tcPr>
            <w:tcW w:w="1134" w:type="dxa"/>
            <w:vAlign w:val="center"/>
          </w:tcPr>
          <w:p w:rsidR="005729B5" w:rsidRPr="006E6EA4" w:rsidRDefault="005729B5" w:rsidP="00241DF9">
            <w:pPr>
              <w:pStyle w:val="Tablebodytext"/>
            </w:pPr>
            <w:r w:rsidRPr="006E6EA4">
              <w:t>37.7</w:t>
            </w:r>
          </w:p>
        </w:tc>
        <w:tc>
          <w:tcPr>
            <w:tcW w:w="992" w:type="dxa"/>
            <w:vAlign w:val="center"/>
          </w:tcPr>
          <w:p w:rsidR="005729B5" w:rsidRPr="006E6EA4" w:rsidRDefault="005729B5" w:rsidP="00241DF9">
            <w:pPr>
              <w:pStyle w:val="Tablebodytext"/>
            </w:pPr>
            <w:r w:rsidRPr="006E6EA4">
              <w:t>-9.2</w:t>
            </w:r>
          </w:p>
        </w:tc>
        <w:tc>
          <w:tcPr>
            <w:tcW w:w="1134" w:type="dxa"/>
            <w:vAlign w:val="center"/>
          </w:tcPr>
          <w:p w:rsidR="005729B5" w:rsidRPr="006E6EA4" w:rsidRDefault="005729B5" w:rsidP="00241DF9">
            <w:pPr>
              <w:pStyle w:val="Tablebodytext"/>
            </w:pPr>
            <w:r w:rsidRPr="006E6EA4">
              <w:t>56.6</w:t>
            </w:r>
          </w:p>
        </w:tc>
        <w:tc>
          <w:tcPr>
            <w:tcW w:w="993" w:type="dxa"/>
            <w:vAlign w:val="center"/>
          </w:tcPr>
          <w:p w:rsidR="005729B5" w:rsidRPr="006E6EA4" w:rsidRDefault="005729B5" w:rsidP="00241DF9">
            <w:pPr>
              <w:pStyle w:val="Tablebodytext"/>
            </w:pPr>
            <w:r w:rsidRPr="006E6EA4">
              <w:t>-6.3</w:t>
            </w:r>
          </w:p>
        </w:tc>
        <w:tc>
          <w:tcPr>
            <w:tcW w:w="1134" w:type="dxa"/>
            <w:vAlign w:val="center"/>
          </w:tcPr>
          <w:p w:rsidR="005729B5" w:rsidRPr="006E6EA4" w:rsidRDefault="005729B5" w:rsidP="00241DF9">
            <w:pPr>
              <w:pStyle w:val="Tablebodytext"/>
            </w:pPr>
            <w:r w:rsidRPr="006E6EA4">
              <w:t>94.3</w:t>
            </w:r>
          </w:p>
        </w:tc>
        <w:tc>
          <w:tcPr>
            <w:tcW w:w="992" w:type="dxa"/>
            <w:vAlign w:val="center"/>
          </w:tcPr>
          <w:p w:rsidR="005729B5" w:rsidRPr="006E6EA4" w:rsidRDefault="005729B5" w:rsidP="00241DF9">
            <w:pPr>
              <w:pStyle w:val="Tablebodytext"/>
            </w:pPr>
            <w:r w:rsidRPr="006E6EA4">
              <w:t>-15.5</w:t>
            </w:r>
          </w:p>
        </w:tc>
      </w:tr>
      <w:tr w:rsidR="005729B5" w:rsidRPr="006E6EA4" w:rsidTr="008B2560">
        <w:tc>
          <w:tcPr>
            <w:tcW w:w="1230" w:type="dxa"/>
            <w:vMerge/>
          </w:tcPr>
          <w:p w:rsidR="005729B5" w:rsidRPr="00241DF9" w:rsidRDefault="005729B5" w:rsidP="00241DF9">
            <w:pPr>
              <w:pStyle w:val="Tablebodytext"/>
              <w:rPr>
                <w:b/>
              </w:rPr>
            </w:pPr>
          </w:p>
        </w:tc>
        <w:tc>
          <w:tcPr>
            <w:tcW w:w="613" w:type="dxa"/>
          </w:tcPr>
          <w:p w:rsidR="005729B5" w:rsidRPr="006E6EA4" w:rsidRDefault="005729B5" w:rsidP="00241DF9">
            <w:pPr>
              <w:pStyle w:val="Tablebodytext"/>
            </w:pPr>
            <w:r w:rsidRPr="006E6EA4">
              <w:t>-1%</w:t>
            </w:r>
          </w:p>
        </w:tc>
        <w:tc>
          <w:tcPr>
            <w:tcW w:w="1134" w:type="dxa"/>
            <w:vAlign w:val="center"/>
          </w:tcPr>
          <w:p w:rsidR="005729B5" w:rsidRPr="006E6EA4" w:rsidRDefault="005729B5" w:rsidP="00241DF9">
            <w:pPr>
              <w:pStyle w:val="Tablebodytext"/>
            </w:pPr>
            <w:r w:rsidRPr="006E6EA4">
              <w:t>58.9</w:t>
            </w:r>
          </w:p>
        </w:tc>
        <w:tc>
          <w:tcPr>
            <w:tcW w:w="992" w:type="dxa"/>
            <w:vAlign w:val="center"/>
          </w:tcPr>
          <w:p w:rsidR="005729B5" w:rsidRPr="006E6EA4" w:rsidRDefault="005729B5" w:rsidP="00241DF9">
            <w:pPr>
              <w:pStyle w:val="Tablebodytext"/>
            </w:pPr>
            <w:r w:rsidRPr="006E6EA4">
              <w:t>+11.9</w:t>
            </w:r>
          </w:p>
        </w:tc>
        <w:tc>
          <w:tcPr>
            <w:tcW w:w="1134" w:type="dxa"/>
            <w:vAlign w:val="center"/>
          </w:tcPr>
          <w:p w:rsidR="005729B5" w:rsidRPr="006E6EA4" w:rsidRDefault="005729B5" w:rsidP="00241DF9">
            <w:pPr>
              <w:pStyle w:val="Tablebodytext"/>
            </w:pPr>
            <w:r w:rsidRPr="006E6EA4">
              <w:t>70.5</w:t>
            </w:r>
          </w:p>
        </w:tc>
        <w:tc>
          <w:tcPr>
            <w:tcW w:w="993" w:type="dxa"/>
            <w:vAlign w:val="center"/>
          </w:tcPr>
          <w:p w:rsidR="005729B5" w:rsidRPr="006E6EA4" w:rsidRDefault="005729B5" w:rsidP="00241DF9">
            <w:pPr>
              <w:pStyle w:val="Tablebodytext"/>
            </w:pPr>
            <w:r w:rsidRPr="006E6EA4">
              <w:t>+7.6</w:t>
            </w:r>
          </w:p>
        </w:tc>
        <w:tc>
          <w:tcPr>
            <w:tcW w:w="1134" w:type="dxa"/>
            <w:vAlign w:val="center"/>
          </w:tcPr>
          <w:p w:rsidR="005729B5" w:rsidRPr="006E6EA4" w:rsidRDefault="005729B5" w:rsidP="00241DF9">
            <w:pPr>
              <w:pStyle w:val="Tablebodytext"/>
            </w:pPr>
            <w:r w:rsidRPr="006E6EA4">
              <w:t>129.4</w:t>
            </w:r>
          </w:p>
        </w:tc>
        <w:tc>
          <w:tcPr>
            <w:tcW w:w="992" w:type="dxa"/>
            <w:vAlign w:val="center"/>
          </w:tcPr>
          <w:p w:rsidR="005729B5" w:rsidRPr="006E6EA4" w:rsidRDefault="005729B5" w:rsidP="00241DF9">
            <w:pPr>
              <w:pStyle w:val="Tablebodytext"/>
            </w:pPr>
            <w:r w:rsidRPr="006E6EA4">
              <w:t>+19.4</w:t>
            </w:r>
          </w:p>
        </w:tc>
      </w:tr>
      <w:tr w:rsidR="005729B5" w:rsidRPr="006E6EA4" w:rsidTr="008B2560">
        <w:tc>
          <w:tcPr>
            <w:tcW w:w="1230" w:type="dxa"/>
            <w:vMerge w:val="restart"/>
          </w:tcPr>
          <w:p w:rsidR="005729B5" w:rsidRPr="00241DF9" w:rsidRDefault="005729B5" w:rsidP="00241DF9">
            <w:pPr>
              <w:pStyle w:val="Tablebodytext"/>
              <w:rPr>
                <w:b/>
              </w:rPr>
            </w:pPr>
            <w:r w:rsidRPr="00241DF9">
              <w:rPr>
                <w:b/>
              </w:rPr>
              <w:t>General Salary Increases</w:t>
            </w:r>
          </w:p>
        </w:tc>
        <w:tc>
          <w:tcPr>
            <w:tcW w:w="613" w:type="dxa"/>
          </w:tcPr>
          <w:p w:rsidR="005729B5" w:rsidRPr="006E6EA4" w:rsidRDefault="005729B5" w:rsidP="00241DF9">
            <w:pPr>
              <w:pStyle w:val="Tablebodytext"/>
            </w:pPr>
            <w:r w:rsidRPr="006E6EA4">
              <w:t>+1%</w:t>
            </w:r>
          </w:p>
        </w:tc>
        <w:tc>
          <w:tcPr>
            <w:tcW w:w="1134" w:type="dxa"/>
            <w:vAlign w:val="center"/>
          </w:tcPr>
          <w:p w:rsidR="005729B5" w:rsidRPr="006E6EA4" w:rsidRDefault="005729B5" w:rsidP="00241DF9">
            <w:pPr>
              <w:pStyle w:val="Tablebodytext"/>
            </w:pPr>
            <w:r w:rsidRPr="006E6EA4">
              <w:t>50.1</w:t>
            </w:r>
          </w:p>
        </w:tc>
        <w:tc>
          <w:tcPr>
            <w:tcW w:w="992" w:type="dxa"/>
            <w:vAlign w:val="center"/>
          </w:tcPr>
          <w:p w:rsidR="005729B5" w:rsidRPr="006E6EA4" w:rsidRDefault="005729B5" w:rsidP="00241DF9">
            <w:pPr>
              <w:pStyle w:val="Tablebodytext"/>
            </w:pPr>
            <w:r w:rsidRPr="006E6EA4">
              <w:t>+3.1</w:t>
            </w:r>
          </w:p>
        </w:tc>
        <w:tc>
          <w:tcPr>
            <w:tcW w:w="1134" w:type="dxa"/>
            <w:vAlign w:val="center"/>
          </w:tcPr>
          <w:p w:rsidR="005729B5" w:rsidRPr="006E6EA4" w:rsidRDefault="005729B5" w:rsidP="00241DF9">
            <w:pPr>
              <w:pStyle w:val="Tablebodytext"/>
            </w:pPr>
            <w:r w:rsidRPr="006E6EA4">
              <w:t>63.2</w:t>
            </w:r>
          </w:p>
        </w:tc>
        <w:tc>
          <w:tcPr>
            <w:tcW w:w="993" w:type="dxa"/>
            <w:vAlign w:val="center"/>
          </w:tcPr>
          <w:p w:rsidR="005729B5" w:rsidRPr="006E6EA4" w:rsidRDefault="005729B5" w:rsidP="00241DF9">
            <w:pPr>
              <w:pStyle w:val="Tablebodytext"/>
            </w:pPr>
            <w:r w:rsidRPr="006E6EA4">
              <w:t>+0.3</w:t>
            </w:r>
          </w:p>
        </w:tc>
        <w:tc>
          <w:tcPr>
            <w:tcW w:w="1134" w:type="dxa"/>
            <w:vAlign w:val="center"/>
          </w:tcPr>
          <w:p w:rsidR="005729B5" w:rsidRPr="006E6EA4" w:rsidRDefault="005729B5" w:rsidP="00241DF9">
            <w:pPr>
              <w:pStyle w:val="Tablebodytext"/>
            </w:pPr>
            <w:r w:rsidRPr="006E6EA4">
              <w:t>113.3</w:t>
            </w:r>
          </w:p>
        </w:tc>
        <w:tc>
          <w:tcPr>
            <w:tcW w:w="992" w:type="dxa"/>
            <w:vAlign w:val="center"/>
          </w:tcPr>
          <w:p w:rsidR="005729B5" w:rsidRPr="006E6EA4" w:rsidRDefault="005729B5" w:rsidP="00241DF9">
            <w:pPr>
              <w:pStyle w:val="Tablebodytext"/>
            </w:pPr>
            <w:r w:rsidRPr="006E6EA4">
              <w:t>+3.5</w:t>
            </w:r>
          </w:p>
        </w:tc>
      </w:tr>
      <w:tr w:rsidR="005729B5" w:rsidRPr="006E6EA4" w:rsidTr="008B2560">
        <w:tc>
          <w:tcPr>
            <w:tcW w:w="1230" w:type="dxa"/>
            <w:vMerge/>
          </w:tcPr>
          <w:p w:rsidR="005729B5" w:rsidRPr="00241DF9" w:rsidRDefault="005729B5" w:rsidP="00241DF9">
            <w:pPr>
              <w:pStyle w:val="Tablebodytext"/>
              <w:rPr>
                <w:b/>
              </w:rPr>
            </w:pPr>
          </w:p>
        </w:tc>
        <w:tc>
          <w:tcPr>
            <w:tcW w:w="613" w:type="dxa"/>
          </w:tcPr>
          <w:p w:rsidR="005729B5" w:rsidRPr="006E6EA4" w:rsidRDefault="005729B5" w:rsidP="00241DF9">
            <w:pPr>
              <w:pStyle w:val="Tablebodytext"/>
            </w:pPr>
            <w:r w:rsidRPr="006E6EA4">
              <w:t>-1%</w:t>
            </w:r>
          </w:p>
        </w:tc>
        <w:tc>
          <w:tcPr>
            <w:tcW w:w="1134" w:type="dxa"/>
            <w:vAlign w:val="center"/>
          </w:tcPr>
          <w:p w:rsidR="005729B5" w:rsidRPr="006E6EA4" w:rsidRDefault="005729B5" w:rsidP="00241DF9">
            <w:pPr>
              <w:pStyle w:val="Tablebodytext"/>
            </w:pPr>
            <w:r w:rsidRPr="006E6EA4">
              <w:t>44.2</w:t>
            </w:r>
          </w:p>
        </w:tc>
        <w:tc>
          <w:tcPr>
            <w:tcW w:w="992" w:type="dxa"/>
            <w:vAlign w:val="center"/>
          </w:tcPr>
          <w:p w:rsidR="005729B5" w:rsidRPr="006E6EA4" w:rsidRDefault="005729B5" w:rsidP="00241DF9">
            <w:pPr>
              <w:pStyle w:val="Tablebodytext"/>
            </w:pPr>
            <w:r w:rsidRPr="006E6EA4">
              <w:t>-2.7</w:t>
            </w:r>
          </w:p>
        </w:tc>
        <w:tc>
          <w:tcPr>
            <w:tcW w:w="1134" w:type="dxa"/>
            <w:vAlign w:val="center"/>
          </w:tcPr>
          <w:p w:rsidR="005729B5" w:rsidRPr="006E6EA4" w:rsidRDefault="005729B5" w:rsidP="00241DF9">
            <w:pPr>
              <w:pStyle w:val="Tablebodytext"/>
            </w:pPr>
            <w:r w:rsidRPr="006E6EA4">
              <w:t>62.7</w:t>
            </w:r>
          </w:p>
        </w:tc>
        <w:tc>
          <w:tcPr>
            <w:tcW w:w="993" w:type="dxa"/>
            <w:vAlign w:val="center"/>
          </w:tcPr>
          <w:p w:rsidR="005729B5" w:rsidRPr="006E6EA4" w:rsidRDefault="005729B5" w:rsidP="00241DF9">
            <w:pPr>
              <w:pStyle w:val="Tablebodytext"/>
            </w:pPr>
            <w:r w:rsidRPr="006E6EA4">
              <w:t>-0.2</w:t>
            </w:r>
          </w:p>
        </w:tc>
        <w:tc>
          <w:tcPr>
            <w:tcW w:w="1134" w:type="dxa"/>
            <w:vAlign w:val="center"/>
          </w:tcPr>
          <w:p w:rsidR="005729B5" w:rsidRPr="006E6EA4" w:rsidRDefault="005729B5" w:rsidP="00241DF9">
            <w:pPr>
              <w:pStyle w:val="Tablebodytext"/>
            </w:pPr>
            <w:r w:rsidRPr="006E6EA4">
              <w:t>106.9</w:t>
            </w:r>
          </w:p>
        </w:tc>
        <w:tc>
          <w:tcPr>
            <w:tcW w:w="992" w:type="dxa"/>
            <w:vAlign w:val="center"/>
          </w:tcPr>
          <w:p w:rsidR="005729B5" w:rsidRPr="006E6EA4" w:rsidRDefault="005729B5" w:rsidP="00241DF9">
            <w:pPr>
              <w:pStyle w:val="Tablebodytext"/>
            </w:pPr>
            <w:r w:rsidRPr="006E6EA4">
              <w:t>-2.9</w:t>
            </w:r>
          </w:p>
        </w:tc>
      </w:tr>
      <w:tr w:rsidR="005729B5" w:rsidRPr="006E6EA4" w:rsidTr="008B2560">
        <w:tc>
          <w:tcPr>
            <w:tcW w:w="1230" w:type="dxa"/>
            <w:vMerge w:val="restart"/>
          </w:tcPr>
          <w:p w:rsidR="005729B5" w:rsidRPr="00241DF9" w:rsidRDefault="005729B5" w:rsidP="00241DF9">
            <w:pPr>
              <w:pStyle w:val="Tablebodytext"/>
              <w:rPr>
                <w:b/>
              </w:rPr>
            </w:pPr>
            <w:r w:rsidRPr="00241DF9">
              <w:rPr>
                <w:b/>
              </w:rPr>
              <w:t>CPI Increases</w:t>
            </w:r>
          </w:p>
        </w:tc>
        <w:tc>
          <w:tcPr>
            <w:tcW w:w="613" w:type="dxa"/>
          </w:tcPr>
          <w:p w:rsidR="005729B5" w:rsidRPr="006E6EA4" w:rsidRDefault="005729B5" w:rsidP="00241DF9">
            <w:pPr>
              <w:pStyle w:val="Tablebodytext"/>
            </w:pPr>
            <w:r w:rsidRPr="006E6EA4">
              <w:t>+1%</w:t>
            </w:r>
          </w:p>
        </w:tc>
        <w:tc>
          <w:tcPr>
            <w:tcW w:w="1134" w:type="dxa"/>
            <w:vAlign w:val="center"/>
          </w:tcPr>
          <w:p w:rsidR="005729B5" w:rsidRPr="006E6EA4" w:rsidRDefault="005729B5" w:rsidP="00241DF9">
            <w:pPr>
              <w:pStyle w:val="Tablebodytext"/>
            </w:pPr>
            <w:r w:rsidRPr="006E6EA4">
              <w:t>54.7</w:t>
            </w:r>
          </w:p>
        </w:tc>
        <w:tc>
          <w:tcPr>
            <w:tcW w:w="992" w:type="dxa"/>
            <w:vAlign w:val="center"/>
          </w:tcPr>
          <w:p w:rsidR="005729B5" w:rsidRPr="006E6EA4" w:rsidRDefault="005729B5" w:rsidP="00241DF9">
            <w:pPr>
              <w:pStyle w:val="Tablebodytext"/>
            </w:pPr>
            <w:r w:rsidRPr="006E6EA4">
              <w:t>+7.8</w:t>
            </w:r>
          </w:p>
        </w:tc>
        <w:tc>
          <w:tcPr>
            <w:tcW w:w="1134" w:type="dxa"/>
            <w:vAlign w:val="center"/>
          </w:tcPr>
          <w:p w:rsidR="005729B5" w:rsidRPr="006E6EA4" w:rsidRDefault="005729B5" w:rsidP="00241DF9">
            <w:pPr>
              <w:pStyle w:val="Tablebodytext"/>
            </w:pPr>
            <w:r w:rsidRPr="006E6EA4">
              <w:t>69.7</w:t>
            </w:r>
          </w:p>
        </w:tc>
        <w:tc>
          <w:tcPr>
            <w:tcW w:w="993" w:type="dxa"/>
            <w:vAlign w:val="center"/>
          </w:tcPr>
          <w:p w:rsidR="005729B5" w:rsidRPr="006E6EA4" w:rsidRDefault="005729B5" w:rsidP="00241DF9">
            <w:pPr>
              <w:pStyle w:val="Tablebodytext"/>
            </w:pPr>
            <w:r w:rsidRPr="006E6EA4">
              <w:t>+6.8</w:t>
            </w:r>
          </w:p>
        </w:tc>
        <w:tc>
          <w:tcPr>
            <w:tcW w:w="1134" w:type="dxa"/>
            <w:vAlign w:val="center"/>
          </w:tcPr>
          <w:p w:rsidR="005729B5" w:rsidRPr="006E6EA4" w:rsidRDefault="005729B5" w:rsidP="00241DF9">
            <w:pPr>
              <w:pStyle w:val="Tablebodytext"/>
            </w:pPr>
            <w:r w:rsidRPr="006E6EA4">
              <w:t>124.4</w:t>
            </w:r>
          </w:p>
        </w:tc>
        <w:tc>
          <w:tcPr>
            <w:tcW w:w="992" w:type="dxa"/>
            <w:vAlign w:val="center"/>
          </w:tcPr>
          <w:p w:rsidR="005729B5" w:rsidRPr="006E6EA4" w:rsidRDefault="005729B5" w:rsidP="00241DF9">
            <w:pPr>
              <w:pStyle w:val="Tablebodytext"/>
            </w:pPr>
            <w:r w:rsidRPr="006E6EA4">
              <w:t>+14.6</w:t>
            </w:r>
          </w:p>
        </w:tc>
      </w:tr>
      <w:tr w:rsidR="005729B5" w:rsidRPr="006E6EA4" w:rsidTr="008B2560">
        <w:tc>
          <w:tcPr>
            <w:tcW w:w="1230" w:type="dxa"/>
            <w:vMerge/>
            <w:tcBorders>
              <w:bottom w:val="single" w:sz="2" w:space="0" w:color="A7B4BE"/>
            </w:tcBorders>
          </w:tcPr>
          <w:p w:rsidR="005729B5" w:rsidRPr="006E6EA4" w:rsidRDefault="005729B5" w:rsidP="00241DF9">
            <w:pPr>
              <w:pStyle w:val="Tablebodytext"/>
            </w:pPr>
          </w:p>
        </w:tc>
        <w:tc>
          <w:tcPr>
            <w:tcW w:w="613" w:type="dxa"/>
            <w:tcBorders>
              <w:bottom w:val="single" w:sz="2" w:space="0" w:color="A7B4BE"/>
            </w:tcBorders>
          </w:tcPr>
          <w:p w:rsidR="005729B5" w:rsidRPr="006E6EA4" w:rsidRDefault="005729B5" w:rsidP="00241DF9">
            <w:pPr>
              <w:pStyle w:val="Tablebodytext"/>
            </w:pPr>
            <w:r w:rsidRPr="006E6EA4">
              <w:t>-1%</w:t>
            </w:r>
          </w:p>
        </w:tc>
        <w:tc>
          <w:tcPr>
            <w:tcW w:w="1134" w:type="dxa"/>
            <w:tcBorders>
              <w:bottom w:val="single" w:sz="2" w:space="0" w:color="A7B4BE"/>
            </w:tcBorders>
            <w:vAlign w:val="center"/>
          </w:tcPr>
          <w:p w:rsidR="005729B5" w:rsidRPr="006E6EA4" w:rsidRDefault="005729B5" w:rsidP="00241DF9">
            <w:pPr>
              <w:pStyle w:val="Tablebodytext"/>
            </w:pPr>
            <w:r w:rsidRPr="006E6EA4">
              <w:t>40.5</w:t>
            </w:r>
          </w:p>
        </w:tc>
        <w:tc>
          <w:tcPr>
            <w:tcW w:w="992" w:type="dxa"/>
            <w:tcBorders>
              <w:bottom w:val="single" w:sz="2" w:space="0" w:color="A7B4BE"/>
            </w:tcBorders>
            <w:vAlign w:val="center"/>
          </w:tcPr>
          <w:p w:rsidR="005729B5" w:rsidRPr="006E6EA4" w:rsidRDefault="005729B5" w:rsidP="00241DF9">
            <w:pPr>
              <w:pStyle w:val="Tablebodytext"/>
            </w:pPr>
            <w:r w:rsidRPr="006E6EA4">
              <w:t>-6.4</w:t>
            </w:r>
          </w:p>
        </w:tc>
        <w:tc>
          <w:tcPr>
            <w:tcW w:w="1134" w:type="dxa"/>
            <w:tcBorders>
              <w:bottom w:val="single" w:sz="2" w:space="0" w:color="A7B4BE"/>
            </w:tcBorders>
            <w:vAlign w:val="center"/>
          </w:tcPr>
          <w:p w:rsidR="005729B5" w:rsidRPr="006E6EA4" w:rsidRDefault="005729B5" w:rsidP="00241DF9">
            <w:pPr>
              <w:pStyle w:val="Tablebodytext"/>
            </w:pPr>
            <w:r w:rsidRPr="006E6EA4">
              <w:t>57.2</w:t>
            </w:r>
          </w:p>
        </w:tc>
        <w:tc>
          <w:tcPr>
            <w:tcW w:w="993" w:type="dxa"/>
            <w:tcBorders>
              <w:bottom w:val="single" w:sz="2" w:space="0" w:color="A7B4BE"/>
            </w:tcBorders>
            <w:vAlign w:val="center"/>
          </w:tcPr>
          <w:p w:rsidR="005729B5" w:rsidRPr="006E6EA4" w:rsidRDefault="005729B5" w:rsidP="00241DF9">
            <w:pPr>
              <w:pStyle w:val="Tablebodytext"/>
            </w:pPr>
            <w:r w:rsidRPr="006E6EA4">
              <w:t>-5.8</w:t>
            </w:r>
          </w:p>
        </w:tc>
        <w:tc>
          <w:tcPr>
            <w:tcW w:w="1134" w:type="dxa"/>
            <w:tcBorders>
              <w:bottom w:val="single" w:sz="2" w:space="0" w:color="A7B4BE"/>
            </w:tcBorders>
            <w:vAlign w:val="center"/>
          </w:tcPr>
          <w:p w:rsidR="005729B5" w:rsidRPr="006E6EA4" w:rsidRDefault="005729B5" w:rsidP="00241DF9">
            <w:pPr>
              <w:pStyle w:val="Tablebodytext"/>
            </w:pPr>
            <w:r w:rsidRPr="006E6EA4">
              <w:t>97.7</w:t>
            </w:r>
          </w:p>
        </w:tc>
        <w:tc>
          <w:tcPr>
            <w:tcW w:w="992" w:type="dxa"/>
            <w:tcBorders>
              <w:bottom w:val="single" w:sz="2" w:space="0" w:color="A7B4BE"/>
            </w:tcBorders>
            <w:vAlign w:val="center"/>
          </w:tcPr>
          <w:p w:rsidR="005729B5" w:rsidRPr="006E6EA4" w:rsidRDefault="005729B5" w:rsidP="00241DF9">
            <w:pPr>
              <w:pStyle w:val="Tablebodytext"/>
            </w:pPr>
            <w:r w:rsidRPr="006E6EA4">
              <w:t>-12.1</w:t>
            </w:r>
          </w:p>
        </w:tc>
      </w:tr>
    </w:tbl>
    <w:p w:rsidR="005729B5" w:rsidRPr="007E3448" w:rsidRDefault="003F639C" w:rsidP="00241DF9">
      <w:pPr>
        <w:pStyle w:val="Heading4nonumbers"/>
      </w:pPr>
      <w:r>
        <w:br w:type="page"/>
      </w:r>
      <w:r w:rsidR="005729B5" w:rsidRPr="007E3448">
        <w:lastRenderedPageBreak/>
        <w:t>Total Projected Outlays</w:t>
      </w:r>
    </w:p>
    <w:p w:rsidR="005729B5" w:rsidRDefault="005729B5" w:rsidP="00266A7E">
      <w:pPr>
        <w:pStyle w:val="Numberedpara1stindent"/>
        <w:spacing w:after="120"/>
        <w:rPr>
          <w:lang w:eastAsia="en-AU"/>
        </w:rPr>
      </w:pPr>
      <w:r w:rsidRPr="008B353B">
        <w:rPr>
          <w:lang w:eastAsia="en-AU"/>
        </w:rPr>
        <w:t>The table below shows the projected total PSS and CSS outlays for the next six years and then for the next three 10-year intervals under the valuation basis and the alternative assumptions for investment return/discount rate.</w:t>
      </w:r>
    </w:p>
    <w:p w:rsidR="00241DF9" w:rsidRDefault="00241DF9" w:rsidP="00241DF9">
      <w:pPr>
        <w:pStyle w:val="Heading4nonumbers"/>
        <w:rPr>
          <w:lang w:eastAsia="en-AU"/>
        </w:rPr>
      </w:pPr>
      <w:r w:rsidRPr="006E6EA4">
        <w:t>Projected Total PSS and CSS Future Outlays</w:t>
      </w:r>
    </w:p>
    <w:tbl>
      <w:tblPr>
        <w:tblW w:w="8222" w:type="dxa"/>
        <w:tblBorders>
          <w:top w:val="single" w:sz="2" w:space="0" w:color="A7B4BE"/>
          <w:bottom w:val="single" w:sz="2" w:space="0" w:color="A7B4BE"/>
          <w:insideH w:val="single" w:sz="2" w:space="0" w:color="A7B4BE"/>
          <w:insideV w:val="single" w:sz="2" w:space="0" w:color="A7B4BE"/>
        </w:tblBorders>
        <w:tblLayout w:type="fixed"/>
        <w:tblCellMar>
          <w:left w:w="0" w:type="dxa"/>
          <w:right w:w="0" w:type="dxa"/>
        </w:tblCellMar>
        <w:tblLook w:val="04A0"/>
      </w:tblPr>
      <w:tblGrid>
        <w:gridCol w:w="1843"/>
        <w:gridCol w:w="1134"/>
        <w:gridCol w:w="992"/>
        <w:gridCol w:w="1134"/>
        <w:gridCol w:w="993"/>
        <w:gridCol w:w="1134"/>
        <w:gridCol w:w="992"/>
      </w:tblGrid>
      <w:tr w:rsidR="005729B5" w:rsidRPr="006E6EA4" w:rsidTr="008B2560">
        <w:tc>
          <w:tcPr>
            <w:tcW w:w="1843" w:type="dxa"/>
            <w:vMerge w:val="restart"/>
            <w:shd w:val="clear" w:color="auto" w:fill="DDF3FA"/>
          </w:tcPr>
          <w:p w:rsidR="005729B5" w:rsidRPr="006E6EA4" w:rsidRDefault="005729B5" w:rsidP="00241DF9">
            <w:pPr>
              <w:pStyle w:val="Tablecolumnheading"/>
            </w:pPr>
            <w:r w:rsidRPr="006E6EA4">
              <w:rPr>
                <w:lang w:val="en-US"/>
              </w:rPr>
              <w:t xml:space="preserve">Year ending </w:t>
            </w:r>
            <w:r w:rsidRPr="006E6EA4">
              <w:rPr>
                <w:lang w:val="en-US"/>
              </w:rPr>
              <w:br/>
              <w:t>30 June</w:t>
            </w:r>
          </w:p>
        </w:tc>
        <w:tc>
          <w:tcPr>
            <w:tcW w:w="3260" w:type="dxa"/>
            <w:gridSpan w:val="3"/>
            <w:shd w:val="clear" w:color="auto" w:fill="DDF3FA"/>
            <w:vAlign w:val="center"/>
          </w:tcPr>
          <w:p w:rsidR="005729B5" w:rsidRPr="006E6EA4" w:rsidRDefault="005729B5" w:rsidP="00241DF9">
            <w:pPr>
              <w:pStyle w:val="Tablecolumnheading"/>
              <w:rPr>
                <w:lang w:val="en-US"/>
              </w:rPr>
            </w:pPr>
            <w:r w:rsidRPr="006E6EA4">
              <w:rPr>
                <w:lang w:val="en-US"/>
              </w:rPr>
              <w:t>Nominal Outlays</w:t>
            </w:r>
          </w:p>
          <w:p w:rsidR="005729B5" w:rsidRPr="006E6EA4" w:rsidRDefault="005729B5" w:rsidP="00241DF9">
            <w:pPr>
              <w:pStyle w:val="Tablecolumnheading"/>
              <w:rPr>
                <w:lang w:val="en-US"/>
              </w:rPr>
            </w:pPr>
            <w:r w:rsidRPr="006E6EA4">
              <w:rPr>
                <w:lang w:val="en-US"/>
              </w:rPr>
              <w:t>($ millions)</w:t>
            </w:r>
          </w:p>
        </w:tc>
        <w:tc>
          <w:tcPr>
            <w:tcW w:w="3119" w:type="dxa"/>
            <w:gridSpan w:val="3"/>
            <w:shd w:val="clear" w:color="auto" w:fill="DDF3FA"/>
            <w:vAlign w:val="center"/>
          </w:tcPr>
          <w:p w:rsidR="005729B5" w:rsidRPr="006E6EA4" w:rsidRDefault="005729B5" w:rsidP="00241DF9">
            <w:pPr>
              <w:pStyle w:val="Tablecolumnheading"/>
              <w:rPr>
                <w:lang w:val="en-US"/>
              </w:rPr>
            </w:pPr>
            <w:r w:rsidRPr="006E6EA4">
              <w:rPr>
                <w:lang w:val="en-US"/>
              </w:rPr>
              <w:t>Discounted Outlays</w:t>
            </w:r>
          </w:p>
          <w:p w:rsidR="005729B5" w:rsidRPr="006E6EA4" w:rsidRDefault="005729B5" w:rsidP="00241DF9">
            <w:pPr>
              <w:pStyle w:val="Tablecolumnheading"/>
              <w:rPr>
                <w:lang w:val="en-US"/>
              </w:rPr>
            </w:pPr>
            <w:r w:rsidRPr="006E6EA4">
              <w:rPr>
                <w:lang w:val="en-US"/>
              </w:rPr>
              <w:t>($ millions)</w:t>
            </w:r>
          </w:p>
        </w:tc>
      </w:tr>
      <w:tr w:rsidR="005729B5" w:rsidRPr="006E6EA4" w:rsidTr="008B2560">
        <w:tc>
          <w:tcPr>
            <w:tcW w:w="1843" w:type="dxa"/>
            <w:vMerge/>
            <w:shd w:val="clear" w:color="auto" w:fill="DDF3FA"/>
          </w:tcPr>
          <w:p w:rsidR="005729B5" w:rsidRPr="006E6EA4" w:rsidRDefault="005729B5" w:rsidP="00241DF9">
            <w:pPr>
              <w:pStyle w:val="Tablecolumnheading"/>
            </w:pPr>
          </w:p>
        </w:tc>
        <w:tc>
          <w:tcPr>
            <w:tcW w:w="1134" w:type="dxa"/>
            <w:shd w:val="clear" w:color="auto" w:fill="DDF3FA"/>
            <w:vAlign w:val="center"/>
          </w:tcPr>
          <w:p w:rsidR="005729B5" w:rsidRPr="006E6EA4" w:rsidRDefault="005729B5" w:rsidP="00241DF9">
            <w:pPr>
              <w:pStyle w:val="Tablecolumnheading"/>
              <w:rPr>
                <w:lang w:val="en-US"/>
              </w:rPr>
            </w:pPr>
            <w:r w:rsidRPr="006E6EA4">
              <w:rPr>
                <w:lang w:val="en-US"/>
              </w:rPr>
              <w:t>Valuation basis</w:t>
            </w:r>
          </w:p>
        </w:tc>
        <w:tc>
          <w:tcPr>
            <w:tcW w:w="992" w:type="dxa"/>
            <w:shd w:val="clear" w:color="auto" w:fill="DDF3FA"/>
            <w:vAlign w:val="center"/>
          </w:tcPr>
          <w:p w:rsidR="005729B5" w:rsidRPr="006E6EA4" w:rsidRDefault="005729B5" w:rsidP="00241DF9">
            <w:pPr>
              <w:pStyle w:val="Tablecolumnheading"/>
              <w:rPr>
                <w:lang w:val="en-US"/>
              </w:rPr>
            </w:pPr>
            <w:r w:rsidRPr="006E6EA4">
              <w:rPr>
                <w:lang w:val="en-US"/>
              </w:rPr>
              <w:t>Investment return/ Discount rate +1%</w:t>
            </w:r>
          </w:p>
        </w:tc>
        <w:tc>
          <w:tcPr>
            <w:tcW w:w="1134" w:type="dxa"/>
            <w:shd w:val="clear" w:color="auto" w:fill="DDF3FA"/>
            <w:vAlign w:val="center"/>
          </w:tcPr>
          <w:p w:rsidR="005729B5" w:rsidRPr="006E6EA4" w:rsidRDefault="005729B5" w:rsidP="00241DF9">
            <w:pPr>
              <w:pStyle w:val="Tablecolumnheading"/>
              <w:rPr>
                <w:lang w:val="en-US"/>
              </w:rPr>
            </w:pPr>
            <w:r w:rsidRPr="006E6EA4">
              <w:rPr>
                <w:lang w:val="en-US"/>
              </w:rPr>
              <w:t>Investment return/ Discount rate -1%</w:t>
            </w:r>
          </w:p>
        </w:tc>
        <w:tc>
          <w:tcPr>
            <w:tcW w:w="993" w:type="dxa"/>
            <w:shd w:val="clear" w:color="auto" w:fill="DDF3FA"/>
            <w:vAlign w:val="center"/>
          </w:tcPr>
          <w:p w:rsidR="005729B5" w:rsidRPr="006E6EA4" w:rsidRDefault="005729B5" w:rsidP="00241DF9">
            <w:pPr>
              <w:pStyle w:val="Tablecolumnheading"/>
              <w:rPr>
                <w:lang w:val="en-US"/>
              </w:rPr>
            </w:pPr>
            <w:r w:rsidRPr="006E6EA4">
              <w:rPr>
                <w:lang w:val="en-US"/>
              </w:rPr>
              <w:t>Valuation basis</w:t>
            </w:r>
          </w:p>
        </w:tc>
        <w:tc>
          <w:tcPr>
            <w:tcW w:w="1134" w:type="dxa"/>
            <w:shd w:val="clear" w:color="auto" w:fill="DDF3FA"/>
            <w:vAlign w:val="center"/>
          </w:tcPr>
          <w:p w:rsidR="005729B5" w:rsidRPr="006E6EA4" w:rsidRDefault="005729B5" w:rsidP="00241DF9">
            <w:pPr>
              <w:pStyle w:val="Tablecolumnheading"/>
              <w:rPr>
                <w:lang w:val="en-US"/>
              </w:rPr>
            </w:pPr>
            <w:r w:rsidRPr="006E6EA4">
              <w:rPr>
                <w:lang w:val="en-US"/>
              </w:rPr>
              <w:t>Investment return/ Discount rate +1%</w:t>
            </w:r>
          </w:p>
        </w:tc>
        <w:tc>
          <w:tcPr>
            <w:tcW w:w="992" w:type="dxa"/>
            <w:shd w:val="clear" w:color="auto" w:fill="DDF3FA"/>
            <w:vAlign w:val="center"/>
          </w:tcPr>
          <w:p w:rsidR="005729B5" w:rsidRPr="006E6EA4" w:rsidRDefault="005729B5" w:rsidP="00241DF9">
            <w:pPr>
              <w:pStyle w:val="Tablecolumnheading"/>
              <w:rPr>
                <w:lang w:val="en-US"/>
              </w:rPr>
            </w:pPr>
            <w:r w:rsidRPr="006E6EA4">
              <w:rPr>
                <w:lang w:val="en-US"/>
              </w:rPr>
              <w:t>Investment return/ Discount rate -1%</w:t>
            </w:r>
          </w:p>
        </w:tc>
      </w:tr>
      <w:tr w:rsidR="005729B5" w:rsidRPr="006E6EA4" w:rsidTr="008B2560">
        <w:tc>
          <w:tcPr>
            <w:tcW w:w="1843" w:type="dxa"/>
            <w:vAlign w:val="bottom"/>
          </w:tcPr>
          <w:p w:rsidR="005729B5" w:rsidRPr="006E6EA4" w:rsidRDefault="005729B5" w:rsidP="00241DF9">
            <w:pPr>
              <w:pStyle w:val="Tablebodytext"/>
              <w:rPr>
                <w:lang w:val="en-US"/>
              </w:rPr>
            </w:pPr>
            <w:r w:rsidRPr="006E6EA4">
              <w:rPr>
                <w:lang w:val="en-US"/>
              </w:rPr>
              <w:t>2015</w:t>
            </w:r>
          </w:p>
        </w:tc>
        <w:tc>
          <w:tcPr>
            <w:tcW w:w="1134" w:type="dxa"/>
          </w:tcPr>
          <w:p w:rsidR="005729B5" w:rsidRPr="006E6EA4" w:rsidRDefault="005729B5" w:rsidP="00241DF9">
            <w:pPr>
              <w:pStyle w:val="Tablebodytext"/>
              <w:rPr>
                <w:lang w:val="en-US"/>
              </w:rPr>
            </w:pPr>
            <w:r w:rsidRPr="006E6EA4">
              <w:rPr>
                <w:lang w:val="en-US"/>
              </w:rPr>
              <w:t>4,695</w:t>
            </w:r>
          </w:p>
        </w:tc>
        <w:tc>
          <w:tcPr>
            <w:tcW w:w="992" w:type="dxa"/>
          </w:tcPr>
          <w:p w:rsidR="005729B5" w:rsidRPr="006E6EA4" w:rsidRDefault="005729B5" w:rsidP="00241DF9">
            <w:pPr>
              <w:pStyle w:val="Tablebodytext"/>
              <w:rPr>
                <w:lang w:val="en-US"/>
              </w:rPr>
            </w:pPr>
            <w:r w:rsidRPr="006E6EA4">
              <w:rPr>
                <w:lang w:val="en-US"/>
              </w:rPr>
              <w:t>4,695</w:t>
            </w:r>
          </w:p>
        </w:tc>
        <w:tc>
          <w:tcPr>
            <w:tcW w:w="1134" w:type="dxa"/>
          </w:tcPr>
          <w:p w:rsidR="005729B5" w:rsidRPr="006E6EA4" w:rsidRDefault="005729B5" w:rsidP="00241DF9">
            <w:pPr>
              <w:pStyle w:val="Tablebodytext"/>
              <w:rPr>
                <w:lang w:val="en-US"/>
              </w:rPr>
            </w:pPr>
            <w:r w:rsidRPr="006E6EA4">
              <w:rPr>
                <w:lang w:val="en-US"/>
              </w:rPr>
              <w:t>4,695</w:t>
            </w:r>
          </w:p>
        </w:tc>
        <w:tc>
          <w:tcPr>
            <w:tcW w:w="993" w:type="dxa"/>
          </w:tcPr>
          <w:p w:rsidR="005729B5" w:rsidRPr="006E6EA4" w:rsidRDefault="005729B5" w:rsidP="00241DF9">
            <w:pPr>
              <w:pStyle w:val="Tablebodytext"/>
              <w:rPr>
                <w:lang w:val="en-US"/>
              </w:rPr>
            </w:pPr>
            <w:r w:rsidRPr="006E6EA4">
              <w:rPr>
                <w:lang w:val="en-US"/>
              </w:rPr>
              <w:t>4,560</w:t>
            </w:r>
          </w:p>
        </w:tc>
        <w:tc>
          <w:tcPr>
            <w:tcW w:w="1134" w:type="dxa"/>
          </w:tcPr>
          <w:p w:rsidR="005729B5" w:rsidRPr="006E6EA4" w:rsidRDefault="005729B5" w:rsidP="00241DF9">
            <w:pPr>
              <w:pStyle w:val="Tablebodytext"/>
              <w:rPr>
                <w:lang w:val="en-US"/>
              </w:rPr>
            </w:pPr>
            <w:r w:rsidRPr="006E6EA4">
              <w:rPr>
                <w:lang w:val="en-US"/>
              </w:rPr>
              <w:t>4,539</w:t>
            </w:r>
          </w:p>
        </w:tc>
        <w:tc>
          <w:tcPr>
            <w:tcW w:w="992" w:type="dxa"/>
          </w:tcPr>
          <w:p w:rsidR="005729B5" w:rsidRPr="006E6EA4" w:rsidRDefault="005729B5" w:rsidP="00241DF9">
            <w:pPr>
              <w:pStyle w:val="Tablebodytext"/>
              <w:rPr>
                <w:lang w:val="en-US"/>
              </w:rPr>
            </w:pPr>
            <w:r w:rsidRPr="006E6EA4">
              <w:rPr>
                <w:lang w:val="en-US"/>
              </w:rPr>
              <w:t>4,582</w:t>
            </w:r>
          </w:p>
        </w:tc>
      </w:tr>
      <w:tr w:rsidR="005729B5" w:rsidRPr="006E6EA4" w:rsidTr="008B2560">
        <w:tc>
          <w:tcPr>
            <w:tcW w:w="1843" w:type="dxa"/>
            <w:vAlign w:val="bottom"/>
          </w:tcPr>
          <w:p w:rsidR="005729B5" w:rsidRPr="006E6EA4" w:rsidRDefault="005729B5" w:rsidP="00241DF9">
            <w:pPr>
              <w:pStyle w:val="Tablebodytext"/>
              <w:rPr>
                <w:lang w:val="en-US"/>
              </w:rPr>
            </w:pPr>
            <w:r w:rsidRPr="006E6EA4">
              <w:rPr>
                <w:lang w:val="en-US"/>
              </w:rPr>
              <w:t>2016</w:t>
            </w:r>
          </w:p>
        </w:tc>
        <w:tc>
          <w:tcPr>
            <w:tcW w:w="1134" w:type="dxa"/>
          </w:tcPr>
          <w:p w:rsidR="005729B5" w:rsidRPr="006E6EA4" w:rsidRDefault="005729B5" w:rsidP="00241DF9">
            <w:pPr>
              <w:pStyle w:val="Tablebodytext"/>
              <w:rPr>
                <w:lang w:val="en-US"/>
              </w:rPr>
            </w:pPr>
            <w:r w:rsidRPr="006E6EA4">
              <w:rPr>
                <w:lang w:val="en-US"/>
              </w:rPr>
              <w:t>4,910</w:t>
            </w:r>
          </w:p>
        </w:tc>
        <w:tc>
          <w:tcPr>
            <w:tcW w:w="992" w:type="dxa"/>
          </w:tcPr>
          <w:p w:rsidR="005729B5" w:rsidRPr="006E6EA4" w:rsidRDefault="005729B5" w:rsidP="00241DF9">
            <w:pPr>
              <w:pStyle w:val="Tablebodytext"/>
              <w:rPr>
                <w:lang w:val="en-US"/>
              </w:rPr>
            </w:pPr>
            <w:r w:rsidRPr="006E6EA4">
              <w:rPr>
                <w:lang w:val="en-US"/>
              </w:rPr>
              <w:t>4,903</w:t>
            </w:r>
          </w:p>
        </w:tc>
        <w:tc>
          <w:tcPr>
            <w:tcW w:w="1134" w:type="dxa"/>
          </w:tcPr>
          <w:p w:rsidR="005729B5" w:rsidRPr="006E6EA4" w:rsidRDefault="005729B5" w:rsidP="00241DF9">
            <w:pPr>
              <w:pStyle w:val="Tablebodytext"/>
              <w:rPr>
                <w:lang w:val="en-US"/>
              </w:rPr>
            </w:pPr>
            <w:r w:rsidRPr="006E6EA4">
              <w:rPr>
                <w:lang w:val="en-US"/>
              </w:rPr>
              <w:t>4,916</w:t>
            </w:r>
          </w:p>
        </w:tc>
        <w:tc>
          <w:tcPr>
            <w:tcW w:w="993" w:type="dxa"/>
          </w:tcPr>
          <w:p w:rsidR="005729B5" w:rsidRPr="006E6EA4" w:rsidRDefault="005729B5" w:rsidP="00241DF9">
            <w:pPr>
              <w:pStyle w:val="Tablebodytext"/>
              <w:rPr>
                <w:lang w:val="en-US"/>
              </w:rPr>
            </w:pPr>
            <w:r w:rsidRPr="006E6EA4">
              <w:rPr>
                <w:lang w:val="en-US"/>
              </w:rPr>
              <w:t>4,499</w:t>
            </w:r>
          </w:p>
        </w:tc>
        <w:tc>
          <w:tcPr>
            <w:tcW w:w="1134" w:type="dxa"/>
          </w:tcPr>
          <w:p w:rsidR="005729B5" w:rsidRPr="006E6EA4" w:rsidRDefault="005729B5" w:rsidP="00241DF9">
            <w:pPr>
              <w:pStyle w:val="Tablebodytext"/>
              <w:rPr>
                <w:lang w:val="en-US"/>
              </w:rPr>
            </w:pPr>
            <w:r w:rsidRPr="006E6EA4">
              <w:rPr>
                <w:lang w:val="en-US"/>
              </w:rPr>
              <w:t>4,430</w:t>
            </w:r>
          </w:p>
        </w:tc>
        <w:tc>
          <w:tcPr>
            <w:tcW w:w="992" w:type="dxa"/>
          </w:tcPr>
          <w:p w:rsidR="005729B5" w:rsidRPr="006E6EA4" w:rsidRDefault="005729B5" w:rsidP="00241DF9">
            <w:pPr>
              <w:pStyle w:val="Tablebodytext"/>
              <w:rPr>
                <w:lang w:val="en-US"/>
              </w:rPr>
            </w:pPr>
            <w:r w:rsidRPr="006E6EA4">
              <w:rPr>
                <w:lang w:val="en-US"/>
              </w:rPr>
              <w:t>4,569</w:t>
            </w:r>
          </w:p>
        </w:tc>
      </w:tr>
      <w:tr w:rsidR="005729B5" w:rsidRPr="006E6EA4" w:rsidTr="008B2560">
        <w:tc>
          <w:tcPr>
            <w:tcW w:w="1843" w:type="dxa"/>
            <w:vAlign w:val="bottom"/>
          </w:tcPr>
          <w:p w:rsidR="005729B5" w:rsidRPr="006E6EA4" w:rsidRDefault="005729B5" w:rsidP="00241DF9">
            <w:pPr>
              <w:pStyle w:val="Tablebodytext"/>
              <w:rPr>
                <w:lang w:val="en-US"/>
              </w:rPr>
            </w:pPr>
            <w:r w:rsidRPr="006E6EA4">
              <w:rPr>
                <w:lang w:val="en-US"/>
              </w:rPr>
              <w:t>2017</w:t>
            </w:r>
          </w:p>
        </w:tc>
        <w:tc>
          <w:tcPr>
            <w:tcW w:w="1134" w:type="dxa"/>
          </w:tcPr>
          <w:p w:rsidR="005729B5" w:rsidRPr="006E6EA4" w:rsidRDefault="005729B5" w:rsidP="00241DF9">
            <w:pPr>
              <w:pStyle w:val="Tablebodytext"/>
              <w:rPr>
                <w:lang w:val="en-US"/>
              </w:rPr>
            </w:pPr>
            <w:r w:rsidRPr="006E6EA4">
              <w:rPr>
                <w:lang w:val="en-US"/>
              </w:rPr>
              <w:t>5,134</w:t>
            </w:r>
          </w:p>
        </w:tc>
        <w:tc>
          <w:tcPr>
            <w:tcW w:w="992" w:type="dxa"/>
          </w:tcPr>
          <w:p w:rsidR="005729B5" w:rsidRPr="006E6EA4" w:rsidRDefault="005729B5" w:rsidP="00241DF9">
            <w:pPr>
              <w:pStyle w:val="Tablebodytext"/>
              <w:rPr>
                <w:lang w:val="en-US"/>
              </w:rPr>
            </w:pPr>
            <w:r w:rsidRPr="006E6EA4">
              <w:rPr>
                <w:lang w:val="en-US"/>
              </w:rPr>
              <w:t>5,121</w:t>
            </w:r>
          </w:p>
        </w:tc>
        <w:tc>
          <w:tcPr>
            <w:tcW w:w="1134" w:type="dxa"/>
          </w:tcPr>
          <w:p w:rsidR="005729B5" w:rsidRPr="006E6EA4" w:rsidRDefault="005729B5" w:rsidP="00241DF9">
            <w:pPr>
              <w:pStyle w:val="Tablebodytext"/>
              <w:rPr>
                <w:lang w:val="en-US"/>
              </w:rPr>
            </w:pPr>
            <w:r w:rsidRPr="006E6EA4">
              <w:rPr>
                <w:lang w:val="en-US"/>
              </w:rPr>
              <w:t>5,148</w:t>
            </w:r>
          </w:p>
        </w:tc>
        <w:tc>
          <w:tcPr>
            <w:tcW w:w="993" w:type="dxa"/>
          </w:tcPr>
          <w:p w:rsidR="005729B5" w:rsidRPr="006E6EA4" w:rsidRDefault="005729B5" w:rsidP="00241DF9">
            <w:pPr>
              <w:pStyle w:val="Tablebodytext"/>
              <w:rPr>
                <w:lang w:val="en-US"/>
              </w:rPr>
            </w:pPr>
            <w:r w:rsidRPr="006E6EA4">
              <w:rPr>
                <w:lang w:val="en-US"/>
              </w:rPr>
              <w:t>4,438</w:t>
            </w:r>
          </w:p>
        </w:tc>
        <w:tc>
          <w:tcPr>
            <w:tcW w:w="1134" w:type="dxa"/>
          </w:tcPr>
          <w:p w:rsidR="005729B5" w:rsidRPr="006E6EA4" w:rsidRDefault="005729B5" w:rsidP="00241DF9">
            <w:pPr>
              <w:pStyle w:val="Tablebodytext"/>
              <w:rPr>
                <w:lang w:val="en-US"/>
              </w:rPr>
            </w:pPr>
            <w:r w:rsidRPr="006E6EA4">
              <w:rPr>
                <w:lang w:val="en-US"/>
              </w:rPr>
              <w:t>4,324</w:t>
            </w:r>
          </w:p>
        </w:tc>
        <w:tc>
          <w:tcPr>
            <w:tcW w:w="992" w:type="dxa"/>
          </w:tcPr>
          <w:p w:rsidR="005729B5" w:rsidRPr="006E6EA4" w:rsidRDefault="005729B5" w:rsidP="00241DF9">
            <w:pPr>
              <w:pStyle w:val="Tablebodytext"/>
              <w:rPr>
                <w:lang w:val="en-US"/>
              </w:rPr>
            </w:pPr>
            <w:r w:rsidRPr="006E6EA4">
              <w:rPr>
                <w:lang w:val="en-US"/>
              </w:rPr>
              <w:t>4,557</w:t>
            </w:r>
          </w:p>
        </w:tc>
      </w:tr>
      <w:tr w:rsidR="005729B5" w:rsidRPr="006E6EA4" w:rsidTr="008B2560">
        <w:tc>
          <w:tcPr>
            <w:tcW w:w="1843" w:type="dxa"/>
            <w:vAlign w:val="bottom"/>
          </w:tcPr>
          <w:p w:rsidR="005729B5" w:rsidRPr="006E6EA4" w:rsidRDefault="005729B5" w:rsidP="00241DF9">
            <w:pPr>
              <w:pStyle w:val="Tablebodytext"/>
              <w:rPr>
                <w:lang w:val="en-US"/>
              </w:rPr>
            </w:pPr>
            <w:r w:rsidRPr="006E6EA4">
              <w:rPr>
                <w:lang w:val="en-US"/>
              </w:rPr>
              <w:t>2018</w:t>
            </w:r>
          </w:p>
        </w:tc>
        <w:tc>
          <w:tcPr>
            <w:tcW w:w="1134" w:type="dxa"/>
          </w:tcPr>
          <w:p w:rsidR="005729B5" w:rsidRPr="006E6EA4" w:rsidRDefault="005729B5" w:rsidP="00241DF9">
            <w:pPr>
              <w:pStyle w:val="Tablebodytext"/>
              <w:rPr>
                <w:lang w:val="en-US"/>
              </w:rPr>
            </w:pPr>
            <w:r w:rsidRPr="006E6EA4">
              <w:rPr>
                <w:lang w:val="en-US"/>
              </w:rPr>
              <w:t>5,365</w:t>
            </w:r>
          </w:p>
        </w:tc>
        <w:tc>
          <w:tcPr>
            <w:tcW w:w="992" w:type="dxa"/>
          </w:tcPr>
          <w:p w:rsidR="005729B5" w:rsidRPr="006E6EA4" w:rsidRDefault="005729B5" w:rsidP="00241DF9">
            <w:pPr>
              <w:pStyle w:val="Tablebodytext"/>
              <w:rPr>
                <w:lang w:val="en-US"/>
              </w:rPr>
            </w:pPr>
            <w:r w:rsidRPr="006E6EA4">
              <w:rPr>
                <w:lang w:val="en-US"/>
              </w:rPr>
              <w:t>5,344</w:t>
            </w:r>
          </w:p>
        </w:tc>
        <w:tc>
          <w:tcPr>
            <w:tcW w:w="1134" w:type="dxa"/>
          </w:tcPr>
          <w:p w:rsidR="005729B5" w:rsidRPr="006E6EA4" w:rsidRDefault="005729B5" w:rsidP="00241DF9">
            <w:pPr>
              <w:pStyle w:val="Tablebodytext"/>
              <w:rPr>
                <w:lang w:val="en-US"/>
              </w:rPr>
            </w:pPr>
            <w:r w:rsidRPr="006E6EA4">
              <w:rPr>
                <w:lang w:val="en-US"/>
              </w:rPr>
              <w:t>5,386</w:t>
            </w:r>
          </w:p>
        </w:tc>
        <w:tc>
          <w:tcPr>
            <w:tcW w:w="993" w:type="dxa"/>
          </w:tcPr>
          <w:p w:rsidR="005729B5" w:rsidRPr="006E6EA4" w:rsidRDefault="005729B5" w:rsidP="00241DF9">
            <w:pPr>
              <w:pStyle w:val="Tablebodytext"/>
              <w:rPr>
                <w:lang w:val="en-US"/>
              </w:rPr>
            </w:pPr>
            <w:r w:rsidRPr="006E6EA4">
              <w:rPr>
                <w:lang w:val="en-US"/>
              </w:rPr>
              <w:t>4,376</w:t>
            </w:r>
          </w:p>
        </w:tc>
        <w:tc>
          <w:tcPr>
            <w:tcW w:w="1134" w:type="dxa"/>
          </w:tcPr>
          <w:p w:rsidR="005729B5" w:rsidRPr="006E6EA4" w:rsidRDefault="005729B5" w:rsidP="00241DF9">
            <w:pPr>
              <w:pStyle w:val="Tablebodytext"/>
              <w:rPr>
                <w:lang w:val="en-US"/>
              </w:rPr>
            </w:pPr>
            <w:r w:rsidRPr="006E6EA4">
              <w:rPr>
                <w:lang w:val="en-US"/>
              </w:rPr>
              <w:t>4,217</w:t>
            </w:r>
          </w:p>
        </w:tc>
        <w:tc>
          <w:tcPr>
            <w:tcW w:w="992" w:type="dxa"/>
          </w:tcPr>
          <w:p w:rsidR="005729B5" w:rsidRPr="006E6EA4" w:rsidRDefault="005729B5" w:rsidP="00241DF9">
            <w:pPr>
              <w:pStyle w:val="Tablebodytext"/>
              <w:rPr>
                <w:lang w:val="en-US"/>
              </w:rPr>
            </w:pPr>
            <w:r w:rsidRPr="006E6EA4">
              <w:rPr>
                <w:lang w:val="en-US"/>
              </w:rPr>
              <w:t>4,541</w:t>
            </w:r>
          </w:p>
        </w:tc>
      </w:tr>
      <w:tr w:rsidR="005729B5" w:rsidRPr="006E6EA4" w:rsidTr="008B2560">
        <w:tc>
          <w:tcPr>
            <w:tcW w:w="1843" w:type="dxa"/>
            <w:vAlign w:val="bottom"/>
          </w:tcPr>
          <w:p w:rsidR="005729B5" w:rsidRPr="006E6EA4" w:rsidRDefault="005729B5" w:rsidP="00241DF9">
            <w:pPr>
              <w:pStyle w:val="Tablebodytext"/>
              <w:rPr>
                <w:lang w:val="en-US"/>
              </w:rPr>
            </w:pPr>
            <w:r w:rsidRPr="006E6EA4">
              <w:rPr>
                <w:lang w:val="en-US"/>
              </w:rPr>
              <w:t>2019</w:t>
            </w:r>
          </w:p>
        </w:tc>
        <w:tc>
          <w:tcPr>
            <w:tcW w:w="1134" w:type="dxa"/>
          </w:tcPr>
          <w:p w:rsidR="005729B5" w:rsidRPr="006E6EA4" w:rsidRDefault="005729B5" w:rsidP="00241DF9">
            <w:pPr>
              <w:pStyle w:val="Tablebodytext"/>
              <w:rPr>
                <w:lang w:val="en-US"/>
              </w:rPr>
            </w:pPr>
            <w:r w:rsidRPr="006E6EA4">
              <w:rPr>
                <w:lang w:val="en-US"/>
              </w:rPr>
              <w:t>5,602</w:t>
            </w:r>
          </w:p>
        </w:tc>
        <w:tc>
          <w:tcPr>
            <w:tcW w:w="992" w:type="dxa"/>
          </w:tcPr>
          <w:p w:rsidR="005729B5" w:rsidRPr="006E6EA4" w:rsidRDefault="005729B5" w:rsidP="00241DF9">
            <w:pPr>
              <w:pStyle w:val="Tablebodytext"/>
              <w:rPr>
                <w:lang w:val="en-US"/>
              </w:rPr>
            </w:pPr>
            <w:r w:rsidRPr="006E6EA4">
              <w:rPr>
                <w:lang w:val="en-US"/>
              </w:rPr>
              <w:t>5,573</w:t>
            </w:r>
          </w:p>
        </w:tc>
        <w:tc>
          <w:tcPr>
            <w:tcW w:w="1134" w:type="dxa"/>
          </w:tcPr>
          <w:p w:rsidR="005729B5" w:rsidRPr="006E6EA4" w:rsidRDefault="005729B5" w:rsidP="00241DF9">
            <w:pPr>
              <w:pStyle w:val="Tablebodytext"/>
              <w:rPr>
                <w:lang w:val="en-US"/>
              </w:rPr>
            </w:pPr>
            <w:r w:rsidRPr="006E6EA4">
              <w:rPr>
                <w:lang w:val="en-US"/>
              </w:rPr>
              <w:t>5,631</w:t>
            </w:r>
          </w:p>
        </w:tc>
        <w:tc>
          <w:tcPr>
            <w:tcW w:w="993" w:type="dxa"/>
          </w:tcPr>
          <w:p w:rsidR="005729B5" w:rsidRPr="006E6EA4" w:rsidRDefault="005729B5" w:rsidP="00241DF9">
            <w:pPr>
              <w:pStyle w:val="Tablebodytext"/>
              <w:rPr>
                <w:lang w:val="en-US"/>
              </w:rPr>
            </w:pPr>
            <w:r w:rsidRPr="006E6EA4">
              <w:rPr>
                <w:lang w:val="en-US"/>
              </w:rPr>
              <w:t>4,310</w:t>
            </w:r>
          </w:p>
        </w:tc>
        <w:tc>
          <w:tcPr>
            <w:tcW w:w="1134" w:type="dxa"/>
          </w:tcPr>
          <w:p w:rsidR="005729B5" w:rsidRPr="006E6EA4" w:rsidRDefault="005729B5" w:rsidP="00241DF9">
            <w:pPr>
              <w:pStyle w:val="Tablebodytext"/>
              <w:rPr>
                <w:lang w:val="en-US"/>
              </w:rPr>
            </w:pPr>
            <w:r w:rsidRPr="006E6EA4">
              <w:rPr>
                <w:lang w:val="en-US"/>
              </w:rPr>
              <w:t>4,110</w:t>
            </w:r>
          </w:p>
        </w:tc>
        <w:tc>
          <w:tcPr>
            <w:tcW w:w="992" w:type="dxa"/>
          </w:tcPr>
          <w:p w:rsidR="005729B5" w:rsidRPr="006E6EA4" w:rsidRDefault="005729B5" w:rsidP="00241DF9">
            <w:pPr>
              <w:pStyle w:val="Tablebodytext"/>
              <w:rPr>
                <w:lang w:val="en-US"/>
              </w:rPr>
            </w:pPr>
            <w:r w:rsidRPr="006E6EA4">
              <w:rPr>
                <w:lang w:val="en-US"/>
              </w:rPr>
              <w:t>4,521</w:t>
            </w:r>
          </w:p>
        </w:tc>
      </w:tr>
      <w:tr w:rsidR="005729B5" w:rsidRPr="006E6EA4" w:rsidTr="008B2560">
        <w:tc>
          <w:tcPr>
            <w:tcW w:w="1843" w:type="dxa"/>
            <w:vAlign w:val="bottom"/>
          </w:tcPr>
          <w:p w:rsidR="005729B5" w:rsidRPr="006E6EA4" w:rsidRDefault="005729B5" w:rsidP="00241DF9">
            <w:pPr>
              <w:pStyle w:val="Tablebodytext"/>
              <w:rPr>
                <w:lang w:val="en-US"/>
              </w:rPr>
            </w:pPr>
            <w:r w:rsidRPr="006E6EA4">
              <w:rPr>
                <w:lang w:val="en-US"/>
              </w:rPr>
              <w:t>2020</w:t>
            </w:r>
          </w:p>
        </w:tc>
        <w:tc>
          <w:tcPr>
            <w:tcW w:w="1134" w:type="dxa"/>
          </w:tcPr>
          <w:p w:rsidR="005729B5" w:rsidRPr="006E6EA4" w:rsidRDefault="005729B5" w:rsidP="00241DF9">
            <w:pPr>
              <w:pStyle w:val="Tablebodytext"/>
              <w:rPr>
                <w:lang w:val="en-US"/>
              </w:rPr>
            </w:pPr>
            <w:r w:rsidRPr="006E6EA4">
              <w:rPr>
                <w:lang w:val="en-US"/>
              </w:rPr>
              <w:t>5,851</w:t>
            </w:r>
          </w:p>
        </w:tc>
        <w:tc>
          <w:tcPr>
            <w:tcW w:w="992" w:type="dxa"/>
          </w:tcPr>
          <w:p w:rsidR="005729B5" w:rsidRPr="006E6EA4" w:rsidRDefault="005729B5" w:rsidP="00241DF9">
            <w:pPr>
              <w:pStyle w:val="Tablebodytext"/>
              <w:rPr>
                <w:lang w:val="en-US"/>
              </w:rPr>
            </w:pPr>
            <w:r w:rsidRPr="006E6EA4">
              <w:rPr>
                <w:lang w:val="en-US"/>
              </w:rPr>
              <w:t>5,813</w:t>
            </w:r>
          </w:p>
        </w:tc>
        <w:tc>
          <w:tcPr>
            <w:tcW w:w="1134" w:type="dxa"/>
          </w:tcPr>
          <w:p w:rsidR="005729B5" w:rsidRPr="006E6EA4" w:rsidRDefault="005729B5" w:rsidP="00241DF9">
            <w:pPr>
              <w:pStyle w:val="Tablebodytext"/>
              <w:rPr>
                <w:lang w:val="en-US"/>
              </w:rPr>
            </w:pPr>
            <w:r w:rsidRPr="006E6EA4">
              <w:rPr>
                <w:lang w:val="en-US"/>
              </w:rPr>
              <w:t>5,888</w:t>
            </w:r>
          </w:p>
        </w:tc>
        <w:tc>
          <w:tcPr>
            <w:tcW w:w="993" w:type="dxa"/>
          </w:tcPr>
          <w:p w:rsidR="005729B5" w:rsidRPr="006E6EA4" w:rsidRDefault="005729B5" w:rsidP="00241DF9">
            <w:pPr>
              <w:pStyle w:val="Tablebodytext"/>
              <w:rPr>
                <w:lang w:val="en-US"/>
              </w:rPr>
            </w:pPr>
            <w:r w:rsidRPr="006E6EA4">
              <w:rPr>
                <w:lang w:val="en-US"/>
              </w:rPr>
              <w:t>4,247</w:t>
            </w:r>
          </w:p>
        </w:tc>
        <w:tc>
          <w:tcPr>
            <w:tcW w:w="1134" w:type="dxa"/>
          </w:tcPr>
          <w:p w:rsidR="005729B5" w:rsidRPr="006E6EA4" w:rsidRDefault="005729B5" w:rsidP="00241DF9">
            <w:pPr>
              <w:pStyle w:val="Tablebodytext"/>
              <w:rPr>
                <w:lang w:val="en-US"/>
              </w:rPr>
            </w:pPr>
            <w:r w:rsidRPr="006E6EA4">
              <w:rPr>
                <w:lang w:val="en-US"/>
              </w:rPr>
              <w:t>4,007</w:t>
            </w:r>
          </w:p>
        </w:tc>
        <w:tc>
          <w:tcPr>
            <w:tcW w:w="992" w:type="dxa"/>
          </w:tcPr>
          <w:p w:rsidR="005729B5" w:rsidRPr="006E6EA4" w:rsidRDefault="005729B5" w:rsidP="00241DF9">
            <w:pPr>
              <w:pStyle w:val="Tablebodytext"/>
              <w:rPr>
                <w:lang w:val="en-US"/>
              </w:rPr>
            </w:pPr>
            <w:r w:rsidRPr="006E6EA4">
              <w:rPr>
                <w:lang w:val="en-US"/>
              </w:rPr>
              <w:t>4,502</w:t>
            </w:r>
          </w:p>
        </w:tc>
      </w:tr>
      <w:tr w:rsidR="005729B5" w:rsidRPr="006E6EA4" w:rsidTr="008B2560">
        <w:tc>
          <w:tcPr>
            <w:tcW w:w="1843" w:type="dxa"/>
            <w:vAlign w:val="bottom"/>
          </w:tcPr>
          <w:p w:rsidR="005729B5" w:rsidRPr="006E6EA4" w:rsidRDefault="005729B5" w:rsidP="00241DF9">
            <w:pPr>
              <w:pStyle w:val="Tablebodytext"/>
              <w:rPr>
                <w:lang w:val="en-US"/>
              </w:rPr>
            </w:pPr>
            <w:r w:rsidRPr="006E6EA4">
              <w:rPr>
                <w:lang w:val="en-US"/>
              </w:rPr>
              <w:t>2030</w:t>
            </w:r>
          </w:p>
        </w:tc>
        <w:tc>
          <w:tcPr>
            <w:tcW w:w="1134" w:type="dxa"/>
          </w:tcPr>
          <w:p w:rsidR="005729B5" w:rsidRPr="006E6EA4" w:rsidRDefault="005729B5" w:rsidP="00241DF9">
            <w:pPr>
              <w:pStyle w:val="Tablebodytext"/>
              <w:rPr>
                <w:lang w:val="en-US"/>
              </w:rPr>
            </w:pPr>
            <w:r w:rsidRPr="006E6EA4">
              <w:rPr>
                <w:lang w:val="en-US"/>
              </w:rPr>
              <w:t>8,863</w:t>
            </w:r>
          </w:p>
        </w:tc>
        <w:tc>
          <w:tcPr>
            <w:tcW w:w="992" w:type="dxa"/>
          </w:tcPr>
          <w:p w:rsidR="005729B5" w:rsidRPr="006E6EA4" w:rsidRDefault="005729B5" w:rsidP="00241DF9">
            <w:pPr>
              <w:pStyle w:val="Tablebodytext"/>
              <w:rPr>
                <w:lang w:val="en-US"/>
              </w:rPr>
            </w:pPr>
            <w:r w:rsidRPr="006E6EA4">
              <w:rPr>
                <w:lang w:val="en-US"/>
              </w:rPr>
              <w:t>8,693</w:t>
            </w:r>
          </w:p>
        </w:tc>
        <w:tc>
          <w:tcPr>
            <w:tcW w:w="1134" w:type="dxa"/>
          </w:tcPr>
          <w:p w:rsidR="005729B5" w:rsidRPr="006E6EA4" w:rsidRDefault="005729B5" w:rsidP="00241DF9">
            <w:pPr>
              <w:pStyle w:val="Tablebodytext"/>
              <w:rPr>
                <w:lang w:val="en-US"/>
              </w:rPr>
            </w:pPr>
            <w:r w:rsidRPr="006E6EA4">
              <w:rPr>
                <w:lang w:val="en-US"/>
              </w:rPr>
              <w:t>9,014</w:t>
            </w:r>
          </w:p>
        </w:tc>
        <w:tc>
          <w:tcPr>
            <w:tcW w:w="993" w:type="dxa"/>
          </w:tcPr>
          <w:p w:rsidR="005729B5" w:rsidRPr="006E6EA4" w:rsidRDefault="005729B5" w:rsidP="00241DF9">
            <w:pPr>
              <w:pStyle w:val="Tablebodytext"/>
              <w:rPr>
                <w:lang w:val="en-US"/>
              </w:rPr>
            </w:pPr>
            <w:r w:rsidRPr="006E6EA4">
              <w:rPr>
                <w:lang w:val="en-US"/>
              </w:rPr>
              <w:t>3,592</w:t>
            </w:r>
          </w:p>
        </w:tc>
        <w:tc>
          <w:tcPr>
            <w:tcW w:w="1134" w:type="dxa"/>
          </w:tcPr>
          <w:p w:rsidR="005729B5" w:rsidRPr="006E6EA4" w:rsidRDefault="005729B5" w:rsidP="00241DF9">
            <w:pPr>
              <w:pStyle w:val="Tablebodytext"/>
              <w:rPr>
                <w:lang w:val="en-US"/>
              </w:rPr>
            </w:pPr>
            <w:r w:rsidRPr="006E6EA4">
              <w:rPr>
                <w:lang w:val="en-US"/>
              </w:rPr>
              <w:t>3,046</w:t>
            </w:r>
          </w:p>
        </w:tc>
        <w:tc>
          <w:tcPr>
            <w:tcW w:w="992" w:type="dxa"/>
          </w:tcPr>
          <w:p w:rsidR="005729B5" w:rsidRPr="006E6EA4" w:rsidRDefault="005729B5" w:rsidP="00241DF9">
            <w:pPr>
              <w:pStyle w:val="Tablebodytext"/>
              <w:rPr>
                <w:lang w:val="en-US"/>
              </w:rPr>
            </w:pPr>
            <w:r w:rsidRPr="006E6EA4">
              <w:rPr>
                <w:lang w:val="en-US"/>
              </w:rPr>
              <w:t>4,231</w:t>
            </w:r>
          </w:p>
        </w:tc>
      </w:tr>
      <w:tr w:rsidR="005729B5" w:rsidRPr="006E6EA4" w:rsidTr="008B2560">
        <w:tc>
          <w:tcPr>
            <w:tcW w:w="1843" w:type="dxa"/>
            <w:vAlign w:val="bottom"/>
          </w:tcPr>
          <w:p w:rsidR="005729B5" w:rsidRPr="006E6EA4" w:rsidRDefault="005729B5" w:rsidP="00241DF9">
            <w:pPr>
              <w:pStyle w:val="Tablebodytext"/>
              <w:rPr>
                <w:lang w:val="en-US"/>
              </w:rPr>
            </w:pPr>
            <w:r w:rsidRPr="006E6EA4">
              <w:rPr>
                <w:lang w:val="en-US"/>
              </w:rPr>
              <w:t>2040</w:t>
            </w:r>
          </w:p>
        </w:tc>
        <w:tc>
          <w:tcPr>
            <w:tcW w:w="1134" w:type="dxa"/>
          </w:tcPr>
          <w:p w:rsidR="005729B5" w:rsidRPr="006E6EA4" w:rsidRDefault="005729B5" w:rsidP="00241DF9">
            <w:pPr>
              <w:pStyle w:val="Tablebodytext"/>
              <w:rPr>
                <w:lang w:val="en-US"/>
              </w:rPr>
            </w:pPr>
            <w:r w:rsidRPr="006E6EA4">
              <w:rPr>
                <w:lang w:val="en-US"/>
              </w:rPr>
              <w:t>12,057</w:t>
            </w:r>
          </w:p>
        </w:tc>
        <w:tc>
          <w:tcPr>
            <w:tcW w:w="992" w:type="dxa"/>
          </w:tcPr>
          <w:p w:rsidR="005729B5" w:rsidRPr="006E6EA4" w:rsidRDefault="005729B5" w:rsidP="00241DF9">
            <w:pPr>
              <w:pStyle w:val="Tablebodytext"/>
              <w:rPr>
                <w:lang w:val="en-US"/>
              </w:rPr>
            </w:pPr>
            <w:r w:rsidRPr="006E6EA4">
              <w:rPr>
                <w:lang w:val="en-US"/>
              </w:rPr>
              <w:t>11,869</w:t>
            </w:r>
          </w:p>
        </w:tc>
        <w:tc>
          <w:tcPr>
            <w:tcW w:w="1134" w:type="dxa"/>
          </w:tcPr>
          <w:p w:rsidR="005729B5" w:rsidRPr="006E6EA4" w:rsidRDefault="005729B5" w:rsidP="00241DF9">
            <w:pPr>
              <w:pStyle w:val="Tablebodytext"/>
              <w:rPr>
                <w:lang w:val="en-US"/>
              </w:rPr>
            </w:pPr>
            <w:r w:rsidRPr="006E6EA4">
              <w:rPr>
                <w:lang w:val="en-US"/>
              </w:rPr>
              <w:t>12,204</w:t>
            </w:r>
          </w:p>
        </w:tc>
        <w:tc>
          <w:tcPr>
            <w:tcW w:w="993" w:type="dxa"/>
          </w:tcPr>
          <w:p w:rsidR="005729B5" w:rsidRPr="006E6EA4" w:rsidRDefault="005729B5" w:rsidP="00241DF9">
            <w:pPr>
              <w:pStyle w:val="Tablebodytext"/>
              <w:rPr>
                <w:lang w:val="en-US"/>
              </w:rPr>
            </w:pPr>
            <w:r w:rsidRPr="006E6EA4">
              <w:rPr>
                <w:lang w:val="en-US"/>
              </w:rPr>
              <w:t>2,729</w:t>
            </w:r>
          </w:p>
        </w:tc>
        <w:tc>
          <w:tcPr>
            <w:tcW w:w="1134" w:type="dxa"/>
          </w:tcPr>
          <w:p w:rsidR="005729B5" w:rsidRPr="006E6EA4" w:rsidRDefault="005729B5" w:rsidP="00241DF9">
            <w:pPr>
              <w:pStyle w:val="Tablebodytext"/>
              <w:rPr>
                <w:lang w:val="en-US"/>
              </w:rPr>
            </w:pPr>
            <w:r w:rsidRPr="006E6EA4">
              <w:rPr>
                <w:lang w:val="en-US"/>
              </w:rPr>
              <w:t>2,114</w:t>
            </w:r>
          </w:p>
        </w:tc>
        <w:tc>
          <w:tcPr>
            <w:tcW w:w="992" w:type="dxa"/>
          </w:tcPr>
          <w:p w:rsidR="005729B5" w:rsidRPr="006E6EA4" w:rsidRDefault="005729B5" w:rsidP="00241DF9">
            <w:pPr>
              <w:pStyle w:val="Tablebodytext"/>
              <w:rPr>
                <w:lang w:val="en-US"/>
              </w:rPr>
            </w:pPr>
            <w:r w:rsidRPr="006E6EA4">
              <w:rPr>
                <w:lang w:val="en-US"/>
              </w:rPr>
              <w:t>3,517</w:t>
            </w:r>
          </w:p>
        </w:tc>
      </w:tr>
      <w:tr w:rsidR="005729B5" w:rsidRPr="006E6EA4" w:rsidTr="007674B8">
        <w:tc>
          <w:tcPr>
            <w:tcW w:w="1843" w:type="dxa"/>
            <w:tcBorders>
              <w:bottom w:val="single" w:sz="2" w:space="0" w:color="A7B4BE"/>
            </w:tcBorders>
            <w:vAlign w:val="bottom"/>
          </w:tcPr>
          <w:p w:rsidR="005729B5" w:rsidRPr="006E6EA4" w:rsidRDefault="005729B5" w:rsidP="00241DF9">
            <w:pPr>
              <w:pStyle w:val="Tablebodytext"/>
              <w:rPr>
                <w:lang w:val="en-US"/>
              </w:rPr>
            </w:pPr>
            <w:r w:rsidRPr="006E6EA4">
              <w:rPr>
                <w:lang w:val="en-US"/>
              </w:rPr>
              <w:t>2050</w:t>
            </w:r>
          </w:p>
        </w:tc>
        <w:tc>
          <w:tcPr>
            <w:tcW w:w="1134" w:type="dxa"/>
            <w:tcBorders>
              <w:bottom w:val="single" w:sz="2" w:space="0" w:color="A7B4BE"/>
            </w:tcBorders>
          </w:tcPr>
          <w:p w:rsidR="005729B5" w:rsidRPr="006E6EA4" w:rsidRDefault="005729B5" w:rsidP="00241DF9">
            <w:pPr>
              <w:pStyle w:val="Tablebodytext"/>
              <w:rPr>
                <w:lang w:val="en-US"/>
              </w:rPr>
            </w:pPr>
            <w:r w:rsidRPr="006E6EA4">
              <w:rPr>
                <w:lang w:val="en-US"/>
              </w:rPr>
              <w:t>12,699</w:t>
            </w:r>
          </w:p>
        </w:tc>
        <w:tc>
          <w:tcPr>
            <w:tcW w:w="992" w:type="dxa"/>
            <w:tcBorders>
              <w:bottom w:val="single" w:sz="2" w:space="0" w:color="A7B4BE"/>
            </w:tcBorders>
          </w:tcPr>
          <w:p w:rsidR="005729B5" w:rsidRPr="006E6EA4" w:rsidRDefault="005729B5" w:rsidP="00241DF9">
            <w:pPr>
              <w:pStyle w:val="Tablebodytext"/>
              <w:rPr>
                <w:lang w:val="en-US"/>
              </w:rPr>
            </w:pPr>
            <w:r w:rsidRPr="006E6EA4">
              <w:rPr>
                <w:lang w:val="en-US"/>
              </w:rPr>
              <w:t>12,828</w:t>
            </w:r>
          </w:p>
        </w:tc>
        <w:tc>
          <w:tcPr>
            <w:tcW w:w="1134" w:type="dxa"/>
            <w:tcBorders>
              <w:bottom w:val="single" w:sz="2" w:space="0" w:color="A7B4BE"/>
            </w:tcBorders>
          </w:tcPr>
          <w:p w:rsidR="005729B5" w:rsidRPr="006E6EA4" w:rsidRDefault="005729B5" w:rsidP="00241DF9">
            <w:pPr>
              <w:pStyle w:val="Tablebodytext"/>
              <w:rPr>
                <w:lang w:val="en-US"/>
              </w:rPr>
            </w:pPr>
            <w:r w:rsidRPr="006E6EA4">
              <w:rPr>
                <w:lang w:val="en-US"/>
              </w:rPr>
              <w:t>12,585</w:t>
            </w:r>
          </w:p>
        </w:tc>
        <w:tc>
          <w:tcPr>
            <w:tcW w:w="993" w:type="dxa"/>
            <w:tcBorders>
              <w:bottom w:val="single" w:sz="2" w:space="0" w:color="A7B4BE"/>
            </w:tcBorders>
          </w:tcPr>
          <w:p w:rsidR="005729B5" w:rsidRPr="006E6EA4" w:rsidRDefault="005729B5" w:rsidP="00241DF9">
            <w:pPr>
              <w:pStyle w:val="Tablebodytext"/>
              <w:rPr>
                <w:lang w:val="en-US"/>
              </w:rPr>
            </w:pPr>
            <w:r w:rsidRPr="006E6EA4">
              <w:rPr>
                <w:lang w:val="en-US"/>
              </w:rPr>
              <w:t>1,605</w:t>
            </w:r>
          </w:p>
        </w:tc>
        <w:tc>
          <w:tcPr>
            <w:tcW w:w="1134" w:type="dxa"/>
            <w:tcBorders>
              <w:bottom w:val="single" w:sz="2" w:space="0" w:color="A7B4BE"/>
            </w:tcBorders>
          </w:tcPr>
          <w:p w:rsidR="005729B5" w:rsidRPr="006E6EA4" w:rsidRDefault="005729B5" w:rsidP="00241DF9">
            <w:pPr>
              <w:pStyle w:val="Tablebodytext"/>
              <w:rPr>
                <w:lang w:val="en-US"/>
              </w:rPr>
            </w:pPr>
            <w:r w:rsidRPr="006E6EA4">
              <w:rPr>
                <w:lang w:val="en-US"/>
              </w:rPr>
              <w:t>1,162</w:t>
            </w:r>
          </w:p>
        </w:tc>
        <w:tc>
          <w:tcPr>
            <w:tcW w:w="992" w:type="dxa"/>
            <w:tcBorders>
              <w:bottom w:val="single" w:sz="2" w:space="0" w:color="A7B4BE"/>
            </w:tcBorders>
          </w:tcPr>
          <w:p w:rsidR="005729B5" w:rsidRPr="006E6EA4" w:rsidRDefault="005729B5" w:rsidP="00241DF9">
            <w:pPr>
              <w:pStyle w:val="Tablebodytext"/>
              <w:rPr>
                <w:lang w:val="en-US"/>
              </w:rPr>
            </w:pPr>
            <w:r w:rsidRPr="006E6EA4">
              <w:rPr>
                <w:lang w:val="en-US"/>
              </w:rPr>
              <w:t>2,227</w:t>
            </w:r>
          </w:p>
        </w:tc>
      </w:tr>
    </w:tbl>
    <w:p w:rsidR="00241DF9" w:rsidRPr="00241DF9" w:rsidRDefault="00241DF9" w:rsidP="00241DF9">
      <w:pPr>
        <w:pStyle w:val="Sourcenotetext"/>
        <w:rPr>
          <w:rFonts w:ascii="Cambria" w:hAnsi="Cambria" w:cs="Times New Roman"/>
          <w:sz w:val="22"/>
          <w:szCs w:val="24"/>
          <w:lang w:eastAsia="en-AU"/>
        </w:rPr>
      </w:pPr>
      <w:r>
        <w:rPr>
          <w:lang w:val="en-US"/>
        </w:rPr>
        <w:t>Note 1:</w:t>
      </w:r>
      <w:r w:rsidR="00F72905">
        <w:rPr>
          <w:lang w:val="en-US"/>
        </w:rPr>
        <w:t xml:space="preserve"> </w:t>
      </w:r>
      <w:r w:rsidRPr="006E6EA4">
        <w:rPr>
          <w:lang w:val="en-US"/>
        </w:rPr>
        <w:t xml:space="preserve">It can be seen that the investment return/discount rate has little impact on the nominal outlays as the Schemes are unfunded apart from member and productivity contributions. </w:t>
      </w:r>
    </w:p>
    <w:p w:rsidR="00241DF9" w:rsidRDefault="00241DF9" w:rsidP="00241DF9">
      <w:pPr>
        <w:pStyle w:val="Sourcenotetext"/>
        <w:rPr>
          <w:lang w:val="en-US"/>
        </w:rPr>
      </w:pPr>
      <w:r>
        <w:rPr>
          <w:lang w:val="en-US"/>
        </w:rPr>
        <w:t xml:space="preserve">Note 2: </w:t>
      </w:r>
      <w:r w:rsidRPr="006E6EA4">
        <w:rPr>
          <w:lang w:val="en-US"/>
        </w:rPr>
        <w:t xml:space="preserve">These nominal outlays are then discounted at different rates leading to variations in the discounted outlays. </w:t>
      </w:r>
    </w:p>
    <w:p w:rsidR="005729B5" w:rsidRDefault="003F639C" w:rsidP="00241DF9">
      <w:pPr>
        <w:rPr>
          <w:lang w:eastAsia="en-AU"/>
        </w:rPr>
      </w:pPr>
      <w:r>
        <w:rPr>
          <w:lang w:eastAsia="en-AU"/>
        </w:rPr>
        <w:br w:type="page"/>
      </w:r>
      <w:r w:rsidR="005729B5">
        <w:rPr>
          <w:lang w:eastAsia="en-AU"/>
        </w:rPr>
        <w:lastRenderedPageBreak/>
        <w:t>The table below shows the projected total PSS and CSS outlays for the next six years and then for the next three 10-year intervals under the valuation basis and the alternative assumptions for general salary increases.</w:t>
      </w:r>
    </w:p>
    <w:p w:rsidR="00241DF9" w:rsidRDefault="00241DF9" w:rsidP="00241DF9">
      <w:pPr>
        <w:pStyle w:val="Heading4nonumbers"/>
        <w:rPr>
          <w:lang w:eastAsia="en-AU"/>
        </w:rPr>
      </w:pPr>
      <w:r w:rsidRPr="006E6EA4">
        <w:t>Projected Total PSS and CSS Future Outlays</w:t>
      </w:r>
    </w:p>
    <w:tbl>
      <w:tblPr>
        <w:tblW w:w="8222" w:type="dxa"/>
        <w:tblBorders>
          <w:top w:val="single" w:sz="2" w:space="0" w:color="A7B4BE"/>
          <w:bottom w:val="single" w:sz="2" w:space="0" w:color="A7B4BE"/>
          <w:insideH w:val="single" w:sz="2" w:space="0" w:color="A7B4BE"/>
          <w:insideV w:val="single" w:sz="2" w:space="0" w:color="A7B4BE"/>
        </w:tblBorders>
        <w:tblLayout w:type="fixed"/>
        <w:tblCellMar>
          <w:left w:w="0" w:type="dxa"/>
          <w:right w:w="0" w:type="dxa"/>
        </w:tblCellMar>
        <w:tblLook w:val="04A0"/>
      </w:tblPr>
      <w:tblGrid>
        <w:gridCol w:w="1843"/>
        <w:gridCol w:w="1134"/>
        <w:gridCol w:w="992"/>
        <w:gridCol w:w="1134"/>
        <w:gridCol w:w="993"/>
        <w:gridCol w:w="1134"/>
        <w:gridCol w:w="992"/>
      </w:tblGrid>
      <w:tr w:rsidR="005729B5" w:rsidRPr="006E6EA4" w:rsidTr="008B2560">
        <w:tc>
          <w:tcPr>
            <w:tcW w:w="1843" w:type="dxa"/>
            <w:vMerge w:val="restart"/>
            <w:shd w:val="clear" w:color="auto" w:fill="DDF3FA"/>
          </w:tcPr>
          <w:p w:rsidR="005729B5" w:rsidRPr="006E6EA4" w:rsidRDefault="005729B5" w:rsidP="00745381">
            <w:pPr>
              <w:pStyle w:val="Tablecolumnheading"/>
            </w:pPr>
            <w:r w:rsidRPr="006E6EA4">
              <w:rPr>
                <w:lang w:val="en-US"/>
              </w:rPr>
              <w:t xml:space="preserve">Year ending </w:t>
            </w:r>
            <w:r w:rsidRPr="006E6EA4">
              <w:rPr>
                <w:lang w:val="en-US"/>
              </w:rPr>
              <w:br/>
              <w:t>30 June</w:t>
            </w:r>
          </w:p>
        </w:tc>
        <w:tc>
          <w:tcPr>
            <w:tcW w:w="3260" w:type="dxa"/>
            <w:gridSpan w:val="3"/>
            <w:shd w:val="clear" w:color="auto" w:fill="DDF3FA"/>
            <w:vAlign w:val="center"/>
          </w:tcPr>
          <w:p w:rsidR="005729B5" w:rsidRPr="006E6EA4" w:rsidRDefault="005729B5" w:rsidP="00745381">
            <w:pPr>
              <w:pStyle w:val="Tablecolumnheading"/>
              <w:rPr>
                <w:lang w:val="en-US"/>
              </w:rPr>
            </w:pPr>
            <w:r w:rsidRPr="006E6EA4">
              <w:rPr>
                <w:lang w:val="en-US"/>
              </w:rPr>
              <w:t>Nominal Outlays</w:t>
            </w:r>
          </w:p>
          <w:p w:rsidR="005729B5" w:rsidRPr="006E6EA4" w:rsidRDefault="005729B5" w:rsidP="00745381">
            <w:pPr>
              <w:pStyle w:val="Tablecolumnheading"/>
              <w:rPr>
                <w:lang w:val="en-US"/>
              </w:rPr>
            </w:pPr>
            <w:r w:rsidRPr="006E6EA4">
              <w:rPr>
                <w:lang w:val="en-US"/>
              </w:rPr>
              <w:t>($ millions)</w:t>
            </w:r>
          </w:p>
        </w:tc>
        <w:tc>
          <w:tcPr>
            <w:tcW w:w="3119" w:type="dxa"/>
            <w:gridSpan w:val="3"/>
            <w:shd w:val="clear" w:color="auto" w:fill="DDF3FA"/>
            <w:vAlign w:val="center"/>
          </w:tcPr>
          <w:p w:rsidR="005729B5" w:rsidRPr="006E6EA4" w:rsidRDefault="005729B5" w:rsidP="00745381">
            <w:pPr>
              <w:pStyle w:val="Tablecolumnheading"/>
              <w:rPr>
                <w:lang w:val="en-US"/>
              </w:rPr>
            </w:pPr>
            <w:r w:rsidRPr="006E6EA4">
              <w:rPr>
                <w:lang w:val="en-US"/>
              </w:rPr>
              <w:t>Discounted Outlays</w:t>
            </w:r>
          </w:p>
          <w:p w:rsidR="005729B5" w:rsidRPr="006E6EA4" w:rsidRDefault="005729B5" w:rsidP="00745381">
            <w:pPr>
              <w:pStyle w:val="Tablecolumnheading"/>
              <w:rPr>
                <w:lang w:val="en-US"/>
              </w:rPr>
            </w:pPr>
            <w:r w:rsidRPr="006E6EA4">
              <w:rPr>
                <w:lang w:val="en-US"/>
              </w:rPr>
              <w:t>($ millions)</w:t>
            </w:r>
          </w:p>
        </w:tc>
      </w:tr>
      <w:tr w:rsidR="005729B5" w:rsidRPr="006E6EA4" w:rsidTr="008B2560">
        <w:tc>
          <w:tcPr>
            <w:tcW w:w="1843" w:type="dxa"/>
            <w:vMerge/>
            <w:shd w:val="clear" w:color="auto" w:fill="DDF3FA"/>
          </w:tcPr>
          <w:p w:rsidR="005729B5" w:rsidRPr="006E6EA4" w:rsidRDefault="005729B5" w:rsidP="00745381">
            <w:pPr>
              <w:pStyle w:val="Tablecolumnheading"/>
            </w:pPr>
          </w:p>
        </w:tc>
        <w:tc>
          <w:tcPr>
            <w:tcW w:w="1134" w:type="dxa"/>
            <w:shd w:val="clear" w:color="auto" w:fill="DDF3FA"/>
            <w:vAlign w:val="center"/>
          </w:tcPr>
          <w:p w:rsidR="005729B5" w:rsidRPr="006E6EA4" w:rsidRDefault="005729B5" w:rsidP="00745381">
            <w:pPr>
              <w:pStyle w:val="Tablecolumnheading"/>
              <w:rPr>
                <w:lang w:val="en-US"/>
              </w:rPr>
            </w:pPr>
            <w:r w:rsidRPr="006E6EA4">
              <w:rPr>
                <w:lang w:val="en-US"/>
              </w:rPr>
              <w:t>Valuation basis</w:t>
            </w:r>
          </w:p>
        </w:tc>
        <w:tc>
          <w:tcPr>
            <w:tcW w:w="992" w:type="dxa"/>
            <w:shd w:val="clear" w:color="auto" w:fill="DDF3FA"/>
            <w:vAlign w:val="center"/>
          </w:tcPr>
          <w:p w:rsidR="005729B5" w:rsidRPr="006E6EA4" w:rsidRDefault="005729B5" w:rsidP="00745381">
            <w:pPr>
              <w:pStyle w:val="Tablecolumnheading"/>
              <w:rPr>
                <w:lang w:val="en-US"/>
              </w:rPr>
            </w:pPr>
            <w:r w:rsidRPr="006E6EA4">
              <w:rPr>
                <w:lang w:val="en-US"/>
              </w:rPr>
              <w:t>Salary increase +1%</w:t>
            </w:r>
          </w:p>
        </w:tc>
        <w:tc>
          <w:tcPr>
            <w:tcW w:w="1134" w:type="dxa"/>
            <w:shd w:val="clear" w:color="auto" w:fill="DDF3FA"/>
            <w:vAlign w:val="center"/>
          </w:tcPr>
          <w:p w:rsidR="005729B5" w:rsidRPr="006E6EA4" w:rsidRDefault="005729B5" w:rsidP="00745381">
            <w:pPr>
              <w:pStyle w:val="Tablecolumnheading"/>
              <w:rPr>
                <w:lang w:val="en-US"/>
              </w:rPr>
            </w:pPr>
            <w:r w:rsidRPr="006E6EA4">
              <w:rPr>
                <w:lang w:val="en-US"/>
              </w:rPr>
              <w:t>Salary increase -1%</w:t>
            </w:r>
          </w:p>
        </w:tc>
        <w:tc>
          <w:tcPr>
            <w:tcW w:w="993" w:type="dxa"/>
            <w:shd w:val="clear" w:color="auto" w:fill="DDF3FA"/>
            <w:vAlign w:val="center"/>
          </w:tcPr>
          <w:p w:rsidR="005729B5" w:rsidRPr="006E6EA4" w:rsidRDefault="005729B5" w:rsidP="00745381">
            <w:pPr>
              <w:pStyle w:val="Tablecolumnheading"/>
              <w:rPr>
                <w:lang w:val="en-US"/>
              </w:rPr>
            </w:pPr>
            <w:r w:rsidRPr="006E6EA4">
              <w:rPr>
                <w:lang w:val="en-US"/>
              </w:rPr>
              <w:t>Valuation basis</w:t>
            </w:r>
          </w:p>
        </w:tc>
        <w:tc>
          <w:tcPr>
            <w:tcW w:w="1134" w:type="dxa"/>
            <w:shd w:val="clear" w:color="auto" w:fill="DDF3FA"/>
          </w:tcPr>
          <w:p w:rsidR="005729B5" w:rsidRPr="006E6EA4" w:rsidRDefault="005729B5" w:rsidP="00745381">
            <w:pPr>
              <w:pStyle w:val="Tablecolumnheading"/>
              <w:rPr>
                <w:lang w:val="en-US"/>
              </w:rPr>
            </w:pPr>
            <w:r w:rsidRPr="006E6EA4">
              <w:rPr>
                <w:lang w:val="en-US"/>
              </w:rPr>
              <w:t>Salary increase -1%</w:t>
            </w:r>
          </w:p>
        </w:tc>
        <w:tc>
          <w:tcPr>
            <w:tcW w:w="992" w:type="dxa"/>
            <w:shd w:val="clear" w:color="auto" w:fill="DDF3FA"/>
          </w:tcPr>
          <w:p w:rsidR="005729B5" w:rsidRPr="006E6EA4" w:rsidRDefault="005729B5" w:rsidP="00745381">
            <w:pPr>
              <w:pStyle w:val="Tablecolumnheading"/>
              <w:rPr>
                <w:lang w:val="en-US"/>
              </w:rPr>
            </w:pPr>
            <w:r w:rsidRPr="006E6EA4">
              <w:rPr>
                <w:lang w:val="en-US"/>
              </w:rPr>
              <w:t>Salary increase -1%</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2015</w:t>
            </w:r>
          </w:p>
        </w:tc>
        <w:tc>
          <w:tcPr>
            <w:tcW w:w="1134" w:type="dxa"/>
          </w:tcPr>
          <w:p w:rsidR="005729B5" w:rsidRPr="006E6EA4" w:rsidRDefault="005729B5" w:rsidP="00745381">
            <w:pPr>
              <w:pStyle w:val="Tablebodytext"/>
            </w:pPr>
            <w:r w:rsidRPr="006E6EA4">
              <w:t>4,695</w:t>
            </w:r>
          </w:p>
        </w:tc>
        <w:tc>
          <w:tcPr>
            <w:tcW w:w="992" w:type="dxa"/>
          </w:tcPr>
          <w:p w:rsidR="005729B5" w:rsidRPr="006E6EA4" w:rsidRDefault="005729B5" w:rsidP="00745381">
            <w:pPr>
              <w:pStyle w:val="Tablebodytext"/>
            </w:pPr>
            <w:r w:rsidRPr="006E6EA4">
              <w:t>4,695</w:t>
            </w:r>
          </w:p>
        </w:tc>
        <w:tc>
          <w:tcPr>
            <w:tcW w:w="1134" w:type="dxa"/>
          </w:tcPr>
          <w:p w:rsidR="005729B5" w:rsidRPr="006E6EA4" w:rsidRDefault="005729B5" w:rsidP="00745381">
            <w:pPr>
              <w:pStyle w:val="Tablebodytext"/>
            </w:pPr>
            <w:r w:rsidRPr="006E6EA4">
              <w:t>4,695</w:t>
            </w:r>
          </w:p>
        </w:tc>
        <w:tc>
          <w:tcPr>
            <w:tcW w:w="993" w:type="dxa"/>
          </w:tcPr>
          <w:p w:rsidR="005729B5" w:rsidRPr="006E6EA4" w:rsidRDefault="005729B5" w:rsidP="00745381">
            <w:pPr>
              <w:pStyle w:val="Tablebodytext"/>
            </w:pPr>
            <w:r w:rsidRPr="006E6EA4">
              <w:t>4,560</w:t>
            </w:r>
          </w:p>
        </w:tc>
        <w:tc>
          <w:tcPr>
            <w:tcW w:w="1134" w:type="dxa"/>
          </w:tcPr>
          <w:p w:rsidR="005729B5" w:rsidRPr="006E6EA4" w:rsidRDefault="005729B5" w:rsidP="00745381">
            <w:pPr>
              <w:pStyle w:val="Tablebodytext"/>
            </w:pPr>
            <w:r w:rsidRPr="006E6EA4">
              <w:t>4,560</w:t>
            </w:r>
          </w:p>
        </w:tc>
        <w:tc>
          <w:tcPr>
            <w:tcW w:w="992" w:type="dxa"/>
          </w:tcPr>
          <w:p w:rsidR="005729B5" w:rsidRPr="006E6EA4" w:rsidRDefault="005729B5" w:rsidP="00745381">
            <w:pPr>
              <w:pStyle w:val="Tablebodytext"/>
            </w:pPr>
            <w:r w:rsidRPr="006E6EA4">
              <w:t>4,560</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2016</w:t>
            </w:r>
          </w:p>
        </w:tc>
        <w:tc>
          <w:tcPr>
            <w:tcW w:w="1134" w:type="dxa"/>
          </w:tcPr>
          <w:p w:rsidR="005729B5" w:rsidRPr="006E6EA4" w:rsidRDefault="005729B5" w:rsidP="00745381">
            <w:pPr>
              <w:pStyle w:val="Tablebodytext"/>
            </w:pPr>
            <w:r w:rsidRPr="006E6EA4">
              <w:t>4,910</w:t>
            </w:r>
          </w:p>
        </w:tc>
        <w:tc>
          <w:tcPr>
            <w:tcW w:w="992" w:type="dxa"/>
          </w:tcPr>
          <w:p w:rsidR="005729B5" w:rsidRPr="006E6EA4" w:rsidRDefault="005729B5" w:rsidP="00745381">
            <w:pPr>
              <w:pStyle w:val="Tablebodytext"/>
            </w:pPr>
            <w:r w:rsidRPr="006E6EA4">
              <w:t>4,911</w:t>
            </w:r>
          </w:p>
        </w:tc>
        <w:tc>
          <w:tcPr>
            <w:tcW w:w="1134" w:type="dxa"/>
          </w:tcPr>
          <w:p w:rsidR="005729B5" w:rsidRPr="006E6EA4" w:rsidRDefault="005729B5" w:rsidP="00745381">
            <w:pPr>
              <w:pStyle w:val="Tablebodytext"/>
            </w:pPr>
            <w:r w:rsidRPr="006E6EA4">
              <w:t>4,909</w:t>
            </w:r>
          </w:p>
        </w:tc>
        <w:tc>
          <w:tcPr>
            <w:tcW w:w="993" w:type="dxa"/>
          </w:tcPr>
          <w:p w:rsidR="005729B5" w:rsidRPr="006E6EA4" w:rsidRDefault="005729B5" w:rsidP="00745381">
            <w:pPr>
              <w:pStyle w:val="Tablebodytext"/>
            </w:pPr>
            <w:r w:rsidRPr="006E6EA4">
              <w:t>4,499</w:t>
            </w:r>
          </w:p>
        </w:tc>
        <w:tc>
          <w:tcPr>
            <w:tcW w:w="1134" w:type="dxa"/>
          </w:tcPr>
          <w:p w:rsidR="005729B5" w:rsidRPr="006E6EA4" w:rsidRDefault="005729B5" w:rsidP="00745381">
            <w:pPr>
              <w:pStyle w:val="Tablebodytext"/>
            </w:pPr>
            <w:r w:rsidRPr="006E6EA4">
              <w:t>4,500</w:t>
            </w:r>
          </w:p>
        </w:tc>
        <w:tc>
          <w:tcPr>
            <w:tcW w:w="992" w:type="dxa"/>
          </w:tcPr>
          <w:p w:rsidR="005729B5" w:rsidRPr="006E6EA4" w:rsidRDefault="005729B5" w:rsidP="00745381">
            <w:pPr>
              <w:pStyle w:val="Tablebodytext"/>
            </w:pPr>
            <w:r w:rsidRPr="006E6EA4">
              <w:t>4,498</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2017</w:t>
            </w:r>
          </w:p>
        </w:tc>
        <w:tc>
          <w:tcPr>
            <w:tcW w:w="1134" w:type="dxa"/>
          </w:tcPr>
          <w:p w:rsidR="005729B5" w:rsidRPr="006E6EA4" w:rsidRDefault="005729B5" w:rsidP="00745381">
            <w:pPr>
              <w:pStyle w:val="Tablebodytext"/>
            </w:pPr>
            <w:r w:rsidRPr="006E6EA4">
              <w:t>5,134</w:t>
            </w:r>
          </w:p>
        </w:tc>
        <w:tc>
          <w:tcPr>
            <w:tcW w:w="992" w:type="dxa"/>
          </w:tcPr>
          <w:p w:rsidR="005729B5" w:rsidRPr="006E6EA4" w:rsidRDefault="005729B5" w:rsidP="00745381">
            <w:pPr>
              <w:pStyle w:val="Tablebodytext"/>
            </w:pPr>
            <w:r w:rsidRPr="006E6EA4">
              <w:t>5,142</w:t>
            </w:r>
          </w:p>
        </w:tc>
        <w:tc>
          <w:tcPr>
            <w:tcW w:w="1134" w:type="dxa"/>
          </w:tcPr>
          <w:p w:rsidR="005729B5" w:rsidRPr="006E6EA4" w:rsidRDefault="005729B5" w:rsidP="00745381">
            <w:pPr>
              <w:pStyle w:val="Tablebodytext"/>
            </w:pPr>
            <w:r w:rsidRPr="006E6EA4">
              <w:t>5,127</w:t>
            </w:r>
          </w:p>
        </w:tc>
        <w:tc>
          <w:tcPr>
            <w:tcW w:w="993" w:type="dxa"/>
          </w:tcPr>
          <w:p w:rsidR="005729B5" w:rsidRPr="006E6EA4" w:rsidRDefault="005729B5" w:rsidP="00745381">
            <w:pPr>
              <w:pStyle w:val="Tablebodytext"/>
            </w:pPr>
            <w:r w:rsidRPr="006E6EA4">
              <w:t>4,438</w:t>
            </w:r>
          </w:p>
        </w:tc>
        <w:tc>
          <w:tcPr>
            <w:tcW w:w="1134" w:type="dxa"/>
          </w:tcPr>
          <w:p w:rsidR="005729B5" w:rsidRPr="006E6EA4" w:rsidRDefault="005729B5" w:rsidP="00745381">
            <w:pPr>
              <w:pStyle w:val="Tablebodytext"/>
            </w:pPr>
            <w:r w:rsidRPr="006E6EA4">
              <w:t>4,445</w:t>
            </w:r>
          </w:p>
        </w:tc>
        <w:tc>
          <w:tcPr>
            <w:tcW w:w="992" w:type="dxa"/>
          </w:tcPr>
          <w:p w:rsidR="005729B5" w:rsidRPr="006E6EA4" w:rsidRDefault="005729B5" w:rsidP="00745381">
            <w:pPr>
              <w:pStyle w:val="Tablebodytext"/>
            </w:pPr>
            <w:r w:rsidRPr="006E6EA4">
              <w:t>4,432</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2018</w:t>
            </w:r>
          </w:p>
        </w:tc>
        <w:tc>
          <w:tcPr>
            <w:tcW w:w="1134" w:type="dxa"/>
          </w:tcPr>
          <w:p w:rsidR="005729B5" w:rsidRPr="006E6EA4" w:rsidRDefault="005729B5" w:rsidP="00745381">
            <w:pPr>
              <w:pStyle w:val="Tablebodytext"/>
            </w:pPr>
            <w:r w:rsidRPr="006E6EA4">
              <w:t>5,365</w:t>
            </w:r>
          </w:p>
        </w:tc>
        <w:tc>
          <w:tcPr>
            <w:tcW w:w="992" w:type="dxa"/>
          </w:tcPr>
          <w:p w:rsidR="005729B5" w:rsidRPr="006E6EA4" w:rsidRDefault="005729B5" w:rsidP="00745381">
            <w:pPr>
              <w:pStyle w:val="Tablebodytext"/>
            </w:pPr>
            <w:r w:rsidRPr="006E6EA4">
              <w:t>5,381</w:t>
            </w:r>
          </w:p>
        </w:tc>
        <w:tc>
          <w:tcPr>
            <w:tcW w:w="1134" w:type="dxa"/>
          </w:tcPr>
          <w:p w:rsidR="005729B5" w:rsidRPr="006E6EA4" w:rsidRDefault="005729B5" w:rsidP="00745381">
            <w:pPr>
              <w:pStyle w:val="Tablebodytext"/>
            </w:pPr>
            <w:r w:rsidRPr="006E6EA4">
              <w:t>5,350</w:t>
            </w:r>
          </w:p>
        </w:tc>
        <w:tc>
          <w:tcPr>
            <w:tcW w:w="993" w:type="dxa"/>
          </w:tcPr>
          <w:p w:rsidR="005729B5" w:rsidRPr="006E6EA4" w:rsidRDefault="005729B5" w:rsidP="00745381">
            <w:pPr>
              <w:pStyle w:val="Tablebodytext"/>
            </w:pPr>
            <w:r w:rsidRPr="006E6EA4">
              <w:t>4,376</w:t>
            </w:r>
          </w:p>
        </w:tc>
        <w:tc>
          <w:tcPr>
            <w:tcW w:w="1134" w:type="dxa"/>
          </w:tcPr>
          <w:p w:rsidR="005729B5" w:rsidRPr="006E6EA4" w:rsidRDefault="005729B5" w:rsidP="00745381">
            <w:pPr>
              <w:pStyle w:val="Tablebodytext"/>
            </w:pPr>
            <w:r w:rsidRPr="006E6EA4">
              <w:t>4,389</w:t>
            </w:r>
          </w:p>
        </w:tc>
        <w:tc>
          <w:tcPr>
            <w:tcW w:w="992" w:type="dxa"/>
          </w:tcPr>
          <w:p w:rsidR="005729B5" w:rsidRPr="006E6EA4" w:rsidRDefault="005729B5" w:rsidP="00745381">
            <w:pPr>
              <w:pStyle w:val="Tablebodytext"/>
            </w:pPr>
            <w:r w:rsidRPr="006E6EA4">
              <w:t>4,363</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2019</w:t>
            </w:r>
          </w:p>
        </w:tc>
        <w:tc>
          <w:tcPr>
            <w:tcW w:w="1134" w:type="dxa"/>
          </w:tcPr>
          <w:p w:rsidR="005729B5" w:rsidRPr="006E6EA4" w:rsidRDefault="005729B5" w:rsidP="00745381">
            <w:pPr>
              <w:pStyle w:val="Tablebodytext"/>
            </w:pPr>
            <w:r w:rsidRPr="006E6EA4">
              <w:t>5,602</w:t>
            </w:r>
          </w:p>
        </w:tc>
        <w:tc>
          <w:tcPr>
            <w:tcW w:w="992" w:type="dxa"/>
          </w:tcPr>
          <w:p w:rsidR="005729B5" w:rsidRPr="006E6EA4" w:rsidRDefault="005729B5" w:rsidP="00745381">
            <w:pPr>
              <w:pStyle w:val="Tablebodytext"/>
            </w:pPr>
            <w:r w:rsidRPr="006E6EA4">
              <w:t>5,629</w:t>
            </w:r>
          </w:p>
        </w:tc>
        <w:tc>
          <w:tcPr>
            <w:tcW w:w="1134" w:type="dxa"/>
          </w:tcPr>
          <w:p w:rsidR="005729B5" w:rsidRPr="006E6EA4" w:rsidRDefault="005729B5" w:rsidP="00745381">
            <w:pPr>
              <w:pStyle w:val="Tablebodytext"/>
            </w:pPr>
            <w:r w:rsidRPr="006E6EA4">
              <w:t>5,576</w:t>
            </w:r>
          </w:p>
        </w:tc>
        <w:tc>
          <w:tcPr>
            <w:tcW w:w="993" w:type="dxa"/>
          </w:tcPr>
          <w:p w:rsidR="005729B5" w:rsidRPr="006E6EA4" w:rsidRDefault="005729B5" w:rsidP="00745381">
            <w:pPr>
              <w:pStyle w:val="Tablebodytext"/>
            </w:pPr>
            <w:r w:rsidRPr="006E6EA4">
              <w:t>4,310</w:t>
            </w:r>
          </w:p>
        </w:tc>
        <w:tc>
          <w:tcPr>
            <w:tcW w:w="1134" w:type="dxa"/>
          </w:tcPr>
          <w:p w:rsidR="005729B5" w:rsidRPr="006E6EA4" w:rsidRDefault="005729B5" w:rsidP="00745381">
            <w:pPr>
              <w:pStyle w:val="Tablebodytext"/>
            </w:pPr>
            <w:r w:rsidRPr="006E6EA4">
              <w:t>4,330</w:t>
            </w:r>
          </w:p>
        </w:tc>
        <w:tc>
          <w:tcPr>
            <w:tcW w:w="992" w:type="dxa"/>
          </w:tcPr>
          <w:p w:rsidR="005729B5" w:rsidRPr="006E6EA4" w:rsidRDefault="005729B5" w:rsidP="00745381">
            <w:pPr>
              <w:pStyle w:val="Tablebodytext"/>
            </w:pPr>
            <w:r w:rsidRPr="006E6EA4">
              <w:t>4,290</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2020</w:t>
            </w:r>
          </w:p>
        </w:tc>
        <w:tc>
          <w:tcPr>
            <w:tcW w:w="1134" w:type="dxa"/>
          </w:tcPr>
          <w:p w:rsidR="005729B5" w:rsidRPr="006E6EA4" w:rsidRDefault="005729B5" w:rsidP="00745381">
            <w:pPr>
              <w:pStyle w:val="Tablebodytext"/>
            </w:pPr>
            <w:r w:rsidRPr="006E6EA4">
              <w:t>5,851</w:t>
            </w:r>
          </w:p>
        </w:tc>
        <w:tc>
          <w:tcPr>
            <w:tcW w:w="992" w:type="dxa"/>
          </w:tcPr>
          <w:p w:rsidR="005729B5" w:rsidRPr="006E6EA4" w:rsidRDefault="005729B5" w:rsidP="00745381">
            <w:pPr>
              <w:pStyle w:val="Tablebodytext"/>
            </w:pPr>
            <w:r w:rsidRPr="006E6EA4">
              <w:t>5,891</w:t>
            </w:r>
          </w:p>
        </w:tc>
        <w:tc>
          <w:tcPr>
            <w:tcW w:w="1134" w:type="dxa"/>
          </w:tcPr>
          <w:p w:rsidR="005729B5" w:rsidRPr="006E6EA4" w:rsidRDefault="005729B5" w:rsidP="00745381">
            <w:pPr>
              <w:pStyle w:val="Tablebodytext"/>
            </w:pPr>
            <w:r w:rsidRPr="006E6EA4">
              <w:t>5,813</w:t>
            </w:r>
          </w:p>
        </w:tc>
        <w:tc>
          <w:tcPr>
            <w:tcW w:w="993" w:type="dxa"/>
          </w:tcPr>
          <w:p w:rsidR="005729B5" w:rsidRPr="006E6EA4" w:rsidRDefault="005729B5" w:rsidP="00745381">
            <w:pPr>
              <w:pStyle w:val="Tablebodytext"/>
            </w:pPr>
            <w:r w:rsidRPr="006E6EA4">
              <w:t>4,247</w:t>
            </w:r>
          </w:p>
        </w:tc>
        <w:tc>
          <w:tcPr>
            <w:tcW w:w="1134" w:type="dxa"/>
          </w:tcPr>
          <w:p w:rsidR="005729B5" w:rsidRPr="006E6EA4" w:rsidRDefault="005729B5" w:rsidP="00745381">
            <w:pPr>
              <w:pStyle w:val="Tablebodytext"/>
            </w:pPr>
            <w:r w:rsidRPr="006E6EA4">
              <w:t>4,275</w:t>
            </w:r>
          </w:p>
        </w:tc>
        <w:tc>
          <w:tcPr>
            <w:tcW w:w="992" w:type="dxa"/>
          </w:tcPr>
          <w:p w:rsidR="005729B5" w:rsidRPr="006E6EA4" w:rsidRDefault="005729B5" w:rsidP="00745381">
            <w:pPr>
              <w:pStyle w:val="Tablebodytext"/>
            </w:pPr>
            <w:r w:rsidRPr="006E6EA4">
              <w:t>4,219</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2030</w:t>
            </w:r>
          </w:p>
        </w:tc>
        <w:tc>
          <w:tcPr>
            <w:tcW w:w="1134" w:type="dxa"/>
          </w:tcPr>
          <w:p w:rsidR="005729B5" w:rsidRPr="006E6EA4" w:rsidRDefault="005729B5" w:rsidP="00745381">
            <w:pPr>
              <w:pStyle w:val="Tablebodytext"/>
              <w:rPr>
                <w:lang w:val="en-US"/>
              </w:rPr>
            </w:pPr>
            <w:r w:rsidRPr="006E6EA4">
              <w:rPr>
                <w:lang w:val="en-US"/>
              </w:rPr>
              <w:t>8,863</w:t>
            </w:r>
          </w:p>
        </w:tc>
        <w:tc>
          <w:tcPr>
            <w:tcW w:w="992" w:type="dxa"/>
          </w:tcPr>
          <w:p w:rsidR="005729B5" w:rsidRPr="006E6EA4" w:rsidRDefault="005729B5" w:rsidP="00745381">
            <w:pPr>
              <w:pStyle w:val="Tablebodytext"/>
              <w:rPr>
                <w:lang w:val="en-US"/>
              </w:rPr>
            </w:pPr>
            <w:r w:rsidRPr="006E6EA4">
              <w:rPr>
                <w:lang w:val="en-US"/>
              </w:rPr>
              <w:t>9,213</w:t>
            </w:r>
          </w:p>
        </w:tc>
        <w:tc>
          <w:tcPr>
            <w:tcW w:w="1134" w:type="dxa"/>
          </w:tcPr>
          <w:p w:rsidR="005729B5" w:rsidRPr="006E6EA4" w:rsidRDefault="005729B5" w:rsidP="00745381">
            <w:pPr>
              <w:pStyle w:val="Tablebodytext"/>
              <w:rPr>
                <w:lang w:val="en-US"/>
              </w:rPr>
            </w:pPr>
            <w:r w:rsidRPr="006E6EA4">
              <w:rPr>
                <w:lang w:val="en-US"/>
              </w:rPr>
              <w:t>8,546</w:t>
            </w:r>
          </w:p>
        </w:tc>
        <w:tc>
          <w:tcPr>
            <w:tcW w:w="993" w:type="dxa"/>
          </w:tcPr>
          <w:p w:rsidR="005729B5" w:rsidRPr="006E6EA4" w:rsidRDefault="005729B5" w:rsidP="00745381">
            <w:pPr>
              <w:pStyle w:val="Tablebodytext"/>
              <w:rPr>
                <w:lang w:val="en-US"/>
              </w:rPr>
            </w:pPr>
            <w:r w:rsidRPr="006E6EA4">
              <w:rPr>
                <w:lang w:val="en-US"/>
              </w:rPr>
              <w:t>3,592</w:t>
            </w:r>
          </w:p>
        </w:tc>
        <w:tc>
          <w:tcPr>
            <w:tcW w:w="1134" w:type="dxa"/>
          </w:tcPr>
          <w:p w:rsidR="005729B5" w:rsidRPr="006E6EA4" w:rsidRDefault="005729B5" w:rsidP="00745381">
            <w:pPr>
              <w:pStyle w:val="Tablebodytext"/>
              <w:rPr>
                <w:lang w:val="en-US"/>
              </w:rPr>
            </w:pPr>
            <w:r w:rsidRPr="006E6EA4">
              <w:rPr>
                <w:lang w:val="en-US"/>
              </w:rPr>
              <w:t>3,734</w:t>
            </w:r>
          </w:p>
        </w:tc>
        <w:tc>
          <w:tcPr>
            <w:tcW w:w="992" w:type="dxa"/>
          </w:tcPr>
          <w:p w:rsidR="005729B5" w:rsidRPr="006E6EA4" w:rsidRDefault="005729B5" w:rsidP="00745381">
            <w:pPr>
              <w:pStyle w:val="Tablebodytext"/>
              <w:rPr>
                <w:lang w:val="en-US"/>
              </w:rPr>
            </w:pPr>
            <w:r w:rsidRPr="006E6EA4">
              <w:rPr>
                <w:lang w:val="en-US"/>
              </w:rPr>
              <w:t>3,463</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2040</w:t>
            </w:r>
          </w:p>
        </w:tc>
        <w:tc>
          <w:tcPr>
            <w:tcW w:w="1134" w:type="dxa"/>
          </w:tcPr>
          <w:p w:rsidR="005729B5" w:rsidRPr="006E6EA4" w:rsidRDefault="005729B5" w:rsidP="00745381">
            <w:pPr>
              <w:pStyle w:val="Tablebodytext"/>
              <w:rPr>
                <w:lang w:val="en-US"/>
              </w:rPr>
            </w:pPr>
            <w:r w:rsidRPr="006E6EA4">
              <w:rPr>
                <w:lang w:val="en-US"/>
              </w:rPr>
              <w:t>12,057</w:t>
            </w:r>
          </w:p>
        </w:tc>
        <w:tc>
          <w:tcPr>
            <w:tcW w:w="992" w:type="dxa"/>
          </w:tcPr>
          <w:p w:rsidR="005729B5" w:rsidRPr="006E6EA4" w:rsidRDefault="005729B5" w:rsidP="00745381">
            <w:pPr>
              <w:pStyle w:val="Tablebodytext"/>
              <w:rPr>
                <w:lang w:val="en-US"/>
              </w:rPr>
            </w:pPr>
            <w:r w:rsidRPr="006E6EA4">
              <w:rPr>
                <w:lang w:val="en-US"/>
              </w:rPr>
              <w:t>13,034</w:t>
            </w:r>
          </w:p>
        </w:tc>
        <w:tc>
          <w:tcPr>
            <w:tcW w:w="1134" w:type="dxa"/>
          </w:tcPr>
          <w:p w:rsidR="005729B5" w:rsidRPr="006E6EA4" w:rsidRDefault="005729B5" w:rsidP="00745381">
            <w:pPr>
              <w:pStyle w:val="Tablebodytext"/>
              <w:rPr>
                <w:lang w:val="en-US"/>
              </w:rPr>
            </w:pPr>
            <w:r w:rsidRPr="006E6EA4">
              <w:rPr>
                <w:lang w:val="en-US"/>
              </w:rPr>
              <w:t>11,218</w:t>
            </w:r>
          </w:p>
        </w:tc>
        <w:tc>
          <w:tcPr>
            <w:tcW w:w="993" w:type="dxa"/>
          </w:tcPr>
          <w:p w:rsidR="005729B5" w:rsidRPr="006E6EA4" w:rsidRDefault="005729B5" w:rsidP="00745381">
            <w:pPr>
              <w:pStyle w:val="Tablebodytext"/>
              <w:rPr>
                <w:lang w:val="en-US"/>
              </w:rPr>
            </w:pPr>
            <w:r w:rsidRPr="006E6EA4">
              <w:rPr>
                <w:lang w:val="en-US"/>
              </w:rPr>
              <w:t>2,729</w:t>
            </w:r>
          </w:p>
        </w:tc>
        <w:tc>
          <w:tcPr>
            <w:tcW w:w="1134" w:type="dxa"/>
          </w:tcPr>
          <w:p w:rsidR="005729B5" w:rsidRPr="006E6EA4" w:rsidRDefault="005729B5" w:rsidP="00745381">
            <w:pPr>
              <w:pStyle w:val="Tablebodytext"/>
              <w:rPr>
                <w:lang w:val="en-US"/>
              </w:rPr>
            </w:pPr>
            <w:r w:rsidRPr="006E6EA4">
              <w:rPr>
                <w:lang w:val="en-US"/>
              </w:rPr>
              <w:t>2,950</w:t>
            </w:r>
          </w:p>
        </w:tc>
        <w:tc>
          <w:tcPr>
            <w:tcW w:w="992" w:type="dxa"/>
          </w:tcPr>
          <w:p w:rsidR="005729B5" w:rsidRPr="006E6EA4" w:rsidRDefault="005729B5" w:rsidP="00745381">
            <w:pPr>
              <w:pStyle w:val="Tablebodytext"/>
              <w:rPr>
                <w:lang w:val="en-US"/>
              </w:rPr>
            </w:pPr>
            <w:r w:rsidRPr="006E6EA4">
              <w:rPr>
                <w:lang w:val="en-US"/>
              </w:rPr>
              <w:t>2,539</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2050</w:t>
            </w:r>
          </w:p>
        </w:tc>
        <w:tc>
          <w:tcPr>
            <w:tcW w:w="1134" w:type="dxa"/>
          </w:tcPr>
          <w:p w:rsidR="005729B5" w:rsidRPr="006E6EA4" w:rsidRDefault="005729B5" w:rsidP="00745381">
            <w:pPr>
              <w:pStyle w:val="Tablebodytext"/>
              <w:rPr>
                <w:lang w:val="en-US"/>
              </w:rPr>
            </w:pPr>
            <w:r w:rsidRPr="006E6EA4">
              <w:rPr>
                <w:lang w:val="en-US"/>
              </w:rPr>
              <w:t>12,699</w:t>
            </w:r>
          </w:p>
        </w:tc>
        <w:tc>
          <w:tcPr>
            <w:tcW w:w="992" w:type="dxa"/>
          </w:tcPr>
          <w:p w:rsidR="005729B5" w:rsidRPr="006E6EA4" w:rsidRDefault="005729B5" w:rsidP="00745381">
            <w:pPr>
              <w:pStyle w:val="Tablebodytext"/>
              <w:rPr>
                <w:lang w:val="en-US"/>
              </w:rPr>
            </w:pPr>
            <w:r w:rsidRPr="006E6EA4">
              <w:rPr>
                <w:lang w:val="en-US"/>
              </w:rPr>
              <w:t>14,185</w:t>
            </w:r>
          </w:p>
        </w:tc>
        <w:tc>
          <w:tcPr>
            <w:tcW w:w="1134" w:type="dxa"/>
          </w:tcPr>
          <w:p w:rsidR="005729B5" w:rsidRPr="006E6EA4" w:rsidRDefault="005729B5" w:rsidP="00745381">
            <w:pPr>
              <w:pStyle w:val="Tablebodytext"/>
              <w:rPr>
                <w:lang w:val="en-US"/>
              </w:rPr>
            </w:pPr>
            <w:r w:rsidRPr="006E6EA4">
              <w:rPr>
                <w:lang w:val="en-US"/>
              </w:rPr>
              <w:t>11,462</w:t>
            </w:r>
          </w:p>
        </w:tc>
        <w:tc>
          <w:tcPr>
            <w:tcW w:w="993" w:type="dxa"/>
          </w:tcPr>
          <w:p w:rsidR="005729B5" w:rsidRPr="006E6EA4" w:rsidRDefault="005729B5" w:rsidP="00745381">
            <w:pPr>
              <w:pStyle w:val="Tablebodytext"/>
              <w:rPr>
                <w:lang w:val="en-US"/>
              </w:rPr>
            </w:pPr>
            <w:r w:rsidRPr="006E6EA4">
              <w:rPr>
                <w:lang w:val="en-US"/>
              </w:rPr>
              <w:t>1,605</w:t>
            </w:r>
          </w:p>
        </w:tc>
        <w:tc>
          <w:tcPr>
            <w:tcW w:w="1134" w:type="dxa"/>
          </w:tcPr>
          <w:p w:rsidR="005729B5" w:rsidRPr="006E6EA4" w:rsidRDefault="005729B5" w:rsidP="00745381">
            <w:pPr>
              <w:pStyle w:val="Tablebodytext"/>
              <w:rPr>
                <w:lang w:val="en-US"/>
              </w:rPr>
            </w:pPr>
            <w:r w:rsidRPr="006E6EA4">
              <w:rPr>
                <w:lang w:val="en-US"/>
              </w:rPr>
              <w:t>1,793</w:t>
            </w:r>
          </w:p>
        </w:tc>
        <w:tc>
          <w:tcPr>
            <w:tcW w:w="992" w:type="dxa"/>
          </w:tcPr>
          <w:p w:rsidR="005729B5" w:rsidRPr="006E6EA4" w:rsidRDefault="005729B5" w:rsidP="00745381">
            <w:pPr>
              <w:pStyle w:val="Tablebodytext"/>
              <w:rPr>
                <w:lang w:val="en-US"/>
              </w:rPr>
            </w:pPr>
            <w:r w:rsidRPr="006E6EA4">
              <w:rPr>
                <w:lang w:val="en-US"/>
              </w:rPr>
              <w:t>1,448</w:t>
            </w:r>
          </w:p>
        </w:tc>
      </w:tr>
    </w:tbl>
    <w:p w:rsidR="003F639C" w:rsidRDefault="005729B5" w:rsidP="003F639C">
      <w:pPr>
        <w:pStyle w:val="Numberedpara1stindent"/>
        <w:spacing w:before="240" w:after="240"/>
        <w:rPr>
          <w:lang w:eastAsia="en-AU"/>
        </w:rPr>
      </w:pPr>
      <w:r>
        <w:rPr>
          <w:lang w:eastAsia="en-AU"/>
        </w:rPr>
        <w:t xml:space="preserve">Salary increases have little impact on the outlays in the early years as the majority of the payments relate to members already retired.  The impact increases in the later years, although this is dampened when discounting is included. </w:t>
      </w:r>
    </w:p>
    <w:p w:rsidR="00745381" w:rsidRDefault="003F639C" w:rsidP="00745381">
      <w:pPr>
        <w:pStyle w:val="Numberedpara1stindent"/>
        <w:spacing w:after="120"/>
        <w:rPr>
          <w:lang w:eastAsia="en-AU"/>
        </w:rPr>
      </w:pPr>
      <w:r>
        <w:rPr>
          <w:lang w:eastAsia="en-AU"/>
        </w:rPr>
        <w:br w:type="page"/>
      </w:r>
      <w:r w:rsidR="005729B5">
        <w:rPr>
          <w:lang w:eastAsia="en-AU"/>
        </w:rPr>
        <w:lastRenderedPageBreak/>
        <w:t>The table below shows the projected total PSS and CSS outlays for the next six years and then for the next three 10-year intervals under the valuation basis and the alternative assumptions for CPI increases.</w:t>
      </w:r>
    </w:p>
    <w:p w:rsidR="00745381" w:rsidRDefault="00745381" w:rsidP="00745381">
      <w:pPr>
        <w:pStyle w:val="Heading4nonumbers"/>
        <w:rPr>
          <w:lang w:eastAsia="en-AU"/>
        </w:rPr>
      </w:pPr>
      <w:r w:rsidRPr="006E6EA4">
        <w:t>Projected Total PSS and CSS Future Outlays</w:t>
      </w:r>
    </w:p>
    <w:tbl>
      <w:tblPr>
        <w:tblW w:w="8222" w:type="dxa"/>
        <w:tblBorders>
          <w:top w:val="single" w:sz="2" w:space="0" w:color="A7B4BE"/>
          <w:bottom w:val="single" w:sz="2" w:space="0" w:color="A7B4BE"/>
          <w:insideH w:val="single" w:sz="2" w:space="0" w:color="A7B4BE"/>
          <w:insideV w:val="single" w:sz="2" w:space="0" w:color="A7B4BE"/>
        </w:tblBorders>
        <w:tblLayout w:type="fixed"/>
        <w:tblCellMar>
          <w:left w:w="0" w:type="dxa"/>
          <w:right w:w="0" w:type="dxa"/>
        </w:tblCellMar>
        <w:tblLook w:val="04A0"/>
      </w:tblPr>
      <w:tblGrid>
        <w:gridCol w:w="1843"/>
        <w:gridCol w:w="1134"/>
        <w:gridCol w:w="992"/>
        <w:gridCol w:w="1134"/>
        <w:gridCol w:w="993"/>
        <w:gridCol w:w="1134"/>
        <w:gridCol w:w="992"/>
      </w:tblGrid>
      <w:tr w:rsidR="005729B5" w:rsidRPr="006E6EA4" w:rsidTr="008B2560">
        <w:tc>
          <w:tcPr>
            <w:tcW w:w="1843" w:type="dxa"/>
            <w:vMerge w:val="restart"/>
            <w:shd w:val="clear" w:color="auto" w:fill="DDF3FA"/>
          </w:tcPr>
          <w:p w:rsidR="005729B5" w:rsidRPr="006E6EA4" w:rsidRDefault="005729B5" w:rsidP="00745381">
            <w:pPr>
              <w:pStyle w:val="Tablecolumnheading"/>
            </w:pPr>
            <w:r w:rsidRPr="006E6EA4">
              <w:rPr>
                <w:lang w:val="en-US"/>
              </w:rPr>
              <w:t xml:space="preserve">Year ending </w:t>
            </w:r>
            <w:r w:rsidRPr="006E6EA4">
              <w:rPr>
                <w:lang w:val="en-US"/>
              </w:rPr>
              <w:br/>
              <w:t>30 June</w:t>
            </w:r>
          </w:p>
        </w:tc>
        <w:tc>
          <w:tcPr>
            <w:tcW w:w="3260" w:type="dxa"/>
            <w:gridSpan w:val="3"/>
            <w:shd w:val="clear" w:color="auto" w:fill="DDF3FA"/>
            <w:vAlign w:val="center"/>
          </w:tcPr>
          <w:p w:rsidR="005729B5" w:rsidRPr="006E6EA4" w:rsidRDefault="005729B5" w:rsidP="00745381">
            <w:pPr>
              <w:pStyle w:val="Tablecolumnheading"/>
              <w:rPr>
                <w:lang w:val="en-US"/>
              </w:rPr>
            </w:pPr>
            <w:r w:rsidRPr="006E6EA4">
              <w:rPr>
                <w:lang w:val="en-US"/>
              </w:rPr>
              <w:t>Nominal Outlays</w:t>
            </w:r>
          </w:p>
          <w:p w:rsidR="005729B5" w:rsidRPr="006E6EA4" w:rsidRDefault="005729B5" w:rsidP="00745381">
            <w:pPr>
              <w:pStyle w:val="Tablecolumnheading"/>
              <w:rPr>
                <w:lang w:val="en-US"/>
              </w:rPr>
            </w:pPr>
            <w:r w:rsidRPr="006E6EA4">
              <w:rPr>
                <w:lang w:val="en-US"/>
              </w:rPr>
              <w:t>($ millions)</w:t>
            </w:r>
          </w:p>
        </w:tc>
        <w:tc>
          <w:tcPr>
            <w:tcW w:w="3119" w:type="dxa"/>
            <w:gridSpan w:val="3"/>
            <w:shd w:val="clear" w:color="auto" w:fill="DDF3FA"/>
            <w:vAlign w:val="center"/>
          </w:tcPr>
          <w:p w:rsidR="005729B5" w:rsidRPr="006E6EA4" w:rsidRDefault="005729B5" w:rsidP="00745381">
            <w:pPr>
              <w:pStyle w:val="Tablecolumnheading"/>
              <w:rPr>
                <w:lang w:val="en-US"/>
              </w:rPr>
            </w:pPr>
            <w:r w:rsidRPr="006E6EA4">
              <w:rPr>
                <w:lang w:val="en-US"/>
              </w:rPr>
              <w:t>Discounted Outlays</w:t>
            </w:r>
          </w:p>
          <w:p w:rsidR="005729B5" w:rsidRPr="006E6EA4" w:rsidRDefault="005729B5" w:rsidP="00745381">
            <w:pPr>
              <w:pStyle w:val="Tablecolumnheading"/>
              <w:rPr>
                <w:lang w:val="en-US"/>
              </w:rPr>
            </w:pPr>
            <w:r w:rsidRPr="006E6EA4">
              <w:rPr>
                <w:lang w:val="en-US"/>
              </w:rPr>
              <w:t>($ millions)</w:t>
            </w:r>
          </w:p>
        </w:tc>
      </w:tr>
      <w:tr w:rsidR="005729B5" w:rsidRPr="006E6EA4" w:rsidTr="008B2560">
        <w:tc>
          <w:tcPr>
            <w:tcW w:w="1843" w:type="dxa"/>
            <w:vMerge/>
            <w:shd w:val="clear" w:color="auto" w:fill="DDF3FA"/>
          </w:tcPr>
          <w:p w:rsidR="005729B5" w:rsidRPr="006E6EA4" w:rsidRDefault="005729B5" w:rsidP="00745381">
            <w:pPr>
              <w:pStyle w:val="Tablecolumnheading"/>
            </w:pPr>
          </w:p>
        </w:tc>
        <w:tc>
          <w:tcPr>
            <w:tcW w:w="1134" w:type="dxa"/>
            <w:shd w:val="clear" w:color="auto" w:fill="DDF3FA"/>
            <w:vAlign w:val="center"/>
          </w:tcPr>
          <w:p w:rsidR="005729B5" w:rsidRPr="006E6EA4" w:rsidRDefault="005729B5" w:rsidP="00745381">
            <w:pPr>
              <w:pStyle w:val="Tablecolumnheading"/>
              <w:rPr>
                <w:lang w:val="en-US"/>
              </w:rPr>
            </w:pPr>
            <w:r w:rsidRPr="006E6EA4">
              <w:rPr>
                <w:lang w:val="en-US"/>
              </w:rPr>
              <w:t>Valuation basis</w:t>
            </w:r>
          </w:p>
        </w:tc>
        <w:tc>
          <w:tcPr>
            <w:tcW w:w="992" w:type="dxa"/>
            <w:shd w:val="clear" w:color="auto" w:fill="DDF3FA"/>
            <w:vAlign w:val="center"/>
          </w:tcPr>
          <w:p w:rsidR="005729B5" w:rsidRPr="006E6EA4" w:rsidRDefault="005729B5" w:rsidP="00745381">
            <w:pPr>
              <w:pStyle w:val="Tablecolumnheading"/>
              <w:rPr>
                <w:lang w:val="en-US"/>
              </w:rPr>
            </w:pPr>
            <w:r w:rsidRPr="006E6EA4">
              <w:rPr>
                <w:lang w:val="en-US"/>
              </w:rPr>
              <w:t>CPI increase +1%</w:t>
            </w:r>
          </w:p>
        </w:tc>
        <w:tc>
          <w:tcPr>
            <w:tcW w:w="1134" w:type="dxa"/>
            <w:shd w:val="clear" w:color="auto" w:fill="DDF3FA"/>
            <w:vAlign w:val="center"/>
          </w:tcPr>
          <w:p w:rsidR="005729B5" w:rsidRPr="006E6EA4" w:rsidRDefault="005729B5" w:rsidP="00745381">
            <w:pPr>
              <w:pStyle w:val="Tablecolumnheading"/>
              <w:rPr>
                <w:lang w:val="en-US"/>
              </w:rPr>
            </w:pPr>
            <w:r w:rsidRPr="006E6EA4">
              <w:rPr>
                <w:lang w:val="en-US"/>
              </w:rPr>
              <w:t>CPI increase -1%</w:t>
            </w:r>
          </w:p>
        </w:tc>
        <w:tc>
          <w:tcPr>
            <w:tcW w:w="993" w:type="dxa"/>
            <w:shd w:val="clear" w:color="auto" w:fill="DDF3FA"/>
            <w:vAlign w:val="center"/>
          </w:tcPr>
          <w:p w:rsidR="005729B5" w:rsidRPr="006E6EA4" w:rsidRDefault="005729B5" w:rsidP="00745381">
            <w:pPr>
              <w:pStyle w:val="Tablecolumnheading"/>
              <w:rPr>
                <w:lang w:val="en-US"/>
              </w:rPr>
            </w:pPr>
            <w:r w:rsidRPr="006E6EA4">
              <w:rPr>
                <w:lang w:val="en-US"/>
              </w:rPr>
              <w:t>Valuation basis</w:t>
            </w:r>
          </w:p>
        </w:tc>
        <w:tc>
          <w:tcPr>
            <w:tcW w:w="1134" w:type="dxa"/>
            <w:shd w:val="clear" w:color="auto" w:fill="DDF3FA"/>
            <w:vAlign w:val="center"/>
          </w:tcPr>
          <w:p w:rsidR="005729B5" w:rsidRPr="006E6EA4" w:rsidRDefault="005729B5" w:rsidP="00745381">
            <w:pPr>
              <w:pStyle w:val="Tablecolumnheading"/>
              <w:rPr>
                <w:lang w:val="en-US"/>
              </w:rPr>
            </w:pPr>
            <w:r w:rsidRPr="006E6EA4">
              <w:rPr>
                <w:lang w:val="en-US"/>
              </w:rPr>
              <w:t>CPI increase +1%</w:t>
            </w:r>
          </w:p>
        </w:tc>
        <w:tc>
          <w:tcPr>
            <w:tcW w:w="992" w:type="dxa"/>
            <w:shd w:val="clear" w:color="auto" w:fill="DDF3FA"/>
            <w:vAlign w:val="center"/>
          </w:tcPr>
          <w:p w:rsidR="005729B5" w:rsidRPr="006E6EA4" w:rsidRDefault="005729B5" w:rsidP="00745381">
            <w:pPr>
              <w:pStyle w:val="Tablecolumnheading"/>
              <w:rPr>
                <w:lang w:val="en-US"/>
              </w:rPr>
            </w:pPr>
            <w:r w:rsidRPr="006E6EA4">
              <w:rPr>
                <w:lang w:val="en-US"/>
              </w:rPr>
              <w:t>CPI increase -1%</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2015</w:t>
            </w:r>
          </w:p>
        </w:tc>
        <w:tc>
          <w:tcPr>
            <w:tcW w:w="1134" w:type="dxa"/>
          </w:tcPr>
          <w:p w:rsidR="005729B5" w:rsidRPr="006E6EA4" w:rsidRDefault="005729B5" w:rsidP="00745381">
            <w:pPr>
              <w:pStyle w:val="Tablebodytext"/>
            </w:pPr>
            <w:r w:rsidRPr="006E6EA4">
              <w:t>4,695</w:t>
            </w:r>
          </w:p>
        </w:tc>
        <w:tc>
          <w:tcPr>
            <w:tcW w:w="992" w:type="dxa"/>
          </w:tcPr>
          <w:p w:rsidR="005729B5" w:rsidRPr="006E6EA4" w:rsidRDefault="005729B5" w:rsidP="00745381">
            <w:pPr>
              <w:pStyle w:val="Tablebodytext"/>
            </w:pPr>
            <w:r w:rsidRPr="006E6EA4">
              <w:t>4,695</w:t>
            </w:r>
          </w:p>
        </w:tc>
        <w:tc>
          <w:tcPr>
            <w:tcW w:w="1134" w:type="dxa"/>
          </w:tcPr>
          <w:p w:rsidR="005729B5" w:rsidRPr="006E6EA4" w:rsidRDefault="005729B5" w:rsidP="00745381">
            <w:pPr>
              <w:pStyle w:val="Tablebodytext"/>
            </w:pPr>
            <w:r w:rsidRPr="006E6EA4">
              <w:t>4,695</w:t>
            </w:r>
          </w:p>
        </w:tc>
        <w:tc>
          <w:tcPr>
            <w:tcW w:w="993" w:type="dxa"/>
          </w:tcPr>
          <w:p w:rsidR="005729B5" w:rsidRPr="006E6EA4" w:rsidRDefault="005729B5" w:rsidP="00745381">
            <w:pPr>
              <w:pStyle w:val="Tablebodytext"/>
            </w:pPr>
            <w:r w:rsidRPr="006E6EA4">
              <w:t>4,560</w:t>
            </w:r>
          </w:p>
        </w:tc>
        <w:tc>
          <w:tcPr>
            <w:tcW w:w="1134" w:type="dxa"/>
          </w:tcPr>
          <w:p w:rsidR="005729B5" w:rsidRPr="006E6EA4" w:rsidRDefault="005729B5" w:rsidP="00745381">
            <w:pPr>
              <w:pStyle w:val="Tablebodytext"/>
            </w:pPr>
            <w:r w:rsidRPr="006E6EA4">
              <w:t>4,560</w:t>
            </w:r>
          </w:p>
        </w:tc>
        <w:tc>
          <w:tcPr>
            <w:tcW w:w="992" w:type="dxa"/>
          </w:tcPr>
          <w:p w:rsidR="005729B5" w:rsidRPr="006E6EA4" w:rsidRDefault="005729B5" w:rsidP="00745381">
            <w:pPr>
              <w:pStyle w:val="Tablebodytext"/>
            </w:pPr>
            <w:r w:rsidRPr="006E6EA4">
              <w:t>4,560</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2016</w:t>
            </w:r>
          </w:p>
        </w:tc>
        <w:tc>
          <w:tcPr>
            <w:tcW w:w="1134" w:type="dxa"/>
          </w:tcPr>
          <w:p w:rsidR="005729B5" w:rsidRPr="006E6EA4" w:rsidRDefault="005729B5" w:rsidP="00745381">
            <w:pPr>
              <w:pStyle w:val="Tablebodytext"/>
            </w:pPr>
            <w:r w:rsidRPr="006E6EA4">
              <w:t>4,910</w:t>
            </w:r>
          </w:p>
        </w:tc>
        <w:tc>
          <w:tcPr>
            <w:tcW w:w="992" w:type="dxa"/>
          </w:tcPr>
          <w:p w:rsidR="005729B5" w:rsidRPr="006E6EA4" w:rsidRDefault="005729B5" w:rsidP="00745381">
            <w:pPr>
              <w:pStyle w:val="Tablebodytext"/>
            </w:pPr>
            <w:r w:rsidRPr="006E6EA4">
              <w:t>4,956</w:t>
            </w:r>
          </w:p>
        </w:tc>
        <w:tc>
          <w:tcPr>
            <w:tcW w:w="1134" w:type="dxa"/>
          </w:tcPr>
          <w:p w:rsidR="005729B5" w:rsidRPr="006E6EA4" w:rsidRDefault="005729B5" w:rsidP="00745381">
            <w:pPr>
              <w:pStyle w:val="Tablebodytext"/>
            </w:pPr>
            <w:r w:rsidRPr="006E6EA4">
              <w:t>4,863</w:t>
            </w:r>
          </w:p>
        </w:tc>
        <w:tc>
          <w:tcPr>
            <w:tcW w:w="993" w:type="dxa"/>
          </w:tcPr>
          <w:p w:rsidR="005729B5" w:rsidRPr="006E6EA4" w:rsidRDefault="005729B5" w:rsidP="00745381">
            <w:pPr>
              <w:pStyle w:val="Tablebodytext"/>
            </w:pPr>
            <w:r w:rsidRPr="006E6EA4">
              <w:t>4,499</w:t>
            </w:r>
          </w:p>
        </w:tc>
        <w:tc>
          <w:tcPr>
            <w:tcW w:w="1134" w:type="dxa"/>
          </w:tcPr>
          <w:p w:rsidR="005729B5" w:rsidRPr="006E6EA4" w:rsidRDefault="005729B5" w:rsidP="00745381">
            <w:pPr>
              <w:pStyle w:val="Tablebodytext"/>
            </w:pPr>
            <w:r w:rsidRPr="006E6EA4">
              <w:t>4,542</w:t>
            </w:r>
          </w:p>
        </w:tc>
        <w:tc>
          <w:tcPr>
            <w:tcW w:w="992" w:type="dxa"/>
          </w:tcPr>
          <w:p w:rsidR="005729B5" w:rsidRPr="006E6EA4" w:rsidRDefault="005729B5" w:rsidP="00745381">
            <w:pPr>
              <w:pStyle w:val="Tablebodytext"/>
            </w:pPr>
            <w:r w:rsidRPr="006E6EA4">
              <w:t>4,456</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2017</w:t>
            </w:r>
          </w:p>
        </w:tc>
        <w:tc>
          <w:tcPr>
            <w:tcW w:w="1134" w:type="dxa"/>
          </w:tcPr>
          <w:p w:rsidR="005729B5" w:rsidRPr="006E6EA4" w:rsidRDefault="005729B5" w:rsidP="00745381">
            <w:pPr>
              <w:pStyle w:val="Tablebodytext"/>
            </w:pPr>
            <w:r w:rsidRPr="006E6EA4">
              <w:t>5,134</w:t>
            </w:r>
          </w:p>
        </w:tc>
        <w:tc>
          <w:tcPr>
            <w:tcW w:w="992" w:type="dxa"/>
          </w:tcPr>
          <w:p w:rsidR="005729B5" w:rsidRPr="006E6EA4" w:rsidRDefault="005729B5" w:rsidP="00745381">
            <w:pPr>
              <w:pStyle w:val="Tablebodytext"/>
            </w:pPr>
            <w:r w:rsidRPr="006E6EA4">
              <w:t>5,231</w:t>
            </w:r>
          </w:p>
        </w:tc>
        <w:tc>
          <w:tcPr>
            <w:tcW w:w="1134" w:type="dxa"/>
          </w:tcPr>
          <w:p w:rsidR="005729B5" w:rsidRPr="006E6EA4" w:rsidRDefault="005729B5" w:rsidP="00745381">
            <w:pPr>
              <w:pStyle w:val="Tablebodytext"/>
            </w:pPr>
            <w:r w:rsidRPr="006E6EA4">
              <w:t>5,038</w:t>
            </w:r>
          </w:p>
        </w:tc>
        <w:tc>
          <w:tcPr>
            <w:tcW w:w="993" w:type="dxa"/>
          </w:tcPr>
          <w:p w:rsidR="005729B5" w:rsidRPr="006E6EA4" w:rsidRDefault="005729B5" w:rsidP="00745381">
            <w:pPr>
              <w:pStyle w:val="Tablebodytext"/>
            </w:pPr>
            <w:r w:rsidRPr="006E6EA4">
              <w:t>4,438</w:t>
            </w:r>
          </w:p>
        </w:tc>
        <w:tc>
          <w:tcPr>
            <w:tcW w:w="1134" w:type="dxa"/>
          </w:tcPr>
          <w:p w:rsidR="005729B5" w:rsidRPr="006E6EA4" w:rsidRDefault="005729B5" w:rsidP="00745381">
            <w:pPr>
              <w:pStyle w:val="Tablebodytext"/>
            </w:pPr>
            <w:r w:rsidRPr="006E6EA4">
              <w:t>4,522</w:t>
            </w:r>
          </w:p>
        </w:tc>
        <w:tc>
          <w:tcPr>
            <w:tcW w:w="992" w:type="dxa"/>
          </w:tcPr>
          <w:p w:rsidR="005729B5" w:rsidRPr="006E6EA4" w:rsidRDefault="005729B5" w:rsidP="00745381">
            <w:pPr>
              <w:pStyle w:val="Tablebodytext"/>
            </w:pPr>
            <w:r w:rsidRPr="006E6EA4">
              <w:t>4,355</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2018</w:t>
            </w:r>
          </w:p>
        </w:tc>
        <w:tc>
          <w:tcPr>
            <w:tcW w:w="1134" w:type="dxa"/>
          </w:tcPr>
          <w:p w:rsidR="005729B5" w:rsidRPr="006E6EA4" w:rsidRDefault="005729B5" w:rsidP="00745381">
            <w:pPr>
              <w:pStyle w:val="Tablebodytext"/>
            </w:pPr>
            <w:r w:rsidRPr="006E6EA4">
              <w:t>5,365</w:t>
            </w:r>
          </w:p>
        </w:tc>
        <w:tc>
          <w:tcPr>
            <w:tcW w:w="992" w:type="dxa"/>
          </w:tcPr>
          <w:p w:rsidR="005729B5" w:rsidRPr="006E6EA4" w:rsidRDefault="005729B5" w:rsidP="00745381">
            <w:pPr>
              <w:pStyle w:val="Tablebodytext"/>
            </w:pPr>
            <w:r w:rsidRPr="006E6EA4">
              <w:t>5,515</w:t>
            </w:r>
          </w:p>
        </w:tc>
        <w:tc>
          <w:tcPr>
            <w:tcW w:w="1134" w:type="dxa"/>
          </w:tcPr>
          <w:p w:rsidR="005729B5" w:rsidRPr="006E6EA4" w:rsidRDefault="005729B5" w:rsidP="00745381">
            <w:pPr>
              <w:pStyle w:val="Tablebodytext"/>
            </w:pPr>
            <w:r w:rsidRPr="006E6EA4">
              <w:t>5,218</w:t>
            </w:r>
          </w:p>
        </w:tc>
        <w:tc>
          <w:tcPr>
            <w:tcW w:w="993" w:type="dxa"/>
          </w:tcPr>
          <w:p w:rsidR="005729B5" w:rsidRPr="006E6EA4" w:rsidRDefault="005729B5" w:rsidP="00745381">
            <w:pPr>
              <w:pStyle w:val="Tablebodytext"/>
            </w:pPr>
            <w:r w:rsidRPr="006E6EA4">
              <w:t>4,376</w:t>
            </w:r>
          </w:p>
        </w:tc>
        <w:tc>
          <w:tcPr>
            <w:tcW w:w="1134" w:type="dxa"/>
          </w:tcPr>
          <w:p w:rsidR="005729B5" w:rsidRPr="006E6EA4" w:rsidRDefault="005729B5" w:rsidP="00745381">
            <w:pPr>
              <w:pStyle w:val="Tablebodytext"/>
            </w:pPr>
            <w:r w:rsidRPr="006E6EA4">
              <w:t>4,498</w:t>
            </w:r>
          </w:p>
        </w:tc>
        <w:tc>
          <w:tcPr>
            <w:tcW w:w="992" w:type="dxa"/>
          </w:tcPr>
          <w:p w:rsidR="005729B5" w:rsidRPr="006E6EA4" w:rsidRDefault="005729B5" w:rsidP="00745381">
            <w:pPr>
              <w:pStyle w:val="Tablebodytext"/>
            </w:pPr>
            <w:r w:rsidRPr="006E6EA4">
              <w:t>4,255</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2019</w:t>
            </w:r>
          </w:p>
        </w:tc>
        <w:tc>
          <w:tcPr>
            <w:tcW w:w="1134" w:type="dxa"/>
          </w:tcPr>
          <w:p w:rsidR="005729B5" w:rsidRPr="006E6EA4" w:rsidRDefault="005729B5" w:rsidP="00745381">
            <w:pPr>
              <w:pStyle w:val="Tablebodytext"/>
            </w:pPr>
            <w:r w:rsidRPr="006E6EA4">
              <w:t>5,602</w:t>
            </w:r>
          </w:p>
        </w:tc>
        <w:tc>
          <w:tcPr>
            <w:tcW w:w="992" w:type="dxa"/>
          </w:tcPr>
          <w:p w:rsidR="005729B5" w:rsidRPr="006E6EA4" w:rsidRDefault="005729B5" w:rsidP="00745381">
            <w:pPr>
              <w:pStyle w:val="Tablebodytext"/>
            </w:pPr>
            <w:r w:rsidRPr="006E6EA4">
              <w:t>5,809</w:t>
            </w:r>
          </w:p>
        </w:tc>
        <w:tc>
          <w:tcPr>
            <w:tcW w:w="1134" w:type="dxa"/>
          </w:tcPr>
          <w:p w:rsidR="005729B5" w:rsidRPr="006E6EA4" w:rsidRDefault="005729B5" w:rsidP="00745381">
            <w:pPr>
              <w:pStyle w:val="Tablebodytext"/>
            </w:pPr>
            <w:r w:rsidRPr="006E6EA4">
              <w:t>5,401</w:t>
            </w:r>
          </w:p>
        </w:tc>
        <w:tc>
          <w:tcPr>
            <w:tcW w:w="993" w:type="dxa"/>
          </w:tcPr>
          <w:p w:rsidR="005729B5" w:rsidRPr="006E6EA4" w:rsidRDefault="005729B5" w:rsidP="00745381">
            <w:pPr>
              <w:pStyle w:val="Tablebodytext"/>
            </w:pPr>
            <w:r w:rsidRPr="006E6EA4">
              <w:t>4,310</w:t>
            </w:r>
          </w:p>
        </w:tc>
        <w:tc>
          <w:tcPr>
            <w:tcW w:w="1134" w:type="dxa"/>
          </w:tcPr>
          <w:p w:rsidR="005729B5" w:rsidRPr="006E6EA4" w:rsidRDefault="005729B5" w:rsidP="00745381">
            <w:pPr>
              <w:pStyle w:val="Tablebodytext"/>
            </w:pPr>
            <w:r w:rsidRPr="006E6EA4">
              <w:t>4,469</w:t>
            </w:r>
          </w:p>
        </w:tc>
        <w:tc>
          <w:tcPr>
            <w:tcW w:w="992" w:type="dxa"/>
          </w:tcPr>
          <w:p w:rsidR="005729B5" w:rsidRPr="006E6EA4" w:rsidRDefault="005729B5" w:rsidP="00745381">
            <w:pPr>
              <w:pStyle w:val="Tablebodytext"/>
            </w:pPr>
            <w:r w:rsidRPr="006E6EA4">
              <w:t>4,155</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2020</w:t>
            </w:r>
          </w:p>
        </w:tc>
        <w:tc>
          <w:tcPr>
            <w:tcW w:w="1134" w:type="dxa"/>
          </w:tcPr>
          <w:p w:rsidR="005729B5" w:rsidRPr="006E6EA4" w:rsidRDefault="005729B5" w:rsidP="00745381">
            <w:pPr>
              <w:pStyle w:val="Tablebodytext"/>
            </w:pPr>
            <w:r w:rsidRPr="006E6EA4">
              <w:t>5,851</w:t>
            </w:r>
          </w:p>
        </w:tc>
        <w:tc>
          <w:tcPr>
            <w:tcW w:w="992" w:type="dxa"/>
          </w:tcPr>
          <w:p w:rsidR="005729B5" w:rsidRPr="006E6EA4" w:rsidRDefault="005729B5" w:rsidP="00745381">
            <w:pPr>
              <w:pStyle w:val="Tablebodytext"/>
            </w:pPr>
            <w:r w:rsidRPr="006E6EA4">
              <w:t>6,118</w:t>
            </w:r>
          </w:p>
        </w:tc>
        <w:tc>
          <w:tcPr>
            <w:tcW w:w="1134" w:type="dxa"/>
          </w:tcPr>
          <w:p w:rsidR="005729B5" w:rsidRPr="006E6EA4" w:rsidRDefault="005729B5" w:rsidP="00745381">
            <w:pPr>
              <w:pStyle w:val="Tablebodytext"/>
            </w:pPr>
            <w:r w:rsidRPr="006E6EA4">
              <w:t>5,594</w:t>
            </w:r>
          </w:p>
        </w:tc>
        <w:tc>
          <w:tcPr>
            <w:tcW w:w="993" w:type="dxa"/>
          </w:tcPr>
          <w:p w:rsidR="005729B5" w:rsidRPr="006E6EA4" w:rsidRDefault="005729B5" w:rsidP="00745381">
            <w:pPr>
              <w:pStyle w:val="Tablebodytext"/>
            </w:pPr>
            <w:r w:rsidRPr="006E6EA4">
              <w:t>4,247</w:t>
            </w:r>
          </w:p>
        </w:tc>
        <w:tc>
          <w:tcPr>
            <w:tcW w:w="1134" w:type="dxa"/>
          </w:tcPr>
          <w:p w:rsidR="005729B5" w:rsidRPr="006E6EA4" w:rsidRDefault="005729B5" w:rsidP="00745381">
            <w:pPr>
              <w:pStyle w:val="Tablebodytext"/>
            </w:pPr>
            <w:r w:rsidRPr="006E6EA4">
              <w:t>4,440</w:t>
            </w:r>
          </w:p>
        </w:tc>
        <w:tc>
          <w:tcPr>
            <w:tcW w:w="992" w:type="dxa"/>
          </w:tcPr>
          <w:p w:rsidR="005729B5" w:rsidRPr="006E6EA4" w:rsidRDefault="005729B5" w:rsidP="00745381">
            <w:pPr>
              <w:pStyle w:val="Tablebodytext"/>
            </w:pPr>
            <w:r w:rsidRPr="006E6EA4">
              <w:t>4,060</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2030</w:t>
            </w:r>
          </w:p>
        </w:tc>
        <w:tc>
          <w:tcPr>
            <w:tcW w:w="1134" w:type="dxa"/>
          </w:tcPr>
          <w:p w:rsidR="005729B5" w:rsidRPr="006E6EA4" w:rsidRDefault="005729B5" w:rsidP="00745381">
            <w:pPr>
              <w:pStyle w:val="Tablebodytext"/>
              <w:rPr>
                <w:lang w:val="en-US"/>
              </w:rPr>
            </w:pPr>
            <w:r w:rsidRPr="006E6EA4">
              <w:rPr>
                <w:lang w:val="en-US"/>
              </w:rPr>
              <w:t>8,863</w:t>
            </w:r>
          </w:p>
        </w:tc>
        <w:tc>
          <w:tcPr>
            <w:tcW w:w="992" w:type="dxa"/>
          </w:tcPr>
          <w:p w:rsidR="005729B5" w:rsidRPr="006E6EA4" w:rsidRDefault="005729B5" w:rsidP="00745381">
            <w:pPr>
              <w:pStyle w:val="Tablebodytext"/>
              <w:rPr>
                <w:lang w:val="en-US"/>
              </w:rPr>
            </w:pPr>
            <w:r w:rsidRPr="006E6EA4">
              <w:rPr>
                <w:lang w:val="en-US"/>
              </w:rPr>
              <w:t>9,971</w:t>
            </w:r>
          </w:p>
        </w:tc>
        <w:tc>
          <w:tcPr>
            <w:tcW w:w="1134" w:type="dxa"/>
          </w:tcPr>
          <w:p w:rsidR="005729B5" w:rsidRPr="006E6EA4" w:rsidRDefault="005729B5" w:rsidP="00745381">
            <w:pPr>
              <w:pStyle w:val="Tablebodytext"/>
              <w:rPr>
                <w:lang w:val="en-US"/>
              </w:rPr>
            </w:pPr>
            <w:r w:rsidRPr="006E6EA4">
              <w:rPr>
                <w:lang w:val="en-US"/>
              </w:rPr>
              <w:t>7,882</w:t>
            </w:r>
          </w:p>
        </w:tc>
        <w:tc>
          <w:tcPr>
            <w:tcW w:w="993" w:type="dxa"/>
          </w:tcPr>
          <w:p w:rsidR="005729B5" w:rsidRPr="006E6EA4" w:rsidRDefault="005729B5" w:rsidP="00745381">
            <w:pPr>
              <w:pStyle w:val="Tablebodytext"/>
              <w:rPr>
                <w:lang w:val="en-US"/>
              </w:rPr>
            </w:pPr>
            <w:r w:rsidRPr="006E6EA4">
              <w:rPr>
                <w:lang w:val="en-US"/>
              </w:rPr>
              <w:t>3,592</w:t>
            </w:r>
          </w:p>
        </w:tc>
        <w:tc>
          <w:tcPr>
            <w:tcW w:w="1134" w:type="dxa"/>
          </w:tcPr>
          <w:p w:rsidR="005729B5" w:rsidRPr="006E6EA4" w:rsidRDefault="005729B5" w:rsidP="00745381">
            <w:pPr>
              <w:pStyle w:val="Tablebodytext"/>
              <w:rPr>
                <w:lang w:val="en-US"/>
              </w:rPr>
            </w:pPr>
            <w:r w:rsidRPr="006E6EA4">
              <w:rPr>
                <w:lang w:val="en-US"/>
              </w:rPr>
              <w:t>4,041</w:t>
            </w:r>
          </w:p>
        </w:tc>
        <w:tc>
          <w:tcPr>
            <w:tcW w:w="992" w:type="dxa"/>
          </w:tcPr>
          <w:p w:rsidR="005729B5" w:rsidRPr="006E6EA4" w:rsidRDefault="005729B5" w:rsidP="00745381">
            <w:pPr>
              <w:pStyle w:val="Tablebodytext"/>
              <w:rPr>
                <w:lang w:val="en-US"/>
              </w:rPr>
            </w:pPr>
            <w:r w:rsidRPr="006E6EA4">
              <w:rPr>
                <w:lang w:val="en-US"/>
              </w:rPr>
              <w:t>3,194</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2040</w:t>
            </w:r>
          </w:p>
        </w:tc>
        <w:tc>
          <w:tcPr>
            <w:tcW w:w="1134" w:type="dxa"/>
          </w:tcPr>
          <w:p w:rsidR="005729B5" w:rsidRPr="006E6EA4" w:rsidRDefault="005729B5" w:rsidP="00745381">
            <w:pPr>
              <w:pStyle w:val="Tablebodytext"/>
              <w:rPr>
                <w:lang w:val="en-US"/>
              </w:rPr>
            </w:pPr>
            <w:r w:rsidRPr="006E6EA4">
              <w:rPr>
                <w:lang w:val="en-US"/>
              </w:rPr>
              <w:t>12,057</w:t>
            </w:r>
          </w:p>
        </w:tc>
        <w:tc>
          <w:tcPr>
            <w:tcW w:w="992" w:type="dxa"/>
          </w:tcPr>
          <w:p w:rsidR="005729B5" w:rsidRPr="006E6EA4" w:rsidRDefault="005729B5" w:rsidP="00745381">
            <w:pPr>
              <w:pStyle w:val="Tablebodytext"/>
              <w:rPr>
                <w:lang w:val="en-US"/>
              </w:rPr>
            </w:pPr>
            <w:r w:rsidRPr="006E6EA4">
              <w:rPr>
                <w:lang w:val="en-US"/>
              </w:rPr>
              <w:t>14,314</w:t>
            </w:r>
          </w:p>
        </w:tc>
        <w:tc>
          <w:tcPr>
            <w:tcW w:w="1134" w:type="dxa"/>
          </w:tcPr>
          <w:p w:rsidR="005729B5" w:rsidRPr="006E6EA4" w:rsidRDefault="005729B5" w:rsidP="00745381">
            <w:pPr>
              <w:pStyle w:val="Tablebodytext"/>
              <w:rPr>
                <w:lang w:val="en-US"/>
              </w:rPr>
            </w:pPr>
            <w:r w:rsidRPr="006E6EA4">
              <w:rPr>
                <w:lang w:val="en-US"/>
              </w:rPr>
              <w:t>10,189</w:t>
            </w:r>
          </w:p>
        </w:tc>
        <w:tc>
          <w:tcPr>
            <w:tcW w:w="993" w:type="dxa"/>
          </w:tcPr>
          <w:p w:rsidR="005729B5" w:rsidRPr="006E6EA4" w:rsidRDefault="005729B5" w:rsidP="00745381">
            <w:pPr>
              <w:pStyle w:val="Tablebodytext"/>
              <w:rPr>
                <w:lang w:val="en-US"/>
              </w:rPr>
            </w:pPr>
            <w:r w:rsidRPr="006E6EA4">
              <w:rPr>
                <w:lang w:val="en-US"/>
              </w:rPr>
              <w:t>2,729</w:t>
            </w:r>
          </w:p>
        </w:tc>
        <w:tc>
          <w:tcPr>
            <w:tcW w:w="1134" w:type="dxa"/>
          </w:tcPr>
          <w:p w:rsidR="005729B5" w:rsidRPr="006E6EA4" w:rsidRDefault="005729B5" w:rsidP="00745381">
            <w:pPr>
              <w:pStyle w:val="Tablebodytext"/>
              <w:rPr>
                <w:lang w:val="en-US"/>
              </w:rPr>
            </w:pPr>
            <w:r w:rsidRPr="006E6EA4">
              <w:rPr>
                <w:lang w:val="en-US"/>
              </w:rPr>
              <w:t>3,239</w:t>
            </w:r>
          </w:p>
        </w:tc>
        <w:tc>
          <w:tcPr>
            <w:tcW w:w="992" w:type="dxa"/>
          </w:tcPr>
          <w:p w:rsidR="005729B5" w:rsidRPr="006E6EA4" w:rsidRDefault="005729B5" w:rsidP="00745381">
            <w:pPr>
              <w:pStyle w:val="Tablebodytext"/>
              <w:rPr>
                <w:lang w:val="en-US"/>
              </w:rPr>
            </w:pPr>
            <w:r w:rsidRPr="006E6EA4">
              <w:rPr>
                <w:lang w:val="en-US"/>
              </w:rPr>
              <w:t>2,306</w:t>
            </w:r>
          </w:p>
        </w:tc>
      </w:tr>
      <w:tr w:rsidR="005729B5" w:rsidRPr="006E6EA4" w:rsidTr="008B2560">
        <w:tc>
          <w:tcPr>
            <w:tcW w:w="1843" w:type="dxa"/>
            <w:vAlign w:val="bottom"/>
          </w:tcPr>
          <w:p w:rsidR="005729B5" w:rsidRPr="006E6EA4" w:rsidRDefault="005729B5" w:rsidP="00745381">
            <w:pPr>
              <w:pStyle w:val="Tablebodytext"/>
              <w:rPr>
                <w:lang w:val="en-US"/>
              </w:rPr>
            </w:pPr>
            <w:r w:rsidRPr="006E6EA4">
              <w:rPr>
                <w:lang w:val="en-US"/>
              </w:rPr>
              <w:t>2050</w:t>
            </w:r>
          </w:p>
        </w:tc>
        <w:tc>
          <w:tcPr>
            <w:tcW w:w="1134" w:type="dxa"/>
          </w:tcPr>
          <w:p w:rsidR="005729B5" w:rsidRPr="006E6EA4" w:rsidRDefault="005729B5" w:rsidP="00745381">
            <w:pPr>
              <w:pStyle w:val="Tablebodytext"/>
              <w:rPr>
                <w:lang w:val="en-US"/>
              </w:rPr>
            </w:pPr>
            <w:r w:rsidRPr="006E6EA4">
              <w:rPr>
                <w:lang w:val="en-US"/>
              </w:rPr>
              <w:t>12,699</w:t>
            </w:r>
          </w:p>
        </w:tc>
        <w:tc>
          <w:tcPr>
            <w:tcW w:w="992" w:type="dxa"/>
          </w:tcPr>
          <w:p w:rsidR="005729B5" w:rsidRPr="006E6EA4" w:rsidRDefault="005729B5" w:rsidP="00745381">
            <w:pPr>
              <w:pStyle w:val="Tablebodytext"/>
              <w:rPr>
                <w:lang w:val="en-US"/>
              </w:rPr>
            </w:pPr>
            <w:r w:rsidRPr="006E6EA4">
              <w:rPr>
                <w:lang w:val="en-US"/>
              </w:rPr>
              <w:t>15,725</w:t>
            </w:r>
          </w:p>
        </w:tc>
        <w:tc>
          <w:tcPr>
            <w:tcW w:w="1134" w:type="dxa"/>
          </w:tcPr>
          <w:p w:rsidR="005729B5" w:rsidRPr="006E6EA4" w:rsidRDefault="005729B5" w:rsidP="00745381">
            <w:pPr>
              <w:pStyle w:val="Tablebodytext"/>
              <w:rPr>
                <w:lang w:val="en-US"/>
              </w:rPr>
            </w:pPr>
            <w:r w:rsidRPr="006E6EA4">
              <w:rPr>
                <w:lang w:val="en-US"/>
              </w:rPr>
              <w:t>10,326</w:t>
            </w:r>
          </w:p>
        </w:tc>
        <w:tc>
          <w:tcPr>
            <w:tcW w:w="993" w:type="dxa"/>
          </w:tcPr>
          <w:p w:rsidR="005729B5" w:rsidRPr="006E6EA4" w:rsidRDefault="005729B5" w:rsidP="00745381">
            <w:pPr>
              <w:pStyle w:val="Tablebodytext"/>
              <w:rPr>
                <w:lang w:val="en-US"/>
              </w:rPr>
            </w:pPr>
            <w:r w:rsidRPr="006E6EA4">
              <w:rPr>
                <w:lang w:val="en-US"/>
              </w:rPr>
              <w:t>1,605</w:t>
            </w:r>
          </w:p>
        </w:tc>
        <w:tc>
          <w:tcPr>
            <w:tcW w:w="1134" w:type="dxa"/>
          </w:tcPr>
          <w:p w:rsidR="005729B5" w:rsidRPr="006E6EA4" w:rsidRDefault="005729B5" w:rsidP="00745381">
            <w:pPr>
              <w:pStyle w:val="Tablebodytext"/>
              <w:rPr>
                <w:lang w:val="en-US"/>
              </w:rPr>
            </w:pPr>
            <w:r w:rsidRPr="006E6EA4">
              <w:rPr>
                <w:lang w:val="en-US"/>
              </w:rPr>
              <w:t>1,987</w:t>
            </w:r>
          </w:p>
        </w:tc>
        <w:tc>
          <w:tcPr>
            <w:tcW w:w="992" w:type="dxa"/>
          </w:tcPr>
          <w:p w:rsidR="005729B5" w:rsidRPr="006E6EA4" w:rsidRDefault="005729B5" w:rsidP="00745381">
            <w:pPr>
              <w:pStyle w:val="Tablebodytext"/>
              <w:rPr>
                <w:lang w:val="en-US"/>
              </w:rPr>
            </w:pPr>
            <w:r w:rsidRPr="006E6EA4">
              <w:rPr>
                <w:lang w:val="en-US"/>
              </w:rPr>
              <w:t>1,305</w:t>
            </w:r>
          </w:p>
        </w:tc>
      </w:tr>
    </w:tbl>
    <w:p w:rsidR="00F71419" w:rsidRDefault="005729B5" w:rsidP="003F639C">
      <w:pPr>
        <w:pStyle w:val="Numberedpara1stindent"/>
        <w:spacing w:before="240" w:after="240"/>
        <w:rPr>
          <w:lang w:eastAsia="en-AU"/>
        </w:rPr>
      </w:pPr>
      <w:r w:rsidRPr="003472C4">
        <w:rPr>
          <w:lang w:eastAsia="en-AU"/>
        </w:rPr>
        <w:t>Adjustments to CPI have a larger impact in the short term than salary and discount rate as the outlays relate largely to pension payments.  The pension is directly affected each year by the rate of CPI.</w:t>
      </w:r>
    </w:p>
    <w:p w:rsidR="005729B5" w:rsidRPr="007E3448" w:rsidRDefault="00F71419" w:rsidP="00745381">
      <w:pPr>
        <w:pStyle w:val="Heading3nonumbers"/>
      </w:pPr>
      <w:r>
        <w:rPr>
          <w:lang w:eastAsia="en-AU"/>
        </w:rPr>
        <w:br w:type="page"/>
      </w:r>
      <w:r w:rsidR="005729B5" w:rsidRPr="007E3448">
        <w:lastRenderedPageBreak/>
        <w:t>Demographic Assumptions</w:t>
      </w:r>
    </w:p>
    <w:p w:rsidR="00B8589F" w:rsidRDefault="005729B5" w:rsidP="00B8589F">
      <w:pPr>
        <w:pStyle w:val="Numberedpara1stindent"/>
        <w:spacing w:after="240"/>
        <w:rPr>
          <w:lang w:eastAsia="en-AU"/>
        </w:rPr>
      </w:pPr>
      <w:r w:rsidRPr="00116BAE">
        <w:rPr>
          <w:lang w:eastAsia="en-AU"/>
        </w:rPr>
        <w:t>The sensitivity of the estimated Unfunded Liability as at 30 June 2014 to certain demographic assumptions was tested by measuring the effect on the Unfunded Liability of varying each assumption in turn whilst keeping all other assumptions unchanged. The alternative assumptions used were:</w:t>
      </w:r>
    </w:p>
    <w:p w:rsidR="005729B5" w:rsidRPr="00B8589F" w:rsidRDefault="005729B5" w:rsidP="00B8589F">
      <w:pPr>
        <w:pStyle w:val="Numberedpara1stindent"/>
        <w:numPr>
          <w:ilvl w:val="0"/>
          <w:numId w:val="0"/>
        </w:numPr>
        <w:spacing w:after="240"/>
        <w:ind w:left="567"/>
        <w:rPr>
          <w:lang w:eastAsia="en-AU"/>
        </w:rPr>
      </w:pPr>
      <w:r w:rsidRPr="00B8589F">
        <w:rPr>
          <w:b/>
        </w:rPr>
        <w:t>PSS Pension Take-Up Rate</w:t>
      </w:r>
    </w:p>
    <w:p w:rsidR="004A35B2" w:rsidRDefault="005729B5" w:rsidP="004A35B2">
      <w:pPr>
        <w:pStyle w:val="Numberedpara2ndindent"/>
        <w:spacing w:after="240"/>
      </w:pPr>
      <w:r w:rsidRPr="001E5B01">
        <w:t>Increasing the proportion of PSS members who elect a pension from 80% to 90%.</w:t>
      </w:r>
    </w:p>
    <w:p w:rsidR="005729B5" w:rsidRPr="004A35B2" w:rsidRDefault="005729B5" w:rsidP="004A35B2">
      <w:pPr>
        <w:pStyle w:val="Numberedpara1stindent"/>
        <w:numPr>
          <w:ilvl w:val="0"/>
          <w:numId w:val="0"/>
        </w:numPr>
        <w:spacing w:after="240"/>
        <w:ind w:left="567"/>
        <w:rPr>
          <w:b/>
        </w:rPr>
      </w:pPr>
      <w:r w:rsidRPr="004A35B2">
        <w:rPr>
          <w:b/>
        </w:rPr>
        <w:t>PSS Member Contribution Rate</w:t>
      </w:r>
    </w:p>
    <w:p w:rsidR="004A35B2" w:rsidRDefault="005729B5" w:rsidP="004A35B2">
      <w:pPr>
        <w:pStyle w:val="Numberedpara2ndindent"/>
        <w:spacing w:after="240"/>
      </w:pPr>
      <w:r w:rsidRPr="001E5B01">
        <w:t>Increasing the age-specific member contribution rates assumed by 0.5% of salary at each age.</w:t>
      </w:r>
    </w:p>
    <w:p w:rsidR="005729B5" w:rsidRPr="004A35B2" w:rsidRDefault="005729B5" w:rsidP="004A35B2">
      <w:pPr>
        <w:pStyle w:val="Numberedpara1stindent"/>
        <w:numPr>
          <w:ilvl w:val="0"/>
          <w:numId w:val="0"/>
        </w:numPr>
        <w:spacing w:after="240"/>
        <w:ind w:left="567"/>
        <w:rPr>
          <w:b/>
        </w:rPr>
      </w:pPr>
      <w:r w:rsidRPr="004A35B2">
        <w:rPr>
          <w:b/>
        </w:rPr>
        <w:t>Pensioner Mortality Improvements</w:t>
      </w:r>
    </w:p>
    <w:p w:rsidR="005729B5" w:rsidRDefault="005729B5" w:rsidP="00266A7E">
      <w:pPr>
        <w:pStyle w:val="Numberedpara2ndindent"/>
        <w:spacing w:after="120"/>
      </w:pPr>
      <w:r>
        <w:t>Decreasing the rate of pensioner mortality improvement by applying the 100-year mortality improvement factors from the Australian Life Tables 2005 07 (ALT), from 1 July 2014, rather than applying the ALT 25-year mortality improvement factors for seven years and the 100-year mortality improvement factors thereafter.</w:t>
      </w:r>
    </w:p>
    <w:p w:rsidR="00F71419" w:rsidRDefault="005729B5" w:rsidP="005729B5">
      <w:pPr>
        <w:pStyle w:val="Numberedpara2ndindent"/>
        <w:spacing w:after="240"/>
      </w:pPr>
      <w:r>
        <w:t>Increasing the rate of pensioner mortality improvement by applying the ALT 25-year mortality improvement factors from 30 June 2014 onwards with no reversion to the 100-year factors.</w:t>
      </w:r>
    </w:p>
    <w:p w:rsidR="005729B5" w:rsidRDefault="00F71419" w:rsidP="00F71419">
      <w:pPr>
        <w:pStyle w:val="Numberedpara1stindent"/>
        <w:spacing w:after="240"/>
      </w:pPr>
      <w:r>
        <w:br w:type="page"/>
      </w:r>
      <w:r w:rsidR="005729B5" w:rsidRPr="001E5B01">
        <w:rPr>
          <w:lang w:eastAsia="en-AU"/>
        </w:rPr>
        <w:lastRenderedPageBreak/>
        <w:t>The table below shows the Unfunded Liability of the PSS and CSS at 30 June 2014 under each of the above alternative assumptions.</w:t>
      </w:r>
    </w:p>
    <w:p w:rsidR="005729B5" w:rsidRDefault="005729B5" w:rsidP="004A35B2">
      <w:pPr>
        <w:pStyle w:val="Heading3nonumbers"/>
      </w:pPr>
      <w:r w:rsidRPr="007E3448">
        <w:t>Unfunded Liability</w:t>
      </w:r>
    </w:p>
    <w:p w:rsidR="004A35B2" w:rsidRPr="004A35B2" w:rsidRDefault="004A35B2" w:rsidP="004A35B2">
      <w:pPr>
        <w:pStyle w:val="Heading4nonumbers"/>
      </w:pPr>
      <w:r w:rsidRPr="006E6EA4">
        <w:t>Sensitivity of Unfunded Liability to Key Demographic Assumptions</w:t>
      </w:r>
    </w:p>
    <w:tbl>
      <w:tblPr>
        <w:tblW w:w="8080" w:type="dxa"/>
        <w:tblBorders>
          <w:top w:val="single" w:sz="2" w:space="0" w:color="A7B4BE"/>
          <w:bottom w:val="single" w:sz="2" w:space="0" w:color="A7B4BE"/>
          <w:insideH w:val="single" w:sz="2" w:space="0" w:color="A7B4BE"/>
          <w:insideV w:val="single" w:sz="2" w:space="0" w:color="A7B4BE"/>
        </w:tblBorders>
        <w:tblLayout w:type="fixed"/>
        <w:tblCellMar>
          <w:left w:w="0" w:type="dxa"/>
          <w:right w:w="0" w:type="dxa"/>
        </w:tblCellMar>
        <w:tblLook w:val="04A0"/>
      </w:tblPr>
      <w:tblGrid>
        <w:gridCol w:w="1276"/>
        <w:gridCol w:w="851"/>
        <w:gridCol w:w="850"/>
        <w:gridCol w:w="1134"/>
        <w:gridCol w:w="851"/>
        <w:gridCol w:w="992"/>
        <w:gridCol w:w="1134"/>
        <w:gridCol w:w="992"/>
      </w:tblGrid>
      <w:tr w:rsidR="005729B5" w:rsidRPr="006E6EA4" w:rsidTr="008B2560">
        <w:tc>
          <w:tcPr>
            <w:tcW w:w="2127" w:type="dxa"/>
            <w:gridSpan w:val="2"/>
            <w:vMerge w:val="restart"/>
            <w:shd w:val="clear" w:color="auto" w:fill="DDF3FA"/>
          </w:tcPr>
          <w:p w:rsidR="005729B5" w:rsidRPr="006E6EA4" w:rsidRDefault="005729B5" w:rsidP="008B2560">
            <w:pPr>
              <w:pStyle w:val="Tablecolumnheading"/>
              <w:spacing w:line="220" w:lineRule="atLeast"/>
              <w:rPr>
                <w:rFonts w:cs="Arial"/>
              </w:rPr>
            </w:pPr>
            <w:r w:rsidRPr="006E6EA4">
              <w:rPr>
                <w:rFonts w:cs="Arial"/>
              </w:rPr>
              <w:t>Assumption</w:t>
            </w:r>
          </w:p>
        </w:tc>
        <w:tc>
          <w:tcPr>
            <w:tcW w:w="1984" w:type="dxa"/>
            <w:gridSpan w:val="2"/>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PSS</w:t>
            </w:r>
          </w:p>
          <w:p w:rsidR="005729B5" w:rsidRPr="006E6EA4" w:rsidRDefault="005729B5" w:rsidP="008B2560">
            <w:pPr>
              <w:pStyle w:val="Tablecolumnheading"/>
              <w:spacing w:line="220" w:lineRule="atLeast"/>
              <w:jc w:val="center"/>
              <w:rPr>
                <w:rFonts w:cs="Arial"/>
              </w:rPr>
            </w:pPr>
            <w:r w:rsidRPr="006E6EA4">
              <w:rPr>
                <w:rFonts w:cs="Arial"/>
              </w:rPr>
              <w:t>($ billions)</w:t>
            </w:r>
          </w:p>
        </w:tc>
        <w:tc>
          <w:tcPr>
            <w:tcW w:w="1843" w:type="dxa"/>
            <w:gridSpan w:val="2"/>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CSS</w:t>
            </w:r>
          </w:p>
          <w:p w:rsidR="005729B5" w:rsidRPr="006E6EA4" w:rsidRDefault="005729B5" w:rsidP="008B2560">
            <w:pPr>
              <w:pStyle w:val="Tablecolumnheading"/>
              <w:spacing w:line="220" w:lineRule="atLeast"/>
              <w:jc w:val="center"/>
              <w:rPr>
                <w:rFonts w:cs="Arial"/>
              </w:rPr>
            </w:pPr>
            <w:r w:rsidRPr="006E6EA4">
              <w:rPr>
                <w:rFonts w:cs="Arial"/>
              </w:rPr>
              <w:t>($ billions)</w:t>
            </w:r>
          </w:p>
        </w:tc>
        <w:tc>
          <w:tcPr>
            <w:tcW w:w="1134"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Combined</w:t>
            </w:r>
          </w:p>
          <w:p w:rsidR="005729B5" w:rsidRPr="006E6EA4" w:rsidRDefault="005729B5" w:rsidP="008B2560">
            <w:pPr>
              <w:pStyle w:val="Tablecolumnheading"/>
              <w:spacing w:line="220" w:lineRule="atLeast"/>
              <w:jc w:val="center"/>
              <w:rPr>
                <w:rFonts w:cs="Arial"/>
              </w:rPr>
            </w:pPr>
            <w:r w:rsidRPr="006E6EA4">
              <w:rPr>
                <w:rFonts w:cs="Arial"/>
              </w:rPr>
              <w:t>($ billions)</w:t>
            </w:r>
          </w:p>
        </w:tc>
        <w:tc>
          <w:tcPr>
            <w:tcW w:w="992" w:type="dxa"/>
            <w:shd w:val="clear" w:color="auto" w:fill="DDF3FA"/>
          </w:tcPr>
          <w:p w:rsidR="005729B5" w:rsidRPr="006E6EA4" w:rsidRDefault="005729B5" w:rsidP="008B2560">
            <w:pPr>
              <w:pStyle w:val="Tablecolumnheading"/>
              <w:spacing w:line="220" w:lineRule="atLeast"/>
              <w:jc w:val="center"/>
              <w:rPr>
                <w:rFonts w:cs="Arial"/>
              </w:rPr>
            </w:pPr>
          </w:p>
        </w:tc>
      </w:tr>
      <w:tr w:rsidR="005729B5" w:rsidRPr="006E6EA4" w:rsidTr="008B2560">
        <w:tc>
          <w:tcPr>
            <w:tcW w:w="2127" w:type="dxa"/>
            <w:gridSpan w:val="2"/>
            <w:vMerge/>
            <w:shd w:val="clear" w:color="auto" w:fill="DDF3FA"/>
          </w:tcPr>
          <w:p w:rsidR="005729B5" w:rsidRPr="006E6EA4" w:rsidRDefault="005729B5" w:rsidP="008B2560">
            <w:pPr>
              <w:pStyle w:val="Tablecolumnheading"/>
              <w:spacing w:line="220" w:lineRule="atLeast"/>
              <w:rPr>
                <w:rFonts w:cs="Arial"/>
              </w:rPr>
            </w:pPr>
          </w:p>
        </w:tc>
        <w:tc>
          <w:tcPr>
            <w:tcW w:w="850"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UFL</w:t>
            </w:r>
          </w:p>
        </w:tc>
        <w:tc>
          <w:tcPr>
            <w:tcW w:w="1134"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Change</w:t>
            </w:r>
          </w:p>
        </w:tc>
        <w:tc>
          <w:tcPr>
            <w:tcW w:w="851"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UFL</w:t>
            </w:r>
          </w:p>
        </w:tc>
        <w:tc>
          <w:tcPr>
            <w:tcW w:w="992"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Change</w:t>
            </w:r>
          </w:p>
        </w:tc>
        <w:tc>
          <w:tcPr>
            <w:tcW w:w="1134"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UFL</w:t>
            </w:r>
          </w:p>
        </w:tc>
        <w:tc>
          <w:tcPr>
            <w:tcW w:w="992" w:type="dxa"/>
            <w:shd w:val="clear" w:color="auto" w:fill="DDF3FA"/>
          </w:tcPr>
          <w:p w:rsidR="005729B5" w:rsidRPr="006E6EA4" w:rsidRDefault="005729B5" w:rsidP="008B2560">
            <w:pPr>
              <w:pStyle w:val="Tablecolumnheading"/>
              <w:spacing w:line="220" w:lineRule="atLeast"/>
              <w:jc w:val="center"/>
              <w:rPr>
                <w:rFonts w:cs="Arial"/>
              </w:rPr>
            </w:pPr>
            <w:r w:rsidRPr="006E6EA4">
              <w:rPr>
                <w:rFonts w:cs="Arial"/>
              </w:rPr>
              <w:t>Change</w:t>
            </w:r>
          </w:p>
        </w:tc>
      </w:tr>
      <w:tr w:rsidR="005729B5" w:rsidRPr="006E6EA4" w:rsidTr="008B2560">
        <w:tc>
          <w:tcPr>
            <w:tcW w:w="2127" w:type="dxa"/>
            <w:gridSpan w:val="2"/>
            <w:vAlign w:val="center"/>
          </w:tcPr>
          <w:p w:rsidR="005729B5" w:rsidRPr="006E6EA4" w:rsidRDefault="005729B5" w:rsidP="004A35B2">
            <w:pPr>
              <w:pStyle w:val="Tablebodytext"/>
            </w:pPr>
            <w:r w:rsidRPr="006E6EA4">
              <w:t>Valuation basis</w:t>
            </w:r>
          </w:p>
        </w:tc>
        <w:tc>
          <w:tcPr>
            <w:tcW w:w="850" w:type="dxa"/>
            <w:vAlign w:val="center"/>
          </w:tcPr>
          <w:p w:rsidR="005729B5" w:rsidRPr="006E6EA4" w:rsidRDefault="005729B5" w:rsidP="004A35B2">
            <w:pPr>
              <w:pStyle w:val="Tablebodytext"/>
            </w:pPr>
            <w:r w:rsidRPr="006E6EA4">
              <w:t>46.9</w:t>
            </w:r>
          </w:p>
        </w:tc>
        <w:tc>
          <w:tcPr>
            <w:tcW w:w="1134" w:type="dxa"/>
            <w:vAlign w:val="center"/>
          </w:tcPr>
          <w:p w:rsidR="005729B5" w:rsidRPr="006E6EA4" w:rsidRDefault="005729B5" w:rsidP="004A35B2">
            <w:pPr>
              <w:pStyle w:val="Tablebodytext"/>
            </w:pPr>
          </w:p>
        </w:tc>
        <w:tc>
          <w:tcPr>
            <w:tcW w:w="851" w:type="dxa"/>
            <w:vAlign w:val="center"/>
          </w:tcPr>
          <w:p w:rsidR="005729B5" w:rsidRPr="006E6EA4" w:rsidRDefault="005729B5" w:rsidP="004A35B2">
            <w:pPr>
              <w:pStyle w:val="Tablebodytext"/>
            </w:pPr>
            <w:r w:rsidRPr="006E6EA4">
              <w:t>62.9</w:t>
            </w:r>
          </w:p>
        </w:tc>
        <w:tc>
          <w:tcPr>
            <w:tcW w:w="992" w:type="dxa"/>
            <w:vAlign w:val="center"/>
          </w:tcPr>
          <w:p w:rsidR="005729B5" w:rsidRPr="006E6EA4" w:rsidRDefault="005729B5" w:rsidP="004A35B2">
            <w:pPr>
              <w:pStyle w:val="Tablebodytext"/>
            </w:pPr>
          </w:p>
        </w:tc>
        <w:tc>
          <w:tcPr>
            <w:tcW w:w="1134" w:type="dxa"/>
            <w:vAlign w:val="center"/>
          </w:tcPr>
          <w:p w:rsidR="005729B5" w:rsidRPr="006E6EA4" w:rsidRDefault="005729B5" w:rsidP="004A35B2">
            <w:pPr>
              <w:pStyle w:val="Tablebodytext"/>
            </w:pPr>
            <w:r w:rsidRPr="006E6EA4">
              <w:t>109.8</w:t>
            </w:r>
          </w:p>
        </w:tc>
        <w:tc>
          <w:tcPr>
            <w:tcW w:w="992" w:type="dxa"/>
            <w:vAlign w:val="center"/>
          </w:tcPr>
          <w:p w:rsidR="005729B5" w:rsidRPr="006E6EA4" w:rsidRDefault="005729B5" w:rsidP="004A35B2">
            <w:pPr>
              <w:pStyle w:val="Tablebodytext"/>
            </w:pPr>
          </w:p>
        </w:tc>
      </w:tr>
      <w:tr w:rsidR="005729B5" w:rsidRPr="006E6EA4" w:rsidTr="008B2560">
        <w:tc>
          <w:tcPr>
            <w:tcW w:w="2127" w:type="dxa"/>
            <w:gridSpan w:val="2"/>
            <w:vAlign w:val="center"/>
          </w:tcPr>
          <w:p w:rsidR="005729B5" w:rsidRPr="006E6EA4" w:rsidRDefault="005729B5" w:rsidP="004A35B2">
            <w:pPr>
              <w:pStyle w:val="Tablebodytext"/>
            </w:pPr>
            <w:r w:rsidRPr="006E6EA4">
              <w:t>PSS pension take up rate increased to 90%</w:t>
            </w:r>
          </w:p>
        </w:tc>
        <w:tc>
          <w:tcPr>
            <w:tcW w:w="850" w:type="dxa"/>
            <w:vAlign w:val="center"/>
          </w:tcPr>
          <w:p w:rsidR="005729B5" w:rsidRPr="006E6EA4" w:rsidRDefault="005729B5" w:rsidP="004A35B2">
            <w:pPr>
              <w:pStyle w:val="Tablebodytext"/>
              <w:rPr>
                <w:color w:val="000000"/>
              </w:rPr>
            </w:pPr>
            <w:r w:rsidRPr="006E6EA4">
              <w:rPr>
                <w:color w:val="000000"/>
              </w:rPr>
              <w:t>48.8</w:t>
            </w:r>
          </w:p>
        </w:tc>
        <w:tc>
          <w:tcPr>
            <w:tcW w:w="1134" w:type="dxa"/>
            <w:vAlign w:val="center"/>
          </w:tcPr>
          <w:p w:rsidR="005729B5" w:rsidRPr="006E6EA4" w:rsidRDefault="005729B5" w:rsidP="004A35B2">
            <w:pPr>
              <w:pStyle w:val="Tablebodytext"/>
              <w:rPr>
                <w:color w:val="000000"/>
              </w:rPr>
            </w:pPr>
            <w:r w:rsidRPr="006E6EA4">
              <w:rPr>
                <w:color w:val="000000"/>
              </w:rPr>
              <w:t>+1.9</w:t>
            </w:r>
          </w:p>
        </w:tc>
        <w:tc>
          <w:tcPr>
            <w:tcW w:w="851" w:type="dxa"/>
            <w:vAlign w:val="center"/>
          </w:tcPr>
          <w:p w:rsidR="005729B5" w:rsidRPr="006E6EA4" w:rsidRDefault="005729B5" w:rsidP="004A35B2">
            <w:pPr>
              <w:pStyle w:val="Tablebodytext"/>
              <w:rPr>
                <w:color w:val="000000"/>
              </w:rPr>
            </w:pPr>
            <w:r w:rsidRPr="006E6EA4">
              <w:rPr>
                <w:color w:val="000000"/>
              </w:rPr>
              <w:t>62.9</w:t>
            </w:r>
          </w:p>
        </w:tc>
        <w:tc>
          <w:tcPr>
            <w:tcW w:w="992" w:type="dxa"/>
            <w:vAlign w:val="center"/>
          </w:tcPr>
          <w:p w:rsidR="005729B5" w:rsidRPr="006E6EA4" w:rsidRDefault="005729B5" w:rsidP="004A35B2">
            <w:pPr>
              <w:pStyle w:val="Tablebodytext"/>
              <w:rPr>
                <w:color w:val="000000"/>
              </w:rPr>
            </w:pPr>
            <w:r w:rsidRPr="006E6EA4">
              <w:rPr>
                <w:color w:val="000000"/>
              </w:rPr>
              <w:t>-</w:t>
            </w:r>
          </w:p>
        </w:tc>
        <w:tc>
          <w:tcPr>
            <w:tcW w:w="1134" w:type="dxa"/>
            <w:vAlign w:val="center"/>
          </w:tcPr>
          <w:p w:rsidR="005729B5" w:rsidRPr="006E6EA4" w:rsidRDefault="005729B5" w:rsidP="004A35B2">
            <w:pPr>
              <w:pStyle w:val="Tablebodytext"/>
              <w:rPr>
                <w:color w:val="000000"/>
              </w:rPr>
            </w:pPr>
            <w:r w:rsidRPr="006E6EA4">
              <w:rPr>
                <w:color w:val="000000"/>
              </w:rPr>
              <w:t>111.7</w:t>
            </w:r>
          </w:p>
        </w:tc>
        <w:tc>
          <w:tcPr>
            <w:tcW w:w="992" w:type="dxa"/>
            <w:vAlign w:val="center"/>
          </w:tcPr>
          <w:p w:rsidR="005729B5" w:rsidRPr="006E6EA4" w:rsidRDefault="005729B5" w:rsidP="004A35B2">
            <w:pPr>
              <w:pStyle w:val="Tablebodytext"/>
              <w:rPr>
                <w:color w:val="000000"/>
              </w:rPr>
            </w:pPr>
            <w:r w:rsidRPr="006E6EA4">
              <w:rPr>
                <w:color w:val="000000"/>
              </w:rPr>
              <w:t>+1.9</w:t>
            </w:r>
          </w:p>
        </w:tc>
      </w:tr>
      <w:tr w:rsidR="005729B5" w:rsidRPr="006E6EA4" w:rsidTr="008B2560">
        <w:tc>
          <w:tcPr>
            <w:tcW w:w="2127" w:type="dxa"/>
            <w:gridSpan w:val="2"/>
            <w:vAlign w:val="center"/>
          </w:tcPr>
          <w:p w:rsidR="005729B5" w:rsidRPr="006E6EA4" w:rsidRDefault="005729B5" w:rsidP="004A35B2">
            <w:pPr>
              <w:pStyle w:val="Tablebodytext"/>
            </w:pPr>
            <w:r w:rsidRPr="006E6EA4">
              <w:t>PSS member contribution rates assumed increased by 0.5% of salary at each age</w:t>
            </w:r>
          </w:p>
        </w:tc>
        <w:tc>
          <w:tcPr>
            <w:tcW w:w="850" w:type="dxa"/>
            <w:vAlign w:val="center"/>
          </w:tcPr>
          <w:p w:rsidR="005729B5" w:rsidRPr="006E6EA4" w:rsidRDefault="005729B5" w:rsidP="004A35B2">
            <w:pPr>
              <w:pStyle w:val="Tablebodytext"/>
              <w:rPr>
                <w:color w:val="000000"/>
              </w:rPr>
            </w:pPr>
            <w:r w:rsidRPr="006E6EA4">
              <w:t>46.9</w:t>
            </w:r>
          </w:p>
        </w:tc>
        <w:tc>
          <w:tcPr>
            <w:tcW w:w="1134" w:type="dxa"/>
            <w:vAlign w:val="center"/>
          </w:tcPr>
          <w:p w:rsidR="005729B5" w:rsidRPr="006E6EA4" w:rsidRDefault="005729B5" w:rsidP="004A35B2">
            <w:pPr>
              <w:pStyle w:val="Tablebodytext"/>
              <w:rPr>
                <w:color w:val="000000"/>
              </w:rPr>
            </w:pPr>
            <w:r w:rsidRPr="006E6EA4">
              <w:rPr>
                <w:color w:val="000000"/>
              </w:rPr>
              <w:t>-</w:t>
            </w:r>
          </w:p>
        </w:tc>
        <w:tc>
          <w:tcPr>
            <w:tcW w:w="851" w:type="dxa"/>
            <w:vAlign w:val="center"/>
          </w:tcPr>
          <w:p w:rsidR="005729B5" w:rsidRPr="006E6EA4" w:rsidRDefault="005729B5" w:rsidP="004A35B2">
            <w:pPr>
              <w:pStyle w:val="Tablebodytext"/>
              <w:rPr>
                <w:color w:val="000000"/>
              </w:rPr>
            </w:pPr>
            <w:r w:rsidRPr="006E6EA4">
              <w:t>62.9</w:t>
            </w:r>
          </w:p>
        </w:tc>
        <w:tc>
          <w:tcPr>
            <w:tcW w:w="992" w:type="dxa"/>
            <w:vAlign w:val="center"/>
          </w:tcPr>
          <w:p w:rsidR="005729B5" w:rsidRPr="006E6EA4" w:rsidRDefault="005729B5" w:rsidP="004A35B2">
            <w:pPr>
              <w:pStyle w:val="Tablebodytext"/>
              <w:rPr>
                <w:color w:val="000000"/>
              </w:rPr>
            </w:pPr>
            <w:r w:rsidRPr="006E6EA4">
              <w:rPr>
                <w:color w:val="000000"/>
              </w:rPr>
              <w:t>-</w:t>
            </w:r>
          </w:p>
        </w:tc>
        <w:tc>
          <w:tcPr>
            <w:tcW w:w="1134" w:type="dxa"/>
            <w:vAlign w:val="center"/>
          </w:tcPr>
          <w:p w:rsidR="005729B5" w:rsidRPr="006E6EA4" w:rsidRDefault="005729B5" w:rsidP="004A35B2">
            <w:pPr>
              <w:pStyle w:val="Tablebodytext"/>
              <w:rPr>
                <w:color w:val="000000"/>
              </w:rPr>
            </w:pPr>
            <w:r w:rsidRPr="006E6EA4">
              <w:t>109.8</w:t>
            </w:r>
          </w:p>
        </w:tc>
        <w:tc>
          <w:tcPr>
            <w:tcW w:w="992" w:type="dxa"/>
            <w:vAlign w:val="center"/>
          </w:tcPr>
          <w:p w:rsidR="005729B5" w:rsidRPr="006E6EA4" w:rsidRDefault="005729B5" w:rsidP="004A35B2">
            <w:pPr>
              <w:pStyle w:val="Tablebodytext"/>
              <w:rPr>
                <w:color w:val="000000"/>
              </w:rPr>
            </w:pPr>
            <w:r w:rsidRPr="006E6EA4">
              <w:rPr>
                <w:color w:val="000000"/>
              </w:rPr>
              <w:t>-*</w:t>
            </w:r>
          </w:p>
        </w:tc>
      </w:tr>
      <w:tr w:rsidR="00C6733B" w:rsidRPr="006E6EA4" w:rsidTr="005E3FCF">
        <w:tc>
          <w:tcPr>
            <w:tcW w:w="1276" w:type="dxa"/>
            <w:vMerge w:val="restart"/>
            <w:vAlign w:val="center"/>
          </w:tcPr>
          <w:p w:rsidR="00C6733B" w:rsidRPr="006E6EA4" w:rsidRDefault="00C6733B" w:rsidP="004A35B2">
            <w:pPr>
              <w:pStyle w:val="Tablebodytext"/>
            </w:pPr>
            <w:r w:rsidRPr="006E6EA4">
              <w:t>Rates of pensioner mortality improvement</w:t>
            </w:r>
          </w:p>
        </w:tc>
        <w:tc>
          <w:tcPr>
            <w:tcW w:w="851" w:type="dxa"/>
            <w:vAlign w:val="center"/>
          </w:tcPr>
          <w:p w:rsidR="00C6733B" w:rsidRPr="006E6EA4" w:rsidRDefault="00C6733B" w:rsidP="004A35B2">
            <w:pPr>
              <w:pStyle w:val="Tablebodytext"/>
            </w:pPr>
            <w:r w:rsidRPr="006E6EA4">
              <w:t>100-year</w:t>
            </w:r>
          </w:p>
        </w:tc>
        <w:tc>
          <w:tcPr>
            <w:tcW w:w="850" w:type="dxa"/>
            <w:vAlign w:val="center"/>
          </w:tcPr>
          <w:p w:rsidR="00C6733B" w:rsidRPr="006E6EA4" w:rsidRDefault="00C6733B" w:rsidP="004A35B2">
            <w:pPr>
              <w:pStyle w:val="Tablebodytext"/>
              <w:rPr>
                <w:color w:val="000000"/>
              </w:rPr>
            </w:pPr>
            <w:r w:rsidRPr="006E6EA4">
              <w:rPr>
                <w:color w:val="000000"/>
              </w:rPr>
              <w:t>46.4</w:t>
            </w:r>
          </w:p>
        </w:tc>
        <w:tc>
          <w:tcPr>
            <w:tcW w:w="1134" w:type="dxa"/>
            <w:vAlign w:val="center"/>
          </w:tcPr>
          <w:p w:rsidR="00C6733B" w:rsidRPr="006E6EA4" w:rsidRDefault="00C6733B" w:rsidP="004A35B2">
            <w:pPr>
              <w:pStyle w:val="Tablebodytext"/>
              <w:rPr>
                <w:color w:val="000000"/>
              </w:rPr>
            </w:pPr>
            <w:r w:rsidRPr="006E6EA4">
              <w:rPr>
                <w:color w:val="000000"/>
              </w:rPr>
              <w:t>-0.5</w:t>
            </w:r>
          </w:p>
        </w:tc>
        <w:tc>
          <w:tcPr>
            <w:tcW w:w="851" w:type="dxa"/>
            <w:vAlign w:val="center"/>
          </w:tcPr>
          <w:p w:rsidR="00C6733B" w:rsidRPr="006E6EA4" w:rsidRDefault="00C6733B" w:rsidP="004A35B2">
            <w:pPr>
              <w:pStyle w:val="Tablebodytext"/>
              <w:rPr>
                <w:color w:val="000000"/>
              </w:rPr>
            </w:pPr>
            <w:r w:rsidRPr="006E6EA4">
              <w:rPr>
                <w:color w:val="000000"/>
              </w:rPr>
              <w:t>62.2</w:t>
            </w:r>
          </w:p>
        </w:tc>
        <w:tc>
          <w:tcPr>
            <w:tcW w:w="992" w:type="dxa"/>
            <w:vAlign w:val="center"/>
          </w:tcPr>
          <w:p w:rsidR="00C6733B" w:rsidRPr="006E6EA4" w:rsidRDefault="00C6733B" w:rsidP="004A35B2">
            <w:pPr>
              <w:pStyle w:val="Tablebodytext"/>
              <w:rPr>
                <w:color w:val="000000"/>
              </w:rPr>
            </w:pPr>
            <w:r w:rsidRPr="006E6EA4">
              <w:rPr>
                <w:color w:val="000000"/>
              </w:rPr>
              <w:t>-0.7</w:t>
            </w:r>
          </w:p>
        </w:tc>
        <w:tc>
          <w:tcPr>
            <w:tcW w:w="1134" w:type="dxa"/>
            <w:vAlign w:val="center"/>
          </w:tcPr>
          <w:p w:rsidR="00C6733B" w:rsidRPr="006E6EA4" w:rsidRDefault="00C6733B" w:rsidP="004A35B2">
            <w:pPr>
              <w:pStyle w:val="Tablebodytext"/>
              <w:rPr>
                <w:color w:val="000000"/>
              </w:rPr>
            </w:pPr>
            <w:r w:rsidRPr="006E6EA4">
              <w:rPr>
                <w:color w:val="000000"/>
              </w:rPr>
              <w:t>108.6</w:t>
            </w:r>
          </w:p>
        </w:tc>
        <w:tc>
          <w:tcPr>
            <w:tcW w:w="992" w:type="dxa"/>
            <w:vAlign w:val="center"/>
          </w:tcPr>
          <w:p w:rsidR="00C6733B" w:rsidRPr="006E6EA4" w:rsidRDefault="00C6733B" w:rsidP="004A35B2">
            <w:pPr>
              <w:pStyle w:val="Tablebodytext"/>
              <w:rPr>
                <w:color w:val="000000"/>
              </w:rPr>
            </w:pPr>
            <w:r w:rsidRPr="006E6EA4">
              <w:rPr>
                <w:color w:val="000000"/>
              </w:rPr>
              <w:t>-1.2</w:t>
            </w:r>
          </w:p>
        </w:tc>
      </w:tr>
      <w:tr w:rsidR="00C6733B" w:rsidRPr="006E6EA4" w:rsidTr="005E3FCF">
        <w:tc>
          <w:tcPr>
            <w:tcW w:w="1276" w:type="dxa"/>
            <w:vMerge/>
            <w:vAlign w:val="center"/>
          </w:tcPr>
          <w:p w:rsidR="00C6733B" w:rsidRPr="006E6EA4" w:rsidRDefault="00C6733B" w:rsidP="004A35B2">
            <w:pPr>
              <w:pStyle w:val="Tablebodytext"/>
              <w:rPr>
                <w:b/>
              </w:rPr>
            </w:pPr>
          </w:p>
        </w:tc>
        <w:tc>
          <w:tcPr>
            <w:tcW w:w="851" w:type="dxa"/>
            <w:vAlign w:val="center"/>
          </w:tcPr>
          <w:p w:rsidR="00C6733B" w:rsidRPr="006E6EA4" w:rsidRDefault="00C6733B" w:rsidP="004A35B2">
            <w:pPr>
              <w:pStyle w:val="Tablebodytext"/>
            </w:pPr>
            <w:r w:rsidRPr="006E6EA4">
              <w:t>25-year</w:t>
            </w:r>
          </w:p>
        </w:tc>
        <w:tc>
          <w:tcPr>
            <w:tcW w:w="850" w:type="dxa"/>
            <w:vAlign w:val="center"/>
          </w:tcPr>
          <w:p w:rsidR="00C6733B" w:rsidRPr="006E6EA4" w:rsidRDefault="00C6733B" w:rsidP="004A35B2">
            <w:pPr>
              <w:pStyle w:val="Tablebodytext"/>
            </w:pPr>
            <w:r w:rsidRPr="006E6EA4">
              <w:rPr>
                <w:color w:val="000000"/>
              </w:rPr>
              <w:t>48.1</w:t>
            </w:r>
          </w:p>
        </w:tc>
        <w:tc>
          <w:tcPr>
            <w:tcW w:w="1134" w:type="dxa"/>
            <w:vAlign w:val="center"/>
          </w:tcPr>
          <w:p w:rsidR="00C6733B" w:rsidRPr="006E6EA4" w:rsidRDefault="00C6733B" w:rsidP="004A35B2">
            <w:pPr>
              <w:pStyle w:val="Tablebodytext"/>
            </w:pPr>
            <w:r w:rsidRPr="006E6EA4">
              <w:rPr>
                <w:color w:val="000000"/>
              </w:rPr>
              <w:t>+1.2</w:t>
            </w:r>
          </w:p>
        </w:tc>
        <w:tc>
          <w:tcPr>
            <w:tcW w:w="851" w:type="dxa"/>
            <w:vAlign w:val="center"/>
          </w:tcPr>
          <w:p w:rsidR="00C6733B" w:rsidRPr="006E6EA4" w:rsidRDefault="00C6733B" w:rsidP="004A35B2">
            <w:pPr>
              <w:pStyle w:val="Tablebodytext"/>
            </w:pPr>
            <w:r w:rsidRPr="006E6EA4">
              <w:rPr>
                <w:color w:val="000000"/>
              </w:rPr>
              <w:t>63.7</w:t>
            </w:r>
          </w:p>
        </w:tc>
        <w:tc>
          <w:tcPr>
            <w:tcW w:w="992" w:type="dxa"/>
            <w:vAlign w:val="center"/>
          </w:tcPr>
          <w:p w:rsidR="00C6733B" w:rsidRPr="006E6EA4" w:rsidRDefault="00C6733B" w:rsidP="004A35B2">
            <w:pPr>
              <w:pStyle w:val="Tablebodytext"/>
            </w:pPr>
            <w:r w:rsidRPr="006E6EA4">
              <w:rPr>
                <w:color w:val="000000"/>
              </w:rPr>
              <w:t>+0.8</w:t>
            </w:r>
          </w:p>
        </w:tc>
        <w:tc>
          <w:tcPr>
            <w:tcW w:w="1134" w:type="dxa"/>
            <w:vAlign w:val="center"/>
          </w:tcPr>
          <w:p w:rsidR="00C6733B" w:rsidRPr="006E6EA4" w:rsidRDefault="00C6733B" w:rsidP="004A35B2">
            <w:pPr>
              <w:pStyle w:val="Tablebodytext"/>
            </w:pPr>
            <w:r w:rsidRPr="006E6EA4">
              <w:rPr>
                <w:color w:val="000000"/>
              </w:rPr>
              <w:t>111.8</w:t>
            </w:r>
          </w:p>
        </w:tc>
        <w:tc>
          <w:tcPr>
            <w:tcW w:w="992" w:type="dxa"/>
            <w:vAlign w:val="center"/>
          </w:tcPr>
          <w:p w:rsidR="00C6733B" w:rsidRPr="006E6EA4" w:rsidRDefault="00C6733B" w:rsidP="004A35B2">
            <w:pPr>
              <w:pStyle w:val="Tablebodytext"/>
            </w:pPr>
            <w:r w:rsidRPr="006E6EA4">
              <w:rPr>
                <w:color w:val="000000"/>
              </w:rPr>
              <w:t>+2.0</w:t>
            </w:r>
          </w:p>
        </w:tc>
      </w:tr>
    </w:tbl>
    <w:p w:rsidR="003F639C" w:rsidRDefault="004A35B2" w:rsidP="004A35B2">
      <w:pPr>
        <w:pStyle w:val="Sourcenotetext"/>
      </w:pPr>
      <w:r w:rsidRPr="006E6EA4">
        <w:t>* Any increases to the assumed PSS member contribution rates do not affect unfunded liabilities accrued to date, but will affect future benefit accruals and projected outlays (see Section 8.8 for sensitivity results on projected outlays)</w:t>
      </w:r>
      <w:r>
        <w:t>.</w:t>
      </w:r>
    </w:p>
    <w:p w:rsidR="005729B5" w:rsidRPr="007E3448" w:rsidRDefault="003F639C" w:rsidP="004A35B2">
      <w:pPr>
        <w:pStyle w:val="Heading3nonumbers"/>
      </w:pPr>
      <w:r>
        <w:br w:type="page"/>
      </w:r>
      <w:r w:rsidR="005729B5" w:rsidRPr="007E3448">
        <w:lastRenderedPageBreak/>
        <w:t>Total Projected Outlays</w:t>
      </w:r>
    </w:p>
    <w:p w:rsidR="005729B5" w:rsidRDefault="005729B5" w:rsidP="00266A7E">
      <w:pPr>
        <w:pStyle w:val="Numberedpara1stindent"/>
        <w:spacing w:after="120"/>
      </w:pPr>
      <w:r w:rsidRPr="003674D9">
        <w:t>The table below shows the projected total PSS and CSS outlays for the next six years and then for the next three 10-year intervals under the valuation basis and the alternative assumptions for PSS pension take up rate and PSS member contribution rates.</w:t>
      </w:r>
    </w:p>
    <w:p w:rsidR="004A35B2" w:rsidRDefault="004A35B2" w:rsidP="004A35B2">
      <w:pPr>
        <w:pStyle w:val="Heading4nonumbers"/>
      </w:pPr>
      <w:r w:rsidRPr="006E6EA4">
        <w:t>Projected Total PSS and CSS Future Outlays</w:t>
      </w:r>
    </w:p>
    <w:tbl>
      <w:tblPr>
        <w:tblW w:w="8222" w:type="dxa"/>
        <w:tblBorders>
          <w:top w:val="single" w:sz="2" w:space="0" w:color="A7B4BE"/>
          <w:bottom w:val="single" w:sz="2" w:space="0" w:color="A7B4BE"/>
          <w:insideH w:val="single" w:sz="2" w:space="0" w:color="A7B4BE"/>
          <w:insideV w:val="single" w:sz="2" w:space="0" w:color="A7B4BE"/>
        </w:tblBorders>
        <w:tblLayout w:type="fixed"/>
        <w:tblCellMar>
          <w:left w:w="0" w:type="dxa"/>
          <w:right w:w="0" w:type="dxa"/>
        </w:tblCellMar>
        <w:tblLook w:val="04A0"/>
      </w:tblPr>
      <w:tblGrid>
        <w:gridCol w:w="1276"/>
        <w:gridCol w:w="1134"/>
        <w:gridCol w:w="992"/>
        <w:gridCol w:w="1276"/>
        <w:gridCol w:w="1134"/>
        <w:gridCol w:w="1134"/>
        <w:gridCol w:w="1276"/>
      </w:tblGrid>
      <w:tr w:rsidR="005729B5" w:rsidRPr="006E6EA4" w:rsidTr="008B2560">
        <w:tc>
          <w:tcPr>
            <w:tcW w:w="1276" w:type="dxa"/>
            <w:vMerge w:val="restart"/>
            <w:shd w:val="clear" w:color="auto" w:fill="DDF3FA"/>
          </w:tcPr>
          <w:p w:rsidR="005729B5" w:rsidRPr="006E6EA4" w:rsidRDefault="005729B5" w:rsidP="004A35B2">
            <w:pPr>
              <w:pStyle w:val="Tablecolumnheading"/>
            </w:pPr>
            <w:r w:rsidRPr="006E6EA4">
              <w:rPr>
                <w:lang w:val="en-US"/>
              </w:rPr>
              <w:t xml:space="preserve">Year ending </w:t>
            </w:r>
            <w:r w:rsidRPr="006E6EA4">
              <w:rPr>
                <w:lang w:val="en-US"/>
              </w:rPr>
              <w:br/>
              <w:t>30 June</w:t>
            </w:r>
          </w:p>
        </w:tc>
        <w:tc>
          <w:tcPr>
            <w:tcW w:w="3402" w:type="dxa"/>
            <w:gridSpan w:val="3"/>
            <w:shd w:val="clear" w:color="auto" w:fill="DDF3FA"/>
            <w:vAlign w:val="center"/>
          </w:tcPr>
          <w:p w:rsidR="005729B5" w:rsidRPr="006E6EA4" w:rsidRDefault="005729B5" w:rsidP="004A35B2">
            <w:pPr>
              <w:pStyle w:val="Tablecolumnheading"/>
              <w:rPr>
                <w:lang w:val="en-US"/>
              </w:rPr>
            </w:pPr>
            <w:r w:rsidRPr="006E6EA4">
              <w:rPr>
                <w:lang w:val="en-US"/>
              </w:rPr>
              <w:t>Nominal Outlays</w:t>
            </w:r>
          </w:p>
          <w:p w:rsidR="005729B5" w:rsidRPr="006E6EA4" w:rsidRDefault="005729B5" w:rsidP="004A35B2">
            <w:pPr>
              <w:pStyle w:val="Tablecolumnheading"/>
              <w:rPr>
                <w:lang w:val="en-US"/>
              </w:rPr>
            </w:pPr>
            <w:r w:rsidRPr="006E6EA4">
              <w:rPr>
                <w:lang w:val="en-US"/>
              </w:rPr>
              <w:t>($ millions)</w:t>
            </w:r>
          </w:p>
        </w:tc>
        <w:tc>
          <w:tcPr>
            <w:tcW w:w="3544" w:type="dxa"/>
            <w:gridSpan w:val="3"/>
            <w:shd w:val="clear" w:color="auto" w:fill="DDF3FA"/>
            <w:vAlign w:val="center"/>
          </w:tcPr>
          <w:p w:rsidR="005729B5" w:rsidRPr="006E6EA4" w:rsidRDefault="005729B5" w:rsidP="004A35B2">
            <w:pPr>
              <w:pStyle w:val="Tablecolumnheading"/>
              <w:rPr>
                <w:lang w:val="en-US"/>
              </w:rPr>
            </w:pPr>
            <w:r w:rsidRPr="006E6EA4">
              <w:rPr>
                <w:lang w:val="en-US"/>
              </w:rPr>
              <w:t>Discounted Outlays</w:t>
            </w:r>
          </w:p>
          <w:p w:rsidR="005729B5" w:rsidRPr="006E6EA4" w:rsidRDefault="005729B5" w:rsidP="004A35B2">
            <w:pPr>
              <w:pStyle w:val="Tablecolumnheading"/>
              <w:rPr>
                <w:lang w:val="en-US"/>
              </w:rPr>
            </w:pPr>
            <w:r w:rsidRPr="006E6EA4">
              <w:rPr>
                <w:lang w:val="en-US"/>
              </w:rPr>
              <w:t>($ millions)</w:t>
            </w:r>
          </w:p>
        </w:tc>
      </w:tr>
      <w:tr w:rsidR="005729B5" w:rsidRPr="006E6EA4" w:rsidTr="008B2560">
        <w:tc>
          <w:tcPr>
            <w:tcW w:w="1276" w:type="dxa"/>
            <w:vMerge/>
            <w:shd w:val="clear" w:color="auto" w:fill="DDF3FA"/>
          </w:tcPr>
          <w:p w:rsidR="005729B5" w:rsidRPr="006E6EA4" w:rsidRDefault="005729B5" w:rsidP="004A35B2">
            <w:pPr>
              <w:pStyle w:val="Tablecolumnheading"/>
            </w:pPr>
          </w:p>
        </w:tc>
        <w:tc>
          <w:tcPr>
            <w:tcW w:w="1134" w:type="dxa"/>
            <w:shd w:val="clear" w:color="auto" w:fill="DDF3FA"/>
            <w:vAlign w:val="center"/>
          </w:tcPr>
          <w:p w:rsidR="005729B5" w:rsidRPr="006E6EA4" w:rsidRDefault="005729B5" w:rsidP="004A35B2">
            <w:pPr>
              <w:pStyle w:val="Tablecolumnheading"/>
              <w:rPr>
                <w:lang w:val="en-US"/>
              </w:rPr>
            </w:pPr>
            <w:r w:rsidRPr="006E6EA4">
              <w:rPr>
                <w:lang w:val="en-US"/>
              </w:rPr>
              <w:t>Valuation basis</w:t>
            </w:r>
          </w:p>
        </w:tc>
        <w:tc>
          <w:tcPr>
            <w:tcW w:w="992" w:type="dxa"/>
            <w:shd w:val="clear" w:color="auto" w:fill="DDF3FA"/>
            <w:vAlign w:val="center"/>
          </w:tcPr>
          <w:p w:rsidR="005729B5" w:rsidRPr="006E6EA4" w:rsidRDefault="005729B5" w:rsidP="004A35B2">
            <w:pPr>
              <w:pStyle w:val="Tablecolumnheading"/>
              <w:rPr>
                <w:lang w:val="en-US"/>
              </w:rPr>
            </w:pPr>
            <w:r w:rsidRPr="006E6EA4">
              <w:rPr>
                <w:lang w:val="en-US"/>
              </w:rPr>
              <w:t>PSS 90% pension take up</w:t>
            </w:r>
          </w:p>
        </w:tc>
        <w:tc>
          <w:tcPr>
            <w:tcW w:w="1276" w:type="dxa"/>
            <w:shd w:val="clear" w:color="auto" w:fill="DDF3FA"/>
            <w:vAlign w:val="center"/>
          </w:tcPr>
          <w:p w:rsidR="005729B5" w:rsidRPr="006E6EA4" w:rsidRDefault="005729B5" w:rsidP="004A35B2">
            <w:pPr>
              <w:pStyle w:val="Tablecolumnheading"/>
              <w:rPr>
                <w:lang w:val="en-US"/>
              </w:rPr>
            </w:pPr>
            <w:r w:rsidRPr="006E6EA4">
              <w:rPr>
                <w:lang w:val="en-US"/>
              </w:rPr>
              <w:t>PSS member contribution rate + 0.5% of salary</w:t>
            </w:r>
          </w:p>
        </w:tc>
        <w:tc>
          <w:tcPr>
            <w:tcW w:w="1134" w:type="dxa"/>
            <w:shd w:val="clear" w:color="auto" w:fill="DDF3FA"/>
            <w:vAlign w:val="center"/>
          </w:tcPr>
          <w:p w:rsidR="005729B5" w:rsidRPr="006E6EA4" w:rsidRDefault="005729B5" w:rsidP="004A35B2">
            <w:pPr>
              <w:pStyle w:val="Tablecolumnheading"/>
              <w:rPr>
                <w:lang w:val="en-US"/>
              </w:rPr>
            </w:pPr>
            <w:r w:rsidRPr="006E6EA4">
              <w:rPr>
                <w:lang w:val="en-US"/>
              </w:rPr>
              <w:t>Valuation basis</w:t>
            </w:r>
          </w:p>
        </w:tc>
        <w:tc>
          <w:tcPr>
            <w:tcW w:w="1134" w:type="dxa"/>
            <w:shd w:val="clear" w:color="auto" w:fill="DDF3FA"/>
            <w:vAlign w:val="center"/>
          </w:tcPr>
          <w:p w:rsidR="005729B5" w:rsidRPr="006E6EA4" w:rsidRDefault="005729B5" w:rsidP="004A35B2">
            <w:pPr>
              <w:pStyle w:val="Tablecolumnheading"/>
              <w:rPr>
                <w:lang w:val="en-US"/>
              </w:rPr>
            </w:pPr>
            <w:r w:rsidRPr="006E6EA4">
              <w:rPr>
                <w:lang w:val="en-US"/>
              </w:rPr>
              <w:t>PSS 90% pension take up</w:t>
            </w:r>
          </w:p>
        </w:tc>
        <w:tc>
          <w:tcPr>
            <w:tcW w:w="1276" w:type="dxa"/>
            <w:shd w:val="clear" w:color="auto" w:fill="DDF3FA"/>
            <w:vAlign w:val="center"/>
          </w:tcPr>
          <w:p w:rsidR="005729B5" w:rsidRPr="006E6EA4" w:rsidRDefault="005729B5" w:rsidP="004A35B2">
            <w:pPr>
              <w:pStyle w:val="Tablecolumnheading"/>
              <w:rPr>
                <w:lang w:val="en-US"/>
              </w:rPr>
            </w:pPr>
            <w:r w:rsidRPr="006E6EA4">
              <w:rPr>
                <w:lang w:val="en-US"/>
              </w:rPr>
              <w:t>PSS member contribution rate + 0.5% of salary</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2015</w:t>
            </w:r>
          </w:p>
        </w:tc>
        <w:tc>
          <w:tcPr>
            <w:tcW w:w="1134" w:type="dxa"/>
          </w:tcPr>
          <w:p w:rsidR="005729B5" w:rsidRPr="006E6EA4" w:rsidRDefault="005729B5" w:rsidP="004A35B2">
            <w:pPr>
              <w:pStyle w:val="Tablebodytext"/>
              <w:rPr>
                <w:lang w:val="en-US"/>
              </w:rPr>
            </w:pPr>
            <w:r w:rsidRPr="006E6EA4">
              <w:rPr>
                <w:lang w:val="en-US"/>
              </w:rPr>
              <w:t>4,695</w:t>
            </w:r>
          </w:p>
        </w:tc>
        <w:tc>
          <w:tcPr>
            <w:tcW w:w="992" w:type="dxa"/>
          </w:tcPr>
          <w:p w:rsidR="005729B5" w:rsidRPr="006E6EA4" w:rsidRDefault="005729B5" w:rsidP="004A35B2">
            <w:pPr>
              <w:pStyle w:val="Tablebodytext"/>
              <w:rPr>
                <w:lang w:val="en-US"/>
              </w:rPr>
            </w:pPr>
            <w:r w:rsidRPr="006E6EA4">
              <w:rPr>
                <w:lang w:val="en-US"/>
              </w:rPr>
              <w:t>4,566</w:t>
            </w:r>
          </w:p>
        </w:tc>
        <w:tc>
          <w:tcPr>
            <w:tcW w:w="1276" w:type="dxa"/>
          </w:tcPr>
          <w:p w:rsidR="005729B5" w:rsidRPr="006E6EA4" w:rsidRDefault="005729B5" w:rsidP="004A35B2">
            <w:pPr>
              <w:pStyle w:val="Tablebodytext"/>
              <w:rPr>
                <w:lang w:val="en-US"/>
              </w:rPr>
            </w:pPr>
            <w:r w:rsidRPr="006E6EA4">
              <w:rPr>
                <w:lang w:val="en-US"/>
              </w:rPr>
              <w:t>4,712</w:t>
            </w:r>
          </w:p>
        </w:tc>
        <w:tc>
          <w:tcPr>
            <w:tcW w:w="1134" w:type="dxa"/>
          </w:tcPr>
          <w:p w:rsidR="005729B5" w:rsidRPr="006E6EA4" w:rsidRDefault="005729B5" w:rsidP="004A35B2">
            <w:pPr>
              <w:pStyle w:val="Tablebodytext"/>
              <w:rPr>
                <w:lang w:val="en-US"/>
              </w:rPr>
            </w:pPr>
            <w:r w:rsidRPr="006E6EA4">
              <w:rPr>
                <w:lang w:val="en-US"/>
              </w:rPr>
              <w:t>4,560</w:t>
            </w:r>
          </w:p>
        </w:tc>
        <w:tc>
          <w:tcPr>
            <w:tcW w:w="1134" w:type="dxa"/>
          </w:tcPr>
          <w:p w:rsidR="005729B5" w:rsidRPr="006E6EA4" w:rsidRDefault="005729B5" w:rsidP="004A35B2">
            <w:pPr>
              <w:pStyle w:val="Tablebodytext"/>
              <w:rPr>
                <w:lang w:val="en-US"/>
              </w:rPr>
            </w:pPr>
            <w:r w:rsidRPr="006E6EA4">
              <w:rPr>
                <w:lang w:val="en-US"/>
              </w:rPr>
              <w:t>4,435</w:t>
            </w:r>
          </w:p>
        </w:tc>
        <w:tc>
          <w:tcPr>
            <w:tcW w:w="1276" w:type="dxa"/>
          </w:tcPr>
          <w:p w:rsidR="005729B5" w:rsidRPr="006E6EA4" w:rsidRDefault="005729B5" w:rsidP="004A35B2">
            <w:pPr>
              <w:pStyle w:val="Tablebodytext"/>
              <w:rPr>
                <w:lang w:val="en-US"/>
              </w:rPr>
            </w:pPr>
            <w:r w:rsidRPr="006E6EA4">
              <w:rPr>
                <w:lang w:val="en-US"/>
              </w:rPr>
              <w:t>4,576</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2016</w:t>
            </w:r>
          </w:p>
        </w:tc>
        <w:tc>
          <w:tcPr>
            <w:tcW w:w="1134" w:type="dxa"/>
          </w:tcPr>
          <w:p w:rsidR="005729B5" w:rsidRPr="006E6EA4" w:rsidRDefault="005729B5" w:rsidP="004A35B2">
            <w:pPr>
              <w:pStyle w:val="Tablebodytext"/>
              <w:rPr>
                <w:lang w:val="en-US"/>
              </w:rPr>
            </w:pPr>
            <w:r w:rsidRPr="006E6EA4">
              <w:rPr>
                <w:lang w:val="en-US"/>
              </w:rPr>
              <w:t>4,910</w:t>
            </w:r>
          </w:p>
        </w:tc>
        <w:tc>
          <w:tcPr>
            <w:tcW w:w="992" w:type="dxa"/>
          </w:tcPr>
          <w:p w:rsidR="005729B5" w:rsidRPr="006E6EA4" w:rsidRDefault="005729B5" w:rsidP="004A35B2">
            <w:pPr>
              <w:pStyle w:val="Tablebodytext"/>
              <w:rPr>
                <w:lang w:val="en-US"/>
              </w:rPr>
            </w:pPr>
            <w:r w:rsidRPr="006E6EA4">
              <w:rPr>
                <w:lang w:val="en-US"/>
              </w:rPr>
              <w:t>4,778</w:t>
            </w:r>
          </w:p>
        </w:tc>
        <w:tc>
          <w:tcPr>
            <w:tcW w:w="1276" w:type="dxa"/>
          </w:tcPr>
          <w:p w:rsidR="005729B5" w:rsidRPr="006E6EA4" w:rsidRDefault="005729B5" w:rsidP="004A35B2">
            <w:pPr>
              <w:pStyle w:val="Tablebodytext"/>
              <w:rPr>
                <w:lang w:val="en-US"/>
              </w:rPr>
            </w:pPr>
            <w:r w:rsidRPr="006E6EA4">
              <w:rPr>
                <w:lang w:val="en-US"/>
              </w:rPr>
              <w:t>4,925</w:t>
            </w:r>
          </w:p>
        </w:tc>
        <w:tc>
          <w:tcPr>
            <w:tcW w:w="1134" w:type="dxa"/>
          </w:tcPr>
          <w:p w:rsidR="005729B5" w:rsidRPr="006E6EA4" w:rsidRDefault="005729B5" w:rsidP="004A35B2">
            <w:pPr>
              <w:pStyle w:val="Tablebodytext"/>
              <w:rPr>
                <w:lang w:val="en-US"/>
              </w:rPr>
            </w:pPr>
            <w:r w:rsidRPr="006E6EA4">
              <w:rPr>
                <w:lang w:val="en-US"/>
              </w:rPr>
              <w:t>4,499</w:t>
            </w:r>
          </w:p>
        </w:tc>
        <w:tc>
          <w:tcPr>
            <w:tcW w:w="1134" w:type="dxa"/>
          </w:tcPr>
          <w:p w:rsidR="005729B5" w:rsidRPr="006E6EA4" w:rsidRDefault="005729B5" w:rsidP="004A35B2">
            <w:pPr>
              <w:pStyle w:val="Tablebodytext"/>
              <w:rPr>
                <w:lang w:val="en-US"/>
              </w:rPr>
            </w:pPr>
            <w:r w:rsidRPr="006E6EA4">
              <w:rPr>
                <w:lang w:val="en-US"/>
              </w:rPr>
              <w:t>4,378</w:t>
            </w:r>
          </w:p>
        </w:tc>
        <w:tc>
          <w:tcPr>
            <w:tcW w:w="1276" w:type="dxa"/>
          </w:tcPr>
          <w:p w:rsidR="005729B5" w:rsidRPr="006E6EA4" w:rsidRDefault="005729B5" w:rsidP="004A35B2">
            <w:pPr>
              <w:pStyle w:val="Tablebodytext"/>
              <w:rPr>
                <w:lang w:val="en-US"/>
              </w:rPr>
            </w:pPr>
            <w:r w:rsidRPr="006E6EA4">
              <w:rPr>
                <w:lang w:val="en-US"/>
              </w:rPr>
              <w:t>4,513</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2017</w:t>
            </w:r>
          </w:p>
        </w:tc>
        <w:tc>
          <w:tcPr>
            <w:tcW w:w="1134" w:type="dxa"/>
          </w:tcPr>
          <w:p w:rsidR="005729B5" w:rsidRPr="006E6EA4" w:rsidRDefault="005729B5" w:rsidP="004A35B2">
            <w:pPr>
              <w:pStyle w:val="Tablebodytext"/>
              <w:rPr>
                <w:lang w:val="en-US"/>
              </w:rPr>
            </w:pPr>
            <w:r w:rsidRPr="006E6EA4">
              <w:rPr>
                <w:lang w:val="en-US"/>
              </w:rPr>
              <w:t>5,134</w:t>
            </w:r>
          </w:p>
        </w:tc>
        <w:tc>
          <w:tcPr>
            <w:tcW w:w="992" w:type="dxa"/>
          </w:tcPr>
          <w:p w:rsidR="005729B5" w:rsidRPr="006E6EA4" w:rsidRDefault="005729B5" w:rsidP="004A35B2">
            <w:pPr>
              <w:pStyle w:val="Tablebodytext"/>
              <w:rPr>
                <w:lang w:val="en-US"/>
              </w:rPr>
            </w:pPr>
            <w:r w:rsidRPr="006E6EA4">
              <w:rPr>
                <w:lang w:val="en-US"/>
              </w:rPr>
              <w:t>5,002</w:t>
            </w:r>
          </w:p>
        </w:tc>
        <w:tc>
          <w:tcPr>
            <w:tcW w:w="1276" w:type="dxa"/>
          </w:tcPr>
          <w:p w:rsidR="005729B5" w:rsidRPr="006E6EA4" w:rsidRDefault="005729B5" w:rsidP="004A35B2">
            <w:pPr>
              <w:pStyle w:val="Tablebodytext"/>
              <w:rPr>
                <w:lang w:val="en-US"/>
              </w:rPr>
            </w:pPr>
            <w:r w:rsidRPr="006E6EA4">
              <w:rPr>
                <w:lang w:val="en-US"/>
              </w:rPr>
              <w:t>5,149</w:t>
            </w:r>
          </w:p>
        </w:tc>
        <w:tc>
          <w:tcPr>
            <w:tcW w:w="1134" w:type="dxa"/>
          </w:tcPr>
          <w:p w:rsidR="005729B5" w:rsidRPr="006E6EA4" w:rsidRDefault="005729B5" w:rsidP="004A35B2">
            <w:pPr>
              <w:pStyle w:val="Tablebodytext"/>
              <w:rPr>
                <w:lang w:val="en-US"/>
              </w:rPr>
            </w:pPr>
            <w:r w:rsidRPr="006E6EA4">
              <w:rPr>
                <w:lang w:val="en-US"/>
              </w:rPr>
              <w:t>4,438</w:t>
            </w:r>
          </w:p>
        </w:tc>
        <w:tc>
          <w:tcPr>
            <w:tcW w:w="1134" w:type="dxa"/>
          </w:tcPr>
          <w:p w:rsidR="005729B5" w:rsidRPr="006E6EA4" w:rsidRDefault="005729B5" w:rsidP="004A35B2">
            <w:pPr>
              <w:pStyle w:val="Tablebodytext"/>
              <w:rPr>
                <w:lang w:val="en-US"/>
              </w:rPr>
            </w:pPr>
            <w:r w:rsidRPr="006E6EA4">
              <w:rPr>
                <w:lang w:val="en-US"/>
              </w:rPr>
              <w:t>4,324</w:t>
            </w:r>
          </w:p>
        </w:tc>
        <w:tc>
          <w:tcPr>
            <w:tcW w:w="1276" w:type="dxa"/>
          </w:tcPr>
          <w:p w:rsidR="005729B5" w:rsidRPr="006E6EA4" w:rsidRDefault="005729B5" w:rsidP="004A35B2">
            <w:pPr>
              <w:pStyle w:val="Tablebodytext"/>
              <w:rPr>
                <w:lang w:val="en-US"/>
              </w:rPr>
            </w:pPr>
            <w:r w:rsidRPr="006E6EA4">
              <w:rPr>
                <w:lang w:val="en-US"/>
              </w:rPr>
              <w:t>4,451</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2018</w:t>
            </w:r>
          </w:p>
        </w:tc>
        <w:tc>
          <w:tcPr>
            <w:tcW w:w="1134" w:type="dxa"/>
          </w:tcPr>
          <w:p w:rsidR="005729B5" w:rsidRPr="006E6EA4" w:rsidRDefault="005729B5" w:rsidP="004A35B2">
            <w:pPr>
              <w:pStyle w:val="Tablebodytext"/>
              <w:rPr>
                <w:lang w:val="en-US"/>
              </w:rPr>
            </w:pPr>
            <w:r w:rsidRPr="006E6EA4">
              <w:rPr>
                <w:lang w:val="en-US"/>
              </w:rPr>
              <w:t>5,365</w:t>
            </w:r>
          </w:p>
        </w:tc>
        <w:tc>
          <w:tcPr>
            <w:tcW w:w="992" w:type="dxa"/>
          </w:tcPr>
          <w:p w:rsidR="005729B5" w:rsidRPr="006E6EA4" w:rsidRDefault="005729B5" w:rsidP="004A35B2">
            <w:pPr>
              <w:pStyle w:val="Tablebodytext"/>
              <w:rPr>
                <w:lang w:val="en-US"/>
              </w:rPr>
            </w:pPr>
            <w:r w:rsidRPr="006E6EA4">
              <w:rPr>
                <w:lang w:val="en-US"/>
              </w:rPr>
              <w:t>5,233</w:t>
            </w:r>
          </w:p>
        </w:tc>
        <w:tc>
          <w:tcPr>
            <w:tcW w:w="1276" w:type="dxa"/>
          </w:tcPr>
          <w:p w:rsidR="005729B5" w:rsidRPr="006E6EA4" w:rsidRDefault="005729B5" w:rsidP="004A35B2">
            <w:pPr>
              <w:pStyle w:val="Tablebodytext"/>
              <w:rPr>
                <w:lang w:val="en-US"/>
              </w:rPr>
            </w:pPr>
            <w:r w:rsidRPr="006E6EA4">
              <w:rPr>
                <w:lang w:val="en-US"/>
              </w:rPr>
              <w:t>5,379</w:t>
            </w:r>
          </w:p>
        </w:tc>
        <w:tc>
          <w:tcPr>
            <w:tcW w:w="1134" w:type="dxa"/>
          </w:tcPr>
          <w:p w:rsidR="005729B5" w:rsidRPr="006E6EA4" w:rsidRDefault="005729B5" w:rsidP="004A35B2">
            <w:pPr>
              <w:pStyle w:val="Tablebodytext"/>
              <w:rPr>
                <w:lang w:val="en-US"/>
              </w:rPr>
            </w:pPr>
            <w:r w:rsidRPr="006E6EA4">
              <w:rPr>
                <w:lang w:val="en-US"/>
              </w:rPr>
              <w:t>4,376</w:t>
            </w:r>
          </w:p>
        </w:tc>
        <w:tc>
          <w:tcPr>
            <w:tcW w:w="1134" w:type="dxa"/>
          </w:tcPr>
          <w:p w:rsidR="005729B5" w:rsidRPr="006E6EA4" w:rsidRDefault="005729B5" w:rsidP="004A35B2">
            <w:pPr>
              <w:pStyle w:val="Tablebodytext"/>
              <w:rPr>
                <w:lang w:val="en-US"/>
              </w:rPr>
            </w:pPr>
            <w:r w:rsidRPr="006E6EA4">
              <w:rPr>
                <w:lang w:val="en-US"/>
              </w:rPr>
              <w:t>4,268</w:t>
            </w:r>
          </w:p>
        </w:tc>
        <w:tc>
          <w:tcPr>
            <w:tcW w:w="1276" w:type="dxa"/>
          </w:tcPr>
          <w:p w:rsidR="005729B5" w:rsidRPr="006E6EA4" w:rsidRDefault="005729B5" w:rsidP="004A35B2">
            <w:pPr>
              <w:pStyle w:val="Tablebodytext"/>
              <w:rPr>
                <w:lang w:val="en-US"/>
              </w:rPr>
            </w:pPr>
            <w:r w:rsidRPr="006E6EA4">
              <w:rPr>
                <w:lang w:val="en-US"/>
              </w:rPr>
              <w:t>4,386</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2019</w:t>
            </w:r>
          </w:p>
        </w:tc>
        <w:tc>
          <w:tcPr>
            <w:tcW w:w="1134" w:type="dxa"/>
          </w:tcPr>
          <w:p w:rsidR="005729B5" w:rsidRPr="006E6EA4" w:rsidRDefault="005729B5" w:rsidP="004A35B2">
            <w:pPr>
              <w:pStyle w:val="Tablebodytext"/>
              <w:rPr>
                <w:lang w:val="en-US"/>
              </w:rPr>
            </w:pPr>
            <w:r w:rsidRPr="006E6EA4">
              <w:rPr>
                <w:lang w:val="en-US"/>
              </w:rPr>
              <w:t>5,602</w:t>
            </w:r>
          </w:p>
        </w:tc>
        <w:tc>
          <w:tcPr>
            <w:tcW w:w="992" w:type="dxa"/>
          </w:tcPr>
          <w:p w:rsidR="005729B5" w:rsidRPr="006E6EA4" w:rsidRDefault="005729B5" w:rsidP="004A35B2">
            <w:pPr>
              <w:pStyle w:val="Tablebodytext"/>
              <w:rPr>
                <w:lang w:val="en-US"/>
              </w:rPr>
            </w:pPr>
            <w:r w:rsidRPr="006E6EA4">
              <w:rPr>
                <w:lang w:val="en-US"/>
              </w:rPr>
              <w:t>5,472</w:t>
            </w:r>
          </w:p>
        </w:tc>
        <w:tc>
          <w:tcPr>
            <w:tcW w:w="1276" w:type="dxa"/>
          </w:tcPr>
          <w:p w:rsidR="005729B5" w:rsidRPr="006E6EA4" w:rsidRDefault="005729B5" w:rsidP="004A35B2">
            <w:pPr>
              <w:pStyle w:val="Tablebodytext"/>
              <w:rPr>
                <w:lang w:val="en-US"/>
              </w:rPr>
            </w:pPr>
            <w:r w:rsidRPr="006E6EA4">
              <w:rPr>
                <w:lang w:val="en-US"/>
              </w:rPr>
              <w:t>5,615</w:t>
            </w:r>
          </w:p>
        </w:tc>
        <w:tc>
          <w:tcPr>
            <w:tcW w:w="1134" w:type="dxa"/>
          </w:tcPr>
          <w:p w:rsidR="005729B5" w:rsidRPr="006E6EA4" w:rsidRDefault="005729B5" w:rsidP="004A35B2">
            <w:pPr>
              <w:pStyle w:val="Tablebodytext"/>
              <w:rPr>
                <w:lang w:val="en-US"/>
              </w:rPr>
            </w:pPr>
            <w:r w:rsidRPr="006E6EA4">
              <w:rPr>
                <w:lang w:val="en-US"/>
              </w:rPr>
              <w:t>4,310</w:t>
            </w:r>
          </w:p>
        </w:tc>
        <w:tc>
          <w:tcPr>
            <w:tcW w:w="1134" w:type="dxa"/>
          </w:tcPr>
          <w:p w:rsidR="005729B5" w:rsidRPr="006E6EA4" w:rsidRDefault="005729B5" w:rsidP="004A35B2">
            <w:pPr>
              <w:pStyle w:val="Tablebodytext"/>
              <w:rPr>
                <w:lang w:val="en-US"/>
              </w:rPr>
            </w:pPr>
            <w:r w:rsidRPr="006E6EA4">
              <w:rPr>
                <w:lang w:val="en-US"/>
              </w:rPr>
              <w:t>4,210</w:t>
            </w:r>
          </w:p>
        </w:tc>
        <w:tc>
          <w:tcPr>
            <w:tcW w:w="1276" w:type="dxa"/>
          </w:tcPr>
          <w:p w:rsidR="005729B5" w:rsidRPr="006E6EA4" w:rsidRDefault="005729B5" w:rsidP="004A35B2">
            <w:pPr>
              <w:pStyle w:val="Tablebodytext"/>
              <w:rPr>
                <w:lang w:val="en-US"/>
              </w:rPr>
            </w:pPr>
            <w:r w:rsidRPr="006E6EA4">
              <w:rPr>
                <w:lang w:val="en-US"/>
              </w:rPr>
              <w:t>4,320</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2020</w:t>
            </w:r>
          </w:p>
        </w:tc>
        <w:tc>
          <w:tcPr>
            <w:tcW w:w="1134" w:type="dxa"/>
          </w:tcPr>
          <w:p w:rsidR="005729B5" w:rsidRPr="006E6EA4" w:rsidRDefault="005729B5" w:rsidP="004A35B2">
            <w:pPr>
              <w:pStyle w:val="Tablebodytext"/>
              <w:rPr>
                <w:lang w:val="en-US"/>
              </w:rPr>
            </w:pPr>
            <w:r w:rsidRPr="006E6EA4">
              <w:rPr>
                <w:lang w:val="en-US"/>
              </w:rPr>
              <w:t>5,851</w:t>
            </w:r>
          </w:p>
        </w:tc>
        <w:tc>
          <w:tcPr>
            <w:tcW w:w="992" w:type="dxa"/>
          </w:tcPr>
          <w:p w:rsidR="005729B5" w:rsidRPr="006E6EA4" w:rsidRDefault="005729B5" w:rsidP="004A35B2">
            <w:pPr>
              <w:pStyle w:val="Tablebodytext"/>
              <w:rPr>
                <w:lang w:val="en-US"/>
              </w:rPr>
            </w:pPr>
            <w:r w:rsidRPr="006E6EA4">
              <w:rPr>
                <w:lang w:val="en-US"/>
              </w:rPr>
              <w:t>5,726</w:t>
            </w:r>
          </w:p>
        </w:tc>
        <w:tc>
          <w:tcPr>
            <w:tcW w:w="1276" w:type="dxa"/>
          </w:tcPr>
          <w:p w:rsidR="005729B5" w:rsidRPr="006E6EA4" w:rsidRDefault="005729B5" w:rsidP="004A35B2">
            <w:pPr>
              <w:pStyle w:val="Tablebodytext"/>
              <w:rPr>
                <w:lang w:val="en-US"/>
              </w:rPr>
            </w:pPr>
            <w:r w:rsidRPr="006E6EA4">
              <w:rPr>
                <w:lang w:val="en-US"/>
              </w:rPr>
              <w:t>5,863</w:t>
            </w:r>
          </w:p>
        </w:tc>
        <w:tc>
          <w:tcPr>
            <w:tcW w:w="1134" w:type="dxa"/>
          </w:tcPr>
          <w:p w:rsidR="005729B5" w:rsidRPr="006E6EA4" w:rsidRDefault="005729B5" w:rsidP="004A35B2">
            <w:pPr>
              <w:pStyle w:val="Tablebodytext"/>
              <w:rPr>
                <w:lang w:val="en-US"/>
              </w:rPr>
            </w:pPr>
            <w:r w:rsidRPr="006E6EA4">
              <w:rPr>
                <w:lang w:val="en-US"/>
              </w:rPr>
              <w:t>4,247</w:t>
            </w:r>
          </w:p>
        </w:tc>
        <w:tc>
          <w:tcPr>
            <w:tcW w:w="1134" w:type="dxa"/>
          </w:tcPr>
          <w:p w:rsidR="005729B5" w:rsidRPr="006E6EA4" w:rsidRDefault="005729B5" w:rsidP="004A35B2">
            <w:pPr>
              <w:pStyle w:val="Tablebodytext"/>
              <w:rPr>
                <w:lang w:val="en-US"/>
              </w:rPr>
            </w:pPr>
            <w:r w:rsidRPr="006E6EA4">
              <w:rPr>
                <w:lang w:val="en-US"/>
              </w:rPr>
              <w:t>4,156</w:t>
            </w:r>
          </w:p>
        </w:tc>
        <w:tc>
          <w:tcPr>
            <w:tcW w:w="1276" w:type="dxa"/>
          </w:tcPr>
          <w:p w:rsidR="005729B5" w:rsidRPr="006E6EA4" w:rsidRDefault="005729B5" w:rsidP="004A35B2">
            <w:pPr>
              <w:pStyle w:val="Tablebodytext"/>
              <w:rPr>
                <w:lang w:val="en-US"/>
              </w:rPr>
            </w:pPr>
            <w:r w:rsidRPr="006E6EA4">
              <w:rPr>
                <w:lang w:val="en-US"/>
              </w:rPr>
              <w:t>4,255</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2030</w:t>
            </w:r>
          </w:p>
        </w:tc>
        <w:tc>
          <w:tcPr>
            <w:tcW w:w="1134" w:type="dxa"/>
          </w:tcPr>
          <w:p w:rsidR="005729B5" w:rsidRPr="006E6EA4" w:rsidRDefault="005729B5" w:rsidP="004A35B2">
            <w:pPr>
              <w:pStyle w:val="Tablebodytext"/>
              <w:rPr>
                <w:lang w:val="en-US"/>
              </w:rPr>
            </w:pPr>
            <w:r w:rsidRPr="006E6EA4">
              <w:rPr>
                <w:lang w:val="en-US"/>
              </w:rPr>
              <w:t>8,863</w:t>
            </w:r>
          </w:p>
        </w:tc>
        <w:tc>
          <w:tcPr>
            <w:tcW w:w="992" w:type="dxa"/>
          </w:tcPr>
          <w:p w:rsidR="005729B5" w:rsidRPr="006E6EA4" w:rsidRDefault="005729B5" w:rsidP="004A35B2">
            <w:pPr>
              <w:pStyle w:val="Tablebodytext"/>
              <w:rPr>
                <w:lang w:val="en-US"/>
              </w:rPr>
            </w:pPr>
            <w:r w:rsidRPr="006E6EA4">
              <w:rPr>
                <w:lang w:val="en-US"/>
              </w:rPr>
              <w:t>8,926</w:t>
            </w:r>
          </w:p>
        </w:tc>
        <w:tc>
          <w:tcPr>
            <w:tcW w:w="1276" w:type="dxa"/>
          </w:tcPr>
          <w:p w:rsidR="005729B5" w:rsidRPr="006E6EA4" w:rsidRDefault="005729B5" w:rsidP="004A35B2">
            <w:pPr>
              <w:pStyle w:val="Tablebodytext"/>
              <w:rPr>
                <w:lang w:val="en-US"/>
              </w:rPr>
            </w:pPr>
            <w:r w:rsidRPr="006E6EA4">
              <w:rPr>
                <w:lang w:val="en-US"/>
              </w:rPr>
              <w:t>8,886</w:t>
            </w:r>
          </w:p>
        </w:tc>
        <w:tc>
          <w:tcPr>
            <w:tcW w:w="1134" w:type="dxa"/>
          </w:tcPr>
          <w:p w:rsidR="005729B5" w:rsidRPr="006E6EA4" w:rsidRDefault="005729B5" w:rsidP="004A35B2">
            <w:pPr>
              <w:pStyle w:val="Tablebodytext"/>
              <w:rPr>
                <w:lang w:val="en-US"/>
              </w:rPr>
            </w:pPr>
            <w:r w:rsidRPr="006E6EA4">
              <w:rPr>
                <w:lang w:val="en-US"/>
              </w:rPr>
              <w:t>3,592</w:t>
            </w:r>
          </w:p>
        </w:tc>
        <w:tc>
          <w:tcPr>
            <w:tcW w:w="1134" w:type="dxa"/>
          </w:tcPr>
          <w:p w:rsidR="005729B5" w:rsidRPr="006E6EA4" w:rsidRDefault="005729B5" w:rsidP="004A35B2">
            <w:pPr>
              <w:pStyle w:val="Tablebodytext"/>
              <w:rPr>
                <w:lang w:val="en-US"/>
              </w:rPr>
            </w:pPr>
            <w:r w:rsidRPr="006E6EA4">
              <w:rPr>
                <w:lang w:val="en-US"/>
              </w:rPr>
              <w:t>3,618</w:t>
            </w:r>
          </w:p>
        </w:tc>
        <w:tc>
          <w:tcPr>
            <w:tcW w:w="1276" w:type="dxa"/>
          </w:tcPr>
          <w:p w:rsidR="005729B5" w:rsidRPr="006E6EA4" w:rsidRDefault="005729B5" w:rsidP="004A35B2">
            <w:pPr>
              <w:pStyle w:val="Tablebodytext"/>
              <w:rPr>
                <w:lang w:val="en-US"/>
              </w:rPr>
            </w:pPr>
            <w:r w:rsidRPr="006E6EA4">
              <w:rPr>
                <w:lang w:val="en-US"/>
              </w:rPr>
              <w:t>3,601</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2040</w:t>
            </w:r>
          </w:p>
        </w:tc>
        <w:tc>
          <w:tcPr>
            <w:tcW w:w="1134" w:type="dxa"/>
          </w:tcPr>
          <w:p w:rsidR="005729B5" w:rsidRPr="006E6EA4" w:rsidRDefault="005729B5" w:rsidP="004A35B2">
            <w:pPr>
              <w:pStyle w:val="Tablebodytext"/>
              <w:rPr>
                <w:lang w:val="en-US"/>
              </w:rPr>
            </w:pPr>
            <w:r w:rsidRPr="006E6EA4">
              <w:rPr>
                <w:lang w:val="en-US"/>
              </w:rPr>
              <w:t>12,057</w:t>
            </w:r>
          </w:p>
        </w:tc>
        <w:tc>
          <w:tcPr>
            <w:tcW w:w="992" w:type="dxa"/>
          </w:tcPr>
          <w:p w:rsidR="005729B5" w:rsidRPr="006E6EA4" w:rsidRDefault="005729B5" w:rsidP="004A35B2">
            <w:pPr>
              <w:pStyle w:val="Tablebodytext"/>
              <w:rPr>
                <w:lang w:val="en-US"/>
              </w:rPr>
            </w:pPr>
            <w:r w:rsidRPr="006E6EA4">
              <w:rPr>
                <w:lang w:val="en-US"/>
              </w:rPr>
              <w:t>12,670</w:t>
            </w:r>
          </w:p>
        </w:tc>
        <w:tc>
          <w:tcPr>
            <w:tcW w:w="1276" w:type="dxa"/>
          </w:tcPr>
          <w:p w:rsidR="005729B5" w:rsidRPr="006E6EA4" w:rsidRDefault="005729B5" w:rsidP="004A35B2">
            <w:pPr>
              <w:pStyle w:val="Tablebodytext"/>
              <w:rPr>
                <w:lang w:val="en-US"/>
              </w:rPr>
            </w:pPr>
            <w:r w:rsidRPr="006E6EA4">
              <w:rPr>
                <w:lang w:val="en-US"/>
              </w:rPr>
              <w:t>12,138</w:t>
            </w:r>
          </w:p>
        </w:tc>
        <w:tc>
          <w:tcPr>
            <w:tcW w:w="1134" w:type="dxa"/>
          </w:tcPr>
          <w:p w:rsidR="005729B5" w:rsidRPr="006E6EA4" w:rsidRDefault="005729B5" w:rsidP="004A35B2">
            <w:pPr>
              <w:pStyle w:val="Tablebodytext"/>
              <w:rPr>
                <w:lang w:val="en-US"/>
              </w:rPr>
            </w:pPr>
            <w:r w:rsidRPr="006E6EA4">
              <w:rPr>
                <w:lang w:val="en-US"/>
              </w:rPr>
              <w:t>2,729</w:t>
            </w:r>
          </w:p>
        </w:tc>
        <w:tc>
          <w:tcPr>
            <w:tcW w:w="1134" w:type="dxa"/>
          </w:tcPr>
          <w:p w:rsidR="005729B5" w:rsidRPr="006E6EA4" w:rsidRDefault="005729B5" w:rsidP="004A35B2">
            <w:pPr>
              <w:pStyle w:val="Tablebodytext"/>
              <w:rPr>
                <w:lang w:val="en-US"/>
              </w:rPr>
            </w:pPr>
            <w:r w:rsidRPr="006E6EA4">
              <w:rPr>
                <w:lang w:val="en-US"/>
              </w:rPr>
              <w:t>2,867</w:t>
            </w:r>
          </w:p>
        </w:tc>
        <w:tc>
          <w:tcPr>
            <w:tcW w:w="1276" w:type="dxa"/>
          </w:tcPr>
          <w:p w:rsidR="005729B5" w:rsidRPr="006E6EA4" w:rsidRDefault="005729B5" w:rsidP="004A35B2">
            <w:pPr>
              <w:pStyle w:val="Tablebodytext"/>
              <w:rPr>
                <w:lang w:val="en-US"/>
              </w:rPr>
            </w:pPr>
            <w:r w:rsidRPr="006E6EA4">
              <w:rPr>
                <w:lang w:val="en-US"/>
              </w:rPr>
              <w:t>2,747</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2050</w:t>
            </w:r>
          </w:p>
        </w:tc>
        <w:tc>
          <w:tcPr>
            <w:tcW w:w="1134" w:type="dxa"/>
          </w:tcPr>
          <w:p w:rsidR="005729B5" w:rsidRPr="006E6EA4" w:rsidRDefault="005729B5" w:rsidP="004A35B2">
            <w:pPr>
              <w:pStyle w:val="Tablebodytext"/>
              <w:rPr>
                <w:lang w:val="en-US"/>
              </w:rPr>
            </w:pPr>
            <w:r w:rsidRPr="006E6EA4">
              <w:rPr>
                <w:lang w:val="en-US"/>
              </w:rPr>
              <w:t>12,699</w:t>
            </w:r>
          </w:p>
        </w:tc>
        <w:tc>
          <w:tcPr>
            <w:tcW w:w="992" w:type="dxa"/>
          </w:tcPr>
          <w:p w:rsidR="005729B5" w:rsidRPr="006E6EA4" w:rsidRDefault="005729B5" w:rsidP="004A35B2">
            <w:pPr>
              <w:pStyle w:val="Tablebodytext"/>
              <w:rPr>
                <w:lang w:val="en-US"/>
              </w:rPr>
            </w:pPr>
            <w:r w:rsidRPr="006E6EA4">
              <w:rPr>
                <w:lang w:val="en-US"/>
              </w:rPr>
              <w:t>13,865</w:t>
            </w:r>
          </w:p>
        </w:tc>
        <w:tc>
          <w:tcPr>
            <w:tcW w:w="1276" w:type="dxa"/>
          </w:tcPr>
          <w:p w:rsidR="005729B5" w:rsidRPr="006E6EA4" w:rsidRDefault="005729B5" w:rsidP="004A35B2">
            <w:pPr>
              <w:pStyle w:val="Tablebodytext"/>
              <w:rPr>
                <w:lang w:val="en-US"/>
              </w:rPr>
            </w:pPr>
            <w:r w:rsidRPr="006E6EA4">
              <w:rPr>
                <w:lang w:val="en-US"/>
              </w:rPr>
              <w:t>12,850</w:t>
            </w:r>
          </w:p>
        </w:tc>
        <w:tc>
          <w:tcPr>
            <w:tcW w:w="1134" w:type="dxa"/>
          </w:tcPr>
          <w:p w:rsidR="005729B5" w:rsidRPr="006E6EA4" w:rsidRDefault="005729B5" w:rsidP="004A35B2">
            <w:pPr>
              <w:pStyle w:val="Tablebodytext"/>
              <w:rPr>
                <w:lang w:val="en-US"/>
              </w:rPr>
            </w:pPr>
            <w:r w:rsidRPr="006E6EA4">
              <w:rPr>
                <w:lang w:val="en-US"/>
              </w:rPr>
              <w:t>1,605</w:t>
            </w:r>
          </w:p>
        </w:tc>
        <w:tc>
          <w:tcPr>
            <w:tcW w:w="1134" w:type="dxa"/>
          </w:tcPr>
          <w:p w:rsidR="005729B5" w:rsidRPr="006E6EA4" w:rsidRDefault="005729B5" w:rsidP="004A35B2">
            <w:pPr>
              <w:pStyle w:val="Tablebodytext"/>
              <w:rPr>
                <w:lang w:val="en-US"/>
              </w:rPr>
            </w:pPr>
            <w:r w:rsidRPr="006E6EA4">
              <w:rPr>
                <w:lang w:val="en-US"/>
              </w:rPr>
              <w:t>1,752</w:t>
            </w:r>
          </w:p>
        </w:tc>
        <w:tc>
          <w:tcPr>
            <w:tcW w:w="1276" w:type="dxa"/>
          </w:tcPr>
          <w:p w:rsidR="005729B5" w:rsidRPr="006E6EA4" w:rsidRDefault="005729B5" w:rsidP="004A35B2">
            <w:pPr>
              <w:pStyle w:val="Tablebodytext"/>
              <w:rPr>
                <w:lang w:val="en-US"/>
              </w:rPr>
            </w:pPr>
            <w:r w:rsidRPr="006E6EA4">
              <w:rPr>
                <w:lang w:val="en-US"/>
              </w:rPr>
              <w:t>1,624</w:t>
            </w:r>
          </w:p>
        </w:tc>
      </w:tr>
    </w:tbl>
    <w:p w:rsidR="005729B5" w:rsidRDefault="005729B5" w:rsidP="003F639C">
      <w:pPr>
        <w:pStyle w:val="Numberedpara1stindent"/>
        <w:spacing w:before="240" w:after="240"/>
      </w:pPr>
      <w:r>
        <w:t>The projected outlays for the next six years assuming PSS pension take up rate of 90% are lower than those under the valuation basis (assuming 80% PSS pension take up). The reductions are a result of lower projected lump sum benefit payments due to higher pension take up rate.  This is offset in the longer term by increases to the amount of annual pension payments.</w:t>
      </w:r>
    </w:p>
    <w:p w:rsidR="003F639C" w:rsidRDefault="005729B5" w:rsidP="005729B5">
      <w:pPr>
        <w:pStyle w:val="Numberedpara1stindent"/>
        <w:spacing w:after="240"/>
      </w:pPr>
      <w:r>
        <w:t>Increasing the member contribution rates progressively increases the outlays as higher benefits are accrued over time.</w:t>
      </w:r>
    </w:p>
    <w:p w:rsidR="005729B5" w:rsidRDefault="003F639C" w:rsidP="00266A7E">
      <w:pPr>
        <w:pStyle w:val="Numberedpara1stindent"/>
        <w:spacing w:after="120"/>
      </w:pPr>
      <w:r>
        <w:br w:type="page"/>
      </w:r>
      <w:r w:rsidR="005729B5">
        <w:lastRenderedPageBreak/>
        <w:t>The table below shows the projected total PSS and CSS outlays for the next six years and then for the next three 10-year intervals under the valuation basis and the alternative assumptions for pensioner mortality improvements.</w:t>
      </w:r>
    </w:p>
    <w:p w:rsidR="004A35B2" w:rsidRDefault="004A35B2" w:rsidP="004A35B2">
      <w:pPr>
        <w:pStyle w:val="Heading4nonumbers"/>
      </w:pPr>
      <w:r w:rsidRPr="006E6EA4">
        <w:t>Projected Total PSS and CSS Future Outlays</w:t>
      </w:r>
    </w:p>
    <w:tbl>
      <w:tblPr>
        <w:tblW w:w="8222" w:type="dxa"/>
        <w:tblBorders>
          <w:top w:val="single" w:sz="2" w:space="0" w:color="A7B4BE"/>
          <w:bottom w:val="single" w:sz="2" w:space="0" w:color="A7B4BE"/>
          <w:insideH w:val="single" w:sz="2" w:space="0" w:color="A7B4BE"/>
          <w:insideV w:val="single" w:sz="2" w:space="0" w:color="A7B4BE"/>
        </w:tblBorders>
        <w:tblLayout w:type="fixed"/>
        <w:tblCellMar>
          <w:left w:w="0" w:type="dxa"/>
          <w:right w:w="0" w:type="dxa"/>
        </w:tblCellMar>
        <w:tblLook w:val="04A0"/>
      </w:tblPr>
      <w:tblGrid>
        <w:gridCol w:w="1276"/>
        <w:gridCol w:w="1134"/>
        <w:gridCol w:w="992"/>
        <w:gridCol w:w="1276"/>
        <w:gridCol w:w="1134"/>
        <w:gridCol w:w="1134"/>
        <w:gridCol w:w="1276"/>
      </w:tblGrid>
      <w:tr w:rsidR="005729B5" w:rsidRPr="006E6EA4" w:rsidTr="008B2560">
        <w:tc>
          <w:tcPr>
            <w:tcW w:w="1276" w:type="dxa"/>
            <w:vMerge w:val="restart"/>
            <w:shd w:val="clear" w:color="auto" w:fill="DDF3FA"/>
          </w:tcPr>
          <w:p w:rsidR="005729B5" w:rsidRPr="006E6EA4" w:rsidRDefault="005729B5" w:rsidP="004A35B2">
            <w:pPr>
              <w:pStyle w:val="Tablecolumnheading"/>
            </w:pPr>
            <w:r w:rsidRPr="006E6EA4">
              <w:rPr>
                <w:lang w:val="en-US"/>
              </w:rPr>
              <w:t xml:space="preserve">Year ending </w:t>
            </w:r>
            <w:r w:rsidRPr="006E6EA4">
              <w:rPr>
                <w:lang w:val="en-US"/>
              </w:rPr>
              <w:br/>
              <w:t>30 June</w:t>
            </w:r>
          </w:p>
        </w:tc>
        <w:tc>
          <w:tcPr>
            <w:tcW w:w="3402" w:type="dxa"/>
            <w:gridSpan w:val="3"/>
            <w:shd w:val="clear" w:color="auto" w:fill="DDF3FA"/>
            <w:vAlign w:val="center"/>
          </w:tcPr>
          <w:p w:rsidR="005729B5" w:rsidRPr="006E6EA4" w:rsidRDefault="005729B5" w:rsidP="004A35B2">
            <w:pPr>
              <w:pStyle w:val="Tablecolumnheading"/>
              <w:rPr>
                <w:lang w:val="en-US"/>
              </w:rPr>
            </w:pPr>
            <w:r w:rsidRPr="006E6EA4">
              <w:rPr>
                <w:lang w:val="en-US"/>
              </w:rPr>
              <w:t>Nominal Outlays</w:t>
            </w:r>
          </w:p>
          <w:p w:rsidR="005729B5" w:rsidRPr="006E6EA4" w:rsidRDefault="005729B5" w:rsidP="004A35B2">
            <w:pPr>
              <w:pStyle w:val="Tablecolumnheading"/>
              <w:rPr>
                <w:lang w:val="en-US"/>
              </w:rPr>
            </w:pPr>
            <w:r w:rsidRPr="006E6EA4">
              <w:rPr>
                <w:lang w:val="en-US"/>
              </w:rPr>
              <w:t>($ millions)</w:t>
            </w:r>
          </w:p>
        </w:tc>
        <w:tc>
          <w:tcPr>
            <w:tcW w:w="3544" w:type="dxa"/>
            <w:gridSpan w:val="3"/>
            <w:shd w:val="clear" w:color="auto" w:fill="DDF3FA"/>
            <w:vAlign w:val="center"/>
          </w:tcPr>
          <w:p w:rsidR="005729B5" w:rsidRPr="006E6EA4" w:rsidRDefault="005729B5" w:rsidP="004A35B2">
            <w:pPr>
              <w:pStyle w:val="Tablecolumnheading"/>
              <w:rPr>
                <w:lang w:val="en-US"/>
              </w:rPr>
            </w:pPr>
            <w:r w:rsidRPr="006E6EA4">
              <w:rPr>
                <w:lang w:val="en-US"/>
              </w:rPr>
              <w:t>Discounted Outlays</w:t>
            </w:r>
          </w:p>
          <w:p w:rsidR="005729B5" w:rsidRPr="006E6EA4" w:rsidRDefault="005729B5" w:rsidP="004A35B2">
            <w:pPr>
              <w:pStyle w:val="Tablecolumnheading"/>
              <w:rPr>
                <w:lang w:val="en-US"/>
              </w:rPr>
            </w:pPr>
            <w:r w:rsidRPr="006E6EA4">
              <w:rPr>
                <w:lang w:val="en-US"/>
              </w:rPr>
              <w:t>($ millions)</w:t>
            </w:r>
          </w:p>
        </w:tc>
      </w:tr>
      <w:tr w:rsidR="005729B5" w:rsidRPr="006E6EA4" w:rsidTr="008B2560">
        <w:tc>
          <w:tcPr>
            <w:tcW w:w="1276" w:type="dxa"/>
            <w:vMerge/>
            <w:shd w:val="clear" w:color="auto" w:fill="DDF3FA"/>
          </w:tcPr>
          <w:p w:rsidR="005729B5" w:rsidRPr="006E6EA4" w:rsidRDefault="005729B5" w:rsidP="004A35B2">
            <w:pPr>
              <w:pStyle w:val="Tablecolumnheading"/>
            </w:pPr>
          </w:p>
        </w:tc>
        <w:tc>
          <w:tcPr>
            <w:tcW w:w="1134" w:type="dxa"/>
            <w:shd w:val="clear" w:color="auto" w:fill="DDF3FA"/>
            <w:vAlign w:val="center"/>
          </w:tcPr>
          <w:p w:rsidR="005729B5" w:rsidRPr="006E6EA4" w:rsidRDefault="005729B5" w:rsidP="004A35B2">
            <w:pPr>
              <w:pStyle w:val="Tablecolumnheading"/>
              <w:rPr>
                <w:lang w:val="en-US"/>
              </w:rPr>
            </w:pPr>
            <w:r w:rsidRPr="006E6EA4">
              <w:rPr>
                <w:lang w:val="en-US"/>
              </w:rPr>
              <w:t>Valuation basis</w:t>
            </w:r>
          </w:p>
        </w:tc>
        <w:tc>
          <w:tcPr>
            <w:tcW w:w="992" w:type="dxa"/>
            <w:shd w:val="clear" w:color="auto" w:fill="DDF3FA"/>
            <w:vAlign w:val="center"/>
          </w:tcPr>
          <w:p w:rsidR="005729B5" w:rsidRPr="006E6EA4" w:rsidRDefault="005729B5" w:rsidP="004A35B2">
            <w:pPr>
              <w:pStyle w:val="Tablecolumnheading"/>
              <w:rPr>
                <w:lang w:val="en-US"/>
              </w:rPr>
            </w:pPr>
            <w:r w:rsidRPr="006E6EA4">
              <w:rPr>
                <w:lang w:val="en-US"/>
              </w:rPr>
              <w:t xml:space="preserve">ALT </w:t>
            </w:r>
            <w:r w:rsidRPr="006E6EA4">
              <w:rPr>
                <w:lang w:val="en-US"/>
              </w:rPr>
              <w:br/>
              <w:t>100-year</w:t>
            </w:r>
          </w:p>
        </w:tc>
        <w:tc>
          <w:tcPr>
            <w:tcW w:w="1276" w:type="dxa"/>
            <w:shd w:val="clear" w:color="auto" w:fill="DDF3FA"/>
            <w:vAlign w:val="center"/>
          </w:tcPr>
          <w:p w:rsidR="005729B5" w:rsidRPr="006E6EA4" w:rsidRDefault="005729B5" w:rsidP="004A35B2">
            <w:pPr>
              <w:pStyle w:val="Tablecolumnheading"/>
              <w:rPr>
                <w:lang w:val="en-US"/>
              </w:rPr>
            </w:pPr>
            <w:r w:rsidRPr="006E6EA4">
              <w:rPr>
                <w:lang w:val="en-US"/>
              </w:rPr>
              <w:t xml:space="preserve">ALT </w:t>
            </w:r>
            <w:r w:rsidRPr="006E6EA4">
              <w:rPr>
                <w:lang w:val="en-US"/>
              </w:rPr>
              <w:br/>
              <w:t>25-year</w:t>
            </w:r>
          </w:p>
        </w:tc>
        <w:tc>
          <w:tcPr>
            <w:tcW w:w="1134" w:type="dxa"/>
            <w:shd w:val="clear" w:color="auto" w:fill="DDF3FA"/>
            <w:vAlign w:val="center"/>
          </w:tcPr>
          <w:p w:rsidR="005729B5" w:rsidRPr="006E6EA4" w:rsidRDefault="005729B5" w:rsidP="004A35B2">
            <w:pPr>
              <w:pStyle w:val="Tablecolumnheading"/>
              <w:rPr>
                <w:lang w:val="en-US"/>
              </w:rPr>
            </w:pPr>
            <w:r w:rsidRPr="006E6EA4">
              <w:rPr>
                <w:lang w:val="en-US"/>
              </w:rPr>
              <w:t>Valuation basis</w:t>
            </w:r>
          </w:p>
        </w:tc>
        <w:tc>
          <w:tcPr>
            <w:tcW w:w="1134" w:type="dxa"/>
            <w:shd w:val="clear" w:color="auto" w:fill="DDF3FA"/>
            <w:vAlign w:val="center"/>
          </w:tcPr>
          <w:p w:rsidR="005729B5" w:rsidRPr="006E6EA4" w:rsidRDefault="005729B5" w:rsidP="004A35B2">
            <w:pPr>
              <w:pStyle w:val="Tablecolumnheading"/>
              <w:rPr>
                <w:lang w:val="en-US"/>
              </w:rPr>
            </w:pPr>
            <w:r w:rsidRPr="006E6EA4">
              <w:rPr>
                <w:lang w:val="en-US"/>
              </w:rPr>
              <w:t xml:space="preserve">ALT </w:t>
            </w:r>
            <w:r w:rsidRPr="006E6EA4">
              <w:rPr>
                <w:lang w:val="en-US"/>
              </w:rPr>
              <w:br/>
              <w:t>100-year</w:t>
            </w:r>
          </w:p>
        </w:tc>
        <w:tc>
          <w:tcPr>
            <w:tcW w:w="1276" w:type="dxa"/>
            <w:shd w:val="clear" w:color="auto" w:fill="DDF3FA"/>
            <w:vAlign w:val="center"/>
          </w:tcPr>
          <w:p w:rsidR="005729B5" w:rsidRPr="006E6EA4" w:rsidRDefault="005729B5" w:rsidP="004A35B2">
            <w:pPr>
              <w:pStyle w:val="Tablecolumnheading"/>
              <w:rPr>
                <w:lang w:val="en-US"/>
              </w:rPr>
            </w:pPr>
            <w:r w:rsidRPr="006E6EA4">
              <w:rPr>
                <w:lang w:val="en-US"/>
              </w:rPr>
              <w:t xml:space="preserve">ALT </w:t>
            </w:r>
            <w:r w:rsidRPr="006E6EA4">
              <w:rPr>
                <w:lang w:val="en-US"/>
              </w:rPr>
              <w:br/>
              <w:t>25-year</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2015</w:t>
            </w:r>
          </w:p>
        </w:tc>
        <w:tc>
          <w:tcPr>
            <w:tcW w:w="1134" w:type="dxa"/>
          </w:tcPr>
          <w:p w:rsidR="005729B5" w:rsidRPr="006E6EA4" w:rsidRDefault="005729B5" w:rsidP="004A35B2">
            <w:pPr>
              <w:pStyle w:val="Tablebodytext"/>
            </w:pPr>
            <w:r w:rsidRPr="006E6EA4">
              <w:t>4,695</w:t>
            </w:r>
          </w:p>
        </w:tc>
        <w:tc>
          <w:tcPr>
            <w:tcW w:w="992" w:type="dxa"/>
          </w:tcPr>
          <w:p w:rsidR="005729B5" w:rsidRPr="006E6EA4" w:rsidRDefault="005729B5" w:rsidP="004A35B2">
            <w:pPr>
              <w:pStyle w:val="Tablebodytext"/>
            </w:pPr>
            <w:r w:rsidRPr="006E6EA4">
              <w:t>4,695</w:t>
            </w:r>
          </w:p>
        </w:tc>
        <w:tc>
          <w:tcPr>
            <w:tcW w:w="1276" w:type="dxa"/>
          </w:tcPr>
          <w:p w:rsidR="005729B5" w:rsidRPr="006E6EA4" w:rsidRDefault="005729B5" w:rsidP="004A35B2">
            <w:pPr>
              <w:pStyle w:val="Tablebodytext"/>
            </w:pPr>
            <w:r w:rsidRPr="006E6EA4">
              <w:t>4,695</w:t>
            </w:r>
          </w:p>
        </w:tc>
        <w:tc>
          <w:tcPr>
            <w:tcW w:w="1134" w:type="dxa"/>
          </w:tcPr>
          <w:p w:rsidR="005729B5" w:rsidRPr="006E6EA4" w:rsidRDefault="005729B5" w:rsidP="004A35B2">
            <w:pPr>
              <w:pStyle w:val="Tablebodytext"/>
            </w:pPr>
            <w:r w:rsidRPr="006E6EA4">
              <w:t>4,560</w:t>
            </w:r>
          </w:p>
        </w:tc>
        <w:tc>
          <w:tcPr>
            <w:tcW w:w="1134" w:type="dxa"/>
          </w:tcPr>
          <w:p w:rsidR="005729B5" w:rsidRPr="006E6EA4" w:rsidRDefault="005729B5" w:rsidP="004A35B2">
            <w:pPr>
              <w:pStyle w:val="Tablebodytext"/>
            </w:pPr>
            <w:r w:rsidRPr="006E6EA4">
              <w:t>4,560</w:t>
            </w:r>
          </w:p>
        </w:tc>
        <w:tc>
          <w:tcPr>
            <w:tcW w:w="1276" w:type="dxa"/>
          </w:tcPr>
          <w:p w:rsidR="005729B5" w:rsidRPr="006E6EA4" w:rsidRDefault="005729B5" w:rsidP="004A35B2">
            <w:pPr>
              <w:pStyle w:val="Tablebodytext"/>
            </w:pPr>
            <w:r w:rsidRPr="006E6EA4">
              <w:t>4,560</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2016</w:t>
            </w:r>
          </w:p>
        </w:tc>
        <w:tc>
          <w:tcPr>
            <w:tcW w:w="1134" w:type="dxa"/>
          </w:tcPr>
          <w:p w:rsidR="005729B5" w:rsidRPr="006E6EA4" w:rsidRDefault="005729B5" w:rsidP="004A35B2">
            <w:pPr>
              <w:pStyle w:val="Tablebodytext"/>
            </w:pPr>
            <w:r w:rsidRPr="006E6EA4">
              <w:t>4,910</w:t>
            </w:r>
          </w:p>
        </w:tc>
        <w:tc>
          <w:tcPr>
            <w:tcW w:w="992" w:type="dxa"/>
          </w:tcPr>
          <w:p w:rsidR="005729B5" w:rsidRPr="006E6EA4" w:rsidRDefault="005729B5" w:rsidP="004A35B2">
            <w:pPr>
              <w:pStyle w:val="Tablebodytext"/>
            </w:pPr>
            <w:r w:rsidRPr="006E6EA4">
              <w:t>4,909</w:t>
            </w:r>
          </w:p>
        </w:tc>
        <w:tc>
          <w:tcPr>
            <w:tcW w:w="1276" w:type="dxa"/>
          </w:tcPr>
          <w:p w:rsidR="005729B5" w:rsidRPr="006E6EA4" w:rsidRDefault="005729B5" w:rsidP="004A35B2">
            <w:pPr>
              <w:pStyle w:val="Tablebodytext"/>
            </w:pPr>
            <w:r w:rsidRPr="006E6EA4">
              <w:t>4,910</w:t>
            </w:r>
          </w:p>
        </w:tc>
        <w:tc>
          <w:tcPr>
            <w:tcW w:w="1134" w:type="dxa"/>
          </w:tcPr>
          <w:p w:rsidR="005729B5" w:rsidRPr="006E6EA4" w:rsidRDefault="005729B5" w:rsidP="004A35B2">
            <w:pPr>
              <w:pStyle w:val="Tablebodytext"/>
            </w:pPr>
            <w:r w:rsidRPr="006E6EA4">
              <w:t>4,499</w:t>
            </w:r>
          </w:p>
        </w:tc>
        <w:tc>
          <w:tcPr>
            <w:tcW w:w="1134" w:type="dxa"/>
          </w:tcPr>
          <w:p w:rsidR="005729B5" w:rsidRPr="006E6EA4" w:rsidRDefault="005729B5" w:rsidP="004A35B2">
            <w:pPr>
              <w:pStyle w:val="Tablebodytext"/>
            </w:pPr>
            <w:r w:rsidRPr="006E6EA4">
              <w:t>4,498</w:t>
            </w:r>
          </w:p>
        </w:tc>
        <w:tc>
          <w:tcPr>
            <w:tcW w:w="1276" w:type="dxa"/>
          </w:tcPr>
          <w:p w:rsidR="005729B5" w:rsidRPr="006E6EA4" w:rsidRDefault="005729B5" w:rsidP="004A35B2">
            <w:pPr>
              <w:pStyle w:val="Tablebodytext"/>
            </w:pPr>
            <w:r w:rsidRPr="006E6EA4">
              <w:t>4,499</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2017</w:t>
            </w:r>
          </w:p>
        </w:tc>
        <w:tc>
          <w:tcPr>
            <w:tcW w:w="1134" w:type="dxa"/>
          </w:tcPr>
          <w:p w:rsidR="005729B5" w:rsidRPr="006E6EA4" w:rsidRDefault="005729B5" w:rsidP="004A35B2">
            <w:pPr>
              <w:pStyle w:val="Tablebodytext"/>
            </w:pPr>
            <w:r w:rsidRPr="006E6EA4">
              <w:t>5,134</w:t>
            </w:r>
          </w:p>
        </w:tc>
        <w:tc>
          <w:tcPr>
            <w:tcW w:w="992" w:type="dxa"/>
          </w:tcPr>
          <w:p w:rsidR="005729B5" w:rsidRPr="006E6EA4" w:rsidRDefault="005729B5" w:rsidP="004A35B2">
            <w:pPr>
              <w:pStyle w:val="Tablebodytext"/>
            </w:pPr>
            <w:r w:rsidRPr="006E6EA4">
              <w:t>5,133</w:t>
            </w:r>
          </w:p>
        </w:tc>
        <w:tc>
          <w:tcPr>
            <w:tcW w:w="1276" w:type="dxa"/>
          </w:tcPr>
          <w:p w:rsidR="005729B5" w:rsidRPr="006E6EA4" w:rsidRDefault="005729B5" w:rsidP="004A35B2">
            <w:pPr>
              <w:pStyle w:val="Tablebodytext"/>
            </w:pPr>
            <w:r w:rsidRPr="006E6EA4">
              <w:t>5,134</w:t>
            </w:r>
          </w:p>
        </w:tc>
        <w:tc>
          <w:tcPr>
            <w:tcW w:w="1134" w:type="dxa"/>
          </w:tcPr>
          <w:p w:rsidR="005729B5" w:rsidRPr="006E6EA4" w:rsidRDefault="005729B5" w:rsidP="004A35B2">
            <w:pPr>
              <w:pStyle w:val="Tablebodytext"/>
            </w:pPr>
            <w:r w:rsidRPr="006E6EA4">
              <w:t>4,438</w:t>
            </w:r>
          </w:p>
        </w:tc>
        <w:tc>
          <w:tcPr>
            <w:tcW w:w="1134" w:type="dxa"/>
          </w:tcPr>
          <w:p w:rsidR="005729B5" w:rsidRPr="006E6EA4" w:rsidRDefault="005729B5" w:rsidP="004A35B2">
            <w:pPr>
              <w:pStyle w:val="Tablebodytext"/>
            </w:pPr>
            <w:r w:rsidRPr="006E6EA4">
              <w:t>4,437</w:t>
            </w:r>
          </w:p>
        </w:tc>
        <w:tc>
          <w:tcPr>
            <w:tcW w:w="1276" w:type="dxa"/>
          </w:tcPr>
          <w:p w:rsidR="005729B5" w:rsidRPr="006E6EA4" w:rsidRDefault="005729B5" w:rsidP="004A35B2">
            <w:pPr>
              <w:pStyle w:val="Tablebodytext"/>
            </w:pPr>
            <w:r w:rsidRPr="006E6EA4">
              <w:t>4,438</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2018</w:t>
            </w:r>
          </w:p>
        </w:tc>
        <w:tc>
          <w:tcPr>
            <w:tcW w:w="1134" w:type="dxa"/>
          </w:tcPr>
          <w:p w:rsidR="005729B5" w:rsidRPr="006E6EA4" w:rsidRDefault="005729B5" w:rsidP="004A35B2">
            <w:pPr>
              <w:pStyle w:val="Tablebodytext"/>
            </w:pPr>
            <w:r w:rsidRPr="006E6EA4">
              <w:t>5,365</w:t>
            </w:r>
          </w:p>
        </w:tc>
        <w:tc>
          <w:tcPr>
            <w:tcW w:w="992" w:type="dxa"/>
          </w:tcPr>
          <w:p w:rsidR="005729B5" w:rsidRPr="006E6EA4" w:rsidRDefault="005729B5" w:rsidP="004A35B2">
            <w:pPr>
              <w:pStyle w:val="Tablebodytext"/>
            </w:pPr>
            <w:r w:rsidRPr="006E6EA4">
              <w:t>5,362</w:t>
            </w:r>
          </w:p>
        </w:tc>
        <w:tc>
          <w:tcPr>
            <w:tcW w:w="1276" w:type="dxa"/>
          </w:tcPr>
          <w:p w:rsidR="005729B5" w:rsidRPr="006E6EA4" w:rsidRDefault="005729B5" w:rsidP="004A35B2">
            <w:pPr>
              <w:pStyle w:val="Tablebodytext"/>
            </w:pPr>
            <w:r w:rsidRPr="006E6EA4">
              <w:t>5,366</w:t>
            </w:r>
          </w:p>
        </w:tc>
        <w:tc>
          <w:tcPr>
            <w:tcW w:w="1134" w:type="dxa"/>
          </w:tcPr>
          <w:p w:rsidR="005729B5" w:rsidRPr="006E6EA4" w:rsidRDefault="005729B5" w:rsidP="004A35B2">
            <w:pPr>
              <w:pStyle w:val="Tablebodytext"/>
            </w:pPr>
            <w:r w:rsidRPr="006E6EA4">
              <w:t>4,376</w:t>
            </w:r>
          </w:p>
        </w:tc>
        <w:tc>
          <w:tcPr>
            <w:tcW w:w="1134" w:type="dxa"/>
          </w:tcPr>
          <w:p w:rsidR="005729B5" w:rsidRPr="006E6EA4" w:rsidRDefault="005729B5" w:rsidP="004A35B2">
            <w:pPr>
              <w:pStyle w:val="Tablebodytext"/>
            </w:pPr>
            <w:r w:rsidRPr="006E6EA4">
              <w:t>4,373</w:t>
            </w:r>
          </w:p>
        </w:tc>
        <w:tc>
          <w:tcPr>
            <w:tcW w:w="1276" w:type="dxa"/>
          </w:tcPr>
          <w:p w:rsidR="005729B5" w:rsidRPr="006E6EA4" w:rsidRDefault="005729B5" w:rsidP="004A35B2">
            <w:pPr>
              <w:pStyle w:val="Tablebodytext"/>
            </w:pPr>
            <w:r w:rsidRPr="006E6EA4">
              <w:t>4,376</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2019</w:t>
            </w:r>
          </w:p>
        </w:tc>
        <w:tc>
          <w:tcPr>
            <w:tcW w:w="1134" w:type="dxa"/>
          </w:tcPr>
          <w:p w:rsidR="005729B5" w:rsidRPr="006E6EA4" w:rsidRDefault="005729B5" w:rsidP="004A35B2">
            <w:pPr>
              <w:pStyle w:val="Tablebodytext"/>
            </w:pPr>
            <w:r w:rsidRPr="006E6EA4">
              <w:t>5,602</w:t>
            </w:r>
          </w:p>
        </w:tc>
        <w:tc>
          <w:tcPr>
            <w:tcW w:w="992" w:type="dxa"/>
          </w:tcPr>
          <w:p w:rsidR="005729B5" w:rsidRPr="006E6EA4" w:rsidRDefault="005729B5" w:rsidP="004A35B2">
            <w:pPr>
              <w:pStyle w:val="Tablebodytext"/>
            </w:pPr>
            <w:r w:rsidRPr="006E6EA4">
              <w:t>5,596</w:t>
            </w:r>
          </w:p>
        </w:tc>
        <w:tc>
          <w:tcPr>
            <w:tcW w:w="1276" w:type="dxa"/>
          </w:tcPr>
          <w:p w:rsidR="005729B5" w:rsidRPr="006E6EA4" w:rsidRDefault="005729B5" w:rsidP="004A35B2">
            <w:pPr>
              <w:pStyle w:val="Tablebodytext"/>
            </w:pPr>
            <w:r w:rsidRPr="006E6EA4">
              <w:t>5,602</w:t>
            </w:r>
          </w:p>
        </w:tc>
        <w:tc>
          <w:tcPr>
            <w:tcW w:w="1134" w:type="dxa"/>
          </w:tcPr>
          <w:p w:rsidR="005729B5" w:rsidRPr="006E6EA4" w:rsidRDefault="005729B5" w:rsidP="004A35B2">
            <w:pPr>
              <w:pStyle w:val="Tablebodytext"/>
            </w:pPr>
            <w:r w:rsidRPr="006E6EA4">
              <w:t>4,310</w:t>
            </w:r>
          </w:p>
        </w:tc>
        <w:tc>
          <w:tcPr>
            <w:tcW w:w="1134" w:type="dxa"/>
          </w:tcPr>
          <w:p w:rsidR="005729B5" w:rsidRPr="006E6EA4" w:rsidRDefault="005729B5" w:rsidP="004A35B2">
            <w:pPr>
              <w:pStyle w:val="Tablebodytext"/>
            </w:pPr>
            <w:r w:rsidRPr="006E6EA4">
              <w:t>4,305</w:t>
            </w:r>
          </w:p>
        </w:tc>
        <w:tc>
          <w:tcPr>
            <w:tcW w:w="1276" w:type="dxa"/>
          </w:tcPr>
          <w:p w:rsidR="005729B5" w:rsidRPr="006E6EA4" w:rsidRDefault="005729B5" w:rsidP="004A35B2">
            <w:pPr>
              <w:pStyle w:val="Tablebodytext"/>
            </w:pPr>
            <w:r w:rsidRPr="006E6EA4">
              <w:t>4,310</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2020</w:t>
            </w:r>
          </w:p>
        </w:tc>
        <w:tc>
          <w:tcPr>
            <w:tcW w:w="1134" w:type="dxa"/>
          </w:tcPr>
          <w:p w:rsidR="005729B5" w:rsidRPr="006E6EA4" w:rsidRDefault="005729B5" w:rsidP="004A35B2">
            <w:pPr>
              <w:pStyle w:val="Tablebodytext"/>
            </w:pPr>
            <w:r w:rsidRPr="006E6EA4">
              <w:t>5,851</w:t>
            </w:r>
          </w:p>
        </w:tc>
        <w:tc>
          <w:tcPr>
            <w:tcW w:w="992" w:type="dxa"/>
          </w:tcPr>
          <w:p w:rsidR="005729B5" w:rsidRPr="006E6EA4" w:rsidRDefault="005729B5" w:rsidP="004A35B2">
            <w:pPr>
              <w:pStyle w:val="Tablebodytext"/>
            </w:pPr>
            <w:r w:rsidRPr="006E6EA4">
              <w:t>5,841</w:t>
            </w:r>
          </w:p>
        </w:tc>
        <w:tc>
          <w:tcPr>
            <w:tcW w:w="1276" w:type="dxa"/>
          </w:tcPr>
          <w:p w:rsidR="005729B5" w:rsidRPr="006E6EA4" w:rsidRDefault="005729B5" w:rsidP="004A35B2">
            <w:pPr>
              <w:pStyle w:val="Tablebodytext"/>
            </w:pPr>
            <w:r w:rsidRPr="006E6EA4">
              <w:t>5,851</w:t>
            </w:r>
          </w:p>
        </w:tc>
        <w:tc>
          <w:tcPr>
            <w:tcW w:w="1134" w:type="dxa"/>
          </w:tcPr>
          <w:p w:rsidR="005729B5" w:rsidRPr="006E6EA4" w:rsidRDefault="005729B5" w:rsidP="004A35B2">
            <w:pPr>
              <w:pStyle w:val="Tablebodytext"/>
            </w:pPr>
            <w:r w:rsidRPr="006E6EA4">
              <w:t>4,247</w:t>
            </w:r>
          </w:p>
        </w:tc>
        <w:tc>
          <w:tcPr>
            <w:tcW w:w="1134" w:type="dxa"/>
          </w:tcPr>
          <w:p w:rsidR="005729B5" w:rsidRPr="006E6EA4" w:rsidRDefault="005729B5" w:rsidP="004A35B2">
            <w:pPr>
              <w:pStyle w:val="Tablebodytext"/>
            </w:pPr>
            <w:r w:rsidRPr="006E6EA4">
              <w:t>4,239</w:t>
            </w:r>
          </w:p>
        </w:tc>
        <w:tc>
          <w:tcPr>
            <w:tcW w:w="1276" w:type="dxa"/>
          </w:tcPr>
          <w:p w:rsidR="005729B5" w:rsidRPr="006E6EA4" w:rsidRDefault="005729B5" w:rsidP="004A35B2">
            <w:pPr>
              <w:pStyle w:val="Tablebodytext"/>
            </w:pPr>
            <w:r w:rsidRPr="006E6EA4">
              <w:t>4,247</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2030</w:t>
            </w:r>
          </w:p>
        </w:tc>
        <w:tc>
          <w:tcPr>
            <w:tcW w:w="1134" w:type="dxa"/>
          </w:tcPr>
          <w:p w:rsidR="005729B5" w:rsidRPr="006E6EA4" w:rsidRDefault="005729B5" w:rsidP="004A35B2">
            <w:pPr>
              <w:pStyle w:val="Tablebodytext"/>
            </w:pPr>
            <w:r w:rsidRPr="006E6EA4">
              <w:t>8,863</w:t>
            </w:r>
          </w:p>
        </w:tc>
        <w:tc>
          <w:tcPr>
            <w:tcW w:w="992" w:type="dxa"/>
          </w:tcPr>
          <w:p w:rsidR="005729B5" w:rsidRPr="006E6EA4" w:rsidRDefault="005729B5" w:rsidP="004A35B2">
            <w:pPr>
              <w:pStyle w:val="Tablebodytext"/>
            </w:pPr>
            <w:r w:rsidRPr="006E6EA4">
              <w:t>8,785</w:t>
            </w:r>
          </w:p>
        </w:tc>
        <w:tc>
          <w:tcPr>
            <w:tcW w:w="1276" w:type="dxa"/>
          </w:tcPr>
          <w:p w:rsidR="005729B5" w:rsidRPr="006E6EA4" w:rsidRDefault="005729B5" w:rsidP="004A35B2">
            <w:pPr>
              <w:pStyle w:val="Tablebodytext"/>
            </w:pPr>
            <w:r w:rsidRPr="006E6EA4">
              <w:t>8,904</w:t>
            </w:r>
          </w:p>
        </w:tc>
        <w:tc>
          <w:tcPr>
            <w:tcW w:w="1134" w:type="dxa"/>
          </w:tcPr>
          <w:p w:rsidR="005729B5" w:rsidRPr="006E6EA4" w:rsidRDefault="005729B5" w:rsidP="004A35B2">
            <w:pPr>
              <w:pStyle w:val="Tablebodytext"/>
            </w:pPr>
            <w:r w:rsidRPr="006E6EA4">
              <w:t>3,592</w:t>
            </w:r>
          </w:p>
        </w:tc>
        <w:tc>
          <w:tcPr>
            <w:tcW w:w="1134" w:type="dxa"/>
          </w:tcPr>
          <w:p w:rsidR="005729B5" w:rsidRPr="006E6EA4" w:rsidRDefault="005729B5" w:rsidP="004A35B2">
            <w:pPr>
              <w:pStyle w:val="Tablebodytext"/>
            </w:pPr>
            <w:r w:rsidRPr="006E6EA4">
              <w:t>3,560</w:t>
            </w:r>
          </w:p>
        </w:tc>
        <w:tc>
          <w:tcPr>
            <w:tcW w:w="1276" w:type="dxa"/>
          </w:tcPr>
          <w:p w:rsidR="005729B5" w:rsidRPr="006E6EA4" w:rsidRDefault="005729B5" w:rsidP="004A35B2">
            <w:pPr>
              <w:pStyle w:val="Tablebodytext"/>
            </w:pPr>
            <w:r w:rsidRPr="006E6EA4">
              <w:t>3,609</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2040</w:t>
            </w:r>
          </w:p>
        </w:tc>
        <w:tc>
          <w:tcPr>
            <w:tcW w:w="1134" w:type="dxa"/>
          </w:tcPr>
          <w:p w:rsidR="005729B5" w:rsidRPr="006E6EA4" w:rsidRDefault="005729B5" w:rsidP="004A35B2">
            <w:pPr>
              <w:pStyle w:val="Tablebodytext"/>
            </w:pPr>
            <w:r w:rsidRPr="006E6EA4">
              <w:t>12,057</w:t>
            </w:r>
          </w:p>
        </w:tc>
        <w:tc>
          <w:tcPr>
            <w:tcW w:w="992" w:type="dxa"/>
          </w:tcPr>
          <w:p w:rsidR="005729B5" w:rsidRPr="006E6EA4" w:rsidRDefault="005729B5" w:rsidP="004A35B2">
            <w:pPr>
              <w:pStyle w:val="Tablebodytext"/>
            </w:pPr>
            <w:r w:rsidRPr="006E6EA4">
              <w:t>11,878</w:t>
            </w:r>
          </w:p>
        </w:tc>
        <w:tc>
          <w:tcPr>
            <w:tcW w:w="1276" w:type="dxa"/>
          </w:tcPr>
          <w:p w:rsidR="005729B5" w:rsidRPr="006E6EA4" w:rsidRDefault="005729B5" w:rsidP="004A35B2">
            <w:pPr>
              <w:pStyle w:val="Tablebodytext"/>
            </w:pPr>
            <w:r w:rsidRPr="006E6EA4">
              <w:t>12,324</w:t>
            </w:r>
          </w:p>
        </w:tc>
        <w:tc>
          <w:tcPr>
            <w:tcW w:w="1134" w:type="dxa"/>
          </w:tcPr>
          <w:p w:rsidR="005729B5" w:rsidRPr="006E6EA4" w:rsidRDefault="005729B5" w:rsidP="004A35B2">
            <w:pPr>
              <w:pStyle w:val="Tablebodytext"/>
            </w:pPr>
            <w:r w:rsidRPr="006E6EA4">
              <w:t>2,729</w:t>
            </w:r>
          </w:p>
        </w:tc>
        <w:tc>
          <w:tcPr>
            <w:tcW w:w="1134" w:type="dxa"/>
          </w:tcPr>
          <w:p w:rsidR="005729B5" w:rsidRPr="006E6EA4" w:rsidRDefault="005729B5" w:rsidP="004A35B2">
            <w:pPr>
              <w:pStyle w:val="Tablebodytext"/>
            </w:pPr>
            <w:r w:rsidRPr="006E6EA4">
              <w:t>2,688</w:t>
            </w:r>
          </w:p>
        </w:tc>
        <w:tc>
          <w:tcPr>
            <w:tcW w:w="1276" w:type="dxa"/>
          </w:tcPr>
          <w:p w:rsidR="005729B5" w:rsidRPr="006E6EA4" w:rsidRDefault="005729B5" w:rsidP="004A35B2">
            <w:pPr>
              <w:pStyle w:val="Tablebodytext"/>
            </w:pPr>
            <w:r w:rsidRPr="006E6EA4">
              <w:t>2,789</w:t>
            </w:r>
          </w:p>
        </w:tc>
      </w:tr>
      <w:tr w:rsidR="005729B5" w:rsidRPr="006E6EA4" w:rsidTr="008B2560">
        <w:tc>
          <w:tcPr>
            <w:tcW w:w="1276" w:type="dxa"/>
            <w:vAlign w:val="bottom"/>
          </w:tcPr>
          <w:p w:rsidR="005729B5" w:rsidRPr="006E6EA4" w:rsidRDefault="005729B5" w:rsidP="004A35B2">
            <w:pPr>
              <w:pStyle w:val="Tablebodytext"/>
              <w:rPr>
                <w:lang w:val="en-US"/>
              </w:rPr>
            </w:pPr>
            <w:r w:rsidRPr="006E6EA4">
              <w:rPr>
                <w:lang w:val="en-US"/>
              </w:rPr>
              <w:t>2050</w:t>
            </w:r>
          </w:p>
        </w:tc>
        <w:tc>
          <w:tcPr>
            <w:tcW w:w="1134" w:type="dxa"/>
          </w:tcPr>
          <w:p w:rsidR="005729B5" w:rsidRPr="006E6EA4" w:rsidRDefault="005729B5" w:rsidP="004A35B2">
            <w:pPr>
              <w:pStyle w:val="Tablebodytext"/>
            </w:pPr>
            <w:r w:rsidRPr="006E6EA4">
              <w:t>12,699</w:t>
            </w:r>
          </w:p>
        </w:tc>
        <w:tc>
          <w:tcPr>
            <w:tcW w:w="992" w:type="dxa"/>
          </w:tcPr>
          <w:p w:rsidR="005729B5" w:rsidRPr="006E6EA4" w:rsidRDefault="005729B5" w:rsidP="004A35B2">
            <w:pPr>
              <w:pStyle w:val="Tablebodytext"/>
            </w:pPr>
            <w:r w:rsidRPr="006E6EA4">
              <w:t>12,444</w:t>
            </w:r>
          </w:p>
        </w:tc>
        <w:tc>
          <w:tcPr>
            <w:tcW w:w="1276" w:type="dxa"/>
          </w:tcPr>
          <w:p w:rsidR="005729B5" w:rsidRPr="006E6EA4" w:rsidRDefault="005729B5" w:rsidP="004A35B2">
            <w:pPr>
              <w:pStyle w:val="Tablebodytext"/>
            </w:pPr>
            <w:r w:rsidRPr="006E6EA4">
              <w:t>13,363</w:t>
            </w:r>
          </w:p>
        </w:tc>
        <w:tc>
          <w:tcPr>
            <w:tcW w:w="1134" w:type="dxa"/>
          </w:tcPr>
          <w:p w:rsidR="005729B5" w:rsidRPr="006E6EA4" w:rsidRDefault="005729B5" w:rsidP="004A35B2">
            <w:pPr>
              <w:pStyle w:val="Tablebodytext"/>
            </w:pPr>
            <w:r w:rsidRPr="006E6EA4">
              <w:t>1,605</w:t>
            </w:r>
          </w:p>
        </w:tc>
        <w:tc>
          <w:tcPr>
            <w:tcW w:w="1134" w:type="dxa"/>
          </w:tcPr>
          <w:p w:rsidR="005729B5" w:rsidRPr="006E6EA4" w:rsidRDefault="005729B5" w:rsidP="004A35B2">
            <w:pPr>
              <w:pStyle w:val="Tablebodytext"/>
            </w:pPr>
            <w:r w:rsidRPr="006E6EA4">
              <w:t>1,573</w:t>
            </w:r>
          </w:p>
        </w:tc>
        <w:tc>
          <w:tcPr>
            <w:tcW w:w="1276" w:type="dxa"/>
          </w:tcPr>
          <w:p w:rsidR="005729B5" w:rsidRPr="006E6EA4" w:rsidRDefault="005729B5" w:rsidP="004A35B2">
            <w:pPr>
              <w:pStyle w:val="Tablebodytext"/>
            </w:pPr>
            <w:r w:rsidRPr="006E6EA4">
              <w:t>1,689</w:t>
            </w:r>
          </w:p>
        </w:tc>
      </w:tr>
    </w:tbl>
    <w:p w:rsidR="005729B5" w:rsidRDefault="003F639C" w:rsidP="003F639C">
      <w:pPr>
        <w:pStyle w:val="Numberedpara1stindent"/>
        <w:spacing w:before="240" w:after="240"/>
      </w:pPr>
      <w:r>
        <w:br w:type="page"/>
      </w:r>
      <w:r w:rsidR="005729B5">
        <w:lastRenderedPageBreak/>
        <w:t xml:space="preserve">The impact of adjustments to mortality have greater impact over long time horizons as it takes time to flow through into the payments.  </w:t>
      </w:r>
    </w:p>
    <w:p w:rsidR="005729B5" w:rsidRDefault="005729B5" w:rsidP="005729B5">
      <w:pPr>
        <w:pStyle w:val="Numberedpara1stindent"/>
        <w:spacing w:after="240"/>
      </w:pPr>
      <w:r>
        <w:t>Please note that the above sensitivity scenarios are illustrations only, and show what may occur under assumed future experiences which differ from assumptions. These scenarios do not constitute upper or lower bounds and the actual future unfunded liabilities and outlays may differ significantly from the range shown above, depending on actual future experience.</w:t>
      </w:r>
    </w:p>
    <w:p w:rsidR="00E47848" w:rsidRDefault="003421C5" w:rsidP="00E47848">
      <w:pPr>
        <w:pStyle w:val="Numberedpara1stindent"/>
        <w:numPr>
          <w:ilvl w:val="0"/>
          <w:numId w:val="0"/>
        </w:numPr>
        <w:spacing w:after="240"/>
      </w:pPr>
      <w:r>
        <w:t xml:space="preserve">                                                                                                        </w:t>
      </w:r>
    </w:p>
    <w:tbl>
      <w:tblPr>
        <w:tblW w:w="9039" w:type="dxa"/>
        <w:tblLayout w:type="fixed"/>
        <w:tblLook w:val="01E0"/>
      </w:tblPr>
      <w:tblGrid>
        <w:gridCol w:w="4644"/>
        <w:gridCol w:w="4395"/>
      </w:tblGrid>
      <w:tr w:rsidR="005729B5" w:rsidRPr="003E33B5" w:rsidTr="008B2560">
        <w:tc>
          <w:tcPr>
            <w:tcW w:w="4644" w:type="dxa"/>
          </w:tcPr>
          <w:p w:rsidR="005729B5" w:rsidRDefault="00E47848" w:rsidP="008B2560">
            <w:pPr>
              <w:tabs>
                <w:tab w:val="left" w:pos="4536"/>
              </w:tabs>
              <w:rPr>
                <w:b/>
                <w:sz w:val="20"/>
              </w:rPr>
            </w:pPr>
            <w:r w:rsidRPr="00E47848">
              <w:rPr>
                <w:b/>
                <w:noProof/>
                <w:sz w:val="20"/>
                <w:lang w:eastAsia="en-AU"/>
              </w:rPr>
              <w:drawing>
                <wp:inline distT="0" distB="0" distL="0" distR="0">
                  <wp:extent cx="1834587" cy="563525"/>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4587" cy="563525"/>
                          </a:xfrm>
                          <a:prstGeom prst="rect">
                            <a:avLst/>
                          </a:prstGeom>
                          <a:noFill/>
                          <a:ln>
                            <a:noFill/>
                          </a:ln>
                        </pic:spPr>
                      </pic:pic>
                    </a:graphicData>
                  </a:graphic>
                </wp:inline>
              </w:drawing>
            </w:r>
          </w:p>
          <w:p w:rsidR="005729B5" w:rsidRPr="00453A18" w:rsidRDefault="005729B5" w:rsidP="008B2560">
            <w:pPr>
              <w:tabs>
                <w:tab w:val="left" w:pos="4536"/>
              </w:tabs>
              <w:rPr>
                <w:b/>
                <w:sz w:val="20"/>
              </w:rPr>
            </w:pPr>
            <w:r w:rsidRPr="00453A18">
              <w:rPr>
                <w:b/>
                <w:sz w:val="20"/>
              </w:rPr>
              <w:t>Richard Boyfield</w:t>
            </w:r>
          </w:p>
          <w:p w:rsidR="005729B5" w:rsidRPr="00453A18" w:rsidRDefault="005729B5" w:rsidP="008B2560">
            <w:pPr>
              <w:tabs>
                <w:tab w:val="left" w:pos="4536"/>
              </w:tabs>
              <w:rPr>
                <w:sz w:val="20"/>
              </w:rPr>
            </w:pPr>
            <w:r>
              <w:rPr>
                <w:sz w:val="20"/>
              </w:rPr>
              <w:t>FIAA</w:t>
            </w:r>
          </w:p>
          <w:p w:rsidR="005729B5" w:rsidRDefault="005729B5" w:rsidP="008B2560">
            <w:pPr>
              <w:tabs>
                <w:tab w:val="left" w:pos="4536"/>
              </w:tabs>
              <w:rPr>
                <w:sz w:val="20"/>
              </w:rPr>
            </w:pPr>
            <w:r w:rsidRPr="00453A18">
              <w:rPr>
                <w:sz w:val="20"/>
              </w:rPr>
              <w:t xml:space="preserve">Partner, Mercer </w:t>
            </w:r>
          </w:p>
          <w:p w:rsidR="005729B5" w:rsidRDefault="005729B5" w:rsidP="008B2560">
            <w:pPr>
              <w:tabs>
                <w:tab w:val="left" w:pos="4536"/>
              </w:tabs>
              <w:rPr>
                <w:sz w:val="20"/>
              </w:rPr>
            </w:pPr>
          </w:p>
          <w:p w:rsidR="005729B5" w:rsidRDefault="005729B5" w:rsidP="008B2560">
            <w:pPr>
              <w:tabs>
                <w:tab w:val="left" w:pos="4536"/>
              </w:tabs>
              <w:rPr>
                <w:sz w:val="20"/>
              </w:rPr>
            </w:pPr>
          </w:p>
          <w:p w:rsidR="005729B5" w:rsidRDefault="005729B5" w:rsidP="008B2560">
            <w:pPr>
              <w:tabs>
                <w:tab w:val="left" w:pos="4536"/>
              </w:tabs>
              <w:rPr>
                <w:sz w:val="20"/>
              </w:rPr>
            </w:pPr>
            <w:r>
              <w:rPr>
                <w:sz w:val="20"/>
              </w:rPr>
              <w:t>Peer Reviewed by:</w:t>
            </w:r>
          </w:p>
          <w:p w:rsidR="005729B5" w:rsidRDefault="005729B5" w:rsidP="008B2560">
            <w:pPr>
              <w:tabs>
                <w:tab w:val="left" w:pos="4536"/>
              </w:tabs>
              <w:rPr>
                <w:sz w:val="20"/>
              </w:rPr>
            </w:pPr>
          </w:p>
          <w:p w:rsidR="005729B5" w:rsidRDefault="00E47848" w:rsidP="008B2560">
            <w:pPr>
              <w:tabs>
                <w:tab w:val="left" w:pos="4536"/>
              </w:tabs>
              <w:rPr>
                <w:sz w:val="20"/>
              </w:rPr>
            </w:pPr>
            <w:r w:rsidRPr="00E47848">
              <w:rPr>
                <w:noProof/>
                <w:sz w:val="20"/>
                <w:lang w:eastAsia="en-AU"/>
              </w:rPr>
              <w:drawing>
                <wp:inline distT="0" distB="0" distL="0" distR="0">
                  <wp:extent cx="1747520" cy="741680"/>
                  <wp:effectExtent l="0" t="0" r="5080" b="1270"/>
                  <wp:docPr id="5" name="Picture 5" descr="ҋ龜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ҋ龜矞"/>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7520" cy="741680"/>
                          </a:xfrm>
                          <a:prstGeom prst="rect">
                            <a:avLst/>
                          </a:prstGeom>
                          <a:noFill/>
                          <a:ln>
                            <a:noFill/>
                          </a:ln>
                        </pic:spPr>
                      </pic:pic>
                    </a:graphicData>
                  </a:graphic>
                </wp:inline>
              </w:drawing>
            </w:r>
          </w:p>
          <w:p w:rsidR="005729B5" w:rsidRPr="000D3660" w:rsidRDefault="005729B5" w:rsidP="008B2560">
            <w:pPr>
              <w:tabs>
                <w:tab w:val="left" w:pos="4536"/>
              </w:tabs>
              <w:rPr>
                <w:b/>
                <w:sz w:val="20"/>
              </w:rPr>
            </w:pPr>
            <w:r w:rsidRPr="000D3660">
              <w:rPr>
                <w:b/>
                <w:sz w:val="20"/>
              </w:rPr>
              <w:t>David Knox</w:t>
            </w:r>
          </w:p>
          <w:p w:rsidR="005729B5" w:rsidRPr="00453A18" w:rsidRDefault="005729B5" w:rsidP="008B2560">
            <w:pPr>
              <w:tabs>
                <w:tab w:val="left" w:pos="4536"/>
              </w:tabs>
              <w:rPr>
                <w:sz w:val="20"/>
              </w:rPr>
            </w:pPr>
            <w:r>
              <w:rPr>
                <w:sz w:val="20"/>
              </w:rPr>
              <w:t>FIAA</w:t>
            </w:r>
          </w:p>
          <w:p w:rsidR="005729B5" w:rsidRDefault="005729B5" w:rsidP="008B2560">
            <w:pPr>
              <w:tabs>
                <w:tab w:val="left" w:pos="4536"/>
              </w:tabs>
              <w:rPr>
                <w:sz w:val="20"/>
              </w:rPr>
            </w:pPr>
            <w:r>
              <w:rPr>
                <w:sz w:val="20"/>
              </w:rPr>
              <w:t xml:space="preserve">Senior </w:t>
            </w:r>
            <w:r w:rsidRPr="00453A18">
              <w:rPr>
                <w:sz w:val="20"/>
              </w:rPr>
              <w:t xml:space="preserve">Partner, Mercer </w:t>
            </w:r>
          </w:p>
          <w:p w:rsidR="005729B5" w:rsidRDefault="005729B5" w:rsidP="008B2560">
            <w:pPr>
              <w:tabs>
                <w:tab w:val="left" w:pos="4536"/>
              </w:tabs>
              <w:rPr>
                <w:sz w:val="20"/>
              </w:rPr>
            </w:pPr>
          </w:p>
          <w:p w:rsidR="005729B5" w:rsidRPr="00453A18" w:rsidRDefault="005729B5" w:rsidP="008B2560">
            <w:pPr>
              <w:tabs>
                <w:tab w:val="left" w:pos="4536"/>
              </w:tabs>
              <w:rPr>
                <w:sz w:val="20"/>
              </w:rPr>
            </w:pPr>
          </w:p>
        </w:tc>
        <w:tc>
          <w:tcPr>
            <w:tcW w:w="4395" w:type="dxa"/>
          </w:tcPr>
          <w:p w:rsidR="005729B5" w:rsidRPr="003E33B5" w:rsidRDefault="005729B5" w:rsidP="008B2560">
            <w:pPr>
              <w:rPr>
                <w:b/>
                <w:sz w:val="20"/>
              </w:rPr>
            </w:pPr>
          </w:p>
        </w:tc>
      </w:tr>
    </w:tbl>
    <w:p w:rsidR="005729B5" w:rsidRPr="003674D9" w:rsidRDefault="00090797" w:rsidP="003421C5">
      <w:pPr>
        <w:pStyle w:val="Numberedpara1stindent"/>
        <w:numPr>
          <w:ilvl w:val="0"/>
          <w:numId w:val="0"/>
        </w:numPr>
        <w:spacing w:after="240"/>
        <w:ind w:left="567" w:hanging="567"/>
      </w:pPr>
      <w:r>
        <w:t>24</w:t>
      </w:r>
      <w:r w:rsidR="005729B5" w:rsidRPr="00DA324C">
        <w:t xml:space="preserve"> June 2015</w:t>
      </w:r>
    </w:p>
    <w:p w:rsidR="00D10BCE" w:rsidRDefault="00D10BCE" w:rsidP="005729B5">
      <w:pPr>
        <w:pStyle w:val="Numberedpara1stindent"/>
        <w:numPr>
          <w:ilvl w:val="0"/>
          <w:numId w:val="0"/>
        </w:numPr>
        <w:spacing w:after="240"/>
      </w:pPr>
    </w:p>
    <w:p w:rsidR="00D10BCE" w:rsidRDefault="00D10BCE" w:rsidP="0011465D">
      <w:pPr>
        <w:pStyle w:val="Heading2"/>
        <w:numPr>
          <w:ilvl w:val="0"/>
          <w:numId w:val="0"/>
        </w:numPr>
        <w:spacing w:after="720"/>
      </w:pPr>
      <w:r>
        <w:br w:type="page"/>
      </w:r>
      <w:bookmarkStart w:id="14" w:name="_Toc422302164"/>
      <w:r>
        <w:lastRenderedPageBreak/>
        <w:t>Appendix A</w:t>
      </w:r>
      <w:r w:rsidR="002321AB">
        <w:t>:</w:t>
      </w:r>
      <w:r>
        <w:t xml:space="preserve"> Summary of Benefit Provisions</w:t>
      </w:r>
      <w:bookmarkEnd w:id="14"/>
    </w:p>
    <w:p w:rsidR="00526772" w:rsidRPr="00526772" w:rsidRDefault="00526772" w:rsidP="004A35B2">
      <w:pPr>
        <w:pStyle w:val="Heading3nonumbers"/>
        <w:rPr>
          <w:rFonts w:eastAsia="MS Gothic"/>
        </w:rPr>
      </w:pPr>
      <w:r w:rsidRPr="00526772">
        <w:rPr>
          <w:rFonts w:eastAsia="MS Gothic"/>
        </w:rPr>
        <w:t>THE SUPERANNUATION ACT 1990 (PSS)</w:t>
      </w:r>
    </w:p>
    <w:p w:rsidR="00526772" w:rsidRPr="00526772" w:rsidRDefault="00526772" w:rsidP="004A35B2">
      <w:pPr>
        <w:pStyle w:val="Heading4nonumbers"/>
      </w:pPr>
      <w:r w:rsidRPr="00526772">
        <w:t>Membership</w:t>
      </w:r>
    </w:p>
    <w:p w:rsidR="00526772" w:rsidRDefault="00526772" w:rsidP="00CF7CC4">
      <w:pPr>
        <w:pStyle w:val="BodyText"/>
        <w:spacing w:after="240"/>
      </w:pPr>
      <w:r w:rsidRPr="00465446">
        <w:t>The PSS was closed to new entrants from 1 July 2005</w:t>
      </w:r>
      <w:r>
        <w:t>.</w:t>
      </w:r>
    </w:p>
    <w:p w:rsidR="00526772" w:rsidRPr="00526772" w:rsidRDefault="00526772" w:rsidP="004A35B2">
      <w:pPr>
        <w:pStyle w:val="Heading4nonumbers"/>
      </w:pPr>
      <w:r w:rsidRPr="00526772">
        <w:t>Superannuation Salary</w:t>
      </w:r>
    </w:p>
    <w:p w:rsidR="00526772" w:rsidRDefault="00526772" w:rsidP="00526772">
      <w:pPr>
        <w:pStyle w:val="BodyText"/>
      </w:pPr>
      <w:r w:rsidRPr="00465446">
        <w:t>Generally, superannuation salary is basic salary plus any recognised allowances</w:t>
      </w:r>
      <w:r>
        <w:t xml:space="preserve">. </w:t>
      </w:r>
      <w:r w:rsidRPr="00465446">
        <w:t>Superannuation salary is the salary on commencement subject to adjustment on each birthday</w:t>
      </w:r>
      <w:r>
        <w:t>.</w:t>
      </w:r>
    </w:p>
    <w:p w:rsidR="00526772" w:rsidRPr="00526772" w:rsidRDefault="00526772" w:rsidP="004A35B2">
      <w:pPr>
        <w:pStyle w:val="Heading4nonumbers"/>
      </w:pPr>
      <w:r w:rsidRPr="00526772">
        <w:t>Final Average Salary</w:t>
      </w:r>
    </w:p>
    <w:p w:rsidR="00526772" w:rsidRDefault="00526772" w:rsidP="00CF7CC4">
      <w:pPr>
        <w:pStyle w:val="BodyText"/>
        <w:spacing w:after="240"/>
      </w:pPr>
      <w:r w:rsidRPr="00465446">
        <w:t>Final Average Salary (FAS) is generally the average superannuation salary on the three birthdays before leaving the PSS</w:t>
      </w:r>
      <w:r>
        <w:t>.</w:t>
      </w:r>
    </w:p>
    <w:p w:rsidR="00526772" w:rsidRPr="00526772" w:rsidRDefault="00526772" w:rsidP="004A35B2">
      <w:pPr>
        <w:pStyle w:val="Heading4nonumbers"/>
      </w:pPr>
      <w:r w:rsidRPr="00526772">
        <w:t>Member Contributions</w:t>
      </w:r>
    </w:p>
    <w:p w:rsidR="00526772" w:rsidRDefault="00526772" w:rsidP="00526772">
      <w:pPr>
        <w:pStyle w:val="BodyText"/>
      </w:pPr>
      <w:r w:rsidRPr="00465446">
        <w:t>Members can choose to contribute at any rate between 2% and 10% of superannuation salary</w:t>
      </w:r>
      <w:r>
        <w:t xml:space="preserve">. </w:t>
      </w:r>
      <w:r w:rsidRPr="00465446">
        <w:t>Members can also choose not to contribute to the PSS</w:t>
      </w:r>
      <w:r>
        <w:t xml:space="preserve">. </w:t>
      </w:r>
      <w:r w:rsidRPr="00465446">
        <w:t>The rate of contribution can be varied at any time</w:t>
      </w:r>
      <w:r>
        <w:t>.</w:t>
      </w:r>
    </w:p>
    <w:p w:rsidR="00526772" w:rsidRPr="00526772" w:rsidRDefault="00526772" w:rsidP="004A35B2">
      <w:pPr>
        <w:pStyle w:val="Heading4nonumbers"/>
      </w:pPr>
      <w:r w:rsidRPr="00526772">
        <w:t>Benefits</w:t>
      </w:r>
    </w:p>
    <w:p w:rsidR="00E01964" w:rsidRDefault="00526772" w:rsidP="00CF7CC4">
      <w:pPr>
        <w:pStyle w:val="BodyText"/>
      </w:pPr>
      <w:r w:rsidRPr="00465446">
        <w:t>The benefits from the PSS consist of three parts</w:t>
      </w:r>
      <w:r>
        <w:t xml:space="preserve"> </w:t>
      </w:r>
    </w:p>
    <w:p w:rsidR="00E01964" w:rsidRDefault="00E01964" w:rsidP="00CF7CC4">
      <w:pPr>
        <w:pStyle w:val="ListBullet"/>
        <w:spacing w:after="120"/>
        <w:contextualSpacing w:val="0"/>
      </w:pPr>
      <w:r w:rsidRPr="00465446">
        <w:rPr>
          <w:u w:val="single"/>
        </w:rPr>
        <w:t>the employer-financed component</w:t>
      </w:r>
      <w:r w:rsidRPr="00465446">
        <w:t xml:space="preserve"> is determined as the Total Benefit net of the productivity and member component</w:t>
      </w:r>
      <w:r>
        <w:t xml:space="preserve">. </w:t>
      </w:r>
      <w:r w:rsidRPr="00465446">
        <w:t>This component is an untaxed benefit</w:t>
      </w:r>
      <w:r>
        <w:t>.</w:t>
      </w:r>
    </w:p>
    <w:p w:rsidR="00E01964" w:rsidRDefault="00E01964" w:rsidP="00CF7CC4">
      <w:pPr>
        <w:pStyle w:val="ListBullet"/>
        <w:spacing w:after="120"/>
        <w:contextualSpacing w:val="0"/>
      </w:pPr>
      <w:r w:rsidRPr="00465446">
        <w:rPr>
          <w:u w:val="single"/>
        </w:rPr>
        <w:t>the productivity component</w:t>
      </w:r>
      <w:r w:rsidRPr="00465446">
        <w:t xml:space="preserve"> is made up of accumulated productivity contributions</w:t>
      </w:r>
      <w:r>
        <w:t xml:space="preserve">. </w:t>
      </w:r>
      <w:r w:rsidRPr="00465446">
        <w:t>This is a "taxed benefit"</w:t>
      </w:r>
      <w:r>
        <w:t xml:space="preserve">. </w:t>
      </w:r>
      <w:r w:rsidRPr="00FB2C86">
        <w:t>Any unfunded productivity component is an “untaxed benefit</w:t>
      </w:r>
      <w:r>
        <w:t>”.</w:t>
      </w:r>
    </w:p>
    <w:p w:rsidR="007B21CF" w:rsidRDefault="00E01964" w:rsidP="00E01964">
      <w:pPr>
        <w:pStyle w:val="ListBullet"/>
      </w:pPr>
      <w:r w:rsidRPr="00465446">
        <w:rPr>
          <w:u w:val="single"/>
        </w:rPr>
        <w:t>the member-financed component</w:t>
      </w:r>
      <w:r w:rsidRPr="00465446">
        <w:t xml:space="preserve"> is made up of accumulated member contributions</w:t>
      </w:r>
      <w:r>
        <w:t xml:space="preserve">. </w:t>
      </w:r>
      <w:r w:rsidRPr="00465446">
        <w:t>The investment earnings are a "taxed benefit</w:t>
      </w:r>
      <w:r>
        <w:t>.</w:t>
      </w:r>
    </w:p>
    <w:p w:rsidR="00E01964" w:rsidRPr="00465446" w:rsidRDefault="007B21CF" w:rsidP="004A35B2">
      <w:pPr>
        <w:pStyle w:val="Heading4nonumbers"/>
      </w:pPr>
      <w:r>
        <w:br w:type="page"/>
      </w:r>
      <w:r w:rsidR="00E01964" w:rsidRPr="00465446">
        <w:lastRenderedPageBreak/>
        <w:t>Total Benefit</w:t>
      </w:r>
    </w:p>
    <w:p w:rsidR="00E01964" w:rsidRDefault="00E01964" w:rsidP="007B21CF">
      <w:pPr>
        <w:pStyle w:val="ListBullet"/>
        <w:numPr>
          <w:ilvl w:val="0"/>
          <w:numId w:val="0"/>
        </w:numPr>
      </w:pPr>
      <w:r w:rsidRPr="00465446">
        <w:t>A member's Total Benefit is calculated by multiplying the member's Benefit Multiple by his or her FAS</w:t>
      </w:r>
      <w:r>
        <w:t xml:space="preserve">. </w:t>
      </w:r>
      <w:r w:rsidRPr="00465446">
        <w:t>A member's Benefit Multiple increases with each contribution made</w:t>
      </w:r>
      <w:r>
        <w:t xml:space="preserve">. </w:t>
      </w:r>
      <w:r w:rsidRPr="00465446">
        <w:t>The Benefit Multiple consists of the Member's share and the Employer's share</w:t>
      </w:r>
      <w:r>
        <w:t>.</w:t>
      </w:r>
    </w:p>
    <w:p w:rsidR="00E01964" w:rsidRPr="00465446" w:rsidRDefault="00E01964" w:rsidP="007B21CF">
      <w:pPr>
        <w:widowControl w:val="0"/>
        <w:autoSpaceDE w:val="0"/>
        <w:autoSpaceDN w:val="0"/>
        <w:adjustRightInd w:val="0"/>
        <w:spacing w:after="240"/>
        <w:outlineLvl w:val="0"/>
      </w:pPr>
      <w:r w:rsidRPr="00465446">
        <w:t>Total Benefit Multiple = Member's share of Benefit Multiple + Employer's share of Benefit Multiple</w:t>
      </w:r>
      <w:r>
        <w:t>.</w:t>
      </w:r>
    </w:p>
    <w:p w:rsidR="00E01964" w:rsidRPr="00465446" w:rsidRDefault="00E01964" w:rsidP="007B21CF">
      <w:pPr>
        <w:widowControl w:val="0"/>
        <w:autoSpaceDE w:val="0"/>
        <w:autoSpaceDN w:val="0"/>
        <w:adjustRightInd w:val="0"/>
        <w:spacing w:after="240"/>
        <w:outlineLvl w:val="0"/>
      </w:pPr>
      <w:r w:rsidRPr="00465446">
        <w:t>Member's share of Benefit Multiple = Member Contribution Rate (per year of service)</w:t>
      </w:r>
      <w:r>
        <w:t>.</w:t>
      </w:r>
    </w:p>
    <w:p w:rsidR="00E01964" w:rsidRDefault="00E01964" w:rsidP="007B21CF">
      <w:pPr>
        <w:pStyle w:val="BodyText"/>
        <w:spacing w:after="240"/>
      </w:pPr>
      <w:r w:rsidRPr="00465446">
        <w:t>Employer's share of Benefit Multiple = Member Contribution Rate + 0.11 (per year of service</w:t>
      </w:r>
      <w:r w:rsidR="00266412">
        <w:t>)</w:t>
      </w:r>
      <w:r>
        <w:t>.</w:t>
      </w:r>
    </w:p>
    <w:p w:rsidR="00E01964" w:rsidRPr="00E01964" w:rsidRDefault="00E01964" w:rsidP="004A35B2">
      <w:pPr>
        <w:pStyle w:val="Heading4nonumbers"/>
      </w:pPr>
      <w:r w:rsidRPr="00E01964">
        <w:t>10 year Rule – Restriction on Employer's Share of Benefit Multiple</w:t>
      </w:r>
    </w:p>
    <w:p w:rsidR="00E01964" w:rsidRPr="00465446" w:rsidRDefault="00E01964" w:rsidP="007B21CF">
      <w:pPr>
        <w:pStyle w:val="ListBullet"/>
        <w:numPr>
          <w:ilvl w:val="0"/>
          <w:numId w:val="0"/>
        </w:numPr>
        <w:contextualSpacing w:val="0"/>
      </w:pPr>
      <w:r w:rsidRPr="00465446">
        <w:t>Employer's share of Benefit Multiple cannot be greater than that which would have accrued if member contributions had been made at 5% for 10 years (or total membership if less) and 10% for any membership in excess of that 10 years.</w:t>
      </w:r>
    </w:p>
    <w:p w:rsidR="00E01964" w:rsidRDefault="00E01964" w:rsidP="00E01964">
      <w:pPr>
        <w:pStyle w:val="ListBullet"/>
        <w:numPr>
          <w:ilvl w:val="0"/>
          <w:numId w:val="0"/>
        </w:numPr>
      </w:pPr>
      <w:r w:rsidRPr="00465446">
        <w:t>On death or disablement the 5% maximum average applies to prospective service until the 10-year period is notionally completed</w:t>
      </w:r>
      <w:r>
        <w:t>.</w:t>
      </w:r>
    </w:p>
    <w:p w:rsidR="00E01964" w:rsidRPr="00E01964" w:rsidRDefault="00E01964" w:rsidP="004A35B2">
      <w:pPr>
        <w:pStyle w:val="Heading4nonumbers"/>
      </w:pPr>
      <w:r w:rsidRPr="00E01964">
        <w:t>Maximum Benefit</w:t>
      </w:r>
    </w:p>
    <w:p w:rsidR="00E01964" w:rsidRDefault="00E01964" w:rsidP="00E01964">
      <w:pPr>
        <w:pStyle w:val="ListBullet"/>
        <w:numPr>
          <w:ilvl w:val="0"/>
          <w:numId w:val="0"/>
        </w:numPr>
      </w:pPr>
      <w:r w:rsidRPr="00465446">
        <w:t>The maximum benefit allowable under the PSS is known as the Maximum Benefit Limit (MBL)</w:t>
      </w:r>
      <w:r>
        <w:t xml:space="preserve">. </w:t>
      </w:r>
      <w:r w:rsidRPr="00465446">
        <w:t>For most members the MBL is 10 times the member’s Final Average Salary</w:t>
      </w:r>
      <w:r>
        <w:t xml:space="preserve">. </w:t>
      </w:r>
      <w:r w:rsidRPr="00465446">
        <w:t>On reaching the MBL, a member will cease contributing to the scheme</w:t>
      </w:r>
      <w:r>
        <w:t>.</w:t>
      </w:r>
    </w:p>
    <w:p w:rsidR="00E01964" w:rsidRPr="00E01964" w:rsidRDefault="00E01964" w:rsidP="004A35B2">
      <w:pPr>
        <w:pStyle w:val="Heading4nonumbers"/>
      </w:pPr>
      <w:r w:rsidRPr="00E01964">
        <w:t>Retirement Benefits</w:t>
      </w:r>
    </w:p>
    <w:p w:rsidR="00E01964" w:rsidRDefault="00E01964" w:rsidP="007B21CF">
      <w:pPr>
        <w:pStyle w:val="BodyText"/>
        <w:spacing w:after="240"/>
      </w:pPr>
      <w:r w:rsidRPr="00465446">
        <w:t>Retirement benefits are payable upon retirement on or after minimum retiring age (usually age 55), subject to general superannuation preservation rules</w:t>
      </w:r>
      <w:r>
        <w:t>.</w:t>
      </w:r>
      <w:r w:rsidRPr="00465446">
        <w:t xml:space="preserve"> </w:t>
      </w:r>
    </w:p>
    <w:p w:rsidR="00E01964" w:rsidRDefault="00E01964" w:rsidP="00CF7CC4">
      <w:pPr>
        <w:pStyle w:val="BodyText"/>
      </w:pPr>
      <w:r w:rsidRPr="00465446">
        <w:t>The four options on retirement are as follows</w:t>
      </w:r>
      <w:r>
        <w:t xml:space="preserve">: </w:t>
      </w:r>
    </w:p>
    <w:p w:rsidR="00E01964" w:rsidRDefault="00E01964" w:rsidP="00CF7CC4">
      <w:pPr>
        <w:pStyle w:val="ListBullet"/>
        <w:spacing w:after="120"/>
        <w:contextualSpacing w:val="0"/>
      </w:pPr>
      <w:r w:rsidRPr="00465446">
        <w:rPr>
          <w:u w:val="single"/>
        </w:rPr>
        <w:t>Total pension</w:t>
      </w:r>
      <w:r w:rsidRPr="00465446">
        <w:t xml:space="preserve"> </w:t>
      </w:r>
      <w:r w:rsidRPr="00465446">
        <w:rPr>
          <w:i/>
        </w:rPr>
        <w:t>–</w:t>
      </w:r>
      <w:r w:rsidRPr="00465446">
        <w:t xml:space="preserve"> The benefits can be taken in the form of a total pension</w:t>
      </w:r>
      <w:r>
        <w:t>.</w:t>
      </w:r>
    </w:p>
    <w:p w:rsidR="00E01964" w:rsidRDefault="00E01964" w:rsidP="00CF7CC4">
      <w:pPr>
        <w:pStyle w:val="ListBullet"/>
        <w:spacing w:after="120"/>
        <w:contextualSpacing w:val="0"/>
      </w:pPr>
      <w:r w:rsidRPr="00465446">
        <w:rPr>
          <w:u w:val="single"/>
        </w:rPr>
        <w:t>Lump sum benefit</w:t>
      </w:r>
      <w:r w:rsidRPr="00465446">
        <w:t xml:space="preserve"> </w:t>
      </w:r>
      <w:r w:rsidRPr="00465446">
        <w:rPr>
          <w:i/>
        </w:rPr>
        <w:t>–</w:t>
      </w:r>
      <w:r w:rsidRPr="00465446">
        <w:t xml:space="preserve"> The three benefit components can be taken as a lump sum</w:t>
      </w:r>
      <w:r>
        <w:t>.</w:t>
      </w:r>
    </w:p>
    <w:p w:rsidR="00E01964" w:rsidRDefault="00E01964" w:rsidP="00CF7CC4">
      <w:pPr>
        <w:pStyle w:val="ListBullet"/>
        <w:spacing w:after="120"/>
        <w:contextualSpacing w:val="0"/>
      </w:pPr>
      <w:r w:rsidRPr="00465446">
        <w:rPr>
          <w:u w:val="single"/>
        </w:rPr>
        <w:t>Lump sum plus pension benefit</w:t>
      </w:r>
      <w:r w:rsidRPr="00465446">
        <w:t xml:space="preserve"> – The benefits can be taken as a pension (subject to a minimum of 50% of the total benefit) and a lump sum</w:t>
      </w:r>
      <w:r>
        <w:t>.</w:t>
      </w:r>
    </w:p>
    <w:p w:rsidR="00E01964" w:rsidRDefault="00E01964" w:rsidP="007B21CF">
      <w:pPr>
        <w:pStyle w:val="ListBullet"/>
        <w:ind w:left="357" w:hanging="357"/>
        <w:contextualSpacing w:val="0"/>
      </w:pPr>
      <w:r w:rsidRPr="009510AF">
        <w:rPr>
          <w:u w:val="single"/>
        </w:rPr>
        <w:t>Preserve total benefit</w:t>
      </w:r>
      <w:r w:rsidRPr="009510AF">
        <w:t xml:space="preserve"> – The total benefit can be preserved in the PSS and later taken as a lump sum, indexed pension or a combination of both</w:t>
      </w:r>
      <w:r>
        <w:t>.</w:t>
      </w:r>
    </w:p>
    <w:p w:rsidR="00CF7CC4" w:rsidRDefault="00E01964" w:rsidP="00E01964">
      <w:pPr>
        <w:pStyle w:val="ListBullet"/>
        <w:numPr>
          <w:ilvl w:val="0"/>
          <w:numId w:val="0"/>
        </w:numPr>
        <w:spacing w:before="240"/>
      </w:pPr>
      <w:r w:rsidRPr="009510AF">
        <w:t>While a benefit is being preserved in the PSS, member and productivity components are increased at the Scheme allocation rate and the employer-financed component is adjusted annually in accordance with changes in the CPI</w:t>
      </w:r>
      <w:r>
        <w:t>.</w:t>
      </w:r>
    </w:p>
    <w:p w:rsidR="00E01964" w:rsidRPr="00E01964" w:rsidRDefault="00CF7CC4" w:rsidP="004A35B2">
      <w:pPr>
        <w:pStyle w:val="Heading4nonumbers"/>
      </w:pPr>
      <w:r>
        <w:br w:type="page"/>
      </w:r>
      <w:r w:rsidR="00E01964" w:rsidRPr="00E01964">
        <w:lastRenderedPageBreak/>
        <w:t>Invalidity Retirement</w:t>
      </w:r>
    </w:p>
    <w:p w:rsidR="00E01964" w:rsidRDefault="00E01964" w:rsidP="00E01964">
      <w:pPr>
        <w:pStyle w:val="BodyText"/>
      </w:pPr>
      <w:r w:rsidRPr="009510AF">
        <w:t>The following benefit choices are available on retirement on medical grounds</w:t>
      </w:r>
      <w:r>
        <w:t xml:space="preserve">: </w:t>
      </w:r>
    </w:p>
    <w:p w:rsidR="00E01964" w:rsidRDefault="00E01964" w:rsidP="00EA5912">
      <w:pPr>
        <w:pStyle w:val="ListBullet"/>
        <w:spacing w:after="120"/>
        <w:ind w:left="357" w:hanging="357"/>
        <w:contextualSpacing w:val="0"/>
      </w:pPr>
      <w:r w:rsidRPr="009510AF">
        <w:rPr>
          <w:u w:val="single"/>
        </w:rPr>
        <w:t>Invalidity pension with no lump sum</w:t>
      </w:r>
      <w:r w:rsidRPr="009510AF">
        <w:t xml:space="preserve"> – This option provides for the payment of the three benefit components as an indexed pension</w:t>
      </w:r>
      <w:r>
        <w:t xml:space="preserve">. </w:t>
      </w:r>
      <w:r w:rsidRPr="009510AF">
        <w:t>Under this option, the total benefit is calculated based on potential service to age 60 (assuming that the member will continue to contribute at their rate at retirement or 5% if more, but subject to a maximum average contribution of 5% for the first 10 years of service, actual or potential</w:t>
      </w:r>
      <w:r>
        <w:t>).</w:t>
      </w:r>
    </w:p>
    <w:p w:rsidR="00E01964" w:rsidRDefault="00E01964" w:rsidP="00EA5912">
      <w:pPr>
        <w:pStyle w:val="ListBullet"/>
        <w:numPr>
          <w:ilvl w:val="0"/>
          <w:numId w:val="0"/>
        </w:numPr>
        <w:spacing w:after="120"/>
        <w:ind w:left="357"/>
        <w:contextualSpacing w:val="0"/>
      </w:pPr>
      <w:r w:rsidRPr="009510AF">
        <w:t>The total benefit is converted to an indexed pension using the same factors used to convert a lump sum to a pension on age retirement but assuming that the member is aged 60 at the time of invalidity retirement</w:t>
      </w:r>
      <w:r>
        <w:t>.</w:t>
      </w:r>
    </w:p>
    <w:p w:rsidR="00E01964" w:rsidRDefault="00E01964" w:rsidP="00EA5912">
      <w:pPr>
        <w:pStyle w:val="ListBullet"/>
        <w:spacing w:after="120"/>
        <w:ind w:left="357" w:hanging="357"/>
        <w:contextualSpacing w:val="0"/>
      </w:pPr>
      <w:r w:rsidRPr="009510AF">
        <w:rPr>
          <w:u w:val="single"/>
        </w:rPr>
        <w:t>Invalidity pension with a lump sum</w:t>
      </w:r>
      <w:r w:rsidRPr="009510AF">
        <w:t xml:space="preserve"> – Under this option, the member component can be taken as a lump sum</w:t>
      </w:r>
      <w:r>
        <w:t xml:space="preserve">. </w:t>
      </w:r>
      <w:r w:rsidRPr="009510AF">
        <w:t>The remainder must be taken as an indexed pension</w:t>
      </w:r>
      <w:r>
        <w:t>.</w:t>
      </w:r>
    </w:p>
    <w:p w:rsidR="00E01964" w:rsidRDefault="00E01964" w:rsidP="00E01964">
      <w:pPr>
        <w:pStyle w:val="ListBullet"/>
        <w:numPr>
          <w:ilvl w:val="0"/>
          <w:numId w:val="0"/>
        </w:numPr>
        <w:ind w:left="360"/>
      </w:pPr>
      <w:r w:rsidRPr="009510AF">
        <w:t>The total benefit is calculated based on potential service to age 60 and the amount in excess of the member component is converted to an indexed pension</w:t>
      </w:r>
      <w:r>
        <w:t>.</w:t>
      </w:r>
    </w:p>
    <w:p w:rsidR="00E01964" w:rsidRPr="00E01964" w:rsidRDefault="00E01964" w:rsidP="00E01964">
      <w:pPr>
        <w:pStyle w:val="Heading5"/>
      </w:pPr>
      <w:r w:rsidRPr="00E01964">
        <w:t>Death of a Contributor</w:t>
      </w:r>
    </w:p>
    <w:p w:rsidR="00E01964" w:rsidRDefault="00E01964" w:rsidP="00CF7CC4">
      <w:pPr>
        <w:pStyle w:val="ListBullet"/>
        <w:spacing w:after="120"/>
        <w:ind w:left="357"/>
        <w:contextualSpacing w:val="0"/>
      </w:pPr>
      <w:r w:rsidRPr="009510AF">
        <w:rPr>
          <w:u w:val="single"/>
        </w:rPr>
        <w:t>Full pension with no lump sum</w:t>
      </w:r>
      <w:r w:rsidRPr="009510AF">
        <w:t xml:space="preserve"> – </w:t>
      </w:r>
    </w:p>
    <w:p w:rsidR="00E01964" w:rsidRDefault="00E01964" w:rsidP="00CF7CC4">
      <w:pPr>
        <w:pStyle w:val="ListBullet"/>
        <w:numPr>
          <w:ilvl w:val="0"/>
          <w:numId w:val="0"/>
        </w:numPr>
        <w:spacing w:after="120"/>
        <w:ind w:left="357"/>
        <w:contextualSpacing w:val="0"/>
      </w:pPr>
      <w:r w:rsidRPr="009510AF">
        <w:t>A pension payable at the rate of 67% of the invalidity pension that would have been payable to the deceased plus 11% of the invalidity pension for each eligible child (until age 16 or if a full-time student, until age 25) with total pension limited to 100% of the invalidity pension</w:t>
      </w:r>
      <w:r>
        <w:t>.</w:t>
      </w:r>
    </w:p>
    <w:p w:rsidR="00E01964" w:rsidRPr="00E01964" w:rsidRDefault="00E01964" w:rsidP="00CF7CC4">
      <w:pPr>
        <w:pStyle w:val="ListBullet"/>
        <w:spacing w:after="120"/>
        <w:ind w:left="357"/>
        <w:contextualSpacing w:val="0"/>
      </w:pPr>
      <w:r w:rsidRPr="009510AF">
        <w:rPr>
          <w:u w:val="single"/>
        </w:rPr>
        <w:t>Part pension and part lump</w:t>
      </w:r>
    </w:p>
    <w:p w:rsidR="00E01964" w:rsidRPr="00E01964" w:rsidRDefault="00E01964" w:rsidP="00CF7CC4">
      <w:pPr>
        <w:pStyle w:val="ListBullet"/>
        <w:numPr>
          <w:ilvl w:val="0"/>
          <w:numId w:val="0"/>
        </w:numPr>
        <w:spacing w:after="120"/>
        <w:ind w:left="357"/>
        <w:contextualSpacing w:val="0"/>
      </w:pPr>
      <w:r w:rsidRPr="009510AF">
        <w:t>The spouse can convert up to half of the pension to a lump sum</w:t>
      </w:r>
      <w:r>
        <w:t xml:space="preserve">. </w:t>
      </w:r>
      <w:r w:rsidRPr="009510AF">
        <w:t>The lump sum value of any children's pensions for children not living with the spouse is deducted from the lump sum</w:t>
      </w:r>
      <w:r>
        <w:t xml:space="preserve">. </w:t>
      </w:r>
      <w:r w:rsidRPr="009510AF">
        <w:t>The benefits for the children are paid as a pension</w:t>
      </w:r>
      <w:r>
        <w:t>.</w:t>
      </w:r>
    </w:p>
    <w:p w:rsidR="00E01964" w:rsidRDefault="00E01964" w:rsidP="00E01964">
      <w:pPr>
        <w:pStyle w:val="ListBullet"/>
      </w:pPr>
      <w:r w:rsidRPr="00AC3E05">
        <w:rPr>
          <w:u w:val="single"/>
        </w:rPr>
        <w:t xml:space="preserve">Maximum </w:t>
      </w:r>
      <w:r w:rsidRPr="00FA238C">
        <w:rPr>
          <w:u w:val="single"/>
        </w:rPr>
        <w:t>lump sum and no pension</w:t>
      </w:r>
      <w:r w:rsidRPr="009510AF">
        <w:t xml:space="preserve"> </w:t>
      </w:r>
    </w:p>
    <w:p w:rsidR="00E01964" w:rsidRDefault="00E01964" w:rsidP="00E01964">
      <w:pPr>
        <w:pStyle w:val="ListBullet"/>
        <w:numPr>
          <w:ilvl w:val="0"/>
          <w:numId w:val="0"/>
        </w:numPr>
        <w:ind w:left="360"/>
      </w:pPr>
      <w:r w:rsidRPr="00FA238C">
        <w:t>This allows the spouse to take the benefit wholly as a lump sum except for the lump sum value of any pension payable to children who are not living with the spouse</w:t>
      </w:r>
      <w:r>
        <w:t>.</w:t>
      </w:r>
    </w:p>
    <w:p w:rsidR="00E01964" w:rsidRPr="00E01964" w:rsidRDefault="00E01964" w:rsidP="004A35B2">
      <w:pPr>
        <w:pStyle w:val="Heading4nonumbers"/>
      </w:pPr>
      <w:r w:rsidRPr="00E01964">
        <w:t>Death of a Pensioner</w:t>
      </w:r>
    </w:p>
    <w:p w:rsidR="002115A9" w:rsidRDefault="00E01964" w:rsidP="00E01964">
      <w:pPr>
        <w:pStyle w:val="ListBullet"/>
        <w:numPr>
          <w:ilvl w:val="0"/>
          <w:numId w:val="0"/>
        </w:numPr>
      </w:pPr>
      <w:r w:rsidRPr="00FA238C">
        <w:t>Pension payable based on the percentages that apply in respect of the death of a contributor, but using the pension payable to the deceased at the time of death</w:t>
      </w:r>
      <w:r>
        <w:t xml:space="preserve">. </w:t>
      </w:r>
      <w:r w:rsidRPr="00FA238C">
        <w:t>Therefore, if the retirement benefit was taken wholly as a lump sum then no further benefit is payable to the spouse or children</w:t>
      </w:r>
      <w:r>
        <w:t>.</w:t>
      </w:r>
    </w:p>
    <w:p w:rsidR="002115A9" w:rsidRDefault="002115A9">
      <w:pPr>
        <w:spacing w:after="0"/>
      </w:pPr>
      <w:r>
        <w:br w:type="page"/>
      </w:r>
    </w:p>
    <w:p w:rsidR="00E01964" w:rsidRPr="00E01964" w:rsidRDefault="00E01964" w:rsidP="004A35B2">
      <w:pPr>
        <w:pStyle w:val="Heading4nonumbers"/>
      </w:pPr>
      <w:r w:rsidRPr="00E01964">
        <w:lastRenderedPageBreak/>
        <w:t xml:space="preserve">Resignation </w:t>
      </w:r>
    </w:p>
    <w:p w:rsidR="00E01964" w:rsidRDefault="00E01964" w:rsidP="00CF7CC4">
      <w:pPr>
        <w:pStyle w:val="BodyText"/>
      </w:pPr>
      <w:r w:rsidRPr="00FA238C">
        <w:t>The three benefit options are as follows</w:t>
      </w:r>
      <w:r>
        <w:t xml:space="preserve">: </w:t>
      </w:r>
    </w:p>
    <w:p w:rsidR="00E01964" w:rsidRDefault="00E01964" w:rsidP="00CF7CC4">
      <w:pPr>
        <w:pStyle w:val="ListBullet"/>
        <w:spacing w:after="120"/>
        <w:contextualSpacing w:val="0"/>
      </w:pPr>
      <w:r w:rsidRPr="00FA238C">
        <w:t>Preserve all benefits in the PSS</w:t>
      </w:r>
      <w:r>
        <w:t>.</w:t>
      </w:r>
    </w:p>
    <w:p w:rsidR="00E01964" w:rsidRDefault="00E01964" w:rsidP="00CF7CC4">
      <w:pPr>
        <w:pStyle w:val="ListBullet"/>
        <w:spacing w:after="120"/>
        <w:contextualSpacing w:val="0"/>
      </w:pPr>
      <w:r w:rsidRPr="00FA238C">
        <w:t>Immediate refund of member-financed benefit and preserve all employer-financed benefits in the PSS</w:t>
      </w:r>
      <w:r>
        <w:t xml:space="preserve">. </w:t>
      </w:r>
      <w:r w:rsidRPr="00FA238C">
        <w:t>Note that due to general superannuation preservation rules and the Scheme Rules under most circumstances all post 1 July 1999 contributions will be preserved within the scheme</w:t>
      </w:r>
      <w:r>
        <w:t>.</w:t>
      </w:r>
    </w:p>
    <w:p w:rsidR="00CF7CC4" w:rsidRDefault="00E01964" w:rsidP="00CF7CC4">
      <w:pPr>
        <w:pStyle w:val="ListBullet"/>
      </w:pPr>
      <w:r w:rsidRPr="00FA238C">
        <w:t>Transfer all benefits to an eligible superannuation scheme</w:t>
      </w:r>
      <w:r>
        <w:t>.</w:t>
      </w:r>
    </w:p>
    <w:p w:rsidR="00E01964" w:rsidRPr="00E01964" w:rsidRDefault="00E01964" w:rsidP="004A35B2">
      <w:pPr>
        <w:pStyle w:val="Heading4nonumbers"/>
      </w:pPr>
      <w:r w:rsidRPr="00E01964">
        <w:t>Redundancy</w:t>
      </w:r>
    </w:p>
    <w:p w:rsidR="00E01964" w:rsidRDefault="00E01964" w:rsidP="00CF7CC4">
      <w:pPr>
        <w:pStyle w:val="BodyText"/>
      </w:pPr>
      <w:r w:rsidRPr="005E014C">
        <w:t>On redundancy, a PSS member has the option of</w:t>
      </w:r>
      <w:r>
        <w:t xml:space="preserve">: </w:t>
      </w:r>
    </w:p>
    <w:p w:rsidR="00E01964" w:rsidRDefault="005E014C" w:rsidP="00241DF9">
      <w:pPr>
        <w:pStyle w:val="ListBullet"/>
        <w:numPr>
          <w:ilvl w:val="0"/>
          <w:numId w:val="8"/>
        </w:numPr>
        <w:spacing w:after="120"/>
        <w:contextualSpacing w:val="0"/>
      </w:pPr>
      <w:r w:rsidRPr="00FA238C">
        <w:t>taking his/her personal contributions and interest in cash, up to the limit allowed under general superannuation preservation rules, and preserving the rest of the benefit in the PSS</w:t>
      </w:r>
      <w:r>
        <w:t>; or</w:t>
      </w:r>
    </w:p>
    <w:p w:rsidR="005E014C" w:rsidRDefault="005E014C" w:rsidP="00241DF9">
      <w:pPr>
        <w:pStyle w:val="ListBullet"/>
        <w:numPr>
          <w:ilvl w:val="0"/>
          <w:numId w:val="8"/>
        </w:numPr>
        <w:spacing w:after="120"/>
        <w:contextualSpacing w:val="0"/>
      </w:pPr>
      <w:r w:rsidRPr="00FA238C">
        <w:t>preserving the whole of the benefit in the PSS</w:t>
      </w:r>
      <w:r>
        <w:t>; or</w:t>
      </w:r>
    </w:p>
    <w:p w:rsidR="005E014C" w:rsidRDefault="005E014C" w:rsidP="00241DF9">
      <w:pPr>
        <w:pStyle w:val="ListBullet"/>
        <w:numPr>
          <w:ilvl w:val="0"/>
          <w:numId w:val="8"/>
        </w:numPr>
        <w:spacing w:after="120"/>
        <w:contextualSpacing w:val="0"/>
      </w:pPr>
      <w:r w:rsidRPr="00FA238C">
        <w:t>transferring his/her benefit to another complying superannuation scheme</w:t>
      </w:r>
      <w:r>
        <w:t>; or</w:t>
      </w:r>
    </w:p>
    <w:p w:rsidR="005E014C" w:rsidRDefault="005E014C" w:rsidP="00241DF9">
      <w:pPr>
        <w:pStyle w:val="ListBullet"/>
        <w:numPr>
          <w:ilvl w:val="0"/>
          <w:numId w:val="8"/>
        </w:numPr>
        <w:spacing w:after="120"/>
        <w:contextualSpacing w:val="0"/>
      </w:pPr>
      <w:r w:rsidRPr="00FA238C">
        <w:t xml:space="preserve">transferring his/her benefit to an eligible superannuation </w:t>
      </w:r>
      <w:r>
        <w:t>scheme; or</w:t>
      </w:r>
    </w:p>
    <w:p w:rsidR="005E014C" w:rsidRDefault="005E014C" w:rsidP="00241DF9">
      <w:pPr>
        <w:pStyle w:val="ListBullet"/>
        <w:numPr>
          <w:ilvl w:val="0"/>
          <w:numId w:val="8"/>
        </w:numPr>
        <w:spacing w:after="120"/>
        <w:contextualSpacing w:val="0"/>
      </w:pPr>
      <w:r w:rsidRPr="00FA238C">
        <w:t>taking his/her personal contributions and interest in cash, up to the limit allowed under general superannuation preservation rules, and taking the rest of the benefit as an immediate, non</w:t>
      </w:r>
      <w:r w:rsidRPr="00FA238C">
        <w:noBreakHyphen/>
        <w:t>commutable, indexed pension</w:t>
      </w:r>
      <w:r>
        <w:t>; or</w:t>
      </w:r>
    </w:p>
    <w:p w:rsidR="002211DD" w:rsidRDefault="005E014C" w:rsidP="00241DF9">
      <w:pPr>
        <w:pStyle w:val="ListBullet"/>
        <w:numPr>
          <w:ilvl w:val="0"/>
          <w:numId w:val="8"/>
        </w:numPr>
      </w:pPr>
      <w:r w:rsidRPr="005E014C">
        <w:t>taking the whole benefit in the form of an immediate, non-commutable, indexed pension that has reference to a person’s</w:t>
      </w:r>
      <w:r w:rsidRPr="00FA238C">
        <w:rPr>
          <w:rFonts w:ascii="Arial" w:hAnsi="Arial" w:cs="Arial"/>
        </w:rPr>
        <w:t xml:space="preserve"> </w:t>
      </w:r>
      <w:r w:rsidRPr="005E014C">
        <w:t>age</w:t>
      </w:r>
      <w:r>
        <w:t>.</w:t>
      </w:r>
    </w:p>
    <w:p w:rsidR="002211DD" w:rsidRPr="002211DD" w:rsidRDefault="002211DD" w:rsidP="004A35B2">
      <w:pPr>
        <w:pStyle w:val="Heading4nonumbers"/>
      </w:pPr>
      <w:r w:rsidRPr="002211DD">
        <w:t>Indexation</w:t>
      </w:r>
    </w:p>
    <w:p w:rsidR="002211DD" w:rsidRDefault="002211DD" w:rsidP="002211DD">
      <w:pPr>
        <w:pStyle w:val="ListBullet"/>
        <w:numPr>
          <w:ilvl w:val="0"/>
          <w:numId w:val="0"/>
        </w:numPr>
        <w:ind w:left="360" w:hanging="360"/>
      </w:pPr>
      <w:r w:rsidRPr="00FA238C">
        <w:t>Pensions are indexed twice yearly in line with changes in the Consumer Price Index</w:t>
      </w:r>
      <w:r>
        <w:t xml:space="preserve"> </w:t>
      </w:r>
    </w:p>
    <w:p w:rsidR="00020514" w:rsidRDefault="009F363A" w:rsidP="004A35B2">
      <w:pPr>
        <w:pStyle w:val="Heading3nonumbers"/>
      </w:pPr>
      <w:r>
        <w:br w:type="page"/>
      </w:r>
      <w:r w:rsidR="00020514" w:rsidRPr="00526772">
        <w:lastRenderedPageBreak/>
        <w:t xml:space="preserve">THE SUPERANNUATION ACT </w:t>
      </w:r>
      <w:r w:rsidR="00020514">
        <w:t>1976 (C</w:t>
      </w:r>
      <w:r w:rsidR="00020514" w:rsidRPr="00526772">
        <w:t>SS</w:t>
      </w:r>
    </w:p>
    <w:p w:rsidR="002211DD" w:rsidRPr="002211DD" w:rsidRDefault="002211DD" w:rsidP="004A35B2">
      <w:pPr>
        <w:pStyle w:val="Heading4nonumbers"/>
      </w:pPr>
      <w:r w:rsidRPr="002211DD">
        <w:t>Membership</w:t>
      </w:r>
    </w:p>
    <w:p w:rsidR="002211DD" w:rsidRDefault="002211DD" w:rsidP="002211DD">
      <w:pPr>
        <w:pStyle w:val="ListBullet"/>
        <w:numPr>
          <w:ilvl w:val="0"/>
          <w:numId w:val="0"/>
        </w:numPr>
        <w:ind w:left="360" w:hanging="360"/>
      </w:pPr>
      <w:r w:rsidRPr="0087678C">
        <w:t>The CSS has been closed to new entrants since 1 July 1990</w:t>
      </w:r>
      <w:r>
        <w:t>.</w:t>
      </w:r>
    </w:p>
    <w:p w:rsidR="002211DD" w:rsidRPr="002211DD" w:rsidRDefault="002211DD" w:rsidP="004A35B2">
      <w:pPr>
        <w:pStyle w:val="Heading4nonumbers"/>
      </w:pPr>
      <w:r w:rsidRPr="002211DD">
        <w:t>Salary</w:t>
      </w:r>
    </w:p>
    <w:p w:rsidR="002211DD" w:rsidRDefault="002211DD" w:rsidP="002211DD">
      <w:pPr>
        <w:pStyle w:val="ListBullet"/>
        <w:numPr>
          <w:ilvl w:val="0"/>
          <w:numId w:val="0"/>
        </w:numPr>
      </w:pPr>
      <w:r w:rsidRPr="0087678C">
        <w:t>The salary used for contribution purposes is, in most cases, the annual rate of salary</w:t>
      </w:r>
      <w:r>
        <w:t xml:space="preserve">. </w:t>
      </w:r>
      <w:r w:rsidRPr="0087678C">
        <w:t>Generally, the annual rate of salary is basic salary plus any recognised allowances on a member’s last birthday</w:t>
      </w:r>
      <w:r>
        <w:t>.</w:t>
      </w:r>
    </w:p>
    <w:p w:rsidR="002211DD" w:rsidRPr="002211DD" w:rsidRDefault="002211DD" w:rsidP="004A35B2">
      <w:pPr>
        <w:pStyle w:val="Heading4nonumbers"/>
      </w:pPr>
      <w:r w:rsidRPr="002211DD">
        <w:t>Final Salary</w:t>
      </w:r>
    </w:p>
    <w:p w:rsidR="002211DD" w:rsidRDefault="002211DD" w:rsidP="002211DD">
      <w:pPr>
        <w:pStyle w:val="ListBullet"/>
        <w:numPr>
          <w:ilvl w:val="0"/>
          <w:numId w:val="0"/>
        </w:numPr>
      </w:pPr>
      <w:r w:rsidRPr="0087678C">
        <w:t>The salary used for calculating benefits is, in most cases, the annual rate of salary on a member's date of exit</w:t>
      </w:r>
      <w:r>
        <w:t>.</w:t>
      </w:r>
    </w:p>
    <w:p w:rsidR="002211DD" w:rsidRPr="002211DD" w:rsidRDefault="002211DD" w:rsidP="004A35B2">
      <w:pPr>
        <w:pStyle w:val="Heading4nonumbers"/>
      </w:pPr>
      <w:r w:rsidRPr="002211DD">
        <w:t>Member Contributions</w:t>
      </w:r>
    </w:p>
    <w:p w:rsidR="002211DD" w:rsidRDefault="002211DD" w:rsidP="002211DD">
      <w:pPr>
        <w:pStyle w:val="ListBullet"/>
        <w:numPr>
          <w:ilvl w:val="0"/>
          <w:numId w:val="0"/>
        </w:numPr>
      </w:pPr>
      <w:r w:rsidRPr="0087678C">
        <w:t>Basic contributions are 5% of salary</w:t>
      </w:r>
      <w:r>
        <w:t xml:space="preserve">. </w:t>
      </w:r>
      <w:r w:rsidRPr="0087678C">
        <w:t>Supplementary contributions of up to a further 5% may be made</w:t>
      </w:r>
      <w:r>
        <w:t xml:space="preserve">. </w:t>
      </w:r>
      <w:r w:rsidRPr="0087678C">
        <w:t>Contributions are accumulated with interest based on the crediting rates of the CSS</w:t>
      </w:r>
      <w:r>
        <w:t xml:space="preserve">. </w:t>
      </w:r>
      <w:r w:rsidRPr="0087678C">
        <w:t>Members can also choose not to contribute to the CSS</w:t>
      </w:r>
      <w:r>
        <w:t xml:space="preserve">. </w:t>
      </w:r>
      <w:r w:rsidRPr="0087678C">
        <w:t>Any period where the member does not contribute does not count towards their contributory service</w:t>
      </w:r>
      <w:r>
        <w:t>.</w:t>
      </w:r>
    </w:p>
    <w:p w:rsidR="002211DD" w:rsidRPr="002211DD" w:rsidRDefault="002211DD" w:rsidP="004A35B2">
      <w:pPr>
        <w:pStyle w:val="Heading4nonumbers"/>
      </w:pPr>
      <w:r w:rsidRPr="002211DD">
        <w:t>Retirement Benefits</w:t>
      </w:r>
    </w:p>
    <w:p w:rsidR="002211DD" w:rsidRDefault="002211DD" w:rsidP="00CF5576">
      <w:pPr>
        <w:pStyle w:val="ListBullet"/>
        <w:numPr>
          <w:ilvl w:val="0"/>
          <w:numId w:val="0"/>
        </w:numPr>
        <w:spacing w:after="120"/>
      </w:pPr>
      <w:r w:rsidRPr="0087678C">
        <w:t>Retirement benefits are payable upon retirement at maximum retirement age (usually age 65) or early retirement at ages 55 or above</w:t>
      </w:r>
      <w:r>
        <w:t>.</w:t>
      </w:r>
    </w:p>
    <w:p w:rsidR="002211DD" w:rsidRDefault="002211DD" w:rsidP="00CF5576">
      <w:pPr>
        <w:pStyle w:val="BodyText"/>
      </w:pPr>
      <w:r w:rsidRPr="0087678C">
        <w:t>The amount of retirement benefit is the sum of</w:t>
      </w:r>
      <w:r>
        <w:t xml:space="preserve">: </w:t>
      </w:r>
    </w:p>
    <w:p w:rsidR="002211DD" w:rsidRDefault="002211DD" w:rsidP="00CF5576">
      <w:pPr>
        <w:pStyle w:val="ListBullet"/>
        <w:spacing w:after="120"/>
        <w:ind w:left="357" w:hanging="357"/>
        <w:contextualSpacing w:val="0"/>
      </w:pPr>
      <w:r w:rsidRPr="0087678C">
        <w:rPr>
          <w:u w:val="single"/>
        </w:rPr>
        <w:t>employer-financed indexed pension</w:t>
      </w:r>
      <w:r w:rsidRPr="0087678C">
        <w:t xml:space="preserve"> being a percentage of final salary based on</w:t>
      </w:r>
      <w:r w:rsidRPr="0087678C">
        <w:br/>
        <w:t>the period of contributory service and discounted for early retirement before age</w:t>
      </w:r>
      <w:r>
        <w:t xml:space="preserve"> </w:t>
      </w:r>
      <w:r w:rsidRPr="0087678C">
        <w:t>65</w:t>
      </w:r>
      <w:r>
        <w:t>;</w:t>
      </w:r>
    </w:p>
    <w:p w:rsidR="002211DD" w:rsidRDefault="002211DD" w:rsidP="00CF5576">
      <w:pPr>
        <w:pStyle w:val="ListBullet"/>
        <w:spacing w:after="120"/>
        <w:ind w:left="357" w:hanging="357"/>
        <w:contextualSpacing w:val="0"/>
      </w:pPr>
      <w:r w:rsidRPr="0087678C">
        <w:rPr>
          <w:u w:val="single"/>
        </w:rPr>
        <w:t>productivity component</w:t>
      </w:r>
      <w:r w:rsidRPr="0087678C">
        <w:t xml:space="preserve"> made up of accumulated productivity contributions or if a member elects can be taken as a non-indexed pension; an</w:t>
      </w:r>
      <w:r>
        <w:t>d</w:t>
      </w:r>
    </w:p>
    <w:p w:rsidR="00495570" w:rsidRDefault="002211DD" w:rsidP="002211DD">
      <w:pPr>
        <w:pStyle w:val="ListBullet"/>
      </w:pPr>
      <w:r w:rsidRPr="0087678C">
        <w:rPr>
          <w:u w:val="single"/>
        </w:rPr>
        <w:t>member-financed benefit</w:t>
      </w:r>
      <w:r w:rsidRPr="0087678C">
        <w:t xml:space="preserve"> made up of accum</w:t>
      </w:r>
      <w:r>
        <w:t>ulated basic and supplementary</w:t>
      </w:r>
      <w:r>
        <w:br/>
      </w:r>
      <w:r w:rsidRPr="0087678C">
        <w:t>contributions or an equivalent non-indexed pension</w:t>
      </w:r>
      <w:r>
        <w:t>.</w:t>
      </w:r>
    </w:p>
    <w:p w:rsidR="002211DD" w:rsidRPr="0087678C" w:rsidRDefault="00495570" w:rsidP="004A35B2">
      <w:pPr>
        <w:pStyle w:val="Heading4nonumbers"/>
      </w:pPr>
      <w:r>
        <w:br w:type="page"/>
      </w:r>
      <w:r w:rsidR="002211DD" w:rsidRPr="0087678C">
        <w:lastRenderedPageBreak/>
        <w:t>Employer-financed indexed pension</w:t>
      </w:r>
    </w:p>
    <w:p w:rsidR="002211DD" w:rsidRDefault="002211DD" w:rsidP="00F0572E">
      <w:pPr>
        <w:pStyle w:val="ListBullet"/>
        <w:numPr>
          <w:ilvl w:val="0"/>
          <w:numId w:val="0"/>
        </w:numPr>
        <w:contextualSpacing w:val="0"/>
      </w:pPr>
      <w:r w:rsidRPr="0087678C">
        <w:t>The employer-financed pension is calculated as a percentage of final salary based on the period of contributory service and discounted for early retirement before age 65</w:t>
      </w:r>
      <w:r>
        <w:t>.</w:t>
      </w:r>
    </w:p>
    <w:p w:rsidR="002211DD" w:rsidRDefault="002211DD" w:rsidP="002211DD">
      <w:pPr>
        <w:pStyle w:val="ListBullet"/>
        <w:numPr>
          <w:ilvl w:val="0"/>
          <w:numId w:val="0"/>
        </w:numPr>
      </w:pPr>
      <w:r w:rsidRPr="003C67CA">
        <w:t>The discount factors for retirement prior to age 65 are age-</w:t>
      </w:r>
      <w:r>
        <w:t xml:space="preserve">dependent. </w:t>
      </w:r>
      <w:r w:rsidRPr="003C67CA">
        <w:t>They reduce at the rate of 0.02 per year from 1 at age 65 to 0.90 at age 60 and then at the rate of 0.03 per year to 0.75 at age 55</w:t>
      </w:r>
      <w:r>
        <w:t>.</w:t>
      </w:r>
    </w:p>
    <w:p w:rsidR="002211DD" w:rsidRDefault="002211DD" w:rsidP="00CF7CC4">
      <w:pPr>
        <w:pStyle w:val="BodyText"/>
      </w:pPr>
      <w:r w:rsidRPr="003C67CA">
        <w:t>The accrual rates are based on years of contributory service and on whether the member</w:t>
      </w:r>
      <w:r>
        <w:t xml:space="preserve">: </w:t>
      </w:r>
    </w:p>
    <w:p w:rsidR="002211DD" w:rsidRDefault="002211DD" w:rsidP="00CF7CC4">
      <w:pPr>
        <w:pStyle w:val="ListBullet"/>
        <w:spacing w:after="120"/>
        <w:contextualSpacing w:val="0"/>
      </w:pPr>
      <w:r>
        <w:t xml:space="preserve">transferred from the 1922 Scheme (the scheme established under the </w:t>
      </w:r>
      <w:r w:rsidRPr="00FB2C86">
        <w:rPr>
          <w:i/>
        </w:rPr>
        <w:t>Superannuation Act 1922</w:t>
      </w:r>
      <w:r>
        <w:t>) to the CSS;</w:t>
      </w:r>
    </w:p>
    <w:p w:rsidR="00F0572E" w:rsidRDefault="00F0572E" w:rsidP="00CF7CC4">
      <w:pPr>
        <w:pStyle w:val="ListBullet"/>
        <w:spacing w:after="120"/>
        <w:contextualSpacing w:val="0"/>
      </w:pPr>
      <w:r>
        <w:t>transferred from a f</w:t>
      </w:r>
      <w:r w:rsidRPr="003C67CA">
        <w:t>ormer Provident Account</w:t>
      </w:r>
      <w:r>
        <w:t xml:space="preserve">; or </w:t>
      </w:r>
    </w:p>
    <w:p w:rsidR="00F0572E" w:rsidRDefault="00F0572E" w:rsidP="00F0572E">
      <w:pPr>
        <w:pStyle w:val="ListBullet"/>
        <w:ind w:left="357" w:hanging="357"/>
        <w:contextualSpacing w:val="0"/>
      </w:pPr>
      <w:r>
        <w:t xml:space="preserve">joined the </w:t>
      </w:r>
      <w:r w:rsidRPr="003C67CA">
        <w:t>CSS after 30 June 1976</w:t>
      </w:r>
      <w:r>
        <w:t>.</w:t>
      </w:r>
    </w:p>
    <w:p w:rsidR="00F0572E" w:rsidRDefault="00F0572E" w:rsidP="00F0572E">
      <w:pPr>
        <w:pStyle w:val="ListBullet"/>
        <w:numPr>
          <w:ilvl w:val="0"/>
          <w:numId w:val="0"/>
        </w:numPr>
      </w:pPr>
      <w:r w:rsidRPr="003C67CA">
        <w:t xml:space="preserve">Generally, the accrual rates are 2% per annum for the first 20 years of </w:t>
      </w:r>
      <w:r>
        <w:t xml:space="preserve">active </w:t>
      </w:r>
      <w:r w:rsidRPr="003C67CA">
        <w:t>membership, 1% per annum for the next 10 years, and 0.25% per annum for each of the next 10 years</w:t>
      </w:r>
      <w:r>
        <w:t xml:space="preserve">. </w:t>
      </w:r>
      <w:r w:rsidRPr="003C67CA">
        <w:t>The maximum percentage is 52.5% of salary</w:t>
      </w:r>
      <w:r>
        <w:t>.</w:t>
      </w:r>
    </w:p>
    <w:p w:rsidR="00F0572E" w:rsidRPr="00F0572E" w:rsidRDefault="00F0572E" w:rsidP="004A35B2">
      <w:pPr>
        <w:pStyle w:val="Heading4nonumbers"/>
      </w:pPr>
      <w:r w:rsidRPr="00F0572E">
        <w:t>Invalidity Retirement</w:t>
      </w:r>
    </w:p>
    <w:p w:rsidR="00F0572E" w:rsidRDefault="00F0572E" w:rsidP="00CF7CC4">
      <w:pPr>
        <w:pStyle w:val="BodyText"/>
      </w:pPr>
      <w:r w:rsidRPr="003C67CA">
        <w:t>The following benefits are payable on invalidity retirement</w:t>
      </w:r>
      <w:r>
        <w:t xml:space="preserve">: </w:t>
      </w:r>
    </w:p>
    <w:p w:rsidR="00F0572E" w:rsidRDefault="00F0572E" w:rsidP="00CF7CC4">
      <w:pPr>
        <w:pStyle w:val="ListBullet"/>
        <w:spacing w:after="120"/>
        <w:contextualSpacing w:val="0"/>
      </w:pPr>
      <w:r w:rsidRPr="003C67CA">
        <w:t xml:space="preserve">an </w:t>
      </w:r>
      <w:r w:rsidRPr="003C67CA">
        <w:rPr>
          <w:u w:val="single"/>
        </w:rPr>
        <w:t>employer-financed indexed pension</w:t>
      </w:r>
      <w:r w:rsidRPr="003C67CA">
        <w:t xml:space="preserve"> being a percentage of final salary based</w:t>
      </w:r>
      <w:r w:rsidRPr="003C67CA">
        <w:br/>
        <w:t>on the period of prospective service to maximum retirement age (usually 65</w:t>
      </w:r>
      <w:r>
        <w:t>).</w:t>
      </w:r>
    </w:p>
    <w:p w:rsidR="00F0572E" w:rsidRDefault="00F0572E" w:rsidP="00CF7CC4">
      <w:pPr>
        <w:pStyle w:val="ListBullet"/>
        <w:spacing w:after="120"/>
        <w:contextualSpacing w:val="0"/>
      </w:pPr>
      <w:r w:rsidRPr="003C67CA">
        <w:t xml:space="preserve">a </w:t>
      </w:r>
      <w:r w:rsidRPr="003C67CA">
        <w:rPr>
          <w:u w:val="single"/>
        </w:rPr>
        <w:t>lump sum</w:t>
      </w:r>
      <w:r w:rsidRPr="003C67CA">
        <w:t xml:space="preserve"> of accumulated basic contributions or an </w:t>
      </w:r>
      <w:r w:rsidRPr="003C67CA">
        <w:rPr>
          <w:u w:val="single"/>
        </w:rPr>
        <w:t>additional non-indexed pension</w:t>
      </w:r>
      <w:r w:rsidRPr="003C67CA">
        <w:t xml:space="preserve"> being a percentage of final salary based on the period of prospective service to maximum retirement age (usually age 65</w:t>
      </w:r>
      <w:r>
        <w:t>).</w:t>
      </w:r>
    </w:p>
    <w:p w:rsidR="00F0572E" w:rsidRDefault="00F0572E" w:rsidP="00F0572E">
      <w:pPr>
        <w:pStyle w:val="ListBullet"/>
      </w:pPr>
      <w:r w:rsidRPr="003C67CA">
        <w:t xml:space="preserve">a </w:t>
      </w:r>
      <w:r w:rsidRPr="003C67CA">
        <w:rPr>
          <w:u w:val="single"/>
        </w:rPr>
        <w:t>lump sum</w:t>
      </w:r>
      <w:r w:rsidRPr="003C67CA">
        <w:t xml:space="preserve"> of accumulated supplementary and productivity contributions</w:t>
      </w:r>
      <w:r>
        <w:t>.</w:t>
      </w:r>
    </w:p>
    <w:p w:rsidR="00F0572E" w:rsidRDefault="00F0572E" w:rsidP="004A35B2">
      <w:pPr>
        <w:pStyle w:val="Heading4nonumbers"/>
      </w:pPr>
      <w:r w:rsidRPr="003C67CA">
        <w:t>Death of a Contributor</w:t>
      </w:r>
    </w:p>
    <w:p w:rsidR="00F0572E" w:rsidRDefault="00F0572E" w:rsidP="00F0572E">
      <w:pPr>
        <w:pStyle w:val="ListBullet"/>
        <w:numPr>
          <w:ilvl w:val="0"/>
          <w:numId w:val="0"/>
        </w:numPr>
        <w:contextualSpacing w:val="0"/>
      </w:pPr>
      <w:r w:rsidRPr="003C67CA">
        <w:t>A pension payable at the rate of 67% of the invalidity pension that would have been payable to the deceased, plus 11% of the invalidity pension for each eligible child (until age 16 or if a full-time student, until age 25) with total pension limited to 100% of the invalidity pension</w:t>
      </w:r>
      <w:r>
        <w:t>.</w:t>
      </w:r>
    </w:p>
    <w:p w:rsidR="00F0572E" w:rsidRDefault="00F0572E" w:rsidP="00F0572E">
      <w:pPr>
        <w:pStyle w:val="ListBullet"/>
        <w:numPr>
          <w:ilvl w:val="0"/>
          <w:numId w:val="0"/>
        </w:numPr>
      </w:pPr>
      <w:r w:rsidRPr="003C67CA">
        <w:t>The accumulated productivity contributions and any supplementary contributions are also payable</w:t>
      </w:r>
      <w:r>
        <w:t>.</w:t>
      </w:r>
    </w:p>
    <w:p w:rsidR="00F0572E" w:rsidRPr="00F0572E" w:rsidRDefault="00F0572E" w:rsidP="004A35B2">
      <w:pPr>
        <w:pStyle w:val="Heading4nonumbers"/>
      </w:pPr>
      <w:r w:rsidRPr="00F0572E">
        <w:t>Death of a Pensioner</w:t>
      </w:r>
    </w:p>
    <w:p w:rsidR="008B3954" w:rsidRDefault="00F0572E" w:rsidP="00F0572E">
      <w:pPr>
        <w:pStyle w:val="ListBullet"/>
        <w:numPr>
          <w:ilvl w:val="0"/>
          <w:numId w:val="0"/>
        </w:numPr>
      </w:pPr>
      <w:r w:rsidRPr="003C67CA">
        <w:t>A pension payable based on the percentages that apply in respect of the death of a contributor, but using the pension payable to the deceased at the time of death</w:t>
      </w:r>
      <w:r>
        <w:t>.</w:t>
      </w:r>
    </w:p>
    <w:p w:rsidR="00F0572E" w:rsidRPr="00F0572E" w:rsidRDefault="008B3954" w:rsidP="004A35B2">
      <w:pPr>
        <w:pStyle w:val="Heading4nonumbers"/>
      </w:pPr>
      <w:r>
        <w:br w:type="page"/>
      </w:r>
      <w:r w:rsidR="00F0572E" w:rsidRPr="00F0572E">
        <w:lastRenderedPageBreak/>
        <w:t>Resignation</w:t>
      </w:r>
    </w:p>
    <w:p w:rsidR="00F0572E" w:rsidRDefault="00F0572E" w:rsidP="00F0572E">
      <w:pPr>
        <w:pStyle w:val="ListBullet"/>
        <w:numPr>
          <w:ilvl w:val="0"/>
          <w:numId w:val="0"/>
        </w:numPr>
      </w:pPr>
      <w:r w:rsidRPr="001622B0">
        <w:t>A lump sum benefit of accumulated member and productivity contributions is payable on resignation</w:t>
      </w:r>
      <w:r>
        <w:t xml:space="preserve">. </w:t>
      </w:r>
      <w:r w:rsidRPr="001622B0">
        <w:t>A minimum employer-financed benefit of the SG contributions, accumulated with investment earnings is payable</w:t>
      </w:r>
      <w:r>
        <w:t>.</w:t>
      </w:r>
    </w:p>
    <w:p w:rsidR="00F0572E" w:rsidRDefault="00F0572E" w:rsidP="00CF7CC4">
      <w:pPr>
        <w:pStyle w:val="BodyText"/>
      </w:pPr>
      <w:r w:rsidRPr="001622B0">
        <w:t>Alternatively, the member may elect to receive a preserved benefit</w:t>
      </w:r>
      <w:r>
        <w:t xml:space="preserve">. </w:t>
      </w:r>
      <w:r w:rsidRPr="001622B0">
        <w:t>Under this option, generally on reaching age 55 and having retired from the workforce, the member will receive the following</w:t>
      </w:r>
      <w:r>
        <w:t xml:space="preserve">: </w:t>
      </w:r>
    </w:p>
    <w:p w:rsidR="00F0572E" w:rsidRDefault="00F0572E" w:rsidP="00CF7CC4">
      <w:pPr>
        <w:pStyle w:val="ListBullet"/>
        <w:spacing w:after="120"/>
        <w:contextualSpacing w:val="0"/>
      </w:pPr>
      <w:r w:rsidRPr="001622B0">
        <w:t>an indexed pension based on 2.5 times the basic contributions accumulated to the date of payment converted to a pension</w:t>
      </w:r>
      <w:r>
        <w:t>;</w:t>
      </w:r>
    </w:p>
    <w:p w:rsidR="00F0572E" w:rsidRDefault="00F0572E" w:rsidP="00CF7CC4">
      <w:pPr>
        <w:pStyle w:val="ListBullet"/>
        <w:spacing w:after="120"/>
        <w:contextualSpacing w:val="0"/>
      </w:pPr>
      <w:r w:rsidRPr="001622B0">
        <w:t>productivity contributions accumulated to the date of payment or if the member elects can be taken as a non-indexed pension; an</w:t>
      </w:r>
      <w:r>
        <w:t>d</w:t>
      </w:r>
    </w:p>
    <w:p w:rsidR="00F0572E" w:rsidRDefault="00F0572E" w:rsidP="00F0572E">
      <w:pPr>
        <w:pStyle w:val="ListBullet"/>
        <w:ind w:left="357" w:hanging="357"/>
        <w:contextualSpacing w:val="0"/>
      </w:pPr>
      <w:r w:rsidRPr="001622B0">
        <w:t>member contributions (basic and supplementary) accumulated to the date of payment or an equivalent non-indexed pension</w:t>
      </w:r>
      <w:r>
        <w:t>.</w:t>
      </w:r>
    </w:p>
    <w:p w:rsidR="00F0572E" w:rsidRPr="001622B0" w:rsidRDefault="00F0572E" w:rsidP="00F0572E">
      <w:pPr>
        <w:pStyle w:val="ListBullet"/>
        <w:numPr>
          <w:ilvl w:val="0"/>
          <w:numId w:val="0"/>
        </w:numPr>
        <w:contextualSpacing w:val="0"/>
      </w:pPr>
      <w:r w:rsidRPr="001622B0">
        <w:t xml:space="preserve">Alternatively, the member can choose to take a transfer value of 3.5 times the accumulated basic contributions plus supplementary and productivity contributions, to an eligible superannuation </w:t>
      </w:r>
      <w:r>
        <w:t>scheme</w:t>
      </w:r>
      <w:r w:rsidRPr="001622B0">
        <w:t>.</w:t>
      </w:r>
    </w:p>
    <w:p w:rsidR="00F0572E" w:rsidRPr="00F0572E" w:rsidRDefault="00F0572E" w:rsidP="004A35B2">
      <w:pPr>
        <w:pStyle w:val="Heading4nonumbers"/>
      </w:pPr>
      <w:r w:rsidRPr="00F0572E">
        <w:t>Redundancy</w:t>
      </w:r>
    </w:p>
    <w:p w:rsidR="00F0572E" w:rsidRDefault="00F0572E" w:rsidP="00F0572E">
      <w:pPr>
        <w:widowControl w:val="0"/>
        <w:autoSpaceDE w:val="0"/>
        <w:autoSpaceDN w:val="0"/>
        <w:adjustRightInd w:val="0"/>
        <w:spacing w:after="240"/>
      </w:pPr>
      <w:r w:rsidRPr="001622B0">
        <w:t xml:space="preserve">The benefit options available to a CSS member who is </w:t>
      </w:r>
      <w:r>
        <w:t>made redundant</w:t>
      </w:r>
      <w:r w:rsidRPr="001622B0">
        <w:t xml:space="preserve"> are similar combinations of pension (based on age) and lump sum as are available on age retirement</w:t>
      </w:r>
      <w:r>
        <w:t xml:space="preserve">. </w:t>
      </w:r>
    </w:p>
    <w:p w:rsidR="00F0572E" w:rsidRDefault="00F0572E" w:rsidP="00F0572E">
      <w:pPr>
        <w:pStyle w:val="ListBullet"/>
        <w:numPr>
          <w:ilvl w:val="0"/>
          <w:numId w:val="0"/>
        </w:numPr>
      </w:pPr>
      <w:r w:rsidRPr="001622B0">
        <w:t>In addition, the member may choose to preserve all benefits in the scheme, roll over the accrued benefit to a preservation fund if aged less than 55, or take the accrued benefit as a cash lump sum if aged 55 or more</w:t>
      </w:r>
      <w:r>
        <w:t xml:space="preserve">. </w:t>
      </w:r>
      <w:r w:rsidRPr="001622B0">
        <w:t>For the purposes of rollover the accrued benefit is a lump sum of 2.5 times personal basic (5%) contributions together with all personal contributions and interest and any productivity contributions plus interest</w:t>
      </w:r>
      <w:r>
        <w:t xml:space="preserve">. </w:t>
      </w:r>
      <w:r w:rsidRPr="001622B0">
        <w:t>Where the rollover is chosen the member may take their member contributions and interest in cash up to the limit allowed under the superannuation regulatory regime</w:t>
      </w:r>
      <w:r>
        <w:t>.</w:t>
      </w:r>
    </w:p>
    <w:p w:rsidR="00F0572E" w:rsidRPr="00F0572E" w:rsidRDefault="00F0572E" w:rsidP="004A35B2">
      <w:pPr>
        <w:pStyle w:val="Heading4nonumbers"/>
      </w:pPr>
      <w:r w:rsidRPr="00F0572E">
        <w:t>Indexation</w:t>
      </w:r>
    </w:p>
    <w:p w:rsidR="006133A8" w:rsidRDefault="00F0572E" w:rsidP="00F0572E">
      <w:pPr>
        <w:pStyle w:val="ListBullet"/>
        <w:numPr>
          <w:ilvl w:val="0"/>
          <w:numId w:val="0"/>
        </w:numPr>
      </w:pPr>
      <w:r w:rsidRPr="001622B0">
        <w:t>Pensions are indexed twice yearly in line with changes in the Consumer Price Index</w:t>
      </w:r>
      <w:r>
        <w:t xml:space="preserve">. </w:t>
      </w:r>
      <w:r w:rsidRPr="001622B0">
        <w:t>Pensions purchased with accumulated member contributions and productivity contributions are fixed in dollar terms and not subject to indexation</w:t>
      </w:r>
      <w:r>
        <w:t>.</w:t>
      </w:r>
    </w:p>
    <w:p w:rsidR="006133A8" w:rsidRDefault="006133A8" w:rsidP="0011465D">
      <w:pPr>
        <w:pStyle w:val="Heading2"/>
        <w:numPr>
          <w:ilvl w:val="0"/>
          <w:numId w:val="0"/>
        </w:numPr>
        <w:spacing w:after="720"/>
      </w:pPr>
      <w:r>
        <w:br w:type="page"/>
      </w:r>
      <w:bookmarkStart w:id="15" w:name="_Toc422302165"/>
      <w:r w:rsidR="00497D3E">
        <w:lastRenderedPageBreak/>
        <w:t>Appendix</w:t>
      </w:r>
      <w:r>
        <w:t xml:space="preserve"> B: </w:t>
      </w:r>
      <w:r w:rsidRPr="00E07B2C">
        <w:t>Detailed Assumptions</w:t>
      </w:r>
      <w:bookmarkEnd w:id="15"/>
    </w:p>
    <w:p w:rsidR="006133A8" w:rsidRPr="00E07B2C" w:rsidRDefault="006133A8" w:rsidP="004A35B2">
      <w:pPr>
        <w:pStyle w:val="Heading3nonumbers"/>
        <w:rPr>
          <w:rFonts w:eastAsia="MS Gothic"/>
        </w:rPr>
      </w:pPr>
      <w:r w:rsidRPr="00E07B2C">
        <w:rPr>
          <w:rFonts w:eastAsia="MS Gothic"/>
        </w:rPr>
        <w:t>Economic Assumptions</w:t>
      </w:r>
    </w:p>
    <w:p w:rsidR="006133A8" w:rsidRDefault="006133A8" w:rsidP="007119BB">
      <w:pPr>
        <w:pStyle w:val="ListBullet"/>
        <w:numPr>
          <w:ilvl w:val="0"/>
          <w:numId w:val="0"/>
        </w:numPr>
        <w:spacing w:after="120"/>
      </w:pPr>
      <w:r w:rsidRPr="00E07B2C">
        <w:t>The following table summarises the key economic assumptions adopted for this Report.</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699"/>
        <w:gridCol w:w="2319"/>
        <w:gridCol w:w="2912"/>
      </w:tblGrid>
      <w:tr w:rsidR="006133A8" w:rsidRPr="00497D3E" w:rsidTr="00497D3E">
        <w:trPr>
          <w:trHeight w:val="265"/>
        </w:trPr>
        <w:tc>
          <w:tcPr>
            <w:tcW w:w="2699" w:type="dxa"/>
            <w:shd w:val="clear" w:color="auto" w:fill="DDF3FA"/>
          </w:tcPr>
          <w:p w:rsidR="006133A8" w:rsidRPr="00497D3E" w:rsidRDefault="006133A8" w:rsidP="004A35B2">
            <w:pPr>
              <w:pStyle w:val="Tablecolumnheading"/>
            </w:pPr>
            <w:r w:rsidRPr="00497D3E">
              <w:t>Item</w:t>
            </w:r>
          </w:p>
        </w:tc>
        <w:tc>
          <w:tcPr>
            <w:tcW w:w="2319" w:type="dxa"/>
            <w:shd w:val="clear" w:color="auto" w:fill="DDF3FA"/>
          </w:tcPr>
          <w:p w:rsidR="006133A8" w:rsidRPr="00497D3E" w:rsidRDefault="006133A8" w:rsidP="004A35B2">
            <w:pPr>
              <w:pStyle w:val="Tablecolumnheading"/>
            </w:pPr>
            <w:r w:rsidRPr="00497D3E">
              <w:t>Assumption</w:t>
            </w:r>
          </w:p>
        </w:tc>
        <w:tc>
          <w:tcPr>
            <w:tcW w:w="2912" w:type="dxa"/>
            <w:shd w:val="clear" w:color="auto" w:fill="DDF3FA"/>
          </w:tcPr>
          <w:p w:rsidR="006133A8" w:rsidRPr="00497D3E" w:rsidRDefault="006133A8" w:rsidP="004A35B2">
            <w:pPr>
              <w:pStyle w:val="Tablecolumnheading"/>
            </w:pPr>
            <w:r w:rsidRPr="00497D3E">
              <w:t>Item</w:t>
            </w:r>
          </w:p>
        </w:tc>
      </w:tr>
      <w:tr w:rsidR="006133A8" w:rsidRPr="00497D3E" w:rsidTr="00497D3E">
        <w:trPr>
          <w:trHeight w:val="586"/>
        </w:trPr>
        <w:tc>
          <w:tcPr>
            <w:tcW w:w="2699" w:type="dxa"/>
          </w:tcPr>
          <w:p w:rsidR="006133A8" w:rsidRPr="00497D3E" w:rsidRDefault="006133A8" w:rsidP="004A35B2">
            <w:pPr>
              <w:pStyle w:val="Tablebodytext"/>
            </w:pPr>
            <w:r w:rsidRPr="00497D3E">
              <w:t>CPI Increases</w:t>
            </w:r>
          </w:p>
        </w:tc>
        <w:tc>
          <w:tcPr>
            <w:tcW w:w="2319" w:type="dxa"/>
          </w:tcPr>
          <w:p w:rsidR="006133A8" w:rsidRPr="00497D3E" w:rsidRDefault="006133A8" w:rsidP="004A35B2">
            <w:pPr>
              <w:pStyle w:val="Tablebodytext"/>
            </w:pPr>
            <w:r w:rsidRPr="00497D3E">
              <w:t>2.5% per annum</w:t>
            </w:r>
          </w:p>
        </w:tc>
        <w:tc>
          <w:tcPr>
            <w:tcW w:w="2912" w:type="dxa"/>
          </w:tcPr>
          <w:p w:rsidR="006133A8" w:rsidRPr="00497D3E" w:rsidRDefault="006133A8" w:rsidP="004A35B2">
            <w:pPr>
              <w:pStyle w:val="Tablebodytext"/>
            </w:pPr>
            <w:r w:rsidRPr="00497D3E">
              <w:t>CPI Increases</w:t>
            </w:r>
          </w:p>
        </w:tc>
      </w:tr>
      <w:tr w:rsidR="006133A8" w:rsidRPr="00497D3E" w:rsidTr="00497D3E">
        <w:trPr>
          <w:trHeight w:val="586"/>
        </w:trPr>
        <w:tc>
          <w:tcPr>
            <w:tcW w:w="2699" w:type="dxa"/>
          </w:tcPr>
          <w:p w:rsidR="006133A8" w:rsidRPr="00497D3E" w:rsidRDefault="006133A8" w:rsidP="004A35B2">
            <w:pPr>
              <w:pStyle w:val="Tablebodytext"/>
            </w:pPr>
            <w:r w:rsidRPr="00497D3E">
              <w:t>Investment Return / Discount Rate</w:t>
            </w:r>
          </w:p>
        </w:tc>
        <w:tc>
          <w:tcPr>
            <w:tcW w:w="2319" w:type="dxa"/>
          </w:tcPr>
          <w:p w:rsidR="006133A8" w:rsidRPr="00497D3E" w:rsidRDefault="006133A8" w:rsidP="004A35B2">
            <w:pPr>
              <w:pStyle w:val="Tablebodytext"/>
            </w:pPr>
            <w:r w:rsidRPr="00497D3E">
              <w:t>6.0% per annum (nominal)</w:t>
            </w:r>
          </w:p>
          <w:p w:rsidR="006133A8" w:rsidRPr="00497D3E" w:rsidRDefault="006133A8" w:rsidP="004A35B2">
            <w:pPr>
              <w:pStyle w:val="Tablebodytext"/>
            </w:pPr>
            <w:r w:rsidRPr="00497D3E">
              <w:t>3.5% per annum (real)</w:t>
            </w:r>
          </w:p>
        </w:tc>
        <w:tc>
          <w:tcPr>
            <w:tcW w:w="2912" w:type="dxa"/>
          </w:tcPr>
          <w:p w:rsidR="006133A8" w:rsidRPr="00497D3E" w:rsidRDefault="006133A8" w:rsidP="004A35B2">
            <w:pPr>
              <w:pStyle w:val="Tablebodytext"/>
            </w:pPr>
            <w:r w:rsidRPr="00497D3E">
              <w:t>Investment Return / Discount Rate</w:t>
            </w:r>
          </w:p>
        </w:tc>
      </w:tr>
      <w:tr w:rsidR="006133A8" w:rsidRPr="00497D3E" w:rsidTr="00497D3E">
        <w:trPr>
          <w:trHeight w:val="586"/>
        </w:trPr>
        <w:tc>
          <w:tcPr>
            <w:tcW w:w="2699" w:type="dxa"/>
          </w:tcPr>
          <w:p w:rsidR="006133A8" w:rsidRPr="00497D3E" w:rsidRDefault="006133A8" w:rsidP="004A35B2">
            <w:pPr>
              <w:pStyle w:val="Tablebodytext"/>
            </w:pPr>
            <w:r w:rsidRPr="00497D3E">
              <w:t>General Salary Increases</w:t>
            </w:r>
          </w:p>
        </w:tc>
        <w:tc>
          <w:tcPr>
            <w:tcW w:w="2319" w:type="dxa"/>
          </w:tcPr>
          <w:p w:rsidR="006133A8" w:rsidRPr="00497D3E" w:rsidRDefault="006133A8" w:rsidP="004A35B2">
            <w:pPr>
              <w:pStyle w:val="Tablebodytext"/>
            </w:pPr>
            <w:r w:rsidRPr="00497D3E">
              <w:t>4.0% per annum (nominal)</w:t>
            </w:r>
          </w:p>
          <w:p w:rsidR="006133A8" w:rsidRPr="00497D3E" w:rsidRDefault="006133A8" w:rsidP="004A35B2">
            <w:pPr>
              <w:pStyle w:val="Tablebodytext"/>
            </w:pPr>
            <w:r w:rsidRPr="00497D3E">
              <w:t>1.5% per annum (real)</w:t>
            </w:r>
          </w:p>
        </w:tc>
        <w:tc>
          <w:tcPr>
            <w:tcW w:w="2912" w:type="dxa"/>
          </w:tcPr>
          <w:p w:rsidR="006133A8" w:rsidRPr="00497D3E" w:rsidRDefault="006133A8" w:rsidP="004A35B2">
            <w:pPr>
              <w:pStyle w:val="Tablebodytext"/>
            </w:pPr>
            <w:r w:rsidRPr="00497D3E">
              <w:t>General Salary Increases</w:t>
            </w:r>
          </w:p>
        </w:tc>
      </w:tr>
    </w:tbl>
    <w:p w:rsidR="006133A8" w:rsidRDefault="006133A8" w:rsidP="006133A8">
      <w:pPr>
        <w:pStyle w:val="Numberedpara1stindent"/>
        <w:numPr>
          <w:ilvl w:val="0"/>
          <w:numId w:val="0"/>
        </w:numPr>
        <w:spacing w:after="240"/>
      </w:pPr>
    </w:p>
    <w:p w:rsidR="006133A8" w:rsidRDefault="006133A8" w:rsidP="004A35B2">
      <w:pPr>
        <w:pStyle w:val="Heading3nonumbers"/>
      </w:pPr>
      <w:r>
        <w:t>GDP Growth Rate</w:t>
      </w:r>
    </w:p>
    <w:p w:rsidR="006133A8" w:rsidRDefault="006133A8" w:rsidP="007119BB">
      <w:pPr>
        <w:pStyle w:val="ListBullet"/>
        <w:numPr>
          <w:ilvl w:val="0"/>
          <w:numId w:val="0"/>
        </w:numPr>
        <w:contextualSpacing w:val="0"/>
      </w:pPr>
      <w:r>
        <w:t>The projected GDP for the 2014/2015 financial year is assumed to be $1,669 billion.</w:t>
      </w:r>
    </w:p>
    <w:p w:rsidR="006133A8" w:rsidRDefault="006133A8" w:rsidP="007119BB">
      <w:pPr>
        <w:pStyle w:val="ListBullet"/>
        <w:numPr>
          <w:ilvl w:val="0"/>
          <w:numId w:val="0"/>
        </w:numPr>
        <w:spacing w:after="120"/>
      </w:pPr>
      <w:r>
        <w:t>The table below reflects a sample of the expected nominal and real rates of GDP growth over the next 40 years (based on Department of Treasury estimates):</w:t>
      </w:r>
    </w:p>
    <w:tbl>
      <w:tblPr>
        <w:tblW w:w="0" w:type="auto"/>
        <w:tblBorders>
          <w:top w:val="single" w:sz="2" w:space="0" w:color="A7B4BE"/>
          <w:bottom w:val="single" w:sz="2" w:space="0" w:color="A7B4BE"/>
          <w:insideH w:val="single" w:sz="2" w:space="0" w:color="A7B4BE"/>
          <w:insideV w:val="single" w:sz="2" w:space="0" w:color="A7B4BE"/>
        </w:tblBorders>
        <w:tblLayout w:type="fixed"/>
        <w:tblCellMar>
          <w:left w:w="0" w:type="dxa"/>
          <w:right w:w="0" w:type="dxa"/>
        </w:tblCellMar>
        <w:tblLook w:val="04A0"/>
      </w:tblPr>
      <w:tblGrid>
        <w:gridCol w:w="2699"/>
        <w:gridCol w:w="2319"/>
        <w:gridCol w:w="2912"/>
      </w:tblGrid>
      <w:tr w:rsidR="006133A8" w:rsidRPr="00497D3E" w:rsidTr="007119BB">
        <w:trPr>
          <w:trHeight w:val="265"/>
        </w:trPr>
        <w:tc>
          <w:tcPr>
            <w:tcW w:w="2699" w:type="dxa"/>
            <w:shd w:val="clear" w:color="auto" w:fill="DDF3FA"/>
          </w:tcPr>
          <w:p w:rsidR="006133A8" w:rsidRPr="00497D3E" w:rsidRDefault="006133A8" w:rsidP="004A35B2">
            <w:pPr>
              <w:pStyle w:val="Tablecolumnheading"/>
            </w:pPr>
            <w:r w:rsidRPr="00497D3E">
              <w:t>Year</w:t>
            </w:r>
          </w:p>
        </w:tc>
        <w:tc>
          <w:tcPr>
            <w:tcW w:w="2319" w:type="dxa"/>
            <w:shd w:val="clear" w:color="auto" w:fill="DDF3FA"/>
          </w:tcPr>
          <w:p w:rsidR="006133A8" w:rsidRPr="00497D3E" w:rsidRDefault="006133A8" w:rsidP="004A35B2">
            <w:pPr>
              <w:pStyle w:val="Tablecolumnheading"/>
            </w:pPr>
            <w:r w:rsidRPr="00497D3E">
              <w:t>Rate per annum (nominal)</w:t>
            </w:r>
          </w:p>
        </w:tc>
        <w:tc>
          <w:tcPr>
            <w:tcW w:w="2912" w:type="dxa"/>
            <w:shd w:val="clear" w:color="auto" w:fill="DDF3FA"/>
          </w:tcPr>
          <w:p w:rsidR="006133A8" w:rsidRPr="00497D3E" w:rsidRDefault="006133A8" w:rsidP="004A35B2">
            <w:pPr>
              <w:pStyle w:val="Tablecolumnheading"/>
            </w:pPr>
            <w:r w:rsidRPr="00497D3E">
              <w:t>Rate per annum (real)</w:t>
            </w:r>
          </w:p>
        </w:tc>
      </w:tr>
      <w:tr w:rsidR="006133A8" w:rsidRPr="00497D3E" w:rsidTr="007119BB">
        <w:trPr>
          <w:cantSplit/>
          <w:trHeight w:hRule="exact" w:val="454"/>
        </w:trPr>
        <w:tc>
          <w:tcPr>
            <w:tcW w:w="2699" w:type="dxa"/>
            <w:vAlign w:val="center"/>
          </w:tcPr>
          <w:p w:rsidR="006133A8" w:rsidRPr="00497D3E" w:rsidRDefault="006133A8" w:rsidP="00AE771C">
            <w:pPr>
              <w:pStyle w:val="Tablebodytext"/>
            </w:pPr>
            <w:r w:rsidRPr="00497D3E">
              <w:t>2014/2015</w:t>
            </w:r>
          </w:p>
        </w:tc>
        <w:tc>
          <w:tcPr>
            <w:tcW w:w="2319" w:type="dxa"/>
            <w:vAlign w:val="center"/>
          </w:tcPr>
          <w:p w:rsidR="006133A8" w:rsidRPr="00497D3E" w:rsidRDefault="006133A8" w:rsidP="00AE771C">
            <w:pPr>
              <w:pStyle w:val="Tablebodytext"/>
            </w:pPr>
            <w:r w:rsidRPr="00497D3E">
              <w:t>5.5%</w:t>
            </w:r>
          </w:p>
        </w:tc>
        <w:tc>
          <w:tcPr>
            <w:tcW w:w="2912" w:type="dxa"/>
            <w:vAlign w:val="center"/>
          </w:tcPr>
          <w:p w:rsidR="006133A8" w:rsidRPr="00497D3E" w:rsidRDefault="006133A8" w:rsidP="00AE771C">
            <w:pPr>
              <w:pStyle w:val="Tablebodytext"/>
            </w:pPr>
            <w:r w:rsidRPr="00497D3E">
              <w:t>3.0%</w:t>
            </w:r>
          </w:p>
        </w:tc>
      </w:tr>
      <w:tr w:rsidR="006133A8" w:rsidRPr="00497D3E" w:rsidTr="007119BB">
        <w:trPr>
          <w:cantSplit/>
          <w:trHeight w:hRule="exact" w:val="454"/>
        </w:trPr>
        <w:tc>
          <w:tcPr>
            <w:tcW w:w="2699" w:type="dxa"/>
            <w:vAlign w:val="center"/>
          </w:tcPr>
          <w:p w:rsidR="006133A8" w:rsidRPr="00497D3E" w:rsidRDefault="006133A8" w:rsidP="00AE771C">
            <w:pPr>
              <w:pStyle w:val="Tablebodytext"/>
            </w:pPr>
            <w:r w:rsidRPr="00497D3E">
              <w:t>2015/2016</w:t>
            </w:r>
          </w:p>
        </w:tc>
        <w:tc>
          <w:tcPr>
            <w:tcW w:w="2319" w:type="dxa"/>
            <w:vAlign w:val="center"/>
          </w:tcPr>
          <w:p w:rsidR="006133A8" w:rsidRPr="00497D3E" w:rsidRDefault="006133A8" w:rsidP="00AE771C">
            <w:pPr>
              <w:pStyle w:val="Tablebodytext"/>
            </w:pPr>
            <w:r w:rsidRPr="00497D3E">
              <w:t>5.7%</w:t>
            </w:r>
          </w:p>
        </w:tc>
        <w:tc>
          <w:tcPr>
            <w:tcW w:w="2912" w:type="dxa"/>
            <w:vAlign w:val="center"/>
          </w:tcPr>
          <w:p w:rsidR="006133A8" w:rsidRPr="00497D3E" w:rsidRDefault="006133A8" w:rsidP="00AE771C">
            <w:pPr>
              <w:pStyle w:val="Tablebodytext"/>
            </w:pPr>
            <w:r w:rsidRPr="00497D3E">
              <w:t>3.2%</w:t>
            </w:r>
          </w:p>
        </w:tc>
      </w:tr>
      <w:tr w:rsidR="006133A8" w:rsidRPr="00497D3E" w:rsidTr="007119BB">
        <w:trPr>
          <w:cantSplit/>
          <w:trHeight w:hRule="exact" w:val="454"/>
        </w:trPr>
        <w:tc>
          <w:tcPr>
            <w:tcW w:w="2699" w:type="dxa"/>
            <w:vAlign w:val="center"/>
          </w:tcPr>
          <w:p w:rsidR="006133A8" w:rsidRPr="00497D3E" w:rsidRDefault="006133A8" w:rsidP="00AE771C">
            <w:pPr>
              <w:pStyle w:val="Tablebodytext"/>
            </w:pPr>
            <w:r w:rsidRPr="00497D3E">
              <w:t>2019/2020</w:t>
            </w:r>
          </w:p>
        </w:tc>
        <w:tc>
          <w:tcPr>
            <w:tcW w:w="2319" w:type="dxa"/>
            <w:vAlign w:val="center"/>
          </w:tcPr>
          <w:p w:rsidR="006133A8" w:rsidRPr="00497D3E" w:rsidRDefault="006133A8" w:rsidP="00AE771C">
            <w:pPr>
              <w:pStyle w:val="Tablebodytext"/>
            </w:pPr>
            <w:r w:rsidRPr="00497D3E">
              <w:t>5.7%</w:t>
            </w:r>
          </w:p>
        </w:tc>
        <w:tc>
          <w:tcPr>
            <w:tcW w:w="2912" w:type="dxa"/>
            <w:vAlign w:val="center"/>
          </w:tcPr>
          <w:p w:rsidR="006133A8" w:rsidRPr="00497D3E" w:rsidRDefault="006133A8" w:rsidP="00AE771C">
            <w:pPr>
              <w:pStyle w:val="Tablebodytext"/>
            </w:pPr>
            <w:r w:rsidRPr="00497D3E">
              <w:t>3.2%</w:t>
            </w:r>
          </w:p>
        </w:tc>
      </w:tr>
      <w:tr w:rsidR="006133A8" w:rsidRPr="00497D3E" w:rsidTr="007119BB">
        <w:trPr>
          <w:cantSplit/>
          <w:trHeight w:hRule="exact" w:val="454"/>
        </w:trPr>
        <w:tc>
          <w:tcPr>
            <w:tcW w:w="2699" w:type="dxa"/>
            <w:vAlign w:val="center"/>
          </w:tcPr>
          <w:p w:rsidR="006133A8" w:rsidRPr="00497D3E" w:rsidRDefault="006133A8" w:rsidP="00AE771C">
            <w:pPr>
              <w:pStyle w:val="Tablebodytext"/>
            </w:pPr>
            <w:r w:rsidRPr="00497D3E">
              <w:t>2024/2025</w:t>
            </w:r>
          </w:p>
        </w:tc>
        <w:tc>
          <w:tcPr>
            <w:tcW w:w="2319" w:type="dxa"/>
            <w:vAlign w:val="center"/>
          </w:tcPr>
          <w:p w:rsidR="006133A8" w:rsidRPr="00497D3E" w:rsidRDefault="006133A8" w:rsidP="00AE771C">
            <w:pPr>
              <w:pStyle w:val="Tablebodytext"/>
            </w:pPr>
            <w:r w:rsidRPr="00497D3E">
              <w:t>5.4%</w:t>
            </w:r>
          </w:p>
        </w:tc>
        <w:tc>
          <w:tcPr>
            <w:tcW w:w="2912" w:type="dxa"/>
            <w:vAlign w:val="center"/>
          </w:tcPr>
          <w:p w:rsidR="006133A8" w:rsidRPr="00497D3E" w:rsidRDefault="006133A8" w:rsidP="00AE771C">
            <w:pPr>
              <w:pStyle w:val="Tablebodytext"/>
            </w:pPr>
            <w:r w:rsidRPr="00497D3E">
              <w:t>2.9%</w:t>
            </w:r>
          </w:p>
        </w:tc>
      </w:tr>
      <w:tr w:rsidR="006133A8" w:rsidRPr="00497D3E" w:rsidTr="007119BB">
        <w:trPr>
          <w:cantSplit/>
          <w:trHeight w:hRule="exact" w:val="454"/>
        </w:trPr>
        <w:tc>
          <w:tcPr>
            <w:tcW w:w="2699" w:type="dxa"/>
            <w:vAlign w:val="center"/>
          </w:tcPr>
          <w:p w:rsidR="006133A8" w:rsidRPr="00497D3E" w:rsidRDefault="006133A8" w:rsidP="00AE771C">
            <w:pPr>
              <w:pStyle w:val="Tablebodytext"/>
            </w:pPr>
            <w:r w:rsidRPr="00497D3E">
              <w:t>2029/2030</w:t>
            </w:r>
          </w:p>
        </w:tc>
        <w:tc>
          <w:tcPr>
            <w:tcW w:w="2319" w:type="dxa"/>
            <w:vAlign w:val="center"/>
          </w:tcPr>
          <w:p w:rsidR="006133A8" w:rsidRPr="00497D3E" w:rsidRDefault="006133A8" w:rsidP="00AE771C">
            <w:pPr>
              <w:pStyle w:val="Tablebodytext"/>
            </w:pPr>
            <w:r w:rsidRPr="00497D3E">
              <w:t>5.5%</w:t>
            </w:r>
          </w:p>
        </w:tc>
        <w:tc>
          <w:tcPr>
            <w:tcW w:w="2912" w:type="dxa"/>
            <w:vAlign w:val="center"/>
          </w:tcPr>
          <w:p w:rsidR="006133A8" w:rsidRPr="00497D3E" w:rsidRDefault="006133A8" w:rsidP="00AE771C">
            <w:pPr>
              <w:pStyle w:val="Tablebodytext"/>
            </w:pPr>
            <w:r w:rsidRPr="00497D3E">
              <w:t>3.0%</w:t>
            </w:r>
          </w:p>
        </w:tc>
      </w:tr>
      <w:tr w:rsidR="006133A8" w:rsidRPr="00497D3E" w:rsidTr="007119BB">
        <w:trPr>
          <w:cantSplit/>
          <w:trHeight w:hRule="exact" w:val="454"/>
        </w:trPr>
        <w:tc>
          <w:tcPr>
            <w:tcW w:w="2699" w:type="dxa"/>
            <w:vAlign w:val="center"/>
          </w:tcPr>
          <w:p w:rsidR="006133A8" w:rsidRPr="00497D3E" w:rsidRDefault="006133A8" w:rsidP="00AE771C">
            <w:pPr>
              <w:pStyle w:val="Tablebodytext"/>
            </w:pPr>
            <w:r w:rsidRPr="00497D3E">
              <w:t>2034/2035</w:t>
            </w:r>
          </w:p>
        </w:tc>
        <w:tc>
          <w:tcPr>
            <w:tcW w:w="2319" w:type="dxa"/>
            <w:vAlign w:val="center"/>
          </w:tcPr>
          <w:p w:rsidR="006133A8" w:rsidRPr="00497D3E" w:rsidRDefault="006133A8" w:rsidP="00AE771C">
            <w:pPr>
              <w:pStyle w:val="Tablebodytext"/>
            </w:pPr>
            <w:r w:rsidRPr="00497D3E">
              <w:t>5.4%</w:t>
            </w:r>
          </w:p>
        </w:tc>
        <w:tc>
          <w:tcPr>
            <w:tcW w:w="2912" w:type="dxa"/>
            <w:vAlign w:val="center"/>
          </w:tcPr>
          <w:p w:rsidR="006133A8" w:rsidRPr="00497D3E" w:rsidRDefault="006133A8" w:rsidP="00AE771C">
            <w:pPr>
              <w:pStyle w:val="Tablebodytext"/>
            </w:pPr>
            <w:r w:rsidRPr="00497D3E">
              <w:t>2.9%</w:t>
            </w:r>
          </w:p>
        </w:tc>
      </w:tr>
      <w:tr w:rsidR="006133A8" w:rsidRPr="00497D3E" w:rsidTr="007119BB">
        <w:trPr>
          <w:cantSplit/>
          <w:trHeight w:hRule="exact" w:val="454"/>
        </w:trPr>
        <w:tc>
          <w:tcPr>
            <w:tcW w:w="2699" w:type="dxa"/>
            <w:vAlign w:val="center"/>
          </w:tcPr>
          <w:p w:rsidR="006133A8" w:rsidRPr="00497D3E" w:rsidRDefault="006133A8" w:rsidP="00AE771C">
            <w:pPr>
              <w:pStyle w:val="Tablebodytext"/>
            </w:pPr>
            <w:r w:rsidRPr="00497D3E">
              <w:t>2039/2040</w:t>
            </w:r>
          </w:p>
        </w:tc>
        <w:tc>
          <w:tcPr>
            <w:tcW w:w="2319" w:type="dxa"/>
            <w:vAlign w:val="center"/>
          </w:tcPr>
          <w:p w:rsidR="006133A8" w:rsidRPr="00497D3E" w:rsidRDefault="006133A8" w:rsidP="00AE771C">
            <w:pPr>
              <w:pStyle w:val="Tablebodytext"/>
            </w:pPr>
            <w:r w:rsidRPr="00497D3E">
              <w:t>5.3%</w:t>
            </w:r>
          </w:p>
        </w:tc>
        <w:tc>
          <w:tcPr>
            <w:tcW w:w="2912" w:type="dxa"/>
            <w:vAlign w:val="center"/>
          </w:tcPr>
          <w:p w:rsidR="006133A8" w:rsidRPr="00497D3E" w:rsidRDefault="006133A8" w:rsidP="00AE771C">
            <w:pPr>
              <w:pStyle w:val="Tablebodytext"/>
            </w:pPr>
            <w:r w:rsidRPr="00497D3E">
              <w:t>2.8%</w:t>
            </w:r>
          </w:p>
        </w:tc>
      </w:tr>
      <w:tr w:rsidR="006133A8" w:rsidRPr="00497D3E" w:rsidTr="007119BB">
        <w:trPr>
          <w:cantSplit/>
          <w:trHeight w:hRule="exact" w:val="454"/>
        </w:trPr>
        <w:tc>
          <w:tcPr>
            <w:tcW w:w="2699" w:type="dxa"/>
            <w:vAlign w:val="center"/>
          </w:tcPr>
          <w:p w:rsidR="006133A8" w:rsidRPr="00497D3E" w:rsidRDefault="006133A8" w:rsidP="00AE771C">
            <w:pPr>
              <w:pStyle w:val="Tablebodytext"/>
            </w:pPr>
            <w:r w:rsidRPr="00497D3E">
              <w:t>2044/2045</w:t>
            </w:r>
          </w:p>
        </w:tc>
        <w:tc>
          <w:tcPr>
            <w:tcW w:w="2319" w:type="dxa"/>
            <w:vAlign w:val="center"/>
          </w:tcPr>
          <w:p w:rsidR="006133A8" w:rsidRPr="00497D3E" w:rsidRDefault="006133A8" w:rsidP="00AE771C">
            <w:pPr>
              <w:pStyle w:val="Tablebodytext"/>
            </w:pPr>
            <w:r w:rsidRPr="00497D3E">
              <w:t>5.2%</w:t>
            </w:r>
          </w:p>
        </w:tc>
        <w:tc>
          <w:tcPr>
            <w:tcW w:w="2912" w:type="dxa"/>
            <w:vAlign w:val="center"/>
          </w:tcPr>
          <w:p w:rsidR="006133A8" w:rsidRPr="00497D3E" w:rsidRDefault="006133A8" w:rsidP="00AE771C">
            <w:pPr>
              <w:pStyle w:val="Tablebodytext"/>
            </w:pPr>
            <w:r w:rsidRPr="00497D3E">
              <w:t>2.7%</w:t>
            </w:r>
          </w:p>
        </w:tc>
      </w:tr>
      <w:tr w:rsidR="006133A8" w:rsidRPr="00497D3E" w:rsidTr="007119BB">
        <w:trPr>
          <w:cantSplit/>
          <w:trHeight w:hRule="exact" w:val="454"/>
        </w:trPr>
        <w:tc>
          <w:tcPr>
            <w:tcW w:w="2699" w:type="dxa"/>
            <w:vAlign w:val="center"/>
          </w:tcPr>
          <w:p w:rsidR="006133A8" w:rsidRPr="00497D3E" w:rsidRDefault="006133A8" w:rsidP="00AE771C">
            <w:pPr>
              <w:pStyle w:val="Tablebodytext"/>
            </w:pPr>
            <w:r w:rsidRPr="00497D3E">
              <w:t>2049/2050</w:t>
            </w:r>
          </w:p>
        </w:tc>
        <w:tc>
          <w:tcPr>
            <w:tcW w:w="2319" w:type="dxa"/>
            <w:vAlign w:val="center"/>
          </w:tcPr>
          <w:p w:rsidR="006133A8" w:rsidRPr="00497D3E" w:rsidRDefault="006133A8" w:rsidP="00AE771C">
            <w:pPr>
              <w:pStyle w:val="Tablebodytext"/>
            </w:pPr>
            <w:r w:rsidRPr="00497D3E">
              <w:t>5.1%</w:t>
            </w:r>
          </w:p>
        </w:tc>
        <w:tc>
          <w:tcPr>
            <w:tcW w:w="2912" w:type="dxa"/>
            <w:vAlign w:val="center"/>
          </w:tcPr>
          <w:p w:rsidR="006133A8" w:rsidRPr="00497D3E" w:rsidRDefault="006133A8" w:rsidP="00AE771C">
            <w:pPr>
              <w:pStyle w:val="Tablebodytext"/>
            </w:pPr>
            <w:r w:rsidRPr="00497D3E">
              <w:t>2.6%</w:t>
            </w:r>
          </w:p>
        </w:tc>
      </w:tr>
      <w:tr w:rsidR="006133A8" w:rsidRPr="00497D3E" w:rsidTr="007119BB">
        <w:trPr>
          <w:cantSplit/>
          <w:trHeight w:hRule="exact" w:val="454"/>
        </w:trPr>
        <w:tc>
          <w:tcPr>
            <w:tcW w:w="2699" w:type="dxa"/>
            <w:vAlign w:val="center"/>
          </w:tcPr>
          <w:p w:rsidR="006133A8" w:rsidRPr="00497D3E" w:rsidRDefault="006133A8" w:rsidP="00AE771C">
            <w:pPr>
              <w:pStyle w:val="Tablebodytext"/>
            </w:pPr>
            <w:r w:rsidRPr="00497D3E">
              <w:t>2054/2055</w:t>
            </w:r>
          </w:p>
        </w:tc>
        <w:tc>
          <w:tcPr>
            <w:tcW w:w="2319" w:type="dxa"/>
            <w:vAlign w:val="center"/>
          </w:tcPr>
          <w:p w:rsidR="006133A8" w:rsidRPr="00497D3E" w:rsidRDefault="006133A8" w:rsidP="00AE771C">
            <w:pPr>
              <w:pStyle w:val="Tablebodytext"/>
            </w:pPr>
            <w:r w:rsidRPr="00497D3E">
              <w:t>4.9%</w:t>
            </w:r>
          </w:p>
        </w:tc>
        <w:tc>
          <w:tcPr>
            <w:tcW w:w="2912" w:type="dxa"/>
            <w:vAlign w:val="center"/>
          </w:tcPr>
          <w:p w:rsidR="006133A8" w:rsidRPr="00497D3E" w:rsidRDefault="006133A8" w:rsidP="00AE771C">
            <w:pPr>
              <w:pStyle w:val="Tablebodytext"/>
            </w:pPr>
            <w:r w:rsidRPr="00497D3E">
              <w:t>2.4%</w:t>
            </w:r>
          </w:p>
        </w:tc>
      </w:tr>
    </w:tbl>
    <w:p w:rsidR="006133A8" w:rsidRDefault="007119BB" w:rsidP="00AE771C">
      <w:pPr>
        <w:pStyle w:val="Sourcenotetext"/>
      </w:pPr>
      <w:r>
        <w:t>Note 1</w:t>
      </w:r>
      <w:r w:rsidR="000B5F49">
        <w:t>: The</w:t>
      </w:r>
      <w:r w:rsidR="006133A8">
        <w:t xml:space="preserve"> average assumed GDP growth rate over the 40-year period from 30 June 2014 is 5.4% (nominal) or 2.9% (real) per annum.</w:t>
      </w:r>
    </w:p>
    <w:p w:rsidR="006133A8" w:rsidRDefault="006133A8" w:rsidP="00AE771C">
      <w:pPr>
        <w:pStyle w:val="Heading4nonumbers"/>
      </w:pPr>
      <w:r>
        <w:lastRenderedPageBreak/>
        <w:t>Taxation</w:t>
      </w:r>
    </w:p>
    <w:p w:rsidR="006133A8" w:rsidRDefault="006133A8" w:rsidP="006133A8">
      <w:pPr>
        <w:pStyle w:val="ListBullet"/>
        <w:numPr>
          <w:ilvl w:val="0"/>
          <w:numId w:val="0"/>
        </w:numPr>
      </w:pPr>
      <w:r>
        <w:t>Allowance has been made for 15% tax payable on superannuation productivity contributions.</w:t>
      </w:r>
    </w:p>
    <w:p w:rsidR="006133A8" w:rsidRDefault="006133A8" w:rsidP="00AE771C">
      <w:pPr>
        <w:pStyle w:val="Heading4nonumbers"/>
      </w:pPr>
      <w:r>
        <w:t>Superannuation Guarantee</w:t>
      </w:r>
    </w:p>
    <w:p w:rsidR="006133A8" w:rsidRDefault="006133A8" w:rsidP="006133A8">
      <w:pPr>
        <w:pStyle w:val="ListBullet"/>
        <w:numPr>
          <w:ilvl w:val="0"/>
          <w:numId w:val="0"/>
        </w:numPr>
      </w:pPr>
      <w:r>
        <w:t xml:space="preserve">For the CSS, allowance has been made for increases in the Superannuation Guarantee rate from 9.5% to 12%. For the PSS, no allowance has been made for changes to the </w:t>
      </w:r>
      <w:r w:rsidRPr="00033BD2">
        <w:t>Superannuation Guarantee rate. Due to the generous nature of the scheme benefits, the increase in the Superannuation Guarantee rate does not have a material impact on the valuation results.</w:t>
      </w:r>
    </w:p>
    <w:p w:rsidR="006133A8" w:rsidRPr="00033BD2" w:rsidRDefault="006133A8" w:rsidP="00AE771C">
      <w:pPr>
        <w:pStyle w:val="Heading3nonumbers"/>
        <w:rPr>
          <w:rFonts w:eastAsia="MS Gothic"/>
        </w:rPr>
      </w:pPr>
      <w:r w:rsidRPr="00033BD2">
        <w:rPr>
          <w:rFonts w:eastAsia="MS Gothic"/>
        </w:rPr>
        <w:t>Demographic Assumptions</w:t>
      </w:r>
    </w:p>
    <w:p w:rsidR="006133A8" w:rsidRDefault="006133A8" w:rsidP="00AE771C">
      <w:pPr>
        <w:pStyle w:val="Heading4nonumbers"/>
      </w:pPr>
      <w:r>
        <w:t>Promotional Salary Increase Assumptions</w:t>
      </w:r>
    </w:p>
    <w:p w:rsidR="006133A8" w:rsidRDefault="006133A8" w:rsidP="006133A8">
      <w:pPr>
        <w:pStyle w:val="ListBullet"/>
        <w:numPr>
          <w:ilvl w:val="0"/>
          <w:numId w:val="0"/>
        </w:numPr>
      </w:pPr>
      <w:r>
        <w:t xml:space="preserve">The following table shows examples of the annual assumed percentage increase in salary due to promotion (excluding general salary increases due to inflation). </w:t>
      </w:r>
    </w:p>
    <w:p w:rsidR="00AE771C" w:rsidRDefault="00AE771C" w:rsidP="00AE771C">
      <w:pPr>
        <w:pStyle w:val="Heading5"/>
      </w:pPr>
      <w:r w:rsidRPr="00497D3E">
        <w:t>Promotional Salary Increase Assumptions</w:t>
      </w:r>
      <w:r w:rsidRPr="00497D3E">
        <w:br/>
        <w:t>(% per annum at age shown)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2699"/>
        <w:gridCol w:w="2319"/>
        <w:gridCol w:w="2912"/>
      </w:tblGrid>
      <w:tr w:rsidR="006133A8" w:rsidRPr="00497D3E" w:rsidTr="00497D3E">
        <w:trPr>
          <w:trHeight w:val="265"/>
        </w:trPr>
        <w:tc>
          <w:tcPr>
            <w:tcW w:w="2699" w:type="dxa"/>
            <w:shd w:val="clear" w:color="auto" w:fill="DDF3FA"/>
            <w:vAlign w:val="center"/>
          </w:tcPr>
          <w:p w:rsidR="006133A8" w:rsidRPr="00497D3E" w:rsidRDefault="006133A8" w:rsidP="00AE771C">
            <w:pPr>
              <w:pStyle w:val="Tablecolumnheading"/>
              <w:rPr>
                <w:lang w:val="en-US"/>
              </w:rPr>
            </w:pPr>
            <w:r w:rsidRPr="00497D3E">
              <w:rPr>
                <w:lang w:val="en-US"/>
              </w:rPr>
              <w:t>Age Last Birthday</w:t>
            </w:r>
          </w:p>
        </w:tc>
        <w:tc>
          <w:tcPr>
            <w:tcW w:w="2319" w:type="dxa"/>
            <w:shd w:val="clear" w:color="auto" w:fill="DDF3FA"/>
            <w:vAlign w:val="center"/>
          </w:tcPr>
          <w:p w:rsidR="006133A8" w:rsidRPr="00497D3E" w:rsidRDefault="006133A8" w:rsidP="00AE771C">
            <w:pPr>
              <w:pStyle w:val="Tablecolumnheading"/>
              <w:rPr>
                <w:lang w:val="en-US"/>
              </w:rPr>
            </w:pPr>
            <w:r w:rsidRPr="00497D3E">
              <w:rPr>
                <w:lang w:val="en-US"/>
              </w:rPr>
              <w:t>Male</w:t>
            </w:r>
          </w:p>
        </w:tc>
        <w:tc>
          <w:tcPr>
            <w:tcW w:w="2912" w:type="dxa"/>
            <w:shd w:val="clear" w:color="auto" w:fill="DDF3FA"/>
            <w:vAlign w:val="center"/>
          </w:tcPr>
          <w:p w:rsidR="006133A8" w:rsidRPr="00497D3E" w:rsidRDefault="006133A8" w:rsidP="00AE771C">
            <w:pPr>
              <w:pStyle w:val="Tablecolumnheading"/>
              <w:rPr>
                <w:lang w:val="en-US"/>
              </w:rPr>
            </w:pPr>
            <w:r w:rsidRPr="00497D3E">
              <w:rPr>
                <w:lang w:val="en-US"/>
              </w:rPr>
              <w:t>Female</w:t>
            </w:r>
          </w:p>
        </w:tc>
      </w:tr>
      <w:tr w:rsidR="006133A8" w:rsidRPr="00497D3E" w:rsidTr="00497D3E">
        <w:trPr>
          <w:trHeight w:val="239"/>
        </w:trPr>
        <w:tc>
          <w:tcPr>
            <w:tcW w:w="2699" w:type="dxa"/>
          </w:tcPr>
          <w:p w:rsidR="006133A8" w:rsidRPr="00497D3E" w:rsidRDefault="006133A8" w:rsidP="00AE771C">
            <w:pPr>
              <w:pStyle w:val="Tablebodytext"/>
              <w:rPr>
                <w:lang w:val="en-US"/>
              </w:rPr>
            </w:pPr>
            <w:r w:rsidRPr="00497D3E">
              <w:rPr>
                <w:lang w:val="en-US"/>
              </w:rPr>
              <w:t>30</w:t>
            </w:r>
          </w:p>
        </w:tc>
        <w:tc>
          <w:tcPr>
            <w:tcW w:w="2319" w:type="dxa"/>
          </w:tcPr>
          <w:p w:rsidR="006133A8" w:rsidRPr="00497D3E" w:rsidRDefault="006133A8" w:rsidP="00AE771C">
            <w:pPr>
              <w:pStyle w:val="Tablebodytext"/>
              <w:rPr>
                <w:lang w:val="en-US"/>
              </w:rPr>
            </w:pPr>
            <w:r w:rsidRPr="00497D3E">
              <w:rPr>
                <w:lang w:val="en-US"/>
              </w:rPr>
              <w:t>2.03%</w:t>
            </w:r>
          </w:p>
        </w:tc>
        <w:tc>
          <w:tcPr>
            <w:tcW w:w="2912" w:type="dxa"/>
          </w:tcPr>
          <w:p w:rsidR="006133A8" w:rsidRPr="00497D3E" w:rsidRDefault="006133A8" w:rsidP="00AE771C">
            <w:pPr>
              <w:pStyle w:val="Tablebodytext"/>
              <w:rPr>
                <w:lang w:val="en-US"/>
              </w:rPr>
            </w:pPr>
            <w:r w:rsidRPr="00497D3E">
              <w:rPr>
                <w:lang w:val="en-US"/>
              </w:rPr>
              <w:t>1.65%</w:t>
            </w:r>
          </w:p>
        </w:tc>
      </w:tr>
      <w:tr w:rsidR="006133A8" w:rsidRPr="00497D3E" w:rsidTr="00497D3E">
        <w:trPr>
          <w:trHeight w:val="286"/>
        </w:trPr>
        <w:tc>
          <w:tcPr>
            <w:tcW w:w="2699" w:type="dxa"/>
          </w:tcPr>
          <w:p w:rsidR="006133A8" w:rsidRPr="00497D3E" w:rsidRDefault="006133A8" w:rsidP="00AE771C">
            <w:pPr>
              <w:pStyle w:val="Tablebodytext"/>
              <w:rPr>
                <w:lang w:val="en-US"/>
              </w:rPr>
            </w:pPr>
            <w:r w:rsidRPr="00497D3E">
              <w:rPr>
                <w:lang w:val="en-US"/>
              </w:rPr>
              <w:t>35</w:t>
            </w:r>
          </w:p>
        </w:tc>
        <w:tc>
          <w:tcPr>
            <w:tcW w:w="2319" w:type="dxa"/>
          </w:tcPr>
          <w:p w:rsidR="006133A8" w:rsidRPr="00497D3E" w:rsidRDefault="006133A8" w:rsidP="00AE771C">
            <w:pPr>
              <w:pStyle w:val="Tablebodytext"/>
              <w:rPr>
                <w:lang w:val="en-US"/>
              </w:rPr>
            </w:pPr>
            <w:r w:rsidRPr="00497D3E">
              <w:rPr>
                <w:lang w:val="en-US"/>
              </w:rPr>
              <w:t>1.20%</w:t>
            </w:r>
          </w:p>
        </w:tc>
        <w:tc>
          <w:tcPr>
            <w:tcW w:w="2912" w:type="dxa"/>
          </w:tcPr>
          <w:p w:rsidR="006133A8" w:rsidRPr="00497D3E" w:rsidRDefault="006133A8" w:rsidP="00AE771C">
            <w:pPr>
              <w:pStyle w:val="Tablebodytext"/>
              <w:rPr>
                <w:lang w:val="en-US"/>
              </w:rPr>
            </w:pPr>
            <w:r w:rsidRPr="00497D3E">
              <w:rPr>
                <w:lang w:val="en-US"/>
              </w:rPr>
              <w:t>0.90%</w:t>
            </w:r>
          </w:p>
        </w:tc>
      </w:tr>
      <w:tr w:rsidR="006133A8" w:rsidRPr="00497D3E" w:rsidTr="00497D3E">
        <w:trPr>
          <w:trHeight w:val="261"/>
        </w:trPr>
        <w:tc>
          <w:tcPr>
            <w:tcW w:w="2699" w:type="dxa"/>
          </w:tcPr>
          <w:p w:rsidR="006133A8" w:rsidRPr="00497D3E" w:rsidRDefault="006133A8" w:rsidP="00AE771C">
            <w:pPr>
              <w:pStyle w:val="Tablebodytext"/>
              <w:rPr>
                <w:lang w:val="en-US"/>
              </w:rPr>
            </w:pPr>
            <w:r w:rsidRPr="00497D3E">
              <w:rPr>
                <w:lang w:val="en-US"/>
              </w:rPr>
              <w:t>40</w:t>
            </w:r>
          </w:p>
        </w:tc>
        <w:tc>
          <w:tcPr>
            <w:tcW w:w="2319" w:type="dxa"/>
          </w:tcPr>
          <w:p w:rsidR="006133A8" w:rsidRPr="00497D3E" w:rsidRDefault="006133A8" w:rsidP="00AE771C">
            <w:pPr>
              <w:pStyle w:val="Tablebodytext"/>
              <w:rPr>
                <w:lang w:val="en-US"/>
              </w:rPr>
            </w:pPr>
            <w:r w:rsidRPr="00497D3E">
              <w:rPr>
                <w:lang w:val="en-US"/>
              </w:rPr>
              <w:t>0.83%</w:t>
            </w:r>
          </w:p>
        </w:tc>
        <w:tc>
          <w:tcPr>
            <w:tcW w:w="2912" w:type="dxa"/>
          </w:tcPr>
          <w:p w:rsidR="006133A8" w:rsidRPr="00497D3E" w:rsidRDefault="006133A8" w:rsidP="00AE771C">
            <w:pPr>
              <w:pStyle w:val="Tablebodytext"/>
              <w:rPr>
                <w:lang w:val="en-US"/>
              </w:rPr>
            </w:pPr>
            <w:r w:rsidRPr="00497D3E">
              <w:rPr>
                <w:lang w:val="en-US"/>
              </w:rPr>
              <w:t>0.75%</w:t>
            </w:r>
          </w:p>
        </w:tc>
      </w:tr>
      <w:tr w:rsidR="006133A8" w:rsidRPr="00497D3E" w:rsidTr="00497D3E">
        <w:trPr>
          <w:trHeight w:val="278"/>
        </w:trPr>
        <w:tc>
          <w:tcPr>
            <w:tcW w:w="2699" w:type="dxa"/>
          </w:tcPr>
          <w:p w:rsidR="006133A8" w:rsidRPr="00497D3E" w:rsidRDefault="006133A8" w:rsidP="00AE771C">
            <w:pPr>
              <w:pStyle w:val="Tablebodytext"/>
              <w:rPr>
                <w:lang w:val="en-US"/>
              </w:rPr>
            </w:pPr>
            <w:r w:rsidRPr="00497D3E">
              <w:rPr>
                <w:lang w:val="en-US"/>
              </w:rPr>
              <w:t>45</w:t>
            </w:r>
          </w:p>
        </w:tc>
        <w:tc>
          <w:tcPr>
            <w:tcW w:w="2319" w:type="dxa"/>
          </w:tcPr>
          <w:p w:rsidR="006133A8" w:rsidRPr="00497D3E" w:rsidRDefault="006133A8" w:rsidP="00AE771C">
            <w:pPr>
              <w:pStyle w:val="Tablebodytext"/>
              <w:rPr>
                <w:lang w:val="en-US"/>
              </w:rPr>
            </w:pPr>
            <w:r w:rsidRPr="00497D3E">
              <w:rPr>
                <w:lang w:val="en-US"/>
              </w:rPr>
              <w:t>0.45%</w:t>
            </w:r>
          </w:p>
        </w:tc>
        <w:tc>
          <w:tcPr>
            <w:tcW w:w="2912" w:type="dxa"/>
          </w:tcPr>
          <w:p w:rsidR="006133A8" w:rsidRPr="00497D3E" w:rsidRDefault="006133A8" w:rsidP="00AE771C">
            <w:pPr>
              <w:pStyle w:val="Tablebodytext"/>
              <w:rPr>
                <w:lang w:val="en-US"/>
              </w:rPr>
            </w:pPr>
            <w:r w:rsidRPr="00497D3E">
              <w:rPr>
                <w:lang w:val="en-US"/>
              </w:rPr>
              <w:t>0.56%</w:t>
            </w:r>
          </w:p>
        </w:tc>
      </w:tr>
      <w:tr w:rsidR="006133A8" w:rsidRPr="00497D3E" w:rsidTr="00497D3E">
        <w:trPr>
          <w:trHeight w:val="269"/>
        </w:trPr>
        <w:tc>
          <w:tcPr>
            <w:tcW w:w="2699" w:type="dxa"/>
          </w:tcPr>
          <w:p w:rsidR="006133A8" w:rsidRPr="00497D3E" w:rsidRDefault="006133A8" w:rsidP="00AE771C">
            <w:pPr>
              <w:pStyle w:val="Tablebodytext"/>
              <w:rPr>
                <w:lang w:val="en-US"/>
              </w:rPr>
            </w:pPr>
            <w:r w:rsidRPr="00497D3E">
              <w:rPr>
                <w:lang w:val="en-US"/>
              </w:rPr>
              <w:t>50</w:t>
            </w:r>
          </w:p>
        </w:tc>
        <w:tc>
          <w:tcPr>
            <w:tcW w:w="2319" w:type="dxa"/>
          </w:tcPr>
          <w:p w:rsidR="006133A8" w:rsidRPr="00497D3E" w:rsidRDefault="006133A8" w:rsidP="00AE771C">
            <w:pPr>
              <w:pStyle w:val="Tablebodytext"/>
              <w:rPr>
                <w:lang w:val="en-US"/>
              </w:rPr>
            </w:pPr>
            <w:r w:rsidRPr="00497D3E">
              <w:rPr>
                <w:lang w:val="en-US"/>
              </w:rPr>
              <w:t>0.26%</w:t>
            </w:r>
          </w:p>
        </w:tc>
        <w:tc>
          <w:tcPr>
            <w:tcW w:w="2912" w:type="dxa"/>
          </w:tcPr>
          <w:p w:rsidR="006133A8" w:rsidRPr="00497D3E" w:rsidRDefault="006133A8" w:rsidP="00AE771C">
            <w:pPr>
              <w:pStyle w:val="Tablebodytext"/>
              <w:rPr>
                <w:lang w:val="en-US"/>
              </w:rPr>
            </w:pPr>
            <w:r w:rsidRPr="00497D3E">
              <w:rPr>
                <w:lang w:val="en-US"/>
              </w:rPr>
              <w:t>0.49%</w:t>
            </w:r>
          </w:p>
        </w:tc>
      </w:tr>
      <w:tr w:rsidR="006133A8" w:rsidRPr="00497D3E" w:rsidTr="00497D3E">
        <w:trPr>
          <w:trHeight w:val="288"/>
        </w:trPr>
        <w:tc>
          <w:tcPr>
            <w:tcW w:w="2699" w:type="dxa"/>
          </w:tcPr>
          <w:p w:rsidR="006133A8" w:rsidRPr="00497D3E" w:rsidRDefault="006133A8" w:rsidP="00AE771C">
            <w:pPr>
              <w:pStyle w:val="Tablebodytext"/>
              <w:rPr>
                <w:lang w:val="en-US"/>
              </w:rPr>
            </w:pPr>
            <w:r w:rsidRPr="00497D3E">
              <w:rPr>
                <w:lang w:val="en-US"/>
              </w:rPr>
              <w:t>55</w:t>
            </w:r>
          </w:p>
        </w:tc>
        <w:tc>
          <w:tcPr>
            <w:tcW w:w="2319" w:type="dxa"/>
          </w:tcPr>
          <w:p w:rsidR="006133A8" w:rsidRPr="00497D3E" w:rsidRDefault="006133A8" w:rsidP="00AE771C">
            <w:pPr>
              <w:pStyle w:val="Tablebodytext"/>
              <w:rPr>
                <w:lang w:val="en-US"/>
              </w:rPr>
            </w:pPr>
            <w:r w:rsidRPr="00497D3E">
              <w:rPr>
                <w:lang w:val="en-US"/>
              </w:rPr>
              <w:t>0.15%</w:t>
            </w:r>
          </w:p>
        </w:tc>
        <w:tc>
          <w:tcPr>
            <w:tcW w:w="2912" w:type="dxa"/>
          </w:tcPr>
          <w:p w:rsidR="006133A8" w:rsidRPr="00497D3E" w:rsidRDefault="006133A8" w:rsidP="00AE771C">
            <w:pPr>
              <w:pStyle w:val="Tablebodytext"/>
              <w:rPr>
                <w:lang w:val="en-US"/>
              </w:rPr>
            </w:pPr>
            <w:r w:rsidRPr="00497D3E">
              <w:rPr>
                <w:lang w:val="en-US"/>
              </w:rPr>
              <w:t>0.36%</w:t>
            </w:r>
          </w:p>
        </w:tc>
      </w:tr>
      <w:tr w:rsidR="006133A8" w:rsidRPr="00497D3E" w:rsidTr="00497D3E">
        <w:trPr>
          <w:trHeight w:val="277"/>
        </w:trPr>
        <w:tc>
          <w:tcPr>
            <w:tcW w:w="2699" w:type="dxa"/>
          </w:tcPr>
          <w:p w:rsidR="006133A8" w:rsidRPr="00497D3E" w:rsidRDefault="006133A8" w:rsidP="00AE771C">
            <w:pPr>
              <w:pStyle w:val="Tablebodytext"/>
              <w:rPr>
                <w:lang w:val="en-US"/>
              </w:rPr>
            </w:pPr>
            <w:r w:rsidRPr="00497D3E">
              <w:rPr>
                <w:lang w:val="en-US"/>
              </w:rPr>
              <w:t>60</w:t>
            </w:r>
          </w:p>
        </w:tc>
        <w:tc>
          <w:tcPr>
            <w:tcW w:w="2319" w:type="dxa"/>
          </w:tcPr>
          <w:p w:rsidR="006133A8" w:rsidRPr="00497D3E" w:rsidRDefault="006133A8" w:rsidP="00AE771C">
            <w:pPr>
              <w:pStyle w:val="Tablebodytext"/>
              <w:rPr>
                <w:lang w:val="en-US"/>
              </w:rPr>
            </w:pPr>
            <w:r w:rsidRPr="00497D3E">
              <w:rPr>
                <w:lang w:val="en-US"/>
              </w:rPr>
              <w:t>0.04%</w:t>
            </w:r>
          </w:p>
        </w:tc>
        <w:tc>
          <w:tcPr>
            <w:tcW w:w="2912" w:type="dxa"/>
          </w:tcPr>
          <w:p w:rsidR="006133A8" w:rsidRPr="00497D3E" w:rsidRDefault="006133A8" w:rsidP="00AE771C">
            <w:pPr>
              <w:pStyle w:val="Tablebodytext"/>
              <w:rPr>
                <w:lang w:val="en-US"/>
              </w:rPr>
            </w:pPr>
            <w:r w:rsidRPr="00497D3E">
              <w:rPr>
                <w:lang w:val="en-US"/>
              </w:rPr>
              <w:t>0.11%</w:t>
            </w:r>
          </w:p>
        </w:tc>
      </w:tr>
      <w:tr w:rsidR="006133A8" w:rsidRPr="00497D3E" w:rsidTr="00497D3E">
        <w:trPr>
          <w:trHeight w:val="280"/>
        </w:trPr>
        <w:tc>
          <w:tcPr>
            <w:tcW w:w="2699" w:type="dxa"/>
          </w:tcPr>
          <w:p w:rsidR="006133A8" w:rsidRPr="00497D3E" w:rsidRDefault="006133A8" w:rsidP="00AE771C">
            <w:pPr>
              <w:pStyle w:val="Tablebodytext"/>
              <w:rPr>
                <w:lang w:val="en-US"/>
              </w:rPr>
            </w:pPr>
            <w:r w:rsidRPr="00497D3E">
              <w:rPr>
                <w:lang w:val="en-US"/>
              </w:rPr>
              <w:t>65</w:t>
            </w:r>
          </w:p>
        </w:tc>
        <w:tc>
          <w:tcPr>
            <w:tcW w:w="2319" w:type="dxa"/>
          </w:tcPr>
          <w:p w:rsidR="006133A8" w:rsidRPr="00497D3E" w:rsidRDefault="006133A8" w:rsidP="00AE771C">
            <w:pPr>
              <w:pStyle w:val="Tablebodytext"/>
              <w:rPr>
                <w:lang w:val="en-US"/>
              </w:rPr>
            </w:pPr>
            <w:r w:rsidRPr="00497D3E">
              <w:rPr>
                <w:lang w:val="en-US"/>
              </w:rPr>
              <w:t>0.00%</w:t>
            </w:r>
          </w:p>
        </w:tc>
        <w:tc>
          <w:tcPr>
            <w:tcW w:w="2912" w:type="dxa"/>
          </w:tcPr>
          <w:p w:rsidR="006133A8" w:rsidRPr="00497D3E" w:rsidRDefault="006133A8" w:rsidP="00AE771C">
            <w:pPr>
              <w:pStyle w:val="Tablebodytext"/>
              <w:rPr>
                <w:lang w:val="en-US"/>
              </w:rPr>
            </w:pPr>
            <w:r w:rsidRPr="00497D3E">
              <w:rPr>
                <w:lang w:val="en-US"/>
              </w:rPr>
              <w:t>0.00%</w:t>
            </w:r>
          </w:p>
        </w:tc>
      </w:tr>
    </w:tbl>
    <w:p w:rsidR="006133A8" w:rsidRDefault="006133A8" w:rsidP="006133A8">
      <w:pPr>
        <w:pStyle w:val="ListBullet"/>
        <w:numPr>
          <w:ilvl w:val="0"/>
          <w:numId w:val="0"/>
        </w:numPr>
      </w:pPr>
    </w:p>
    <w:p w:rsidR="00AC3D7A" w:rsidRDefault="006133A8" w:rsidP="006133A8">
      <w:pPr>
        <w:pStyle w:val="ListBullet"/>
        <w:numPr>
          <w:ilvl w:val="0"/>
          <w:numId w:val="0"/>
        </w:numPr>
      </w:pPr>
      <w:r>
        <w:t>For example, a male aged 40 is assumed to have a promotional salary increase in the following year of 0.83% together with a general salary increase of 4.0%.</w:t>
      </w:r>
    </w:p>
    <w:p w:rsidR="00AC3D7A" w:rsidRDefault="00AC3D7A">
      <w:pPr>
        <w:spacing w:after="0"/>
      </w:pPr>
      <w:r>
        <w:br w:type="page"/>
      </w:r>
    </w:p>
    <w:p w:rsidR="006133A8" w:rsidRPr="00AE771C" w:rsidRDefault="006133A8" w:rsidP="00AE771C">
      <w:pPr>
        <w:pStyle w:val="Heading3nonumbers"/>
      </w:pPr>
      <w:r w:rsidRPr="00AE771C">
        <w:lastRenderedPageBreak/>
        <w:t xml:space="preserve">PSS </w:t>
      </w:r>
      <w:r w:rsidRPr="00AE771C">
        <w:rPr>
          <w:rStyle w:val="FollowedHyperlink"/>
          <w:color w:val="auto"/>
          <w:u w:val="none"/>
        </w:rPr>
        <w:t>Member</w:t>
      </w:r>
      <w:r w:rsidRPr="00AE771C">
        <w:t xml:space="preserve"> Contribution Rate</w:t>
      </w:r>
    </w:p>
    <w:p w:rsidR="006133A8" w:rsidRDefault="006133A8" w:rsidP="006133A8">
      <w:pPr>
        <w:pStyle w:val="ListBullet"/>
        <w:numPr>
          <w:ilvl w:val="0"/>
          <w:numId w:val="0"/>
        </w:numPr>
      </w:pPr>
      <w:r>
        <w:t>In the 2011 Report, it was assumed that PSS contributors at all ages would contribute at 6% of salary. For 2014, we have adopted age-based member contribution rates. The following table shows examples of assumed member contribution rates.</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4200"/>
        <w:gridCol w:w="3609"/>
      </w:tblGrid>
      <w:tr w:rsidR="006133A8" w:rsidRPr="00497D3E" w:rsidTr="00AE771C">
        <w:trPr>
          <w:trHeight w:val="267"/>
        </w:trPr>
        <w:tc>
          <w:tcPr>
            <w:tcW w:w="4200" w:type="dxa"/>
            <w:shd w:val="clear" w:color="auto" w:fill="DDF3FA"/>
            <w:vAlign w:val="bottom"/>
          </w:tcPr>
          <w:p w:rsidR="006133A8" w:rsidRPr="00497D3E" w:rsidRDefault="006133A8" w:rsidP="00AE771C">
            <w:pPr>
              <w:pStyle w:val="Tablecolumnheading"/>
              <w:rPr>
                <w:lang w:val="en-US"/>
              </w:rPr>
            </w:pPr>
            <w:r w:rsidRPr="00497D3E">
              <w:rPr>
                <w:lang w:val="en-US"/>
              </w:rPr>
              <w:t>Age Last Birthday</w:t>
            </w:r>
          </w:p>
        </w:tc>
        <w:tc>
          <w:tcPr>
            <w:tcW w:w="3609" w:type="dxa"/>
            <w:shd w:val="clear" w:color="auto" w:fill="DDF3FA"/>
            <w:vAlign w:val="bottom"/>
          </w:tcPr>
          <w:p w:rsidR="006133A8" w:rsidRPr="00497D3E" w:rsidRDefault="006133A8" w:rsidP="00AE771C">
            <w:pPr>
              <w:pStyle w:val="Tablecolumnheading"/>
              <w:rPr>
                <w:lang w:val="en-US"/>
              </w:rPr>
            </w:pPr>
            <w:r w:rsidRPr="00497D3E">
              <w:rPr>
                <w:lang w:val="en-US"/>
              </w:rPr>
              <w:t>Member Contribution Rate</w:t>
            </w:r>
            <w:r w:rsidRPr="00497D3E">
              <w:rPr>
                <w:lang w:val="en-US"/>
              </w:rPr>
              <w:br/>
              <w:t>(% of Salary)</w:t>
            </w:r>
          </w:p>
        </w:tc>
      </w:tr>
      <w:tr w:rsidR="006133A8" w:rsidRPr="00497D3E" w:rsidTr="00AE771C">
        <w:trPr>
          <w:trHeight w:val="269"/>
        </w:trPr>
        <w:tc>
          <w:tcPr>
            <w:tcW w:w="4200" w:type="dxa"/>
          </w:tcPr>
          <w:p w:rsidR="006133A8" w:rsidRPr="00497D3E" w:rsidRDefault="006133A8" w:rsidP="00AE771C">
            <w:pPr>
              <w:pStyle w:val="Tablebodytext"/>
              <w:rPr>
                <w:lang w:val="en-US"/>
              </w:rPr>
            </w:pPr>
            <w:r w:rsidRPr="00497D3E">
              <w:rPr>
                <w:lang w:val="en-US"/>
              </w:rPr>
              <w:t>30</w:t>
            </w:r>
          </w:p>
        </w:tc>
        <w:tc>
          <w:tcPr>
            <w:tcW w:w="3609" w:type="dxa"/>
          </w:tcPr>
          <w:p w:rsidR="006133A8" w:rsidRPr="00497D3E" w:rsidRDefault="006133A8" w:rsidP="00AE771C">
            <w:pPr>
              <w:pStyle w:val="Tablebodytext"/>
              <w:rPr>
                <w:lang w:val="en-US"/>
              </w:rPr>
            </w:pPr>
            <w:r w:rsidRPr="00497D3E">
              <w:rPr>
                <w:lang w:val="en-US"/>
              </w:rPr>
              <w:t>4.0</w:t>
            </w:r>
          </w:p>
        </w:tc>
      </w:tr>
      <w:tr w:rsidR="006133A8" w:rsidRPr="00497D3E" w:rsidTr="00AE771C">
        <w:trPr>
          <w:trHeight w:val="269"/>
        </w:trPr>
        <w:tc>
          <w:tcPr>
            <w:tcW w:w="4200" w:type="dxa"/>
          </w:tcPr>
          <w:p w:rsidR="006133A8" w:rsidRPr="00497D3E" w:rsidRDefault="006133A8" w:rsidP="00AE771C">
            <w:pPr>
              <w:pStyle w:val="Tablebodytext"/>
              <w:rPr>
                <w:lang w:val="en-US"/>
              </w:rPr>
            </w:pPr>
            <w:r w:rsidRPr="00497D3E">
              <w:rPr>
                <w:lang w:val="en-US"/>
              </w:rPr>
              <w:t>35</w:t>
            </w:r>
          </w:p>
        </w:tc>
        <w:tc>
          <w:tcPr>
            <w:tcW w:w="3609" w:type="dxa"/>
          </w:tcPr>
          <w:p w:rsidR="006133A8" w:rsidRPr="00497D3E" w:rsidRDefault="006133A8" w:rsidP="00AE771C">
            <w:pPr>
              <w:pStyle w:val="Tablebodytext"/>
              <w:rPr>
                <w:lang w:val="en-US"/>
              </w:rPr>
            </w:pPr>
            <w:r w:rsidRPr="00497D3E">
              <w:rPr>
                <w:lang w:val="en-US"/>
              </w:rPr>
              <w:t>4.5</w:t>
            </w:r>
          </w:p>
        </w:tc>
      </w:tr>
      <w:tr w:rsidR="006133A8" w:rsidRPr="00497D3E" w:rsidTr="00AE771C">
        <w:trPr>
          <w:trHeight w:val="269"/>
        </w:trPr>
        <w:tc>
          <w:tcPr>
            <w:tcW w:w="4200" w:type="dxa"/>
          </w:tcPr>
          <w:p w:rsidR="006133A8" w:rsidRPr="00497D3E" w:rsidRDefault="006133A8" w:rsidP="00AE771C">
            <w:pPr>
              <w:pStyle w:val="Tablebodytext"/>
              <w:rPr>
                <w:lang w:val="en-US"/>
              </w:rPr>
            </w:pPr>
            <w:r w:rsidRPr="00497D3E">
              <w:rPr>
                <w:lang w:val="en-US"/>
              </w:rPr>
              <w:t>40</w:t>
            </w:r>
          </w:p>
        </w:tc>
        <w:tc>
          <w:tcPr>
            <w:tcW w:w="3609" w:type="dxa"/>
          </w:tcPr>
          <w:p w:rsidR="006133A8" w:rsidRPr="00497D3E" w:rsidRDefault="006133A8" w:rsidP="00AE771C">
            <w:pPr>
              <w:pStyle w:val="Tablebodytext"/>
              <w:rPr>
                <w:lang w:val="en-US"/>
              </w:rPr>
            </w:pPr>
            <w:r w:rsidRPr="00497D3E">
              <w:rPr>
                <w:lang w:val="en-US"/>
              </w:rPr>
              <w:t>5.0</w:t>
            </w:r>
          </w:p>
        </w:tc>
      </w:tr>
      <w:tr w:rsidR="006133A8" w:rsidRPr="00497D3E" w:rsidTr="00AE771C">
        <w:trPr>
          <w:trHeight w:val="269"/>
        </w:trPr>
        <w:tc>
          <w:tcPr>
            <w:tcW w:w="4200" w:type="dxa"/>
          </w:tcPr>
          <w:p w:rsidR="006133A8" w:rsidRPr="00497D3E" w:rsidRDefault="006133A8" w:rsidP="00AE771C">
            <w:pPr>
              <w:pStyle w:val="Tablebodytext"/>
              <w:rPr>
                <w:lang w:val="en-US"/>
              </w:rPr>
            </w:pPr>
            <w:r w:rsidRPr="00497D3E">
              <w:rPr>
                <w:lang w:val="en-US"/>
              </w:rPr>
              <w:t>45</w:t>
            </w:r>
          </w:p>
        </w:tc>
        <w:tc>
          <w:tcPr>
            <w:tcW w:w="3609" w:type="dxa"/>
          </w:tcPr>
          <w:p w:rsidR="006133A8" w:rsidRPr="00497D3E" w:rsidRDefault="006133A8" w:rsidP="00AE771C">
            <w:pPr>
              <w:pStyle w:val="Tablebodytext"/>
              <w:rPr>
                <w:lang w:val="en-US"/>
              </w:rPr>
            </w:pPr>
            <w:r w:rsidRPr="00497D3E">
              <w:rPr>
                <w:lang w:val="en-US"/>
              </w:rPr>
              <w:t>6.0</w:t>
            </w:r>
          </w:p>
        </w:tc>
      </w:tr>
      <w:tr w:rsidR="006133A8" w:rsidRPr="00497D3E" w:rsidTr="00AE771C">
        <w:trPr>
          <w:trHeight w:val="269"/>
        </w:trPr>
        <w:tc>
          <w:tcPr>
            <w:tcW w:w="4200" w:type="dxa"/>
          </w:tcPr>
          <w:p w:rsidR="006133A8" w:rsidRPr="00497D3E" w:rsidRDefault="006133A8" w:rsidP="00AE771C">
            <w:pPr>
              <w:pStyle w:val="Tablebodytext"/>
              <w:rPr>
                <w:lang w:val="en-US"/>
              </w:rPr>
            </w:pPr>
            <w:r w:rsidRPr="00497D3E">
              <w:rPr>
                <w:lang w:val="en-US"/>
              </w:rPr>
              <w:t>50</w:t>
            </w:r>
          </w:p>
        </w:tc>
        <w:tc>
          <w:tcPr>
            <w:tcW w:w="3609" w:type="dxa"/>
          </w:tcPr>
          <w:p w:rsidR="006133A8" w:rsidRPr="00497D3E" w:rsidRDefault="006133A8" w:rsidP="00AE771C">
            <w:pPr>
              <w:pStyle w:val="Tablebodytext"/>
              <w:rPr>
                <w:lang w:val="en-US"/>
              </w:rPr>
            </w:pPr>
            <w:r w:rsidRPr="00497D3E">
              <w:rPr>
                <w:lang w:val="en-US"/>
              </w:rPr>
              <w:t>7.</w:t>
            </w:r>
            <w:r w:rsidR="00EB192D">
              <w:rPr>
                <w:lang w:val="en-US"/>
              </w:rPr>
              <w:t>3</w:t>
            </w:r>
          </w:p>
        </w:tc>
      </w:tr>
      <w:tr w:rsidR="006133A8" w:rsidRPr="00497D3E" w:rsidTr="00AE771C">
        <w:trPr>
          <w:trHeight w:val="269"/>
        </w:trPr>
        <w:tc>
          <w:tcPr>
            <w:tcW w:w="4200" w:type="dxa"/>
          </w:tcPr>
          <w:p w:rsidR="006133A8" w:rsidRPr="00497D3E" w:rsidRDefault="006133A8" w:rsidP="00AE771C">
            <w:pPr>
              <w:pStyle w:val="Tablebodytext"/>
              <w:rPr>
                <w:szCs w:val="18"/>
                <w:lang w:val="en-US"/>
              </w:rPr>
            </w:pPr>
            <w:r w:rsidRPr="00497D3E">
              <w:rPr>
                <w:szCs w:val="18"/>
                <w:lang w:val="en-US"/>
              </w:rPr>
              <w:t>55</w:t>
            </w:r>
          </w:p>
        </w:tc>
        <w:tc>
          <w:tcPr>
            <w:tcW w:w="3609" w:type="dxa"/>
          </w:tcPr>
          <w:p w:rsidR="006133A8" w:rsidRPr="00497D3E" w:rsidRDefault="006133A8" w:rsidP="00AE771C">
            <w:pPr>
              <w:pStyle w:val="Tablebodytext"/>
              <w:rPr>
                <w:szCs w:val="18"/>
                <w:lang w:val="en-US"/>
              </w:rPr>
            </w:pPr>
            <w:r w:rsidRPr="00497D3E">
              <w:rPr>
                <w:szCs w:val="18"/>
                <w:lang w:val="en-US"/>
              </w:rPr>
              <w:t>8.5</w:t>
            </w:r>
          </w:p>
        </w:tc>
      </w:tr>
      <w:tr w:rsidR="006133A8" w:rsidRPr="00497D3E" w:rsidTr="00AE771C">
        <w:trPr>
          <w:trHeight w:val="269"/>
        </w:trPr>
        <w:tc>
          <w:tcPr>
            <w:tcW w:w="4200" w:type="dxa"/>
          </w:tcPr>
          <w:p w:rsidR="006133A8" w:rsidRPr="00497D3E" w:rsidRDefault="006133A8" w:rsidP="00AE771C">
            <w:pPr>
              <w:pStyle w:val="Tablebodytext"/>
              <w:rPr>
                <w:szCs w:val="18"/>
                <w:lang w:val="en-US"/>
              </w:rPr>
            </w:pPr>
            <w:r w:rsidRPr="00497D3E">
              <w:rPr>
                <w:szCs w:val="18"/>
                <w:lang w:val="en-US"/>
              </w:rPr>
              <w:t>60</w:t>
            </w:r>
          </w:p>
        </w:tc>
        <w:tc>
          <w:tcPr>
            <w:tcW w:w="3609" w:type="dxa"/>
          </w:tcPr>
          <w:p w:rsidR="006133A8" w:rsidRPr="00497D3E" w:rsidRDefault="006133A8" w:rsidP="00AE771C">
            <w:pPr>
              <w:pStyle w:val="Tablebodytext"/>
              <w:rPr>
                <w:szCs w:val="18"/>
                <w:lang w:val="en-US"/>
              </w:rPr>
            </w:pPr>
            <w:r w:rsidRPr="00497D3E">
              <w:rPr>
                <w:szCs w:val="18"/>
                <w:lang w:val="en-US"/>
              </w:rPr>
              <w:t>8.5</w:t>
            </w:r>
          </w:p>
        </w:tc>
      </w:tr>
      <w:tr w:rsidR="006133A8" w:rsidRPr="00497D3E" w:rsidTr="00AE771C">
        <w:trPr>
          <w:trHeight w:val="269"/>
        </w:trPr>
        <w:tc>
          <w:tcPr>
            <w:tcW w:w="4200" w:type="dxa"/>
          </w:tcPr>
          <w:p w:rsidR="006133A8" w:rsidRPr="00497D3E" w:rsidRDefault="006133A8" w:rsidP="00AE771C">
            <w:pPr>
              <w:pStyle w:val="Tablebodytext"/>
              <w:rPr>
                <w:szCs w:val="18"/>
                <w:lang w:val="en-US"/>
              </w:rPr>
            </w:pPr>
            <w:r w:rsidRPr="00497D3E">
              <w:rPr>
                <w:szCs w:val="18"/>
                <w:lang w:val="en-US"/>
              </w:rPr>
              <w:t>65</w:t>
            </w:r>
          </w:p>
        </w:tc>
        <w:tc>
          <w:tcPr>
            <w:tcW w:w="3609" w:type="dxa"/>
          </w:tcPr>
          <w:p w:rsidR="006133A8" w:rsidRPr="00497D3E" w:rsidRDefault="006133A8" w:rsidP="00AE771C">
            <w:pPr>
              <w:pStyle w:val="Tablebodytext"/>
              <w:rPr>
                <w:szCs w:val="18"/>
                <w:lang w:val="en-US"/>
              </w:rPr>
            </w:pPr>
            <w:r w:rsidRPr="00497D3E">
              <w:rPr>
                <w:szCs w:val="18"/>
                <w:lang w:val="en-US"/>
              </w:rPr>
              <w:t>8.5</w:t>
            </w:r>
          </w:p>
        </w:tc>
      </w:tr>
    </w:tbl>
    <w:p w:rsidR="00AC3D7A" w:rsidRDefault="00AC3D7A" w:rsidP="0060311E">
      <w:pPr>
        <w:pStyle w:val="Heading4nonumbers"/>
      </w:pPr>
    </w:p>
    <w:p w:rsidR="00AC3D7A" w:rsidRDefault="00AC3D7A" w:rsidP="00AC3D7A">
      <w:pPr>
        <w:pStyle w:val="BodyText1"/>
        <w:rPr>
          <w:rFonts w:ascii="Arial" w:eastAsia="MS Gothic" w:hAnsi="Arial"/>
          <w:color w:val="005A77"/>
          <w:spacing w:val="-6"/>
          <w:sz w:val="24"/>
        </w:rPr>
      </w:pPr>
      <w:r>
        <w:br w:type="page"/>
      </w:r>
    </w:p>
    <w:p w:rsidR="006133A8" w:rsidRDefault="006133A8" w:rsidP="0060311E">
      <w:pPr>
        <w:pStyle w:val="Heading4nonumbers"/>
      </w:pPr>
      <w:r w:rsidRPr="00E50526">
        <w:lastRenderedPageBreak/>
        <w:t>Contributors exits by Age Retirement</w:t>
      </w:r>
    </w:p>
    <w:p w:rsidR="0060311E" w:rsidRPr="0060311E" w:rsidRDefault="0060311E" w:rsidP="0060311E">
      <w:pPr>
        <w:pStyle w:val="Heading5"/>
        <w:rPr>
          <w:lang w:val="en-US"/>
        </w:rPr>
      </w:pPr>
      <w:r w:rsidRPr="00497D3E">
        <w:rPr>
          <w:lang w:val="en-US"/>
        </w:rPr>
        <w:t xml:space="preserve">Age Retirement Assumptions </w:t>
      </w:r>
      <w:r>
        <w:rPr>
          <w:lang w:val="en-US"/>
        </w:rPr>
        <w:t>–</w:t>
      </w:r>
      <w:r w:rsidRPr="00497D3E">
        <w:rPr>
          <w:lang w:val="en-US"/>
        </w:rPr>
        <w:t xml:space="preserve"> Contributors</w:t>
      </w:r>
      <w:r>
        <w:rPr>
          <w:lang w:val="en-US"/>
        </w:rPr>
        <w:br/>
      </w:r>
      <w:r w:rsidRPr="00497D3E">
        <w:rPr>
          <w:lang w:val="en-US"/>
        </w:rPr>
        <w:t>(per 1,000 at age shown)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368"/>
        <w:gridCol w:w="1751"/>
        <w:gridCol w:w="1559"/>
        <w:gridCol w:w="1559"/>
        <w:gridCol w:w="1693"/>
      </w:tblGrid>
      <w:tr w:rsidR="006133A8" w:rsidRPr="00497D3E" w:rsidTr="00497D3E">
        <w:trPr>
          <w:trHeight w:val="265"/>
        </w:trPr>
        <w:tc>
          <w:tcPr>
            <w:tcW w:w="1368" w:type="dxa"/>
            <w:vMerge w:val="restart"/>
            <w:shd w:val="clear" w:color="auto" w:fill="DDF3FA"/>
            <w:vAlign w:val="center"/>
          </w:tcPr>
          <w:p w:rsidR="006133A8" w:rsidRPr="00497D3E" w:rsidRDefault="006133A8" w:rsidP="0060311E">
            <w:pPr>
              <w:pStyle w:val="Tablecolumnheading"/>
              <w:rPr>
                <w:rFonts w:cs="Arial"/>
                <w:bCs/>
                <w:lang w:val="en-US"/>
              </w:rPr>
            </w:pPr>
            <w:r w:rsidRPr="00497D3E">
              <w:rPr>
                <w:rFonts w:cs="Arial"/>
                <w:bCs/>
                <w:lang w:val="en-US"/>
              </w:rPr>
              <w:t>Age Last Birthday</w:t>
            </w:r>
          </w:p>
        </w:tc>
        <w:tc>
          <w:tcPr>
            <w:tcW w:w="3310" w:type="dxa"/>
            <w:gridSpan w:val="2"/>
            <w:shd w:val="clear" w:color="auto" w:fill="DDF3FA"/>
            <w:vAlign w:val="center"/>
          </w:tcPr>
          <w:p w:rsidR="006133A8" w:rsidRPr="00497D3E" w:rsidRDefault="006133A8" w:rsidP="0060311E">
            <w:pPr>
              <w:pStyle w:val="Tablecolumnheading"/>
              <w:rPr>
                <w:rFonts w:cs="Arial"/>
                <w:bCs/>
                <w:lang w:val="en-US"/>
              </w:rPr>
            </w:pPr>
            <w:r w:rsidRPr="00497D3E">
              <w:rPr>
                <w:rFonts w:cs="Arial"/>
                <w:bCs/>
                <w:lang w:val="en-US"/>
              </w:rPr>
              <w:t>PSS</w:t>
            </w:r>
          </w:p>
        </w:tc>
        <w:tc>
          <w:tcPr>
            <w:tcW w:w="3252" w:type="dxa"/>
            <w:gridSpan w:val="2"/>
            <w:shd w:val="clear" w:color="auto" w:fill="DDF3FA"/>
            <w:vAlign w:val="center"/>
          </w:tcPr>
          <w:p w:rsidR="006133A8" w:rsidRPr="00497D3E" w:rsidRDefault="006133A8" w:rsidP="0060311E">
            <w:pPr>
              <w:pStyle w:val="Tablecolumnheading"/>
              <w:rPr>
                <w:rFonts w:cs="Arial"/>
                <w:bCs/>
                <w:lang w:val="en-US"/>
              </w:rPr>
            </w:pPr>
            <w:r w:rsidRPr="00497D3E">
              <w:rPr>
                <w:rFonts w:cs="Arial"/>
                <w:bCs/>
                <w:lang w:val="en-US"/>
              </w:rPr>
              <w:t>CSS</w:t>
            </w:r>
          </w:p>
        </w:tc>
      </w:tr>
      <w:tr w:rsidR="006133A8" w:rsidRPr="00497D3E" w:rsidTr="00497D3E">
        <w:trPr>
          <w:trHeight w:val="265"/>
        </w:trPr>
        <w:tc>
          <w:tcPr>
            <w:tcW w:w="1368" w:type="dxa"/>
            <w:vMerge/>
            <w:shd w:val="clear" w:color="auto" w:fill="DDF3FA"/>
            <w:vAlign w:val="center"/>
          </w:tcPr>
          <w:p w:rsidR="006133A8" w:rsidRPr="00497D3E" w:rsidRDefault="006133A8" w:rsidP="0060311E">
            <w:pPr>
              <w:pStyle w:val="Tablecolumnheading"/>
              <w:rPr>
                <w:lang w:val="en-US"/>
              </w:rPr>
            </w:pPr>
          </w:p>
        </w:tc>
        <w:tc>
          <w:tcPr>
            <w:tcW w:w="1751" w:type="dxa"/>
            <w:shd w:val="clear" w:color="auto" w:fill="DDF3FA"/>
            <w:vAlign w:val="center"/>
          </w:tcPr>
          <w:p w:rsidR="006133A8" w:rsidRPr="00497D3E" w:rsidRDefault="006133A8" w:rsidP="0060311E">
            <w:pPr>
              <w:pStyle w:val="Tablecolumnheading"/>
              <w:rPr>
                <w:rFonts w:cs="Arial"/>
                <w:bCs/>
                <w:lang w:val="en-US"/>
              </w:rPr>
            </w:pPr>
            <w:r w:rsidRPr="00497D3E">
              <w:rPr>
                <w:rFonts w:cs="Arial"/>
                <w:bCs/>
                <w:lang w:val="en-US"/>
              </w:rPr>
              <w:t>Males</w:t>
            </w:r>
          </w:p>
        </w:tc>
        <w:tc>
          <w:tcPr>
            <w:tcW w:w="1559" w:type="dxa"/>
            <w:shd w:val="clear" w:color="auto" w:fill="DDF3FA"/>
            <w:vAlign w:val="center"/>
          </w:tcPr>
          <w:p w:rsidR="006133A8" w:rsidRPr="00497D3E" w:rsidRDefault="006133A8" w:rsidP="0060311E">
            <w:pPr>
              <w:pStyle w:val="Tablecolumnheading"/>
              <w:rPr>
                <w:rFonts w:cs="Arial"/>
                <w:bCs/>
                <w:lang w:val="en-US"/>
              </w:rPr>
            </w:pPr>
            <w:r w:rsidRPr="00497D3E">
              <w:rPr>
                <w:rFonts w:cs="Arial"/>
                <w:bCs/>
                <w:lang w:val="en-US"/>
              </w:rPr>
              <w:t>Females</w:t>
            </w:r>
          </w:p>
        </w:tc>
        <w:tc>
          <w:tcPr>
            <w:tcW w:w="1559" w:type="dxa"/>
            <w:shd w:val="clear" w:color="auto" w:fill="DDF3FA"/>
            <w:vAlign w:val="center"/>
          </w:tcPr>
          <w:p w:rsidR="006133A8" w:rsidRPr="00497D3E" w:rsidRDefault="006133A8" w:rsidP="0060311E">
            <w:pPr>
              <w:pStyle w:val="Tablecolumnheading"/>
              <w:rPr>
                <w:rFonts w:cs="Arial"/>
                <w:bCs/>
                <w:lang w:val="en-US"/>
              </w:rPr>
            </w:pPr>
            <w:r w:rsidRPr="00497D3E">
              <w:rPr>
                <w:rFonts w:cs="Arial"/>
                <w:bCs/>
                <w:lang w:val="en-US"/>
              </w:rPr>
              <w:t>Males</w:t>
            </w:r>
          </w:p>
        </w:tc>
        <w:tc>
          <w:tcPr>
            <w:tcW w:w="1693" w:type="dxa"/>
            <w:shd w:val="clear" w:color="auto" w:fill="DDF3FA"/>
            <w:vAlign w:val="center"/>
          </w:tcPr>
          <w:p w:rsidR="006133A8" w:rsidRPr="00497D3E" w:rsidRDefault="006133A8" w:rsidP="0060311E">
            <w:pPr>
              <w:pStyle w:val="Tablecolumnheading"/>
              <w:rPr>
                <w:rFonts w:cs="Arial"/>
                <w:bCs/>
                <w:lang w:val="en-US"/>
              </w:rPr>
            </w:pPr>
            <w:r w:rsidRPr="00497D3E">
              <w:rPr>
                <w:rFonts w:cs="Arial"/>
                <w:bCs/>
                <w:lang w:val="en-US"/>
              </w:rPr>
              <w:t>Females</w:t>
            </w:r>
          </w:p>
        </w:tc>
      </w:tr>
      <w:tr w:rsidR="006133A8" w:rsidRPr="00497D3E" w:rsidTr="00497D3E">
        <w:trPr>
          <w:trHeight w:val="239"/>
        </w:trPr>
        <w:tc>
          <w:tcPr>
            <w:tcW w:w="1368" w:type="dxa"/>
            <w:vAlign w:val="center"/>
          </w:tcPr>
          <w:p w:rsidR="006133A8" w:rsidRPr="00497D3E" w:rsidRDefault="006133A8" w:rsidP="0060311E">
            <w:pPr>
              <w:pStyle w:val="Tablebodytext"/>
              <w:rPr>
                <w:lang w:val="en-US"/>
              </w:rPr>
            </w:pPr>
            <w:r w:rsidRPr="00497D3E">
              <w:rPr>
                <w:lang w:val="en-US"/>
              </w:rPr>
              <w:t>55</w:t>
            </w:r>
          </w:p>
        </w:tc>
        <w:tc>
          <w:tcPr>
            <w:tcW w:w="1751" w:type="dxa"/>
            <w:vAlign w:val="center"/>
          </w:tcPr>
          <w:p w:rsidR="006133A8" w:rsidRPr="00497D3E" w:rsidRDefault="006133A8" w:rsidP="0060311E">
            <w:pPr>
              <w:pStyle w:val="Tablebodytext"/>
              <w:rPr>
                <w:lang w:val="en-US"/>
              </w:rPr>
            </w:pPr>
            <w:r w:rsidRPr="00497D3E">
              <w:rPr>
                <w:lang w:val="en-US"/>
              </w:rPr>
              <w:t>70</w:t>
            </w:r>
          </w:p>
        </w:tc>
        <w:tc>
          <w:tcPr>
            <w:tcW w:w="1559" w:type="dxa"/>
            <w:vAlign w:val="center"/>
          </w:tcPr>
          <w:p w:rsidR="006133A8" w:rsidRPr="00497D3E" w:rsidRDefault="006133A8" w:rsidP="0060311E">
            <w:pPr>
              <w:pStyle w:val="Tablebodytext"/>
              <w:rPr>
                <w:lang w:val="en-US"/>
              </w:rPr>
            </w:pPr>
            <w:r w:rsidRPr="00497D3E">
              <w:rPr>
                <w:lang w:val="en-US"/>
              </w:rPr>
              <w:t>80</w:t>
            </w:r>
          </w:p>
        </w:tc>
        <w:tc>
          <w:tcPr>
            <w:tcW w:w="1559" w:type="dxa"/>
            <w:vAlign w:val="center"/>
          </w:tcPr>
          <w:p w:rsidR="006133A8" w:rsidRPr="00497D3E" w:rsidRDefault="006133A8" w:rsidP="0060311E">
            <w:pPr>
              <w:pStyle w:val="Tablebodytext"/>
              <w:rPr>
                <w:lang w:val="en-US"/>
              </w:rPr>
            </w:pPr>
            <w:r w:rsidRPr="00497D3E">
              <w:rPr>
                <w:lang w:val="en-US"/>
              </w:rPr>
              <w:t>75</w:t>
            </w:r>
          </w:p>
        </w:tc>
        <w:tc>
          <w:tcPr>
            <w:tcW w:w="1693" w:type="dxa"/>
            <w:vAlign w:val="center"/>
          </w:tcPr>
          <w:p w:rsidR="006133A8" w:rsidRPr="00497D3E" w:rsidRDefault="006133A8" w:rsidP="0060311E">
            <w:pPr>
              <w:pStyle w:val="Tablebodytext"/>
              <w:rPr>
                <w:lang w:val="en-US"/>
              </w:rPr>
            </w:pPr>
            <w:r w:rsidRPr="00497D3E">
              <w:rPr>
                <w:lang w:val="en-US"/>
              </w:rPr>
              <w:t>110</w:t>
            </w:r>
          </w:p>
        </w:tc>
      </w:tr>
      <w:tr w:rsidR="006133A8" w:rsidRPr="00497D3E" w:rsidTr="00497D3E">
        <w:trPr>
          <w:trHeight w:val="286"/>
        </w:trPr>
        <w:tc>
          <w:tcPr>
            <w:tcW w:w="1368" w:type="dxa"/>
            <w:vAlign w:val="center"/>
          </w:tcPr>
          <w:p w:rsidR="006133A8" w:rsidRPr="00497D3E" w:rsidRDefault="006133A8" w:rsidP="0060311E">
            <w:pPr>
              <w:pStyle w:val="Tablebodytext"/>
              <w:rPr>
                <w:lang w:val="en-US"/>
              </w:rPr>
            </w:pPr>
            <w:r w:rsidRPr="00497D3E">
              <w:rPr>
                <w:lang w:val="en-US"/>
              </w:rPr>
              <w:t>56</w:t>
            </w:r>
          </w:p>
        </w:tc>
        <w:tc>
          <w:tcPr>
            <w:tcW w:w="1751" w:type="dxa"/>
            <w:vAlign w:val="center"/>
          </w:tcPr>
          <w:p w:rsidR="006133A8" w:rsidRPr="00497D3E" w:rsidRDefault="006133A8" w:rsidP="0060311E">
            <w:pPr>
              <w:pStyle w:val="Tablebodytext"/>
              <w:rPr>
                <w:lang w:val="en-US"/>
              </w:rPr>
            </w:pPr>
            <w:r w:rsidRPr="00497D3E">
              <w:rPr>
                <w:lang w:val="en-US"/>
              </w:rPr>
              <w:t>55</w:t>
            </w:r>
          </w:p>
        </w:tc>
        <w:tc>
          <w:tcPr>
            <w:tcW w:w="1559" w:type="dxa"/>
            <w:vAlign w:val="center"/>
          </w:tcPr>
          <w:p w:rsidR="006133A8" w:rsidRPr="00497D3E" w:rsidRDefault="006133A8" w:rsidP="0060311E">
            <w:pPr>
              <w:pStyle w:val="Tablebodytext"/>
              <w:rPr>
                <w:lang w:val="en-US"/>
              </w:rPr>
            </w:pPr>
            <w:r w:rsidRPr="00497D3E">
              <w:rPr>
                <w:lang w:val="en-US"/>
              </w:rPr>
              <w:t>70</w:t>
            </w:r>
          </w:p>
        </w:tc>
        <w:tc>
          <w:tcPr>
            <w:tcW w:w="1559" w:type="dxa"/>
            <w:vAlign w:val="center"/>
          </w:tcPr>
          <w:p w:rsidR="006133A8" w:rsidRPr="00497D3E" w:rsidRDefault="006133A8" w:rsidP="0060311E">
            <w:pPr>
              <w:pStyle w:val="Tablebodytext"/>
              <w:rPr>
                <w:lang w:val="en-US"/>
              </w:rPr>
            </w:pPr>
            <w:r w:rsidRPr="00497D3E">
              <w:rPr>
                <w:lang w:val="en-US"/>
              </w:rPr>
              <w:t>45</w:t>
            </w:r>
          </w:p>
        </w:tc>
        <w:tc>
          <w:tcPr>
            <w:tcW w:w="1693" w:type="dxa"/>
            <w:vAlign w:val="center"/>
          </w:tcPr>
          <w:p w:rsidR="006133A8" w:rsidRPr="00497D3E" w:rsidRDefault="006133A8" w:rsidP="0060311E">
            <w:pPr>
              <w:pStyle w:val="Tablebodytext"/>
              <w:rPr>
                <w:lang w:val="en-US"/>
              </w:rPr>
            </w:pPr>
            <w:r w:rsidRPr="00497D3E">
              <w:rPr>
                <w:lang w:val="en-US"/>
              </w:rPr>
              <w:t>40</w:t>
            </w:r>
          </w:p>
        </w:tc>
      </w:tr>
      <w:tr w:rsidR="006133A8" w:rsidRPr="00497D3E" w:rsidTr="00497D3E">
        <w:trPr>
          <w:trHeight w:val="261"/>
        </w:trPr>
        <w:tc>
          <w:tcPr>
            <w:tcW w:w="1368" w:type="dxa"/>
            <w:vAlign w:val="center"/>
          </w:tcPr>
          <w:p w:rsidR="006133A8" w:rsidRPr="00497D3E" w:rsidRDefault="006133A8" w:rsidP="0060311E">
            <w:pPr>
              <w:pStyle w:val="Tablebodytext"/>
              <w:rPr>
                <w:lang w:val="en-US"/>
              </w:rPr>
            </w:pPr>
            <w:r w:rsidRPr="00497D3E">
              <w:rPr>
                <w:lang w:val="en-US"/>
              </w:rPr>
              <w:t>57</w:t>
            </w:r>
          </w:p>
        </w:tc>
        <w:tc>
          <w:tcPr>
            <w:tcW w:w="1751" w:type="dxa"/>
            <w:vAlign w:val="center"/>
          </w:tcPr>
          <w:p w:rsidR="006133A8" w:rsidRPr="00497D3E" w:rsidRDefault="006133A8" w:rsidP="0060311E">
            <w:pPr>
              <w:pStyle w:val="Tablebodytext"/>
              <w:rPr>
                <w:lang w:val="en-US"/>
              </w:rPr>
            </w:pPr>
            <w:r w:rsidRPr="00497D3E">
              <w:rPr>
                <w:lang w:val="en-US"/>
              </w:rPr>
              <w:t>55</w:t>
            </w:r>
          </w:p>
        </w:tc>
        <w:tc>
          <w:tcPr>
            <w:tcW w:w="1559" w:type="dxa"/>
            <w:vAlign w:val="center"/>
          </w:tcPr>
          <w:p w:rsidR="006133A8" w:rsidRPr="00497D3E" w:rsidRDefault="006133A8" w:rsidP="0060311E">
            <w:pPr>
              <w:pStyle w:val="Tablebodytext"/>
              <w:rPr>
                <w:lang w:val="en-US"/>
              </w:rPr>
            </w:pPr>
            <w:r w:rsidRPr="00497D3E">
              <w:rPr>
                <w:lang w:val="en-US"/>
              </w:rPr>
              <w:t>68</w:t>
            </w:r>
          </w:p>
        </w:tc>
        <w:tc>
          <w:tcPr>
            <w:tcW w:w="1559" w:type="dxa"/>
            <w:vAlign w:val="center"/>
          </w:tcPr>
          <w:p w:rsidR="006133A8" w:rsidRPr="00497D3E" w:rsidRDefault="006133A8" w:rsidP="0060311E">
            <w:pPr>
              <w:pStyle w:val="Tablebodytext"/>
              <w:rPr>
                <w:lang w:val="en-US"/>
              </w:rPr>
            </w:pPr>
            <w:r w:rsidRPr="00497D3E">
              <w:rPr>
                <w:lang w:val="en-US"/>
              </w:rPr>
              <w:t>39</w:t>
            </w:r>
          </w:p>
        </w:tc>
        <w:tc>
          <w:tcPr>
            <w:tcW w:w="1693" w:type="dxa"/>
            <w:vAlign w:val="center"/>
          </w:tcPr>
          <w:p w:rsidR="006133A8" w:rsidRPr="00497D3E" w:rsidRDefault="006133A8" w:rsidP="0060311E">
            <w:pPr>
              <w:pStyle w:val="Tablebodytext"/>
              <w:rPr>
                <w:lang w:val="en-US"/>
              </w:rPr>
            </w:pPr>
            <w:r w:rsidRPr="00497D3E">
              <w:rPr>
                <w:lang w:val="en-US"/>
              </w:rPr>
              <w:t>49</w:t>
            </w:r>
          </w:p>
        </w:tc>
      </w:tr>
      <w:tr w:rsidR="006133A8" w:rsidRPr="00497D3E" w:rsidTr="00497D3E">
        <w:trPr>
          <w:trHeight w:val="278"/>
        </w:trPr>
        <w:tc>
          <w:tcPr>
            <w:tcW w:w="1368" w:type="dxa"/>
            <w:vAlign w:val="center"/>
          </w:tcPr>
          <w:p w:rsidR="006133A8" w:rsidRPr="00497D3E" w:rsidRDefault="006133A8" w:rsidP="0060311E">
            <w:pPr>
              <w:pStyle w:val="Tablebodytext"/>
              <w:rPr>
                <w:lang w:val="en-US"/>
              </w:rPr>
            </w:pPr>
            <w:r w:rsidRPr="00497D3E">
              <w:rPr>
                <w:lang w:val="en-US"/>
              </w:rPr>
              <w:t>58</w:t>
            </w:r>
          </w:p>
        </w:tc>
        <w:tc>
          <w:tcPr>
            <w:tcW w:w="1751" w:type="dxa"/>
            <w:vAlign w:val="center"/>
          </w:tcPr>
          <w:p w:rsidR="006133A8" w:rsidRPr="00497D3E" w:rsidRDefault="006133A8" w:rsidP="0060311E">
            <w:pPr>
              <w:pStyle w:val="Tablebodytext"/>
              <w:rPr>
                <w:lang w:val="en-US"/>
              </w:rPr>
            </w:pPr>
            <w:r w:rsidRPr="00497D3E">
              <w:rPr>
                <w:lang w:val="en-US"/>
              </w:rPr>
              <w:t>55</w:t>
            </w:r>
          </w:p>
        </w:tc>
        <w:tc>
          <w:tcPr>
            <w:tcW w:w="1559" w:type="dxa"/>
            <w:vAlign w:val="center"/>
          </w:tcPr>
          <w:p w:rsidR="006133A8" w:rsidRPr="00497D3E" w:rsidRDefault="006133A8" w:rsidP="0060311E">
            <w:pPr>
              <w:pStyle w:val="Tablebodytext"/>
              <w:rPr>
                <w:lang w:val="en-US"/>
              </w:rPr>
            </w:pPr>
            <w:r w:rsidRPr="00497D3E">
              <w:rPr>
                <w:lang w:val="en-US"/>
              </w:rPr>
              <w:t>70</w:t>
            </w:r>
          </w:p>
        </w:tc>
        <w:tc>
          <w:tcPr>
            <w:tcW w:w="1559" w:type="dxa"/>
            <w:vAlign w:val="center"/>
          </w:tcPr>
          <w:p w:rsidR="006133A8" w:rsidRPr="00497D3E" w:rsidRDefault="006133A8" w:rsidP="0060311E">
            <w:pPr>
              <w:pStyle w:val="Tablebodytext"/>
              <w:rPr>
                <w:lang w:val="en-US"/>
              </w:rPr>
            </w:pPr>
            <w:r w:rsidRPr="00497D3E">
              <w:rPr>
                <w:lang w:val="en-US"/>
              </w:rPr>
              <w:t>55</w:t>
            </w:r>
          </w:p>
        </w:tc>
        <w:tc>
          <w:tcPr>
            <w:tcW w:w="1693" w:type="dxa"/>
            <w:vAlign w:val="center"/>
          </w:tcPr>
          <w:p w:rsidR="006133A8" w:rsidRPr="00497D3E" w:rsidRDefault="006133A8" w:rsidP="0060311E">
            <w:pPr>
              <w:pStyle w:val="Tablebodytext"/>
              <w:rPr>
                <w:lang w:val="en-US"/>
              </w:rPr>
            </w:pPr>
            <w:r w:rsidRPr="00497D3E">
              <w:rPr>
                <w:lang w:val="en-US"/>
              </w:rPr>
              <w:t>58</w:t>
            </w:r>
          </w:p>
        </w:tc>
      </w:tr>
      <w:tr w:rsidR="006133A8" w:rsidRPr="00497D3E" w:rsidTr="00497D3E">
        <w:trPr>
          <w:trHeight w:val="269"/>
        </w:trPr>
        <w:tc>
          <w:tcPr>
            <w:tcW w:w="1368" w:type="dxa"/>
            <w:vAlign w:val="center"/>
          </w:tcPr>
          <w:p w:rsidR="006133A8" w:rsidRPr="00497D3E" w:rsidRDefault="006133A8" w:rsidP="0060311E">
            <w:pPr>
              <w:pStyle w:val="Tablebodytext"/>
              <w:rPr>
                <w:lang w:val="en-US"/>
              </w:rPr>
            </w:pPr>
            <w:r w:rsidRPr="00497D3E">
              <w:rPr>
                <w:lang w:val="en-US"/>
              </w:rPr>
              <w:t>59</w:t>
            </w:r>
          </w:p>
        </w:tc>
        <w:tc>
          <w:tcPr>
            <w:tcW w:w="1751" w:type="dxa"/>
            <w:vAlign w:val="center"/>
          </w:tcPr>
          <w:p w:rsidR="006133A8" w:rsidRPr="00497D3E" w:rsidRDefault="006133A8" w:rsidP="0060311E">
            <w:pPr>
              <w:pStyle w:val="Tablebodytext"/>
              <w:rPr>
                <w:lang w:val="en-US"/>
              </w:rPr>
            </w:pPr>
            <w:r w:rsidRPr="00497D3E">
              <w:rPr>
                <w:lang w:val="en-US"/>
              </w:rPr>
              <w:t>55</w:t>
            </w:r>
          </w:p>
        </w:tc>
        <w:tc>
          <w:tcPr>
            <w:tcW w:w="1559" w:type="dxa"/>
            <w:vAlign w:val="center"/>
          </w:tcPr>
          <w:p w:rsidR="006133A8" w:rsidRPr="00497D3E" w:rsidRDefault="006133A8" w:rsidP="0060311E">
            <w:pPr>
              <w:pStyle w:val="Tablebodytext"/>
              <w:rPr>
                <w:lang w:val="en-US"/>
              </w:rPr>
            </w:pPr>
            <w:r w:rsidRPr="00497D3E">
              <w:rPr>
                <w:lang w:val="en-US"/>
              </w:rPr>
              <w:t>75</w:t>
            </w:r>
          </w:p>
        </w:tc>
        <w:tc>
          <w:tcPr>
            <w:tcW w:w="1559" w:type="dxa"/>
            <w:vAlign w:val="center"/>
          </w:tcPr>
          <w:p w:rsidR="006133A8" w:rsidRPr="00497D3E" w:rsidRDefault="006133A8" w:rsidP="0060311E">
            <w:pPr>
              <w:pStyle w:val="Tablebodytext"/>
              <w:rPr>
                <w:lang w:val="en-US"/>
              </w:rPr>
            </w:pPr>
            <w:r w:rsidRPr="00497D3E">
              <w:rPr>
                <w:lang w:val="en-US"/>
              </w:rPr>
              <w:t>57</w:t>
            </w:r>
          </w:p>
        </w:tc>
        <w:tc>
          <w:tcPr>
            <w:tcW w:w="1693" w:type="dxa"/>
            <w:vAlign w:val="center"/>
          </w:tcPr>
          <w:p w:rsidR="006133A8" w:rsidRPr="00497D3E" w:rsidRDefault="006133A8" w:rsidP="0060311E">
            <w:pPr>
              <w:pStyle w:val="Tablebodytext"/>
              <w:rPr>
                <w:lang w:val="en-US"/>
              </w:rPr>
            </w:pPr>
            <w:r w:rsidRPr="00497D3E">
              <w:rPr>
                <w:lang w:val="en-US"/>
              </w:rPr>
              <w:t>67</w:t>
            </w:r>
          </w:p>
        </w:tc>
      </w:tr>
      <w:tr w:rsidR="006133A8" w:rsidRPr="00497D3E" w:rsidTr="00497D3E">
        <w:trPr>
          <w:trHeight w:val="288"/>
        </w:trPr>
        <w:tc>
          <w:tcPr>
            <w:tcW w:w="1368" w:type="dxa"/>
            <w:vAlign w:val="center"/>
          </w:tcPr>
          <w:p w:rsidR="006133A8" w:rsidRPr="00497D3E" w:rsidRDefault="006133A8" w:rsidP="0060311E">
            <w:pPr>
              <w:pStyle w:val="Tablebodytext"/>
              <w:rPr>
                <w:lang w:val="en-US"/>
              </w:rPr>
            </w:pPr>
            <w:r w:rsidRPr="00497D3E">
              <w:rPr>
                <w:lang w:val="en-US"/>
              </w:rPr>
              <w:t>60</w:t>
            </w:r>
          </w:p>
        </w:tc>
        <w:tc>
          <w:tcPr>
            <w:tcW w:w="1751" w:type="dxa"/>
            <w:vAlign w:val="center"/>
          </w:tcPr>
          <w:p w:rsidR="006133A8" w:rsidRPr="00497D3E" w:rsidRDefault="006133A8" w:rsidP="0060311E">
            <w:pPr>
              <w:pStyle w:val="Tablebodytext"/>
              <w:rPr>
                <w:lang w:val="en-US"/>
              </w:rPr>
            </w:pPr>
            <w:r w:rsidRPr="00497D3E">
              <w:rPr>
                <w:lang w:val="en-US"/>
              </w:rPr>
              <w:t>125</w:t>
            </w:r>
          </w:p>
        </w:tc>
        <w:tc>
          <w:tcPr>
            <w:tcW w:w="1559" w:type="dxa"/>
            <w:vAlign w:val="center"/>
          </w:tcPr>
          <w:p w:rsidR="006133A8" w:rsidRPr="00497D3E" w:rsidRDefault="006133A8" w:rsidP="0060311E">
            <w:pPr>
              <w:pStyle w:val="Tablebodytext"/>
              <w:rPr>
                <w:lang w:val="en-US"/>
              </w:rPr>
            </w:pPr>
            <w:r w:rsidRPr="00497D3E">
              <w:rPr>
                <w:lang w:val="en-US"/>
              </w:rPr>
              <w:t>135</w:t>
            </w:r>
          </w:p>
        </w:tc>
        <w:tc>
          <w:tcPr>
            <w:tcW w:w="1559" w:type="dxa"/>
            <w:vAlign w:val="center"/>
          </w:tcPr>
          <w:p w:rsidR="006133A8" w:rsidRPr="00497D3E" w:rsidRDefault="006133A8" w:rsidP="0060311E">
            <w:pPr>
              <w:pStyle w:val="Tablebodytext"/>
              <w:rPr>
                <w:lang w:val="en-US"/>
              </w:rPr>
            </w:pPr>
            <w:r w:rsidRPr="00497D3E">
              <w:rPr>
                <w:lang w:val="en-US"/>
              </w:rPr>
              <w:t>180</w:t>
            </w:r>
          </w:p>
        </w:tc>
        <w:tc>
          <w:tcPr>
            <w:tcW w:w="1693" w:type="dxa"/>
            <w:vAlign w:val="center"/>
          </w:tcPr>
          <w:p w:rsidR="006133A8" w:rsidRPr="00497D3E" w:rsidRDefault="006133A8" w:rsidP="0060311E">
            <w:pPr>
              <w:pStyle w:val="Tablebodytext"/>
              <w:rPr>
                <w:lang w:val="en-US"/>
              </w:rPr>
            </w:pPr>
            <w:r w:rsidRPr="00497D3E">
              <w:rPr>
                <w:lang w:val="en-US"/>
              </w:rPr>
              <w:t>180</w:t>
            </w:r>
          </w:p>
        </w:tc>
      </w:tr>
      <w:tr w:rsidR="006133A8" w:rsidRPr="00497D3E" w:rsidTr="00497D3E">
        <w:trPr>
          <w:trHeight w:val="277"/>
        </w:trPr>
        <w:tc>
          <w:tcPr>
            <w:tcW w:w="1368" w:type="dxa"/>
            <w:vAlign w:val="center"/>
          </w:tcPr>
          <w:p w:rsidR="006133A8" w:rsidRPr="00497D3E" w:rsidRDefault="006133A8" w:rsidP="0060311E">
            <w:pPr>
              <w:pStyle w:val="Tablebodytext"/>
              <w:rPr>
                <w:lang w:val="en-US"/>
              </w:rPr>
            </w:pPr>
            <w:r w:rsidRPr="00497D3E">
              <w:rPr>
                <w:lang w:val="en-US"/>
              </w:rPr>
              <w:t>61</w:t>
            </w:r>
          </w:p>
        </w:tc>
        <w:tc>
          <w:tcPr>
            <w:tcW w:w="1751" w:type="dxa"/>
            <w:vAlign w:val="center"/>
          </w:tcPr>
          <w:p w:rsidR="006133A8" w:rsidRPr="00497D3E" w:rsidRDefault="006133A8" w:rsidP="0060311E">
            <w:pPr>
              <w:pStyle w:val="Tablebodytext"/>
              <w:rPr>
                <w:lang w:val="en-US"/>
              </w:rPr>
            </w:pPr>
            <w:r w:rsidRPr="00497D3E">
              <w:rPr>
                <w:lang w:val="en-US"/>
              </w:rPr>
              <w:t>100</w:t>
            </w:r>
          </w:p>
        </w:tc>
        <w:tc>
          <w:tcPr>
            <w:tcW w:w="1559" w:type="dxa"/>
            <w:vAlign w:val="center"/>
          </w:tcPr>
          <w:p w:rsidR="006133A8" w:rsidRPr="00497D3E" w:rsidRDefault="006133A8" w:rsidP="0060311E">
            <w:pPr>
              <w:pStyle w:val="Tablebodytext"/>
              <w:rPr>
                <w:lang w:val="en-US"/>
              </w:rPr>
            </w:pPr>
            <w:r w:rsidRPr="00497D3E">
              <w:rPr>
                <w:lang w:val="en-US"/>
              </w:rPr>
              <w:t>130</w:t>
            </w:r>
          </w:p>
        </w:tc>
        <w:tc>
          <w:tcPr>
            <w:tcW w:w="1559" w:type="dxa"/>
            <w:vAlign w:val="center"/>
          </w:tcPr>
          <w:p w:rsidR="006133A8" w:rsidRPr="00497D3E" w:rsidRDefault="006133A8" w:rsidP="0060311E">
            <w:pPr>
              <w:pStyle w:val="Tablebodytext"/>
              <w:rPr>
                <w:lang w:val="en-US"/>
              </w:rPr>
            </w:pPr>
            <w:r w:rsidRPr="00497D3E">
              <w:rPr>
                <w:lang w:val="en-US"/>
              </w:rPr>
              <w:t>130</w:t>
            </w:r>
          </w:p>
        </w:tc>
        <w:tc>
          <w:tcPr>
            <w:tcW w:w="1693" w:type="dxa"/>
            <w:vAlign w:val="center"/>
          </w:tcPr>
          <w:p w:rsidR="006133A8" w:rsidRPr="00497D3E" w:rsidRDefault="006133A8" w:rsidP="0060311E">
            <w:pPr>
              <w:pStyle w:val="Tablebodytext"/>
              <w:rPr>
                <w:lang w:val="en-US"/>
              </w:rPr>
            </w:pPr>
            <w:r w:rsidRPr="00497D3E">
              <w:rPr>
                <w:lang w:val="en-US"/>
              </w:rPr>
              <w:t>152</w:t>
            </w:r>
          </w:p>
        </w:tc>
      </w:tr>
      <w:tr w:rsidR="006133A8" w:rsidRPr="00497D3E" w:rsidTr="00497D3E">
        <w:trPr>
          <w:trHeight w:val="280"/>
        </w:trPr>
        <w:tc>
          <w:tcPr>
            <w:tcW w:w="1368" w:type="dxa"/>
            <w:vAlign w:val="center"/>
          </w:tcPr>
          <w:p w:rsidR="006133A8" w:rsidRPr="00497D3E" w:rsidRDefault="006133A8" w:rsidP="0060311E">
            <w:pPr>
              <w:pStyle w:val="Tablebodytext"/>
              <w:rPr>
                <w:lang w:val="en-US"/>
              </w:rPr>
            </w:pPr>
            <w:r w:rsidRPr="00497D3E">
              <w:rPr>
                <w:lang w:val="en-US"/>
              </w:rPr>
              <w:t>62</w:t>
            </w:r>
          </w:p>
        </w:tc>
        <w:tc>
          <w:tcPr>
            <w:tcW w:w="1751" w:type="dxa"/>
            <w:vAlign w:val="center"/>
          </w:tcPr>
          <w:p w:rsidR="006133A8" w:rsidRPr="00497D3E" w:rsidRDefault="006133A8" w:rsidP="0060311E">
            <w:pPr>
              <w:pStyle w:val="Tablebodytext"/>
              <w:rPr>
                <w:lang w:val="en-US"/>
              </w:rPr>
            </w:pPr>
            <w:r w:rsidRPr="00497D3E">
              <w:rPr>
                <w:lang w:val="en-US"/>
              </w:rPr>
              <w:t>100</w:t>
            </w:r>
          </w:p>
        </w:tc>
        <w:tc>
          <w:tcPr>
            <w:tcW w:w="1559" w:type="dxa"/>
            <w:vAlign w:val="center"/>
          </w:tcPr>
          <w:p w:rsidR="006133A8" w:rsidRPr="00497D3E" w:rsidRDefault="006133A8" w:rsidP="0060311E">
            <w:pPr>
              <w:pStyle w:val="Tablebodytext"/>
              <w:rPr>
                <w:lang w:val="en-US"/>
              </w:rPr>
            </w:pPr>
            <w:r w:rsidRPr="00497D3E">
              <w:rPr>
                <w:lang w:val="en-US"/>
              </w:rPr>
              <w:t>130</w:t>
            </w:r>
          </w:p>
        </w:tc>
        <w:tc>
          <w:tcPr>
            <w:tcW w:w="1559" w:type="dxa"/>
            <w:vAlign w:val="center"/>
          </w:tcPr>
          <w:p w:rsidR="006133A8" w:rsidRPr="00497D3E" w:rsidRDefault="006133A8" w:rsidP="0060311E">
            <w:pPr>
              <w:pStyle w:val="Tablebodytext"/>
              <w:rPr>
                <w:lang w:val="en-US"/>
              </w:rPr>
            </w:pPr>
            <w:r w:rsidRPr="00497D3E">
              <w:rPr>
                <w:lang w:val="en-US"/>
              </w:rPr>
              <w:t>140</w:t>
            </w:r>
          </w:p>
        </w:tc>
        <w:tc>
          <w:tcPr>
            <w:tcW w:w="1693" w:type="dxa"/>
            <w:vAlign w:val="center"/>
          </w:tcPr>
          <w:p w:rsidR="006133A8" w:rsidRPr="00497D3E" w:rsidRDefault="006133A8" w:rsidP="0060311E">
            <w:pPr>
              <w:pStyle w:val="Tablebodytext"/>
              <w:rPr>
                <w:lang w:val="en-US"/>
              </w:rPr>
            </w:pPr>
            <w:r w:rsidRPr="00497D3E">
              <w:rPr>
                <w:lang w:val="en-US"/>
              </w:rPr>
              <w:t>157</w:t>
            </w:r>
          </w:p>
        </w:tc>
      </w:tr>
      <w:tr w:rsidR="006133A8" w:rsidRPr="00497D3E" w:rsidTr="00497D3E">
        <w:trPr>
          <w:trHeight w:val="280"/>
        </w:trPr>
        <w:tc>
          <w:tcPr>
            <w:tcW w:w="1368" w:type="dxa"/>
            <w:vAlign w:val="center"/>
          </w:tcPr>
          <w:p w:rsidR="006133A8" w:rsidRPr="00497D3E" w:rsidRDefault="006133A8" w:rsidP="0060311E">
            <w:pPr>
              <w:pStyle w:val="Tablebodytext"/>
              <w:rPr>
                <w:lang w:val="en-US"/>
              </w:rPr>
            </w:pPr>
            <w:r w:rsidRPr="00497D3E">
              <w:rPr>
                <w:lang w:val="en-US"/>
              </w:rPr>
              <w:t>63</w:t>
            </w:r>
          </w:p>
        </w:tc>
        <w:tc>
          <w:tcPr>
            <w:tcW w:w="1751" w:type="dxa"/>
            <w:vAlign w:val="center"/>
          </w:tcPr>
          <w:p w:rsidR="006133A8" w:rsidRPr="00497D3E" w:rsidRDefault="006133A8" w:rsidP="0060311E">
            <w:pPr>
              <w:pStyle w:val="Tablebodytext"/>
              <w:rPr>
                <w:lang w:val="en-US"/>
              </w:rPr>
            </w:pPr>
            <w:r w:rsidRPr="00497D3E">
              <w:rPr>
                <w:lang w:val="en-US"/>
              </w:rPr>
              <w:t>100</w:t>
            </w:r>
          </w:p>
        </w:tc>
        <w:tc>
          <w:tcPr>
            <w:tcW w:w="1559" w:type="dxa"/>
            <w:vAlign w:val="center"/>
          </w:tcPr>
          <w:p w:rsidR="006133A8" w:rsidRPr="00497D3E" w:rsidRDefault="006133A8" w:rsidP="0060311E">
            <w:pPr>
              <w:pStyle w:val="Tablebodytext"/>
              <w:rPr>
                <w:lang w:val="en-US"/>
              </w:rPr>
            </w:pPr>
            <w:r w:rsidRPr="00497D3E">
              <w:rPr>
                <w:lang w:val="en-US"/>
              </w:rPr>
              <w:t>130</w:t>
            </w:r>
          </w:p>
        </w:tc>
        <w:tc>
          <w:tcPr>
            <w:tcW w:w="1559" w:type="dxa"/>
            <w:vAlign w:val="center"/>
          </w:tcPr>
          <w:p w:rsidR="006133A8" w:rsidRPr="00497D3E" w:rsidRDefault="006133A8" w:rsidP="0060311E">
            <w:pPr>
              <w:pStyle w:val="Tablebodytext"/>
              <w:rPr>
                <w:lang w:val="en-US"/>
              </w:rPr>
            </w:pPr>
            <w:r w:rsidRPr="00497D3E">
              <w:rPr>
                <w:lang w:val="en-US"/>
              </w:rPr>
              <w:t>130</w:t>
            </w:r>
          </w:p>
        </w:tc>
        <w:tc>
          <w:tcPr>
            <w:tcW w:w="1693" w:type="dxa"/>
            <w:vAlign w:val="center"/>
          </w:tcPr>
          <w:p w:rsidR="006133A8" w:rsidRPr="00497D3E" w:rsidRDefault="006133A8" w:rsidP="0060311E">
            <w:pPr>
              <w:pStyle w:val="Tablebodytext"/>
              <w:rPr>
                <w:lang w:val="en-US"/>
              </w:rPr>
            </w:pPr>
            <w:r w:rsidRPr="00497D3E">
              <w:rPr>
                <w:lang w:val="en-US"/>
              </w:rPr>
              <w:t>171</w:t>
            </w:r>
          </w:p>
        </w:tc>
      </w:tr>
      <w:tr w:rsidR="006133A8" w:rsidRPr="00497D3E" w:rsidTr="00497D3E">
        <w:trPr>
          <w:trHeight w:val="280"/>
        </w:trPr>
        <w:tc>
          <w:tcPr>
            <w:tcW w:w="1368" w:type="dxa"/>
            <w:vAlign w:val="center"/>
          </w:tcPr>
          <w:p w:rsidR="006133A8" w:rsidRPr="00497D3E" w:rsidRDefault="006133A8" w:rsidP="0060311E">
            <w:pPr>
              <w:pStyle w:val="Tablebodytext"/>
              <w:rPr>
                <w:lang w:val="en-US"/>
              </w:rPr>
            </w:pPr>
            <w:r w:rsidRPr="00497D3E">
              <w:rPr>
                <w:lang w:val="en-US"/>
              </w:rPr>
              <w:t>64</w:t>
            </w:r>
          </w:p>
        </w:tc>
        <w:tc>
          <w:tcPr>
            <w:tcW w:w="1751" w:type="dxa"/>
            <w:vAlign w:val="center"/>
          </w:tcPr>
          <w:p w:rsidR="006133A8" w:rsidRPr="00497D3E" w:rsidRDefault="006133A8" w:rsidP="0060311E">
            <w:pPr>
              <w:pStyle w:val="Tablebodytext"/>
              <w:rPr>
                <w:lang w:val="en-US"/>
              </w:rPr>
            </w:pPr>
            <w:r w:rsidRPr="00497D3E">
              <w:rPr>
                <w:lang w:val="en-US"/>
              </w:rPr>
              <w:t>120</w:t>
            </w:r>
          </w:p>
        </w:tc>
        <w:tc>
          <w:tcPr>
            <w:tcW w:w="1559" w:type="dxa"/>
            <w:vAlign w:val="center"/>
          </w:tcPr>
          <w:p w:rsidR="006133A8" w:rsidRPr="00497D3E" w:rsidRDefault="006133A8" w:rsidP="0060311E">
            <w:pPr>
              <w:pStyle w:val="Tablebodytext"/>
              <w:rPr>
                <w:lang w:val="en-US"/>
              </w:rPr>
            </w:pPr>
            <w:r w:rsidRPr="00497D3E">
              <w:rPr>
                <w:lang w:val="en-US"/>
              </w:rPr>
              <w:t>200</w:t>
            </w:r>
          </w:p>
        </w:tc>
        <w:tc>
          <w:tcPr>
            <w:tcW w:w="1559" w:type="dxa"/>
            <w:vAlign w:val="center"/>
          </w:tcPr>
          <w:p w:rsidR="006133A8" w:rsidRPr="00497D3E" w:rsidRDefault="006133A8" w:rsidP="0060311E">
            <w:pPr>
              <w:pStyle w:val="Tablebodytext"/>
              <w:rPr>
                <w:lang w:val="en-US"/>
              </w:rPr>
            </w:pPr>
            <w:r w:rsidRPr="00497D3E">
              <w:rPr>
                <w:lang w:val="en-US"/>
              </w:rPr>
              <w:t>174</w:t>
            </w:r>
          </w:p>
        </w:tc>
        <w:tc>
          <w:tcPr>
            <w:tcW w:w="1693" w:type="dxa"/>
            <w:vAlign w:val="center"/>
          </w:tcPr>
          <w:p w:rsidR="006133A8" w:rsidRPr="00497D3E" w:rsidRDefault="006133A8" w:rsidP="0060311E">
            <w:pPr>
              <w:pStyle w:val="Tablebodytext"/>
              <w:rPr>
                <w:lang w:val="en-US"/>
              </w:rPr>
            </w:pPr>
            <w:r w:rsidRPr="00497D3E">
              <w:rPr>
                <w:lang w:val="en-US"/>
              </w:rPr>
              <w:t>215</w:t>
            </w:r>
          </w:p>
        </w:tc>
      </w:tr>
      <w:tr w:rsidR="006133A8" w:rsidRPr="00497D3E" w:rsidTr="00497D3E">
        <w:trPr>
          <w:trHeight w:val="280"/>
        </w:trPr>
        <w:tc>
          <w:tcPr>
            <w:tcW w:w="1368" w:type="dxa"/>
            <w:vAlign w:val="center"/>
          </w:tcPr>
          <w:p w:rsidR="006133A8" w:rsidRPr="00497D3E" w:rsidRDefault="006133A8" w:rsidP="0060311E">
            <w:pPr>
              <w:pStyle w:val="Tablebodytext"/>
              <w:rPr>
                <w:lang w:val="en-US"/>
              </w:rPr>
            </w:pPr>
            <w:r w:rsidRPr="00497D3E">
              <w:rPr>
                <w:lang w:val="en-US"/>
              </w:rPr>
              <w:t>65</w:t>
            </w:r>
          </w:p>
        </w:tc>
        <w:tc>
          <w:tcPr>
            <w:tcW w:w="1751" w:type="dxa"/>
            <w:vAlign w:val="center"/>
          </w:tcPr>
          <w:p w:rsidR="006133A8" w:rsidRPr="00497D3E" w:rsidRDefault="006133A8" w:rsidP="0060311E">
            <w:pPr>
              <w:pStyle w:val="Tablebodytext"/>
              <w:rPr>
                <w:lang w:val="en-US"/>
              </w:rPr>
            </w:pPr>
            <w:r w:rsidRPr="00497D3E">
              <w:rPr>
                <w:lang w:val="en-US"/>
              </w:rPr>
              <w:t>250</w:t>
            </w:r>
          </w:p>
        </w:tc>
        <w:tc>
          <w:tcPr>
            <w:tcW w:w="1559" w:type="dxa"/>
            <w:vAlign w:val="center"/>
          </w:tcPr>
          <w:p w:rsidR="006133A8" w:rsidRPr="00497D3E" w:rsidRDefault="006133A8" w:rsidP="0060311E">
            <w:pPr>
              <w:pStyle w:val="Tablebodytext"/>
              <w:rPr>
                <w:lang w:val="en-US"/>
              </w:rPr>
            </w:pPr>
            <w:r w:rsidRPr="00497D3E">
              <w:rPr>
                <w:lang w:val="en-US"/>
              </w:rPr>
              <w:t>220</w:t>
            </w:r>
          </w:p>
        </w:tc>
        <w:tc>
          <w:tcPr>
            <w:tcW w:w="1559" w:type="dxa"/>
            <w:vAlign w:val="center"/>
          </w:tcPr>
          <w:p w:rsidR="006133A8" w:rsidRPr="00497D3E" w:rsidRDefault="006133A8" w:rsidP="0060311E">
            <w:pPr>
              <w:pStyle w:val="Tablebodytext"/>
              <w:rPr>
                <w:lang w:val="en-US"/>
              </w:rPr>
            </w:pPr>
            <w:r w:rsidRPr="00497D3E">
              <w:rPr>
                <w:lang w:val="en-US"/>
              </w:rPr>
              <w:t>320</w:t>
            </w:r>
          </w:p>
        </w:tc>
        <w:tc>
          <w:tcPr>
            <w:tcW w:w="1693" w:type="dxa"/>
            <w:vAlign w:val="center"/>
          </w:tcPr>
          <w:p w:rsidR="006133A8" w:rsidRPr="00497D3E" w:rsidRDefault="006133A8" w:rsidP="0060311E">
            <w:pPr>
              <w:pStyle w:val="Tablebodytext"/>
              <w:rPr>
                <w:lang w:val="en-US"/>
              </w:rPr>
            </w:pPr>
            <w:r w:rsidRPr="00497D3E">
              <w:rPr>
                <w:lang w:val="en-US"/>
              </w:rPr>
              <w:t>320</w:t>
            </w:r>
          </w:p>
        </w:tc>
      </w:tr>
      <w:tr w:rsidR="006133A8" w:rsidRPr="00497D3E" w:rsidTr="00497D3E">
        <w:trPr>
          <w:trHeight w:val="280"/>
        </w:trPr>
        <w:tc>
          <w:tcPr>
            <w:tcW w:w="1368" w:type="dxa"/>
            <w:tcBorders>
              <w:top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66</w:t>
            </w:r>
          </w:p>
        </w:tc>
        <w:tc>
          <w:tcPr>
            <w:tcW w:w="1751"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693" w:type="dxa"/>
            <w:tcBorders>
              <w:top w:val="single" w:sz="2" w:space="0" w:color="A7B4BE"/>
              <w:left w:val="single" w:sz="2" w:space="0" w:color="A7B4BE"/>
              <w:bottom w:val="single" w:sz="2" w:space="0" w:color="A7B4BE"/>
            </w:tcBorders>
            <w:vAlign w:val="center"/>
          </w:tcPr>
          <w:p w:rsidR="006133A8" w:rsidRPr="00497D3E" w:rsidRDefault="006133A8" w:rsidP="0060311E">
            <w:pPr>
              <w:pStyle w:val="Tablebodytext"/>
              <w:rPr>
                <w:lang w:val="en-US"/>
              </w:rPr>
            </w:pPr>
            <w:r w:rsidRPr="00497D3E">
              <w:rPr>
                <w:lang w:val="en-US"/>
              </w:rPr>
              <w:t>200</w:t>
            </w:r>
          </w:p>
        </w:tc>
      </w:tr>
      <w:tr w:rsidR="006133A8" w:rsidRPr="00497D3E" w:rsidTr="00497D3E">
        <w:trPr>
          <w:trHeight w:val="280"/>
        </w:trPr>
        <w:tc>
          <w:tcPr>
            <w:tcW w:w="1368" w:type="dxa"/>
            <w:tcBorders>
              <w:top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67</w:t>
            </w:r>
          </w:p>
        </w:tc>
        <w:tc>
          <w:tcPr>
            <w:tcW w:w="1751"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693" w:type="dxa"/>
            <w:tcBorders>
              <w:top w:val="single" w:sz="2" w:space="0" w:color="A7B4BE"/>
              <w:left w:val="single" w:sz="2" w:space="0" w:color="A7B4BE"/>
              <w:bottom w:val="single" w:sz="2" w:space="0" w:color="A7B4BE"/>
            </w:tcBorders>
            <w:vAlign w:val="center"/>
          </w:tcPr>
          <w:p w:rsidR="006133A8" w:rsidRPr="00497D3E" w:rsidRDefault="006133A8" w:rsidP="0060311E">
            <w:pPr>
              <w:pStyle w:val="Tablebodytext"/>
              <w:rPr>
                <w:lang w:val="en-US"/>
              </w:rPr>
            </w:pPr>
            <w:r w:rsidRPr="00497D3E">
              <w:rPr>
                <w:lang w:val="en-US"/>
              </w:rPr>
              <w:t>200</w:t>
            </w:r>
          </w:p>
        </w:tc>
      </w:tr>
      <w:tr w:rsidR="006133A8" w:rsidRPr="00497D3E" w:rsidTr="00497D3E">
        <w:trPr>
          <w:trHeight w:val="280"/>
        </w:trPr>
        <w:tc>
          <w:tcPr>
            <w:tcW w:w="1368" w:type="dxa"/>
            <w:tcBorders>
              <w:top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68</w:t>
            </w:r>
          </w:p>
        </w:tc>
        <w:tc>
          <w:tcPr>
            <w:tcW w:w="1751"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693" w:type="dxa"/>
            <w:tcBorders>
              <w:top w:val="single" w:sz="2" w:space="0" w:color="A7B4BE"/>
              <w:left w:val="single" w:sz="2" w:space="0" w:color="A7B4BE"/>
              <w:bottom w:val="single" w:sz="2" w:space="0" w:color="A7B4BE"/>
            </w:tcBorders>
            <w:vAlign w:val="center"/>
          </w:tcPr>
          <w:p w:rsidR="006133A8" w:rsidRPr="00497D3E" w:rsidRDefault="006133A8" w:rsidP="0060311E">
            <w:pPr>
              <w:pStyle w:val="Tablebodytext"/>
              <w:rPr>
                <w:lang w:val="en-US"/>
              </w:rPr>
            </w:pPr>
            <w:r w:rsidRPr="00497D3E">
              <w:rPr>
                <w:lang w:val="en-US"/>
              </w:rPr>
              <w:t>200</w:t>
            </w:r>
          </w:p>
        </w:tc>
      </w:tr>
      <w:tr w:rsidR="006133A8" w:rsidRPr="00497D3E" w:rsidTr="00497D3E">
        <w:trPr>
          <w:trHeight w:val="280"/>
        </w:trPr>
        <w:tc>
          <w:tcPr>
            <w:tcW w:w="1368" w:type="dxa"/>
            <w:tcBorders>
              <w:top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69</w:t>
            </w:r>
          </w:p>
        </w:tc>
        <w:tc>
          <w:tcPr>
            <w:tcW w:w="1751"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693" w:type="dxa"/>
            <w:tcBorders>
              <w:top w:val="single" w:sz="2" w:space="0" w:color="A7B4BE"/>
              <w:left w:val="single" w:sz="2" w:space="0" w:color="A7B4BE"/>
              <w:bottom w:val="single" w:sz="2" w:space="0" w:color="A7B4BE"/>
            </w:tcBorders>
            <w:vAlign w:val="center"/>
          </w:tcPr>
          <w:p w:rsidR="006133A8" w:rsidRPr="00497D3E" w:rsidRDefault="006133A8" w:rsidP="0060311E">
            <w:pPr>
              <w:pStyle w:val="Tablebodytext"/>
              <w:rPr>
                <w:lang w:val="en-US"/>
              </w:rPr>
            </w:pPr>
            <w:r w:rsidRPr="00497D3E">
              <w:rPr>
                <w:lang w:val="en-US"/>
              </w:rPr>
              <w:t>200</w:t>
            </w:r>
          </w:p>
        </w:tc>
      </w:tr>
      <w:tr w:rsidR="006133A8" w:rsidRPr="00497D3E" w:rsidTr="00497D3E">
        <w:trPr>
          <w:trHeight w:val="280"/>
        </w:trPr>
        <w:tc>
          <w:tcPr>
            <w:tcW w:w="1368" w:type="dxa"/>
            <w:tcBorders>
              <w:top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70</w:t>
            </w:r>
          </w:p>
        </w:tc>
        <w:tc>
          <w:tcPr>
            <w:tcW w:w="1751"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280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240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693" w:type="dxa"/>
            <w:tcBorders>
              <w:top w:val="single" w:sz="2" w:space="0" w:color="A7B4BE"/>
              <w:left w:val="single" w:sz="2" w:space="0" w:color="A7B4BE"/>
              <w:bottom w:val="single" w:sz="2" w:space="0" w:color="A7B4BE"/>
            </w:tcBorders>
            <w:vAlign w:val="center"/>
          </w:tcPr>
          <w:p w:rsidR="006133A8" w:rsidRPr="00497D3E" w:rsidRDefault="006133A8" w:rsidP="0060311E">
            <w:pPr>
              <w:pStyle w:val="Tablebodytext"/>
              <w:rPr>
                <w:lang w:val="en-US"/>
              </w:rPr>
            </w:pPr>
            <w:r w:rsidRPr="00497D3E">
              <w:rPr>
                <w:lang w:val="en-US"/>
              </w:rPr>
              <w:t>240</w:t>
            </w:r>
          </w:p>
        </w:tc>
      </w:tr>
      <w:tr w:rsidR="006133A8" w:rsidRPr="00497D3E" w:rsidTr="00497D3E">
        <w:trPr>
          <w:trHeight w:val="280"/>
        </w:trPr>
        <w:tc>
          <w:tcPr>
            <w:tcW w:w="1368" w:type="dxa"/>
            <w:tcBorders>
              <w:top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71</w:t>
            </w:r>
          </w:p>
        </w:tc>
        <w:tc>
          <w:tcPr>
            <w:tcW w:w="1751"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693" w:type="dxa"/>
            <w:tcBorders>
              <w:top w:val="single" w:sz="2" w:space="0" w:color="A7B4BE"/>
              <w:left w:val="single" w:sz="2" w:space="0" w:color="A7B4BE"/>
              <w:bottom w:val="single" w:sz="2" w:space="0" w:color="A7B4BE"/>
            </w:tcBorders>
            <w:vAlign w:val="center"/>
          </w:tcPr>
          <w:p w:rsidR="006133A8" w:rsidRPr="00497D3E" w:rsidRDefault="006133A8" w:rsidP="0060311E">
            <w:pPr>
              <w:pStyle w:val="Tablebodytext"/>
              <w:rPr>
                <w:lang w:val="en-US"/>
              </w:rPr>
            </w:pPr>
            <w:r w:rsidRPr="00497D3E">
              <w:rPr>
                <w:lang w:val="en-US"/>
              </w:rPr>
              <w:t>200</w:t>
            </w:r>
          </w:p>
        </w:tc>
      </w:tr>
      <w:tr w:rsidR="006133A8" w:rsidRPr="00497D3E" w:rsidTr="00497D3E">
        <w:trPr>
          <w:trHeight w:val="280"/>
        </w:trPr>
        <w:tc>
          <w:tcPr>
            <w:tcW w:w="1368" w:type="dxa"/>
            <w:tcBorders>
              <w:top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72</w:t>
            </w:r>
          </w:p>
        </w:tc>
        <w:tc>
          <w:tcPr>
            <w:tcW w:w="1751"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693" w:type="dxa"/>
            <w:tcBorders>
              <w:top w:val="single" w:sz="2" w:space="0" w:color="A7B4BE"/>
              <w:left w:val="single" w:sz="2" w:space="0" w:color="A7B4BE"/>
              <w:bottom w:val="single" w:sz="2" w:space="0" w:color="A7B4BE"/>
            </w:tcBorders>
            <w:vAlign w:val="center"/>
          </w:tcPr>
          <w:p w:rsidR="006133A8" w:rsidRPr="00497D3E" w:rsidRDefault="006133A8" w:rsidP="0060311E">
            <w:pPr>
              <w:pStyle w:val="Tablebodytext"/>
              <w:rPr>
                <w:lang w:val="en-US"/>
              </w:rPr>
            </w:pPr>
            <w:r w:rsidRPr="00497D3E">
              <w:rPr>
                <w:lang w:val="en-US"/>
              </w:rPr>
              <w:t>200</w:t>
            </w:r>
          </w:p>
        </w:tc>
      </w:tr>
      <w:tr w:rsidR="006133A8" w:rsidRPr="00497D3E" w:rsidTr="00497D3E">
        <w:trPr>
          <w:trHeight w:val="280"/>
        </w:trPr>
        <w:tc>
          <w:tcPr>
            <w:tcW w:w="1368" w:type="dxa"/>
            <w:tcBorders>
              <w:top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73</w:t>
            </w:r>
          </w:p>
        </w:tc>
        <w:tc>
          <w:tcPr>
            <w:tcW w:w="1751"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693" w:type="dxa"/>
            <w:tcBorders>
              <w:top w:val="single" w:sz="2" w:space="0" w:color="A7B4BE"/>
              <w:left w:val="single" w:sz="2" w:space="0" w:color="A7B4BE"/>
              <w:bottom w:val="single" w:sz="2" w:space="0" w:color="A7B4BE"/>
            </w:tcBorders>
            <w:vAlign w:val="center"/>
          </w:tcPr>
          <w:p w:rsidR="006133A8" w:rsidRPr="00497D3E" w:rsidRDefault="006133A8" w:rsidP="0060311E">
            <w:pPr>
              <w:pStyle w:val="Tablebodytext"/>
              <w:rPr>
                <w:lang w:val="en-US"/>
              </w:rPr>
            </w:pPr>
            <w:r w:rsidRPr="00497D3E">
              <w:rPr>
                <w:lang w:val="en-US"/>
              </w:rPr>
              <w:t>200</w:t>
            </w:r>
          </w:p>
        </w:tc>
      </w:tr>
      <w:tr w:rsidR="006133A8" w:rsidRPr="00497D3E" w:rsidTr="00497D3E">
        <w:trPr>
          <w:trHeight w:val="280"/>
        </w:trPr>
        <w:tc>
          <w:tcPr>
            <w:tcW w:w="1368" w:type="dxa"/>
            <w:tcBorders>
              <w:top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74</w:t>
            </w:r>
          </w:p>
        </w:tc>
        <w:tc>
          <w:tcPr>
            <w:tcW w:w="1751"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200</w:t>
            </w:r>
          </w:p>
        </w:tc>
        <w:tc>
          <w:tcPr>
            <w:tcW w:w="1693" w:type="dxa"/>
            <w:tcBorders>
              <w:top w:val="single" w:sz="2" w:space="0" w:color="A7B4BE"/>
              <w:left w:val="single" w:sz="2" w:space="0" w:color="A7B4BE"/>
              <w:bottom w:val="single" w:sz="2" w:space="0" w:color="A7B4BE"/>
            </w:tcBorders>
            <w:vAlign w:val="center"/>
          </w:tcPr>
          <w:p w:rsidR="006133A8" w:rsidRPr="00497D3E" w:rsidRDefault="006133A8" w:rsidP="0060311E">
            <w:pPr>
              <w:pStyle w:val="Tablebodytext"/>
              <w:rPr>
                <w:lang w:val="en-US"/>
              </w:rPr>
            </w:pPr>
            <w:r w:rsidRPr="00497D3E">
              <w:rPr>
                <w:lang w:val="en-US"/>
              </w:rPr>
              <w:t>200</w:t>
            </w:r>
          </w:p>
        </w:tc>
      </w:tr>
      <w:tr w:rsidR="006133A8" w:rsidRPr="00497D3E" w:rsidTr="00497D3E">
        <w:trPr>
          <w:trHeight w:val="280"/>
        </w:trPr>
        <w:tc>
          <w:tcPr>
            <w:tcW w:w="1368" w:type="dxa"/>
            <w:tcBorders>
              <w:top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75</w:t>
            </w:r>
          </w:p>
        </w:tc>
        <w:tc>
          <w:tcPr>
            <w:tcW w:w="1751"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1,000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1,000</w:t>
            </w:r>
          </w:p>
        </w:tc>
        <w:tc>
          <w:tcPr>
            <w:tcW w:w="1559" w:type="dxa"/>
            <w:tcBorders>
              <w:top w:val="single" w:sz="2" w:space="0" w:color="A7B4BE"/>
              <w:left w:val="single" w:sz="2" w:space="0" w:color="A7B4BE"/>
              <w:bottom w:val="single" w:sz="2" w:space="0" w:color="A7B4BE"/>
              <w:right w:val="single" w:sz="2" w:space="0" w:color="A7B4BE"/>
            </w:tcBorders>
            <w:vAlign w:val="center"/>
          </w:tcPr>
          <w:p w:rsidR="006133A8" w:rsidRPr="00497D3E" w:rsidRDefault="006133A8" w:rsidP="0060311E">
            <w:pPr>
              <w:pStyle w:val="Tablebodytext"/>
              <w:rPr>
                <w:lang w:val="en-US"/>
              </w:rPr>
            </w:pPr>
            <w:r w:rsidRPr="00497D3E">
              <w:rPr>
                <w:lang w:val="en-US"/>
              </w:rPr>
              <w:t>1,000</w:t>
            </w:r>
          </w:p>
        </w:tc>
        <w:tc>
          <w:tcPr>
            <w:tcW w:w="1693" w:type="dxa"/>
            <w:tcBorders>
              <w:top w:val="single" w:sz="2" w:space="0" w:color="A7B4BE"/>
              <w:left w:val="single" w:sz="2" w:space="0" w:color="A7B4BE"/>
              <w:bottom w:val="single" w:sz="2" w:space="0" w:color="A7B4BE"/>
            </w:tcBorders>
            <w:vAlign w:val="center"/>
          </w:tcPr>
          <w:p w:rsidR="006133A8" w:rsidRPr="00497D3E" w:rsidRDefault="006133A8" w:rsidP="0060311E">
            <w:pPr>
              <w:pStyle w:val="Tablebodytext"/>
              <w:rPr>
                <w:lang w:val="en-US"/>
              </w:rPr>
            </w:pPr>
            <w:r w:rsidRPr="00497D3E">
              <w:rPr>
                <w:lang w:val="en-US"/>
              </w:rPr>
              <w:t>1,000</w:t>
            </w:r>
          </w:p>
        </w:tc>
      </w:tr>
    </w:tbl>
    <w:p w:rsidR="0060311E" w:rsidRDefault="0060311E" w:rsidP="0060311E">
      <w:pPr>
        <w:pStyle w:val="Heading4nonumbers"/>
      </w:pPr>
    </w:p>
    <w:p w:rsidR="0060311E" w:rsidRDefault="0060311E" w:rsidP="0060311E">
      <w:pPr>
        <w:pStyle w:val="BodyText1"/>
        <w:rPr>
          <w:rFonts w:ascii="Arial" w:eastAsia="MS Gothic" w:hAnsi="Arial"/>
          <w:color w:val="005A77"/>
          <w:spacing w:val="-6"/>
          <w:sz w:val="24"/>
        </w:rPr>
      </w:pPr>
      <w:r>
        <w:br w:type="page"/>
      </w:r>
    </w:p>
    <w:p w:rsidR="006133A8" w:rsidRDefault="006133A8" w:rsidP="0060311E">
      <w:pPr>
        <w:pStyle w:val="Heading4nonumbers"/>
      </w:pPr>
      <w:r w:rsidRPr="00CC2F73">
        <w:lastRenderedPageBreak/>
        <w:t>Contributors exits by Resignation</w:t>
      </w:r>
    </w:p>
    <w:p w:rsidR="0060311E" w:rsidRPr="0060311E" w:rsidRDefault="0060311E" w:rsidP="0060311E">
      <w:pPr>
        <w:pStyle w:val="Heading5"/>
      </w:pPr>
      <w:r w:rsidRPr="00497D3E">
        <w:rPr>
          <w:lang w:val="en-US"/>
        </w:rPr>
        <w:t xml:space="preserve">Resignation Assumptions – PSS Contributors </w:t>
      </w:r>
      <w:r w:rsidRPr="00497D3E">
        <w:rPr>
          <w:lang w:val="en-US"/>
        </w:rPr>
        <w:br/>
        <w:t>(per 1,000 at age shown)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368"/>
        <w:gridCol w:w="1751"/>
        <w:gridCol w:w="1559"/>
        <w:gridCol w:w="1559"/>
        <w:gridCol w:w="1693"/>
      </w:tblGrid>
      <w:tr w:rsidR="006133A8" w:rsidRPr="00497D3E" w:rsidTr="00497D3E">
        <w:trPr>
          <w:trHeight w:val="265"/>
        </w:trPr>
        <w:tc>
          <w:tcPr>
            <w:tcW w:w="1368" w:type="dxa"/>
            <w:vMerge w:val="restart"/>
            <w:shd w:val="clear" w:color="auto" w:fill="DDF3FA"/>
            <w:vAlign w:val="center"/>
          </w:tcPr>
          <w:p w:rsidR="006133A8" w:rsidRPr="00497D3E" w:rsidRDefault="006133A8" w:rsidP="0060311E">
            <w:pPr>
              <w:pStyle w:val="Tablecolumnheading"/>
              <w:rPr>
                <w:lang w:val="en-US"/>
              </w:rPr>
            </w:pPr>
            <w:r w:rsidRPr="00497D3E">
              <w:rPr>
                <w:lang w:val="en-US"/>
              </w:rPr>
              <w:t>Age Last Birthday</w:t>
            </w:r>
          </w:p>
        </w:tc>
        <w:tc>
          <w:tcPr>
            <w:tcW w:w="3310" w:type="dxa"/>
            <w:gridSpan w:val="2"/>
            <w:shd w:val="clear" w:color="auto" w:fill="DDF3FA"/>
            <w:vAlign w:val="bottom"/>
          </w:tcPr>
          <w:p w:rsidR="006133A8" w:rsidRPr="00497D3E" w:rsidRDefault="006133A8" w:rsidP="0060311E">
            <w:pPr>
              <w:pStyle w:val="Tablecolumnheading"/>
              <w:rPr>
                <w:lang w:val="en-US"/>
              </w:rPr>
            </w:pPr>
            <w:r w:rsidRPr="00497D3E">
              <w:rPr>
                <w:lang w:val="en-US"/>
              </w:rPr>
              <w:t>Males</w:t>
            </w:r>
          </w:p>
        </w:tc>
        <w:tc>
          <w:tcPr>
            <w:tcW w:w="3252" w:type="dxa"/>
            <w:gridSpan w:val="2"/>
            <w:shd w:val="clear" w:color="auto" w:fill="DDF3FA"/>
            <w:vAlign w:val="bottom"/>
          </w:tcPr>
          <w:p w:rsidR="006133A8" w:rsidRPr="00497D3E" w:rsidRDefault="006133A8" w:rsidP="0060311E">
            <w:pPr>
              <w:pStyle w:val="Tablecolumnheading"/>
              <w:rPr>
                <w:lang w:val="en-US"/>
              </w:rPr>
            </w:pPr>
            <w:r w:rsidRPr="00497D3E">
              <w:rPr>
                <w:lang w:val="en-US"/>
              </w:rPr>
              <w:t>Females</w:t>
            </w:r>
          </w:p>
        </w:tc>
      </w:tr>
      <w:tr w:rsidR="006133A8" w:rsidRPr="00497D3E" w:rsidTr="00497D3E">
        <w:trPr>
          <w:trHeight w:val="265"/>
        </w:trPr>
        <w:tc>
          <w:tcPr>
            <w:tcW w:w="1368" w:type="dxa"/>
            <w:vMerge/>
            <w:shd w:val="clear" w:color="auto" w:fill="DDF3FA"/>
            <w:vAlign w:val="center"/>
          </w:tcPr>
          <w:p w:rsidR="006133A8" w:rsidRPr="00497D3E" w:rsidRDefault="006133A8" w:rsidP="0060311E">
            <w:pPr>
              <w:pStyle w:val="Tablecolumnheading"/>
              <w:rPr>
                <w:lang w:val="en-US"/>
              </w:rPr>
            </w:pPr>
          </w:p>
        </w:tc>
        <w:tc>
          <w:tcPr>
            <w:tcW w:w="1751" w:type="dxa"/>
            <w:shd w:val="clear" w:color="auto" w:fill="DDF3FA"/>
            <w:vAlign w:val="bottom"/>
          </w:tcPr>
          <w:p w:rsidR="006133A8" w:rsidRPr="00497D3E" w:rsidRDefault="006133A8" w:rsidP="0060311E">
            <w:pPr>
              <w:pStyle w:val="Tablecolumnheading"/>
              <w:rPr>
                <w:lang w:val="en-US"/>
              </w:rPr>
            </w:pPr>
            <w:r w:rsidRPr="00497D3E">
              <w:rPr>
                <w:lang w:val="en-US"/>
              </w:rPr>
              <w:t>Membership</w:t>
            </w:r>
            <w:r w:rsidRPr="00497D3E">
              <w:rPr>
                <w:lang w:val="en-US"/>
              </w:rPr>
              <w:br/>
              <w:t>0 years</w:t>
            </w:r>
          </w:p>
        </w:tc>
        <w:tc>
          <w:tcPr>
            <w:tcW w:w="1559" w:type="dxa"/>
            <w:shd w:val="clear" w:color="auto" w:fill="DDF3FA"/>
            <w:vAlign w:val="bottom"/>
          </w:tcPr>
          <w:p w:rsidR="006133A8" w:rsidRPr="00497D3E" w:rsidRDefault="006133A8" w:rsidP="0060311E">
            <w:pPr>
              <w:pStyle w:val="Tablecolumnheading"/>
              <w:rPr>
                <w:lang w:val="en-US"/>
              </w:rPr>
            </w:pPr>
            <w:r w:rsidRPr="00497D3E">
              <w:rPr>
                <w:lang w:val="en-US"/>
              </w:rPr>
              <w:t>Membership</w:t>
            </w:r>
            <w:r w:rsidRPr="00497D3E">
              <w:rPr>
                <w:lang w:val="en-US"/>
              </w:rPr>
              <w:br/>
              <w:t>10 years</w:t>
            </w:r>
          </w:p>
        </w:tc>
        <w:tc>
          <w:tcPr>
            <w:tcW w:w="1559" w:type="dxa"/>
            <w:shd w:val="clear" w:color="auto" w:fill="DDF3FA"/>
            <w:vAlign w:val="bottom"/>
          </w:tcPr>
          <w:p w:rsidR="006133A8" w:rsidRPr="00497D3E" w:rsidRDefault="006133A8" w:rsidP="0060311E">
            <w:pPr>
              <w:pStyle w:val="Tablecolumnheading"/>
              <w:rPr>
                <w:lang w:val="en-US"/>
              </w:rPr>
            </w:pPr>
            <w:r w:rsidRPr="00497D3E">
              <w:rPr>
                <w:lang w:val="en-US"/>
              </w:rPr>
              <w:t>Membership</w:t>
            </w:r>
            <w:r w:rsidRPr="00497D3E">
              <w:rPr>
                <w:lang w:val="en-US"/>
              </w:rPr>
              <w:br/>
              <w:t>0 years</w:t>
            </w:r>
          </w:p>
        </w:tc>
        <w:tc>
          <w:tcPr>
            <w:tcW w:w="1693" w:type="dxa"/>
            <w:shd w:val="clear" w:color="auto" w:fill="DDF3FA"/>
            <w:vAlign w:val="bottom"/>
          </w:tcPr>
          <w:p w:rsidR="006133A8" w:rsidRPr="00497D3E" w:rsidRDefault="006133A8" w:rsidP="0060311E">
            <w:pPr>
              <w:pStyle w:val="Tablecolumnheading"/>
              <w:rPr>
                <w:lang w:val="en-US"/>
              </w:rPr>
            </w:pPr>
            <w:r w:rsidRPr="00497D3E">
              <w:rPr>
                <w:lang w:val="en-US"/>
              </w:rPr>
              <w:t>Membership</w:t>
            </w:r>
            <w:r w:rsidRPr="00497D3E">
              <w:rPr>
                <w:lang w:val="en-US"/>
              </w:rPr>
              <w:br/>
              <w:t>10 years</w:t>
            </w:r>
          </w:p>
        </w:tc>
      </w:tr>
      <w:tr w:rsidR="006133A8" w:rsidRPr="00497D3E" w:rsidTr="00497D3E">
        <w:trPr>
          <w:trHeight w:val="239"/>
        </w:trPr>
        <w:tc>
          <w:tcPr>
            <w:tcW w:w="1368" w:type="dxa"/>
            <w:vAlign w:val="bottom"/>
          </w:tcPr>
          <w:p w:rsidR="006133A8" w:rsidRPr="00497D3E" w:rsidRDefault="006133A8" w:rsidP="0060311E">
            <w:pPr>
              <w:pStyle w:val="Tablebodytext"/>
              <w:rPr>
                <w:lang w:val="en-US"/>
              </w:rPr>
            </w:pPr>
            <w:r w:rsidRPr="00497D3E">
              <w:rPr>
                <w:lang w:val="en-US"/>
              </w:rPr>
              <w:t>30</w:t>
            </w:r>
          </w:p>
        </w:tc>
        <w:tc>
          <w:tcPr>
            <w:tcW w:w="1751" w:type="dxa"/>
            <w:vAlign w:val="bottom"/>
          </w:tcPr>
          <w:p w:rsidR="006133A8" w:rsidRPr="00497D3E" w:rsidRDefault="006133A8" w:rsidP="0060311E">
            <w:pPr>
              <w:pStyle w:val="Tablebodytext"/>
              <w:rPr>
                <w:lang w:val="en-US"/>
              </w:rPr>
            </w:pPr>
            <w:r w:rsidRPr="00497D3E">
              <w:rPr>
                <w:lang w:val="en-US"/>
              </w:rPr>
              <w:t>132.0</w:t>
            </w:r>
          </w:p>
        </w:tc>
        <w:tc>
          <w:tcPr>
            <w:tcW w:w="1559" w:type="dxa"/>
            <w:vAlign w:val="bottom"/>
          </w:tcPr>
          <w:p w:rsidR="006133A8" w:rsidRPr="00497D3E" w:rsidRDefault="006133A8" w:rsidP="0060311E">
            <w:pPr>
              <w:pStyle w:val="Tablebodytext"/>
              <w:rPr>
                <w:lang w:val="en-US"/>
              </w:rPr>
            </w:pPr>
            <w:r w:rsidRPr="00497D3E">
              <w:rPr>
                <w:lang w:val="en-US"/>
              </w:rPr>
              <w:t>39.9</w:t>
            </w:r>
          </w:p>
        </w:tc>
        <w:tc>
          <w:tcPr>
            <w:tcW w:w="1559" w:type="dxa"/>
            <w:vAlign w:val="bottom"/>
          </w:tcPr>
          <w:p w:rsidR="006133A8" w:rsidRPr="00497D3E" w:rsidRDefault="006133A8" w:rsidP="0060311E">
            <w:pPr>
              <w:pStyle w:val="Tablebodytext"/>
              <w:rPr>
                <w:lang w:val="en-US"/>
              </w:rPr>
            </w:pPr>
            <w:r w:rsidRPr="00497D3E">
              <w:rPr>
                <w:lang w:val="en-US"/>
              </w:rPr>
              <w:t>97.6</w:t>
            </w:r>
          </w:p>
        </w:tc>
        <w:tc>
          <w:tcPr>
            <w:tcW w:w="1693" w:type="dxa"/>
            <w:vAlign w:val="bottom"/>
          </w:tcPr>
          <w:p w:rsidR="006133A8" w:rsidRPr="00497D3E" w:rsidRDefault="006133A8" w:rsidP="0060311E">
            <w:pPr>
              <w:pStyle w:val="Tablebodytext"/>
              <w:rPr>
                <w:lang w:val="en-US"/>
              </w:rPr>
            </w:pPr>
            <w:r w:rsidRPr="00497D3E">
              <w:rPr>
                <w:lang w:val="en-US"/>
              </w:rPr>
              <w:t>39.8</w:t>
            </w:r>
          </w:p>
        </w:tc>
      </w:tr>
      <w:tr w:rsidR="006133A8" w:rsidRPr="00497D3E" w:rsidTr="00497D3E">
        <w:trPr>
          <w:trHeight w:val="286"/>
        </w:trPr>
        <w:tc>
          <w:tcPr>
            <w:tcW w:w="1368" w:type="dxa"/>
            <w:vAlign w:val="bottom"/>
          </w:tcPr>
          <w:p w:rsidR="006133A8" w:rsidRPr="00497D3E" w:rsidRDefault="006133A8" w:rsidP="0060311E">
            <w:pPr>
              <w:pStyle w:val="Tablebodytext"/>
              <w:rPr>
                <w:lang w:val="en-US"/>
              </w:rPr>
            </w:pPr>
            <w:r w:rsidRPr="00497D3E">
              <w:rPr>
                <w:lang w:val="en-US"/>
              </w:rPr>
              <w:t>35</w:t>
            </w:r>
          </w:p>
        </w:tc>
        <w:tc>
          <w:tcPr>
            <w:tcW w:w="1751" w:type="dxa"/>
            <w:vAlign w:val="bottom"/>
          </w:tcPr>
          <w:p w:rsidR="006133A8" w:rsidRPr="00497D3E" w:rsidRDefault="006133A8" w:rsidP="0060311E">
            <w:pPr>
              <w:pStyle w:val="Tablebodytext"/>
              <w:rPr>
                <w:lang w:val="en-US"/>
              </w:rPr>
            </w:pPr>
            <w:r w:rsidRPr="00497D3E">
              <w:rPr>
                <w:lang w:val="en-US"/>
              </w:rPr>
              <w:t>116.1</w:t>
            </w:r>
          </w:p>
        </w:tc>
        <w:tc>
          <w:tcPr>
            <w:tcW w:w="1559" w:type="dxa"/>
            <w:vAlign w:val="bottom"/>
          </w:tcPr>
          <w:p w:rsidR="006133A8" w:rsidRPr="00497D3E" w:rsidRDefault="006133A8" w:rsidP="0060311E">
            <w:pPr>
              <w:pStyle w:val="Tablebodytext"/>
              <w:rPr>
                <w:lang w:val="en-US"/>
              </w:rPr>
            </w:pPr>
            <w:r w:rsidRPr="00497D3E">
              <w:rPr>
                <w:lang w:val="en-US"/>
              </w:rPr>
              <w:t>35.1</w:t>
            </w:r>
          </w:p>
        </w:tc>
        <w:tc>
          <w:tcPr>
            <w:tcW w:w="1559" w:type="dxa"/>
            <w:vAlign w:val="bottom"/>
          </w:tcPr>
          <w:p w:rsidR="006133A8" w:rsidRPr="00497D3E" w:rsidRDefault="006133A8" w:rsidP="0060311E">
            <w:pPr>
              <w:pStyle w:val="Tablebodytext"/>
              <w:rPr>
                <w:lang w:val="en-US"/>
              </w:rPr>
            </w:pPr>
            <w:r w:rsidRPr="00497D3E">
              <w:rPr>
                <w:lang w:val="en-US"/>
              </w:rPr>
              <w:t>86.0</w:t>
            </w:r>
          </w:p>
        </w:tc>
        <w:tc>
          <w:tcPr>
            <w:tcW w:w="1693" w:type="dxa"/>
            <w:vAlign w:val="bottom"/>
          </w:tcPr>
          <w:p w:rsidR="006133A8" w:rsidRPr="00497D3E" w:rsidRDefault="006133A8" w:rsidP="0060311E">
            <w:pPr>
              <w:pStyle w:val="Tablebodytext"/>
              <w:rPr>
                <w:lang w:val="en-US"/>
              </w:rPr>
            </w:pPr>
            <w:r w:rsidRPr="00497D3E">
              <w:rPr>
                <w:lang w:val="en-US"/>
              </w:rPr>
              <w:t>35.1</w:t>
            </w:r>
          </w:p>
        </w:tc>
      </w:tr>
      <w:tr w:rsidR="006133A8" w:rsidRPr="00497D3E" w:rsidTr="00497D3E">
        <w:trPr>
          <w:trHeight w:val="261"/>
        </w:trPr>
        <w:tc>
          <w:tcPr>
            <w:tcW w:w="1368" w:type="dxa"/>
            <w:vAlign w:val="bottom"/>
          </w:tcPr>
          <w:p w:rsidR="006133A8" w:rsidRPr="00497D3E" w:rsidRDefault="006133A8" w:rsidP="0060311E">
            <w:pPr>
              <w:pStyle w:val="Tablebodytext"/>
              <w:rPr>
                <w:lang w:val="en-US"/>
              </w:rPr>
            </w:pPr>
            <w:r w:rsidRPr="00497D3E">
              <w:rPr>
                <w:lang w:val="en-US"/>
              </w:rPr>
              <w:t>40</w:t>
            </w:r>
          </w:p>
        </w:tc>
        <w:tc>
          <w:tcPr>
            <w:tcW w:w="1751" w:type="dxa"/>
            <w:vAlign w:val="bottom"/>
          </w:tcPr>
          <w:p w:rsidR="006133A8" w:rsidRPr="00497D3E" w:rsidRDefault="006133A8" w:rsidP="0060311E">
            <w:pPr>
              <w:pStyle w:val="Tablebodytext"/>
              <w:rPr>
                <w:lang w:val="en-US"/>
              </w:rPr>
            </w:pPr>
            <w:r w:rsidRPr="00497D3E">
              <w:rPr>
                <w:lang w:val="en-US"/>
              </w:rPr>
              <w:t>95.4</w:t>
            </w:r>
          </w:p>
        </w:tc>
        <w:tc>
          <w:tcPr>
            <w:tcW w:w="1559" w:type="dxa"/>
            <w:vAlign w:val="bottom"/>
          </w:tcPr>
          <w:p w:rsidR="006133A8" w:rsidRPr="00497D3E" w:rsidRDefault="006133A8" w:rsidP="0060311E">
            <w:pPr>
              <w:pStyle w:val="Tablebodytext"/>
              <w:rPr>
                <w:lang w:val="en-US"/>
              </w:rPr>
            </w:pPr>
            <w:r w:rsidRPr="00497D3E">
              <w:rPr>
                <w:lang w:val="en-US"/>
              </w:rPr>
              <w:t>28.8</w:t>
            </w:r>
          </w:p>
        </w:tc>
        <w:tc>
          <w:tcPr>
            <w:tcW w:w="1559" w:type="dxa"/>
            <w:vAlign w:val="bottom"/>
          </w:tcPr>
          <w:p w:rsidR="006133A8" w:rsidRPr="00497D3E" w:rsidRDefault="006133A8" w:rsidP="0060311E">
            <w:pPr>
              <w:pStyle w:val="Tablebodytext"/>
              <w:rPr>
                <w:lang w:val="en-US"/>
              </w:rPr>
            </w:pPr>
            <w:r w:rsidRPr="00497D3E">
              <w:rPr>
                <w:lang w:val="en-US"/>
              </w:rPr>
              <w:t>82.0</w:t>
            </w:r>
          </w:p>
        </w:tc>
        <w:tc>
          <w:tcPr>
            <w:tcW w:w="1693" w:type="dxa"/>
            <w:vAlign w:val="bottom"/>
          </w:tcPr>
          <w:p w:rsidR="006133A8" w:rsidRPr="00497D3E" w:rsidRDefault="006133A8" w:rsidP="0060311E">
            <w:pPr>
              <w:pStyle w:val="Tablebodytext"/>
              <w:rPr>
                <w:lang w:val="en-US"/>
              </w:rPr>
            </w:pPr>
            <w:r w:rsidRPr="00497D3E">
              <w:rPr>
                <w:lang w:val="en-US"/>
              </w:rPr>
              <w:t>33.5</w:t>
            </w:r>
          </w:p>
        </w:tc>
      </w:tr>
      <w:tr w:rsidR="006133A8" w:rsidRPr="00497D3E" w:rsidTr="00497D3E">
        <w:trPr>
          <w:trHeight w:val="278"/>
        </w:trPr>
        <w:tc>
          <w:tcPr>
            <w:tcW w:w="1368" w:type="dxa"/>
            <w:vAlign w:val="bottom"/>
          </w:tcPr>
          <w:p w:rsidR="006133A8" w:rsidRPr="00497D3E" w:rsidRDefault="006133A8" w:rsidP="0060311E">
            <w:pPr>
              <w:pStyle w:val="Tablebodytext"/>
              <w:rPr>
                <w:lang w:val="en-US"/>
              </w:rPr>
            </w:pPr>
            <w:r w:rsidRPr="00497D3E">
              <w:rPr>
                <w:lang w:val="en-US"/>
              </w:rPr>
              <w:t>45</w:t>
            </w:r>
          </w:p>
        </w:tc>
        <w:tc>
          <w:tcPr>
            <w:tcW w:w="1751" w:type="dxa"/>
            <w:vAlign w:val="bottom"/>
          </w:tcPr>
          <w:p w:rsidR="006133A8" w:rsidRPr="00497D3E" w:rsidRDefault="006133A8" w:rsidP="0060311E">
            <w:pPr>
              <w:pStyle w:val="Tablebodytext"/>
              <w:rPr>
                <w:lang w:val="en-US"/>
              </w:rPr>
            </w:pPr>
            <w:r w:rsidRPr="00497D3E">
              <w:rPr>
                <w:lang w:val="en-US"/>
              </w:rPr>
              <w:t>81.1</w:t>
            </w:r>
          </w:p>
        </w:tc>
        <w:tc>
          <w:tcPr>
            <w:tcW w:w="1559" w:type="dxa"/>
            <w:vAlign w:val="bottom"/>
          </w:tcPr>
          <w:p w:rsidR="006133A8" w:rsidRPr="00497D3E" w:rsidRDefault="006133A8" w:rsidP="0060311E">
            <w:pPr>
              <w:pStyle w:val="Tablebodytext"/>
              <w:rPr>
                <w:lang w:val="en-US"/>
              </w:rPr>
            </w:pPr>
            <w:r w:rsidRPr="00497D3E">
              <w:rPr>
                <w:lang w:val="en-US"/>
              </w:rPr>
              <w:t>24.5</w:t>
            </w:r>
          </w:p>
        </w:tc>
        <w:tc>
          <w:tcPr>
            <w:tcW w:w="1559" w:type="dxa"/>
            <w:vAlign w:val="bottom"/>
          </w:tcPr>
          <w:p w:rsidR="006133A8" w:rsidRPr="00497D3E" w:rsidRDefault="006133A8" w:rsidP="0060311E">
            <w:pPr>
              <w:pStyle w:val="Tablebodytext"/>
              <w:rPr>
                <w:lang w:val="en-US"/>
              </w:rPr>
            </w:pPr>
            <w:r w:rsidRPr="00497D3E">
              <w:rPr>
                <w:lang w:val="en-US"/>
              </w:rPr>
              <w:t>67.8</w:t>
            </w:r>
          </w:p>
        </w:tc>
        <w:tc>
          <w:tcPr>
            <w:tcW w:w="1693" w:type="dxa"/>
            <w:vAlign w:val="bottom"/>
          </w:tcPr>
          <w:p w:rsidR="006133A8" w:rsidRPr="00497D3E" w:rsidRDefault="006133A8" w:rsidP="0060311E">
            <w:pPr>
              <w:pStyle w:val="Tablebodytext"/>
              <w:rPr>
                <w:lang w:val="en-US"/>
              </w:rPr>
            </w:pPr>
            <w:r w:rsidRPr="00497D3E">
              <w:rPr>
                <w:lang w:val="en-US"/>
              </w:rPr>
              <w:t>27.6</w:t>
            </w:r>
          </w:p>
        </w:tc>
      </w:tr>
      <w:tr w:rsidR="006133A8" w:rsidRPr="00497D3E" w:rsidTr="00497D3E">
        <w:trPr>
          <w:trHeight w:val="269"/>
        </w:trPr>
        <w:tc>
          <w:tcPr>
            <w:tcW w:w="1368" w:type="dxa"/>
            <w:vAlign w:val="bottom"/>
          </w:tcPr>
          <w:p w:rsidR="006133A8" w:rsidRPr="00497D3E" w:rsidRDefault="006133A8" w:rsidP="0060311E">
            <w:pPr>
              <w:pStyle w:val="Tablebodytext"/>
              <w:rPr>
                <w:lang w:val="en-US"/>
              </w:rPr>
            </w:pPr>
            <w:r w:rsidRPr="00497D3E">
              <w:rPr>
                <w:lang w:val="en-US"/>
              </w:rPr>
              <w:t>50</w:t>
            </w:r>
          </w:p>
        </w:tc>
        <w:tc>
          <w:tcPr>
            <w:tcW w:w="1751" w:type="dxa"/>
            <w:vAlign w:val="bottom"/>
          </w:tcPr>
          <w:p w:rsidR="006133A8" w:rsidRPr="00497D3E" w:rsidRDefault="006133A8" w:rsidP="0060311E">
            <w:pPr>
              <w:pStyle w:val="Tablebodytext"/>
              <w:rPr>
                <w:lang w:val="en-US"/>
              </w:rPr>
            </w:pPr>
            <w:r w:rsidRPr="00497D3E">
              <w:rPr>
                <w:lang w:val="en-US"/>
              </w:rPr>
              <w:t>70.5</w:t>
            </w:r>
          </w:p>
        </w:tc>
        <w:tc>
          <w:tcPr>
            <w:tcW w:w="1559" w:type="dxa"/>
            <w:vAlign w:val="bottom"/>
          </w:tcPr>
          <w:p w:rsidR="006133A8" w:rsidRPr="00497D3E" w:rsidRDefault="006133A8" w:rsidP="0060311E">
            <w:pPr>
              <w:pStyle w:val="Tablebodytext"/>
              <w:rPr>
                <w:lang w:val="en-US"/>
              </w:rPr>
            </w:pPr>
            <w:r w:rsidRPr="00497D3E">
              <w:rPr>
                <w:lang w:val="en-US"/>
              </w:rPr>
              <w:t>21.3</w:t>
            </w:r>
          </w:p>
        </w:tc>
        <w:tc>
          <w:tcPr>
            <w:tcW w:w="1559" w:type="dxa"/>
            <w:vAlign w:val="bottom"/>
          </w:tcPr>
          <w:p w:rsidR="006133A8" w:rsidRPr="00497D3E" w:rsidRDefault="006133A8" w:rsidP="0060311E">
            <w:pPr>
              <w:pStyle w:val="Tablebodytext"/>
              <w:rPr>
                <w:lang w:val="en-US"/>
              </w:rPr>
            </w:pPr>
            <w:r w:rsidRPr="00497D3E">
              <w:rPr>
                <w:lang w:val="en-US"/>
              </w:rPr>
              <w:t>65.9</w:t>
            </w:r>
          </w:p>
        </w:tc>
        <w:tc>
          <w:tcPr>
            <w:tcW w:w="1693" w:type="dxa"/>
            <w:vAlign w:val="bottom"/>
          </w:tcPr>
          <w:p w:rsidR="006133A8" w:rsidRPr="00497D3E" w:rsidRDefault="006133A8" w:rsidP="0060311E">
            <w:pPr>
              <w:pStyle w:val="Tablebodytext"/>
              <w:rPr>
                <w:lang w:val="en-US"/>
              </w:rPr>
            </w:pPr>
            <w:r w:rsidRPr="00497D3E">
              <w:rPr>
                <w:lang w:val="en-US"/>
              </w:rPr>
              <w:t>26.9</w:t>
            </w:r>
          </w:p>
        </w:tc>
      </w:tr>
      <w:tr w:rsidR="006133A8" w:rsidRPr="00497D3E" w:rsidTr="00497D3E">
        <w:trPr>
          <w:trHeight w:val="288"/>
        </w:trPr>
        <w:tc>
          <w:tcPr>
            <w:tcW w:w="1368" w:type="dxa"/>
            <w:vAlign w:val="bottom"/>
          </w:tcPr>
          <w:p w:rsidR="006133A8" w:rsidRPr="00497D3E" w:rsidRDefault="006133A8" w:rsidP="0060311E">
            <w:pPr>
              <w:pStyle w:val="Tablebodytext"/>
              <w:rPr>
                <w:b/>
                <w:lang w:val="en-US"/>
              </w:rPr>
            </w:pPr>
            <w:r w:rsidRPr="00497D3E">
              <w:rPr>
                <w:b/>
                <w:lang w:val="en-US"/>
              </w:rPr>
              <w:t>Factor*</w:t>
            </w:r>
          </w:p>
        </w:tc>
        <w:tc>
          <w:tcPr>
            <w:tcW w:w="1751" w:type="dxa"/>
            <w:vAlign w:val="bottom"/>
          </w:tcPr>
          <w:p w:rsidR="006133A8" w:rsidRPr="00497D3E" w:rsidRDefault="006133A8" w:rsidP="0060311E">
            <w:pPr>
              <w:pStyle w:val="Tablebodytext"/>
              <w:rPr>
                <w:b/>
                <w:lang w:val="en-US"/>
              </w:rPr>
            </w:pPr>
            <w:r w:rsidRPr="00497D3E">
              <w:rPr>
                <w:b/>
                <w:lang w:val="en-US"/>
              </w:rPr>
              <w:t>0.86</w:t>
            </w:r>
          </w:p>
        </w:tc>
        <w:tc>
          <w:tcPr>
            <w:tcW w:w="1559" w:type="dxa"/>
            <w:vAlign w:val="bottom"/>
          </w:tcPr>
          <w:p w:rsidR="006133A8" w:rsidRPr="00497D3E" w:rsidRDefault="006133A8" w:rsidP="0060311E">
            <w:pPr>
              <w:pStyle w:val="Tablebodytext"/>
              <w:rPr>
                <w:b/>
                <w:lang w:val="en-US"/>
              </w:rPr>
            </w:pPr>
            <w:r w:rsidRPr="00497D3E">
              <w:rPr>
                <w:b/>
                <w:lang w:val="en-US"/>
              </w:rPr>
              <w:t>0.92</w:t>
            </w:r>
          </w:p>
        </w:tc>
        <w:tc>
          <w:tcPr>
            <w:tcW w:w="1559" w:type="dxa"/>
            <w:vAlign w:val="bottom"/>
          </w:tcPr>
          <w:p w:rsidR="006133A8" w:rsidRPr="00497D3E" w:rsidRDefault="006133A8" w:rsidP="0060311E">
            <w:pPr>
              <w:pStyle w:val="Tablebodytext"/>
              <w:rPr>
                <w:b/>
                <w:lang w:val="en-US"/>
              </w:rPr>
            </w:pPr>
            <w:r w:rsidRPr="00497D3E">
              <w:rPr>
                <w:b/>
                <w:lang w:val="en-US"/>
              </w:rPr>
              <w:t>0.89</w:t>
            </w:r>
          </w:p>
        </w:tc>
        <w:tc>
          <w:tcPr>
            <w:tcW w:w="1693" w:type="dxa"/>
            <w:vAlign w:val="bottom"/>
          </w:tcPr>
          <w:p w:rsidR="006133A8" w:rsidRPr="00497D3E" w:rsidRDefault="006133A8" w:rsidP="0060311E">
            <w:pPr>
              <w:pStyle w:val="Tablebodytext"/>
              <w:rPr>
                <w:b/>
                <w:lang w:val="en-US"/>
              </w:rPr>
            </w:pPr>
            <w:r w:rsidRPr="00497D3E">
              <w:rPr>
                <w:b/>
                <w:lang w:val="en-US"/>
              </w:rPr>
              <w:t>0.95</w:t>
            </w:r>
          </w:p>
        </w:tc>
      </w:tr>
    </w:tbl>
    <w:p w:rsidR="006133A8" w:rsidRDefault="006133A8" w:rsidP="0060311E">
      <w:pPr>
        <w:pStyle w:val="Tablebodytext"/>
      </w:pPr>
    </w:p>
    <w:p w:rsidR="0060311E" w:rsidRDefault="0060311E" w:rsidP="0060311E">
      <w:pPr>
        <w:pStyle w:val="Heading5"/>
      </w:pPr>
      <w:r w:rsidRPr="00497D3E">
        <w:rPr>
          <w:lang w:val="en-US"/>
        </w:rPr>
        <w:t>Resignation Assumptions – CSS contributors age less than 54</w:t>
      </w:r>
      <w:r w:rsidRPr="00497D3E">
        <w:rPr>
          <w:lang w:val="en-US"/>
        </w:rPr>
        <w:br/>
        <w:t>(per 1,000 at age shown)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368"/>
        <w:gridCol w:w="1751"/>
        <w:gridCol w:w="1559"/>
        <w:gridCol w:w="1559"/>
        <w:gridCol w:w="1693"/>
      </w:tblGrid>
      <w:tr w:rsidR="006133A8" w:rsidRPr="00497D3E" w:rsidTr="00497D3E">
        <w:trPr>
          <w:trHeight w:val="265"/>
        </w:trPr>
        <w:tc>
          <w:tcPr>
            <w:tcW w:w="1368" w:type="dxa"/>
            <w:vMerge w:val="restart"/>
            <w:shd w:val="clear" w:color="auto" w:fill="DDF3FA"/>
            <w:vAlign w:val="center"/>
          </w:tcPr>
          <w:p w:rsidR="006133A8" w:rsidRPr="00497D3E" w:rsidRDefault="006133A8" w:rsidP="0060311E">
            <w:pPr>
              <w:pStyle w:val="Tablecolumnheading"/>
              <w:rPr>
                <w:lang w:val="en-US"/>
              </w:rPr>
            </w:pPr>
            <w:r w:rsidRPr="00497D3E">
              <w:rPr>
                <w:lang w:val="en-US"/>
              </w:rPr>
              <w:t>Age Last Birthday</w:t>
            </w:r>
          </w:p>
        </w:tc>
        <w:tc>
          <w:tcPr>
            <w:tcW w:w="3310" w:type="dxa"/>
            <w:gridSpan w:val="2"/>
            <w:shd w:val="clear" w:color="auto" w:fill="DDF3FA"/>
            <w:vAlign w:val="bottom"/>
          </w:tcPr>
          <w:p w:rsidR="006133A8" w:rsidRPr="00497D3E" w:rsidRDefault="006133A8" w:rsidP="0060311E">
            <w:pPr>
              <w:pStyle w:val="Tablecolumnheading"/>
              <w:rPr>
                <w:lang w:val="en-US"/>
              </w:rPr>
            </w:pPr>
            <w:r w:rsidRPr="00497D3E">
              <w:rPr>
                <w:lang w:val="en-US"/>
              </w:rPr>
              <w:t>Males</w:t>
            </w:r>
          </w:p>
        </w:tc>
        <w:tc>
          <w:tcPr>
            <w:tcW w:w="3252" w:type="dxa"/>
            <w:gridSpan w:val="2"/>
            <w:shd w:val="clear" w:color="auto" w:fill="DDF3FA"/>
            <w:vAlign w:val="bottom"/>
          </w:tcPr>
          <w:p w:rsidR="006133A8" w:rsidRPr="00497D3E" w:rsidRDefault="006133A8" w:rsidP="0060311E">
            <w:pPr>
              <w:pStyle w:val="Tablecolumnheading"/>
              <w:rPr>
                <w:lang w:val="en-US"/>
              </w:rPr>
            </w:pPr>
            <w:r w:rsidRPr="00497D3E">
              <w:rPr>
                <w:lang w:val="en-US"/>
              </w:rPr>
              <w:t>Females</w:t>
            </w:r>
          </w:p>
        </w:tc>
      </w:tr>
      <w:tr w:rsidR="006133A8" w:rsidRPr="00497D3E" w:rsidTr="00497D3E">
        <w:trPr>
          <w:trHeight w:val="265"/>
        </w:trPr>
        <w:tc>
          <w:tcPr>
            <w:tcW w:w="1368" w:type="dxa"/>
            <w:vMerge/>
            <w:shd w:val="clear" w:color="auto" w:fill="DDF3FA"/>
            <w:vAlign w:val="center"/>
          </w:tcPr>
          <w:p w:rsidR="006133A8" w:rsidRPr="00497D3E" w:rsidRDefault="006133A8" w:rsidP="0060311E">
            <w:pPr>
              <w:pStyle w:val="Tablecolumnheading"/>
              <w:rPr>
                <w:lang w:val="en-US"/>
              </w:rPr>
            </w:pPr>
          </w:p>
        </w:tc>
        <w:tc>
          <w:tcPr>
            <w:tcW w:w="1751" w:type="dxa"/>
            <w:shd w:val="clear" w:color="auto" w:fill="DDF3FA"/>
            <w:vAlign w:val="bottom"/>
          </w:tcPr>
          <w:p w:rsidR="006133A8" w:rsidRPr="00497D3E" w:rsidRDefault="006133A8" w:rsidP="0060311E">
            <w:pPr>
              <w:pStyle w:val="Tablecolumnheading"/>
              <w:rPr>
                <w:lang w:val="en-US"/>
              </w:rPr>
            </w:pPr>
            <w:r w:rsidRPr="00497D3E">
              <w:rPr>
                <w:lang w:val="en-US"/>
              </w:rPr>
              <w:t>Membership</w:t>
            </w:r>
            <w:r w:rsidRPr="00497D3E">
              <w:rPr>
                <w:lang w:val="en-US"/>
              </w:rPr>
              <w:br/>
              <w:t>0 years</w:t>
            </w:r>
          </w:p>
        </w:tc>
        <w:tc>
          <w:tcPr>
            <w:tcW w:w="1559" w:type="dxa"/>
            <w:shd w:val="clear" w:color="auto" w:fill="DDF3FA"/>
            <w:vAlign w:val="bottom"/>
          </w:tcPr>
          <w:p w:rsidR="006133A8" w:rsidRPr="00497D3E" w:rsidRDefault="006133A8" w:rsidP="0060311E">
            <w:pPr>
              <w:pStyle w:val="Tablecolumnheading"/>
              <w:rPr>
                <w:lang w:val="en-US"/>
              </w:rPr>
            </w:pPr>
            <w:r w:rsidRPr="00497D3E">
              <w:rPr>
                <w:lang w:val="en-US"/>
              </w:rPr>
              <w:t>Membership</w:t>
            </w:r>
            <w:r w:rsidRPr="00497D3E">
              <w:rPr>
                <w:lang w:val="en-US"/>
              </w:rPr>
              <w:br/>
              <w:t>10 years</w:t>
            </w:r>
          </w:p>
        </w:tc>
        <w:tc>
          <w:tcPr>
            <w:tcW w:w="1559" w:type="dxa"/>
            <w:shd w:val="clear" w:color="auto" w:fill="DDF3FA"/>
            <w:vAlign w:val="bottom"/>
          </w:tcPr>
          <w:p w:rsidR="006133A8" w:rsidRPr="00497D3E" w:rsidRDefault="006133A8" w:rsidP="0060311E">
            <w:pPr>
              <w:pStyle w:val="Tablecolumnheading"/>
              <w:rPr>
                <w:lang w:val="en-US"/>
              </w:rPr>
            </w:pPr>
            <w:r w:rsidRPr="00497D3E">
              <w:rPr>
                <w:lang w:val="en-US"/>
              </w:rPr>
              <w:t>Membership</w:t>
            </w:r>
            <w:r w:rsidRPr="00497D3E">
              <w:rPr>
                <w:lang w:val="en-US"/>
              </w:rPr>
              <w:br/>
              <w:t>0 years</w:t>
            </w:r>
          </w:p>
        </w:tc>
        <w:tc>
          <w:tcPr>
            <w:tcW w:w="1693" w:type="dxa"/>
            <w:shd w:val="clear" w:color="auto" w:fill="DDF3FA"/>
            <w:vAlign w:val="bottom"/>
          </w:tcPr>
          <w:p w:rsidR="006133A8" w:rsidRPr="00497D3E" w:rsidRDefault="006133A8" w:rsidP="0060311E">
            <w:pPr>
              <w:pStyle w:val="Tablecolumnheading"/>
              <w:rPr>
                <w:lang w:val="en-US"/>
              </w:rPr>
            </w:pPr>
            <w:r w:rsidRPr="00497D3E">
              <w:rPr>
                <w:lang w:val="en-US"/>
              </w:rPr>
              <w:t>Membership</w:t>
            </w:r>
            <w:r w:rsidRPr="00497D3E">
              <w:rPr>
                <w:lang w:val="en-US"/>
              </w:rPr>
              <w:br/>
              <w:t>10 years</w:t>
            </w:r>
          </w:p>
        </w:tc>
      </w:tr>
      <w:tr w:rsidR="006133A8" w:rsidRPr="00497D3E" w:rsidTr="00497D3E">
        <w:trPr>
          <w:trHeight w:val="239"/>
        </w:trPr>
        <w:tc>
          <w:tcPr>
            <w:tcW w:w="1368" w:type="dxa"/>
            <w:vAlign w:val="center"/>
          </w:tcPr>
          <w:p w:rsidR="006133A8" w:rsidRPr="00497D3E" w:rsidRDefault="006133A8" w:rsidP="0060311E">
            <w:pPr>
              <w:pStyle w:val="Tablebodytext"/>
              <w:rPr>
                <w:lang w:val="en-US"/>
              </w:rPr>
            </w:pPr>
            <w:r w:rsidRPr="00497D3E">
              <w:rPr>
                <w:lang w:val="en-US"/>
              </w:rPr>
              <w:t>30</w:t>
            </w:r>
          </w:p>
        </w:tc>
        <w:tc>
          <w:tcPr>
            <w:tcW w:w="1751" w:type="dxa"/>
            <w:vAlign w:val="center"/>
          </w:tcPr>
          <w:p w:rsidR="006133A8" w:rsidRPr="00497D3E" w:rsidRDefault="006133A8" w:rsidP="0060311E">
            <w:pPr>
              <w:pStyle w:val="Tablebodytext"/>
              <w:rPr>
                <w:lang w:val="en-US"/>
              </w:rPr>
            </w:pPr>
            <w:r w:rsidRPr="00497D3E">
              <w:rPr>
                <w:lang w:val="en-US"/>
              </w:rPr>
              <w:t>71.5</w:t>
            </w:r>
          </w:p>
        </w:tc>
        <w:tc>
          <w:tcPr>
            <w:tcW w:w="1559" w:type="dxa"/>
            <w:vAlign w:val="center"/>
          </w:tcPr>
          <w:p w:rsidR="006133A8" w:rsidRPr="00497D3E" w:rsidRDefault="006133A8" w:rsidP="0060311E">
            <w:pPr>
              <w:pStyle w:val="Tablebodytext"/>
              <w:rPr>
                <w:lang w:val="en-US"/>
              </w:rPr>
            </w:pPr>
            <w:r w:rsidRPr="00497D3E">
              <w:rPr>
                <w:lang w:val="en-US"/>
              </w:rPr>
              <w:t>35.5</w:t>
            </w:r>
          </w:p>
        </w:tc>
        <w:tc>
          <w:tcPr>
            <w:tcW w:w="1559" w:type="dxa"/>
            <w:vAlign w:val="center"/>
          </w:tcPr>
          <w:p w:rsidR="006133A8" w:rsidRPr="00497D3E" w:rsidRDefault="006133A8" w:rsidP="0060311E">
            <w:pPr>
              <w:pStyle w:val="Tablebodytext"/>
              <w:rPr>
                <w:lang w:val="en-US"/>
              </w:rPr>
            </w:pPr>
            <w:r w:rsidRPr="00497D3E">
              <w:rPr>
                <w:lang w:val="en-US"/>
              </w:rPr>
              <w:t>49.3</w:t>
            </w:r>
          </w:p>
        </w:tc>
        <w:tc>
          <w:tcPr>
            <w:tcW w:w="1693" w:type="dxa"/>
            <w:vAlign w:val="center"/>
          </w:tcPr>
          <w:p w:rsidR="006133A8" w:rsidRPr="00497D3E" w:rsidRDefault="006133A8" w:rsidP="0060311E">
            <w:pPr>
              <w:pStyle w:val="Tablebodytext"/>
              <w:rPr>
                <w:lang w:val="en-US"/>
              </w:rPr>
            </w:pPr>
            <w:r w:rsidRPr="00497D3E">
              <w:rPr>
                <w:lang w:val="en-US"/>
              </w:rPr>
              <w:t>43.3</w:t>
            </w:r>
          </w:p>
        </w:tc>
      </w:tr>
      <w:tr w:rsidR="006133A8" w:rsidRPr="00497D3E" w:rsidTr="00497D3E">
        <w:trPr>
          <w:trHeight w:val="286"/>
        </w:trPr>
        <w:tc>
          <w:tcPr>
            <w:tcW w:w="1368" w:type="dxa"/>
            <w:vAlign w:val="center"/>
          </w:tcPr>
          <w:p w:rsidR="006133A8" w:rsidRPr="00497D3E" w:rsidRDefault="006133A8" w:rsidP="0060311E">
            <w:pPr>
              <w:pStyle w:val="Tablebodytext"/>
              <w:rPr>
                <w:lang w:val="en-US"/>
              </w:rPr>
            </w:pPr>
            <w:r w:rsidRPr="00497D3E">
              <w:rPr>
                <w:lang w:val="en-US"/>
              </w:rPr>
              <w:t>35</w:t>
            </w:r>
          </w:p>
        </w:tc>
        <w:tc>
          <w:tcPr>
            <w:tcW w:w="1751" w:type="dxa"/>
            <w:vAlign w:val="center"/>
          </w:tcPr>
          <w:p w:rsidR="006133A8" w:rsidRPr="00497D3E" w:rsidRDefault="006133A8" w:rsidP="0060311E">
            <w:pPr>
              <w:pStyle w:val="Tablebodytext"/>
              <w:rPr>
                <w:lang w:val="en-US"/>
              </w:rPr>
            </w:pPr>
            <w:r w:rsidRPr="00497D3E">
              <w:rPr>
                <w:lang w:val="en-US"/>
              </w:rPr>
              <w:t>70.3</w:t>
            </w:r>
          </w:p>
        </w:tc>
        <w:tc>
          <w:tcPr>
            <w:tcW w:w="1559" w:type="dxa"/>
            <w:vAlign w:val="center"/>
          </w:tcPr>
          <w:p w:rsidR="006133A8" w:rsidRPr="00497D3E" w:rsidRDefault="006133A8" w:rsidP="0060311E">
            <w:pPr>
              <w:pStyle w:val="Tablebodytext"/>
              <w:rPr>
                <w:lang w:val="en-US"/>
              </w:rPr>
            </w:pPr>
            <w:r w:rsidRPr="00497D3E">
              <w:rPr>
                <w:lang w:val="en-US"/>
              </w:rPr>
              <w:t>30.8</w:t>
            </w:r>
          </w:p>
        </w:tc>
        <w:tc>
          <w:tcPr>
            <w:tcW w:w="1559" w:type="dxa"/>
            <w:vAlign w:val="center"/>
          </w:tcPr>
          <w:p w:rsidR="006133A8" w:rsidRPr="00497D3E" w:rsidRDefault="006133A8" w:rsidP="0060311E">
            <w:pPr>
              <w:pStyle w:val="Tablebodytext"/>
              <w:rPr>
                <w:lang w:val="en-US"/>
              </w:rPr>
            </w:pPr>
            <w:r w:rsidRPr="00497D3E">
              <w:rPr>
                <w:lang w:val="en-US"/>
              </w:rPr>
              <w:t>47.1</w:t>
            </w:r>
          </w:p>
        </w:tc>
        <w:tc>
          <w:tcPr>
            <w:tcW w:w="1693" w:type="dxa"/>
            <w:vAlign w:val="center"/>
          </w:tcPr>
          <w:p w:rsidR="006133A8" w:rsidRPr="00497D3E" w:rsidRDefault="006133A8" w:rsidP="0060311E">
            <w:pPr>
              <w:pStyle w:val="Tablebodytext"/>
              <w:rPr>
                <w:lang w:val="en-US"/>
              </w:rPr>
            </w:pPr>
            <w:r w:rsidRPr="00497D3E">
              <w:rPr>
                <w:lang w:val="en-US"/>
              </w:rPr>
              <w:t>36.5</w:t>
            </w:r>
          </w:p>
        </w:tc>
      </w:tr>
      <w:tr w:rsidR="006133A8" w:rsidRPr="00497D3E" w:rsidTr="00497D3E">
        <w:trPr>
          <w:trHeight w:val="261"/>
        </w:trPr>
        <w:tc>
          <w:tcPr>
            <w:tcW w:w="1368" w:type="dxa"/>
            <w:vAlign w:val="center"/>
          </w:tcPr>
          <w:p w:rsidR="006133A8" w:rsidRPr="00497D3E" w:rsidRDefault="006133A8" w:rsidP="0060311E">
            <w:pPr>
              <w:pStyle w:val="Tablebodytext"/>
              <w:rPr>
                <w:lang w:val="en-US"/>
              </w:rPr>
            </w:pPr>
            <w:r w:rsidRPr="00497D3E">
              <w:rPr>
                <w:lang w:val="en-US"/>
              </w:rPr>
              <w:t>40</w:t>
            </w:r>
          </w:p>
        </w:tc>
        <w:tc>
          <w:tcPr>
            <w:tcW w:w="1751" w:type="dxa"/>
            <w:vAlign w:val="center"/>
          </w:tcPr>
          <w:p w:rsidR="006133A8" w:rsidRPr="00497D3E" w:rsidRDefault="006133A8" w:rsidP="0060311E">
            <w:pPr>
              <w:pStyle w:val="Tablebodytext"/>
              <w:rPr>
                <w:lang w:val="en-US"/>
              </w:rPr>
            </w:pPr>
            <w:r w:rsidRPr="00497D3E">
              <w:rPr>
                <w:lang w:val="en-US"/>
              </w:rPr>
              <w:t>74.0</w:t>
            </w:r>
          </w:p>
        </w:tc>
        <w:tc>
          <w:tcPr>
            <w:tcW w:w="1559" w:type="dxa"/>
            <w:vAlign w:val="center"/>
          </w:tcPr>
          <w:p w:rsidR="006133A8" w:rsidRPr="00497D3E" w:rsidRDefault="006133A8" w:rsidP="0060311E">
            <w:pPr>
              <w:pStyle w:val="Tablebodytext"/>
              <w:rPr>
                <w:lang w:val="en-US"/>
              </w:rPr>
            </w:pPr>
            <w:r w:rsidRPr="00497D3E">
              <w:rPr>
                <w:lang w:val="en-US"/>
              </w:rPr>
              <w:t>29.4</w:t>
            </w:r>
          </w:p>
        </w:tc>
        <w:tc>
          <w:tcPr>
            <w:tcW w:w="1559" w:type="dxa"/>
            <w:vAlign w:val="center"/>
          </w:tcPr>
          <w:p w:rsidR="006133A8" w:rsidRPr="00497D3E" w:rsidRDefault="006133A8" w:rsidP="0060311E">
            <w:pPr>
              <w:pStyle w:val="Tablebodytext"/>
              <w:rPr>
                <w:lang w:val="en-US"/>
              </w:rPr>
            </w:pPr>
            <w:r w:rsidRPr="00497D3E">
              <w:rPr>
                <w:lang w:val="en-US"/>
              </w:rPr>
              <w:t>41.1</w:t>
            </w:r>
          </w:p>
        </w:tc>
        <w:tc>
          <w:tcPr>
            <w:tcW w:w="1693" w:type="dxa"/>
            <w:vAlign w:val="center"/>
          </w:tcPr>
          <w:p w:rsidR="006133A8" w:rsidRPr="00497D3E" w:rsidRDefault="006133A8" w:rsidP="0060311E">
            <w:pPr>
              <w:pStyle w:val="Tablebodytext"/>
              <w:rPr>
                <w:lang w:val="en-US"/>
              </w:rPr>
            </w:pPr>
            <w:r w:rsidRPr="00497D3E">
              <w:rPr>
                <w:lang w:val="en-US"/>
              </w:rPr>
              <w:t>30.2</w:t>
            </w:r>
          </w:p>
        </w:tc>
      </w:tr>
      <w:tr w:rsidR="006133A8" w:rsidRPr="00497D3E" w:rsidTr="00497D3E">
        <w:trPr>
          <w:trHeight w:val="278"/>
        </w:trPr>
        <w:tc>
          <w:tcPr>
            <w:tcW w:w="1368" w:type="dxa"/>
            <w:vAlign w:val="center"/>
          </w:tcPr>
          <w:p w:rsidR="006133A8" w:rsidRPr="00497D3E" w:rsidRDefault="006133A8" w:rsidP="0060311E">
            <w:pPr>
              <w:pStyle w:val="Tablebodytext"/>
              <w:rPr>
                <w:lang w:val="en-US"/>
              </w:rPr>
            </w:pPr>
            <w:r w:rsidRPr="00497D3E">
              <w:rPr>
                <w:lang w:val="en-US"/>
              </w:rPr>
              <w:t>45</w:t>
            </w:r>
          </w:p>
        </w:tc>
        <w:tc>
          <w:tcPr>
            <w:tcW w:w="1751" w:type="dxa"/>
            <w:vAlign w:val="center"/>
          </w:tcPr>
          <w:p w:rsidR="006133A8" w:rsidRPr="00497D3E" w:rsidRDefault="006133A8" w:rsidP="0060311E">
            <w:pPr>
              <w:pStyle w:val="Tablebodytext"/>
              <w:rPr>
                <w:lang w:val="en-US"/>
              </w:rPr>
            </w:pPr>
            <w:r w:rsidRPr="00497D3E">
              <w:rPr>
                <w:lang w:val="en-US"/>
              </w:rPr>
              <w:t>74.9</w:t>
            </w:r>
          </w:p>
        </w:tc>
        <w:tc>
          <w:tcPr>
            <w:tcW w:w="1559" w:type="dxa"/>
            <w:vAlign w:val="center"/>
          </w:tcPr>
          <w:p w:rsidR="006133A8" w:rsidRPr="00497D3E" w:rsidRDefault="006133A8" w:rsidP="0060311E">
            <w:pPr>
              <w:pStyle w:val="Tablebodytext"/>
              <w:rPr>
                <w:lang w:val="en-US"/>
              </w:rPr>
            </w:pPr>
            <w:r w:rsidRPr="00497D3E">
              <w:rPr>
                <w:lang w:val="en-US"/>
              </w:rPr>
              <w:t>28.7</w:t>
            </w:r>
          </w:p>
        </w:tc>
        <w:tc>
          <w:tcPr>
            <w:tcW w:w="1559" w:type="dxa"/>
            <w:vAlign w:val="center"/>
          </w:tcPr>
          <w:p w:rsidR="006133A8" w:rsidRPr="00497D3E" w:rsidRDefault="006133A8" w:rsidP="0060311E">
            <w:pPr>
              <w:pStyle w:val="Tablebodytext"/>
              <w:rPr>
                <w:lang w:val="en-US"/>
              </w:rPr>
            </w:pPr>
            <w:r w:rsidRPr="00497D3E">
              <w:rPr>
                <w:lang w:val="en-US"/>
              </w:rPr>
              <w:t>33.0</w:t>
            </w:r>
          </w:p>
        </w:tc>
        <w:tc>
          <w:tcPr>
            <w:tcW w:w="1693" w:type="dxa"/>
            <w:vAlign w:val="center"/>
          </w:tcPr>
          <w:p w:rsidR="006133A8" w:rsidRPr="00497D3E" w:rsidRDefault="006133A8" w:rsidP="0060311E">
            <w:pPr>
              <w:pStyle w:val="Tablebodytext"/>
              <w:rPr>
                <w:lang w:val="en-US"/>
              </w:rPr>
            </w:pPr>
            <w:r w:rsidRPr="00497D3E">
              <w:rPr>
                <w:lang w:val="en-US"/>
              </w:rPr>
              <w:t>24.4</w:t>
            </w:r>
          </w:p>
        </w:tc>
      </w:tr>
      <w:tr w:rsidR="006133A8" w:rsidRPr="00497D3E" w:rsidTr="00497D3E">
        <w:trPr>
          <w:trHeight w:val="269"/>
        </w:trPr>
        <w:tc>
          <w:tcPr>
            <w:tcW w:w="1368" w:type="dxa"/>
            <w:vAlign w:val="center"/>
          </w:tcPr>
          <w:p w:rsidR="006133A8" w:rsidRPr="00497D3E" w:rsidRDefault="006133A8" w:rsidP="0060311E">
            <w:pPr>
              <w:pStyle w:val="Tablebodytext"/>
              <w:rPr>
                <w:lang w:val="en-US"/>
              </w:rPr>
            </w:pPr>
            <w:r w:rsidRPr="00497D3E">
              <w:rPr>
                <w:lang w:val="en-US"/>
              </w:rPr>
              <w:t>50</w:t>
            </w:r>
          </w:p>
        </w:tc>
        <w:tc>
          <w:tcPr>
            <w:tcW w:w="1751" w:type="dxa"/>
            <w:vAlign w:val="center"/>
          </w:tcPr>
          <w:p w:rsidR="006133A8" w:rsidRPr="00497D3E" w:rsidRDefault="006133A8" w:rsidP="0060311E">
            <w:pPr>
              <w:pStyle w:val="Tablebodytext"/>
              <w:rPr>
                <w:lang w:val="en-US"/>
              </w:rPr>
            </w:pPr>
            <w:r w:rsidRPr="00497D3E">
              <w:rPr>
                <w:lang w:val="en-US"/>
              </w:rPr>
              <w:t>81.7</w:t>
            </w:r>
          </w:p>
        </w:tc>
        <w:tc>
          <w:tcPr>
            <w:tcW w:w="1559" w:type="dxa"/>
            <w:vAlign w:val="center"/>
          </w:tcPr>
          <w:p w:rsidR="006133A8" w:rsidRPr="00497D3E" w:rsidRDefault="006133A8" w:rsidP="0060311E">
            <w:pPr>
              <w:pStyle w:val="Tablebodytext"/>
              <w:rPr>
                <w:lang w:val="en-US"/>
              </w:rPr>
            </w:pPr>
            <w:r w:rsidRPr="00497D3E">
              <w:rPr>
                <w:lang w:val="en-US"/>
              </w:rPr>
              <w:t>31.2</w:t>
            </w:r>
          </w:p>
        </w:tc>
        <w:tc>
          <w:tcPr>
            <w:tcW w:w="1559" w:type="dxa"/>
            <w:vAlign w:val="center"/>
          </w:tcPr>
          <w:p w:rsidR="006133A8" w:rsidRPr="00497D3E" w:rsidRDefault="006133A8" w:rsidP="0060311E">
            <w:pPr>
              <w:pStyle w:val="Tablebodytext"/>
              <w:rPr>
                <w:lang w:val="en-US"/>
              </w:rPr>
            </w:pPr>
            <w:r w:rsidRPr="00497D3E">
              <w:rPr>
                <w:lang w:val="en-US"/>
              </w:rPr>
              <w:t>30.1</w:t>
            </w:r>
          </w:p>
        </w:tc>
        <w:tc>
          <w:tcPr>
            <w:tcW w:w="1693" w:type="dxa"/>
            <w:vAlign w:val="center"/>
          </w:tcPr>
          <w:p w:rsidR="006133A8" w:rsidRPr="00497D3E" w:rsidRDefault="006133A8" w:rsidP="0060311E">
            <w:pPr>
              <w:pStyle w:val="Tablebodytext"/>
              <w:rPr>
                <w:lang w:val="en-US"/>
              </w:rPr>
            </w:pPr>
            <w:r w:rsidRPr="00497D3E">
              <w:rPr>
                <w:lang w:val="en-US"/>
              </w:rPr>
              <w:t>23.2</w:t>
            </w:r>
          </w:p>
        </w:tc>
      </w:tr>
      <w:tr w:rsidR="006133A8" w:rsidRPr="00497D3E" w:rsidTr="00497D3E">
        <w:trPr>
          <w:trHeight w:val="288"/>
        </w:trPr>
        <w:tc>
          <w:tcPr>
            <w:tcW w:w="1368" w:type="dxa"/>
            <w:vAlign w:val="center"/>
          </w:tcPr>
          <w:p w:rsidR="006133A8" w:rsidRPr="00497D3E" w:rsidRDefault="006133A8" w:rsidP="0060311E">
            <w:pPr>
              <w:pStyle w:val="Tablebodytext"/>
              <w:rPr>
                <w:b/>
                <w:lang w:val="en-US"/>
              </w:rPr>
            </w:pPr>
            <w:r w:rsidRPr="00497D3E">
              <w:rPr>
                <w:b/>
                <w:lang w:val="en-US"/>
              </w:rPr>
              <w:t>Factor*</w:t>
            </w:r>
          </w:p>
        </w:tc>
        <w:tc>
          <w:tcPr>
            <w:tcW w:w="1751" w:type="dxa"/>
            <w:vAlign w:val="center"/>
          </w:tcPr>
          <w:p w:rsidR="006133A8" w:rsidRPr="00497D3E" w:rsidRDefault="006133A8" w:rsidP="0060311E">
            <w:pPr>
              <w:pStyle w:val="Tablebodytext"/>
              <w:rPr>
                <w:b/>
                <w:lang w:val="en-US"/>
              </w:rPr>
            </w:pPr>
            <w:r w:rsidRPr="00497D3E">
              <w:rPr>
                <w:b/>
                <w:lang w:val="en-US"/>
              </w:rPr>
              <w:t>0.88</w:t>
            </w:r>
          </w:p>
        </w:tc>
        <w:tc>
          <w:tcPr>
            <w:tcW w:w="1559" w:type="dxa"/>
            <w:vAlign w:val="center"/>
          </w:tcPr>
          <w:p w:rsidR="006133A8" w:rsidRPr="00497D3E" w:rsidRDefault="006133A8" w:rsidP="0060311E">
            <w:pPr>
              <w:pStyle w:val="Tablebodytext"/>
              <w:rPr>
                <w:b/>
                <w:lang w:val="en-US"/>
              </w:rPr>
            </w:pPr>
            <w:r w:rsidRPr="00497D3E">
              <w:rPr>
                <w:b/>
                <w:lang w:val="en-US"/>
              </w:rPr>
              <w:t>0.91</w:t>
            </w:r>
          </w:p>
        </w:tc>
        <w:tc>
          <w:tcPr>
            <w:tcW w:w="1559" w:type="dxa"/>
            <w:vAlign w:val="center"/>
          </w:tcPr>
          <w:p w:rsidR="006133A8" w:rsidRPr="00497D3E" w:rsidRDefault="006133A8" w:rsidP="0060311E">
            <w:pPr>
              <w:pStyle w:val="Tablebodytext"/>
              <w:rPr>
                <w:b/>
                <w:lang w:val="en-US"/>
              </w:rPr>
            </w:pPr>
            <w:r w:rsidRPr="00497D3E">
              <w:rPr>
                <w:b/>
                <w:lang w:val="en-US"/>
              </w:rPr>
              <w:t>0.90</w:t>
            </w:r>
          </w:p>
        </w:tc>
        <w:tc>
          <w:tcPr>
            <w:tcW w:w="1693" w:type="dxa"/>
            <w:vAlign w:val="center"/>
          </w:tcPr>
          <w:p w:rsidR="006133A8" w:rsidRPr="00497D3E" w:rsidRDefault="006133A8" w:rsidP="0060311E">
            <w:pPr>
              <w:pStyle w:val="Tablebodytext"/>
              <w:rPr>
                <w:b/>
                <w:lang w:val="en-US"/>
              </w:rPr>
            </w:pPr>
            <w:r w:rsidRPr="00497D3E">
              <w:rPr>
                <w:b/>
                <w:lang w:val="en-US"/>
              </w:rPr>
              <w:t>0.95</w:t>
            </w:r>
          </w:p>
        </w:tc>
      </w:tr>
    </w:tbl>
    <w:p w:rsidR="006133A8" w:rsidRDefault="006133A8" w:rsidP="0060311E">
      <w:pPr>
        <w:pStyle w:val="Sourcenotetext"/>
      </w:pPr>
      <w:r>
        <w:t xml:space="preserve">*The factors are used to determine the resignation rates for each age for membership periods other than 0 and 10. </w:t>
      </w:r>
    </w:p>
    <w:p w:rsidR="006133A8" w:rsidRDefault="006133A8" w:rsidP="0060311E">
      <w:pPr>
        <w:pStyle w:val="Sourcenotetext"/>
      </w:pPr>
      <w:r>
        <w:t xml:space="preserve">For year “y” between membership years 1 to 9, the resignation rate equals to membership 0 resignation rate x membership 0 factor raised to the power of y. </w:t>
      </w:r>
    </w:p>
    <w:p w:rsidR="006133A8" w:rsidRDefault="006133A8" w:rsidP="0060311E">
      <w:pPr>
        <w:pStyle w:val="Sourcenotetext"/>
      </w:pPr>
      <w:r>
        <w:t xml:space="preserve">For membership year 11 onwards, the resignation rate equals to membership 10 resignation rate x membership 10 factor raised to the power of minimum of (y-10) or 15 years. </w:t>
      </w:r>
    </w:p>
    <w:p w:rsidR="0060311E" w:rsidRDefault="0060311E">
      <w:pPr>
        <w:spacing w:after="0"/>
        <w:rPr>
          <w:rFonts w:ascii="Arial" w:eastAsia="MS Gothic" w:hAnsi="Arial"/>
          <w:b/>
          <w:color w:val="37424A"/>
          <w:spacing w:val="-6"/>
          <w:szCs w:val="18"/>
          <w:lang w:val="en-US"/>
        </w:rPr>
      </w:pPr>
      <w:r>
        <w:rPr>
          <w:szCs w:val="18"/>
          <w:lang w:val="en-US"/>
        </w:rPr>
        <w:br w:type="page"/>
      </w:r>
    </w:p>
    <w:p w:rsidR="0060311E" w:rsidRPr="0060311E" w:rsidRDefault="0060311E" w:rsidP="0060311E">
      <w:pPr>
        <w:pStyle w:val="Heading5"/>
        <w:rPr>
          <w:lang w:val="en-US"/>
        </w:rPr>
      </w:pPr>
      <w:r w:rsidRPr="00497D3E">
        <w:rPr>
          <w:szCs w:val="18"/>
          <w:lang w:val="en-US"/>
        </w:rPr>
        <w:lastRenderedPageBreak/>
        <w:t xml:space="preserve">Resignation </w:t>
      </w:r>
      <w:r w:rsidRPr="0060311E">
        <w:t>Assumptions – CSS contributors age 54</w:t>
      </w:r>
      <w:r w:rsidRPr="0060311E">
        <w:br/>
        <w:t>(per 1,000 at age shown)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368"/>
        <w:gridCol w:w="3310"/>
        <w:gridCol w:w="3252"/>
      </w:tblGrid>
      <w:tr w:rsidR="006133A8" w:rsidRPr="00497D3E" w:rsidTr="00497D3E">
        <w:trPr>
          <w:trHeight w:val="265"/>
        </w:trPr>
        <w:tc>
          <w:tcPr>
            <w:tcW w:w="1368" w:type="dxa"/>
            <w:tcBorders>
              <w:bottom w:val="single" w:sz="2" w:space="0" w:color="A7B4BE"/>
            </w:tcBorders>
            <w:shd w:val="clear" w:color="auto" w:fill="DDF3FA"/>
            <w:vAlign w:val="center"/>
          </w:tcPr>
          <w:p w:rsidR="006133A8" w:rsidRPr="00497D3E" w:rsidRDefault="006133A8" w:rsidP="0060311E">
            <w:pPr>
              <w:pStyle w:val="Tablecolumnheading"/>
              <w:rPr>
                <w:lang w:val="en-US"/>
              </w:rPr>
            </w:pPr>
            <w:r w:rsidRPr="00497D3E">
              <w:rPr>
                <w:lang w:val="en-US"/>
              </w:rPr>
              <w:t>Age Last Birthday</w:t>
            </w:r>
          </w:p>
        </w:tc>
        <w:tc>
          <w:tcPr>
            <w:tcW w:w="3310" w:type="dxa"/>
            <w:tcBorders>
              <w:bottom w:val="single" w:sz="2" w:space="0" w:color="A7B4BE"/>
            </w:tcBorders>
            <w:shd w:val="clear" w:color="auto" w:fill="DDF3FA"/>
            <w:vAlign w:val="center"/>
          </w:tcPr>
          <w:p w:rsidR="006133A8" w:rsidRPr="00497D3E" w:rsidRDefault="006133A8" w:rsidP="0060311E">
            <w:pPr>
              <w:pStyle w:val="Tablecolumnheading"/>
              <w:rPr>
                <w:lang w:val="en-US"/>
              </w:rPr>
            </w:pPr>
            <w:r w:rsidRPr="00497D3E">
              <w:rPr>
                <w:lang w:val="en-US"/>
              </w:rPr>
              <w:t>Males</w:t>
            </w:r>
          </w:p>
        </w:tc>
        <w:tc>
          <w:tcPr>
            <w:tcW w:w="3252" w:type="dxa"/>
            <w:tcBorders>
              <w:bottom w:val="single" w:sz="2" w:space="0" w:color="A7B4BE"/>
            </w:tcBorders>
            <w:shd w:val="clear" w:color="auto" w:fill="DDF3FA"/>
            <w:vAlign w:val="center"/>
          </w:tcPr>
          <w:p w:rsidR="006133A8" w:rsidRPr="00497D3E" w:rsidRDefault="006133A8" w:rsidP="0060311E">
            <w:pPr>
              <w:pStyle w:val="Tablecolumnheading"/>
              <w:rPr>
                <w:lang w:val="en-US"/>
              </w:rPr>
            </w:pPr>
            <w:r w:rsidRPr="00497D3E">
              <w:rPr>
                <w:lang w:val="en-US"/>
              </w:rPr>
              <w:t>Females</w:t>
            </w:r>
          </w:p>
        </w:tc>
      </w:tr>
      <w:tr w:rsidR="006133A8" w:rsidRPr="00497D3E" w:rsidTr="00497D3E">
        <w:trPr>
          <w:trHeight w:val="265"/>
        </w:trPr>
        <w:tc>
          <w:tcPr>
            <w:tcW w:w="1368" w:type="dxa"/>
            <w:shd w:val="clear" w:color="auto" w:fill="auto"/>
            <w:vAlign w:val="center"/>
          </w:tcPr>
          <w:p w:rsidR="006133A8" w:rsidRPr="00497D3E" w:rsidRDefault="006133A8" w:rsidP="0060311E">
            <w:pPr>
              <w:pStyle w:val="Tablebodytext"/>
              <w:rPr>
                <w:lang w:val="en-US"/>
              </w:rPr>
            </w:pPr>
            <w:r w:rsidRPr="00497D3E">
              <w:rPr>
                <w:lang w:val="en-US"/>
              </w:rPr>
              <w:t>54</w:t>
            </w:r>
          </w:p>
        </w:tc>
        <w:tc>
          <w:tcPr>
            <w:tcW w:w="3310" w:type="dxa"/>
            <w:shd w:val="clear" w:color="auto" w:fill="auto"/>
            <w:vAlign w:val="center"/>
          </w:tcPr>
          <w:p w:rsidR="006133A8" w:rsidRPr="00497D3E" w:rsidRDefault="006133A8" w:rsidP="0060311E">
            <w:pPr>
              <w:pStyle w:val="Tablebodytext"/>
              <w:rPr>
                <w:lang w:val="en-US"/>
              </w:rPr>
            </w:pPr>
            <w:r w:rsidRPr="00497D3E">
              <w:rPr>
                <w:lang w:val="en-US"/>
              </w:rPr>
              <w:t>400</w:t>
            </w:r>
          </w:p>
        </w:tc>
        <w:tc>
          <w:tcPr>
            <w:tcW w:w="3252" w:type="dxa"/>
            <w:shd w:val="clear" w:color="auto" w:fill="auto"/>
            <w:vAlign w:val="center"/>
          </w:tcPr>
          <w:p w:rsidR="006133A8" w:rsidRPr="00497D3E" w:rsidRDefault="006133A8" w:rsidP="0060311E">
            <w:pPr>
              <w:pStyle w:val="Tablebodytext"/>
              <w:rPr>
                <w:lang w:val="en-US"/>
              </w:rPr>
            </w:pPr>
            <w:r w:rsidRPr="00497D3E">
              <w:rPr>
                <w:lang w:val="en-US"/>
              </w:rPr>
              <w:t>400</w:t>
            </w:r>
          </w:p>
        </w:tc>
      </w:tr>
    </w:tbl>
    <w:p w:rsidR="006133A8" w:rsidRDefault="006133A8" w:rsidP="0060311E">
      <w:pPr>
        <w:pStyle w:val="Heading4nonumbers"/>
      </w:pPr>
      <w:r w:rsidRPr="00B716BB">
        <w:t>Contributors exits by Redundancy</w:t>
      </w:r>
    </w:p>
    <w:p w:rsidR="0060311E" w:rsidRPr="0060311E" w:rsidRDefault="0060311E" w:rsidP="0060311E">
      <w:pPr>
        <w:pStyle w:val="Heading5"/>
        <w:rPr>
          <w:lang w:val="en-US"/>
        </w:rPr>
      </w:pPr>
      <w:r w:rsidRPr="00497D3E">
        <w:rPr>
          <w:lang w:val="en-US"/>
        </w:rPr>
        <w:t xml:space="preserve">Redundancy Assumptions – Contributors </w:t>
      </w:r>
      <w:r>
        <w:rPr>
          <w:lang w:val="en-US"/>
        </w:rPr>
        <w:br/>
      </w:r>
      <w:r w:rsidRPr="00497D3E">
        <w:rPr>
          <w:lang w:val="en-US"/>
        </w:rPr>
        <w:t>(per 1,000 at age shown)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368"/>
        <w:gridCol w:w="1751"/>
        <w:gridCol w:w="1559"/>
        <w:gridCol w:w="1559"/>
        <w:gridCol w:w="1693"/>
      </w:tblGrid>
      <w:tr w:rsidR="006133A8" w:rsidRPr="00497D3E" w:rsidTr="00497D3E">
        <w:trPr>
          <w:trHeight w:val="265"/>
        </w:trPr>
        <w:tc>
          <w:tcPr>
            <w:tcW w:w="1368" w:type="dxa"/>
            <w:vMerge w:val="restart"/>
            <w:shd w:val="clear" w:color="auto" w:fill="DDF3FA"/>
            <w:vAlign w:val="center"/>
          </w:tcPr>
          <w:p w:rsidR="006133A8" w:rsidRPr="00497D3E" w:rsidRDefault="006133A8" w:rsidP="0060311E">
            <w:pPr>
              <w:pStyle w:val="Tablecolumnheading"/>
              <w:rPr>
                <w:lang w:val="en-US"/>
              </w:rPr>
            </w:pPr>
            <w:r w:rsidRPr="00497D3E">
              <w:rPr>
                <w:lang w:val="en-US"/>
              </w:rPr>
              <w:t>Age Last Birthday</w:t>
            </w:r>
          </w:p>
        </w:tc>
        <w:tc>
          <w:tcPr>
            <w:tcW w:w="3310" w:type="dxa"/>
            <w:gridSpan w:val="2"/>
            <w:shd w:val="clear" w:color="auto" w:fill="DDF3FA"/>
            <w:vAlign w:val="center"/>
          </w:tcPr>
          <w:p w:rsidR="006133A8" w:rsidRPr="00497D3E" w:rsidRDefault="006133A8" w:rsidP="0060311E">
            <w:pPr>
              <w:pStyle w:val="Tablecolumnheading"/>
              <w:rPr>
                <w:lang w:val="en-US"/>
              </w:rPr>
            </w:pPr>
            <w:r w:rsidRPr="00497D3E">
              <w:rPr>
                <w:lang w:val="en-US"/>
              </w:rPr>
              <w:t>PSS</w:t>
            </w:r>
          </w:p>
        </w:tc>
        <w:tc>
          <w:tcPr>
            <w:tcW w:w="3252" w:type="dxa"/>
            <w:gridSpan w:val="2"/>
            <w:shd w:val="clear" w:color="auto" w:fill="DDF3FA"/>
            <w:vAlign w:val="center"/>
          </w:tcPr>
          <w:p w:rsidR="006133A8" w:rsidRPr="00497D3E" w:rsidRDefault="006133A8" w:rsidP="0060311E">
            <w:pPr>
              <w:pStyle w:val="Tablecolumnheading"/>
              <w:rPr>
                <w:lang w:val="en-US"/>
              </w:rPr>
            </w:pPr>
            <w:r w:rsidRPr="00497D3E">
              <w:rPr>
                <w:lang w:val="en-US"/>
              </w:rPr>
              <w:t>CSS</w:t>
            </w:r>
          </w:p>
        </w:tc>
      </w:tr>
      <w:tr w:rsidR="006133A8" w:rsidRPr="00497D3E" w:rsidTr="00497D3E">
        <w:trPr>
          <w:trHeight w:val="265"/>
        </w:trPr>
        <w:tc>
          <w:tcPr>
            <w:tcW w:w="1368" w:type="dxa"/>
            <w:vMerge/>
            <w:shd w:val="clear" w:color="auto" w:fill="DDF3FA"/>
            <w:vAlign w:val="center"/>
          </w:tcPr>
          <w:p w:rsidR="006133A8" w:rsidRPr="00497D3E" w:rsidRDefault="006133A8" w:rsidP="0060311E">
            <w:pPr>
              <w:pStyle w:val="Tablecolumnheading"/>
              <w:rPr>
                <w:lang w:val="en-US"/>
              </w:rPr>
            </w:pPr>
          </w:p>
        </w:tc>
        <w:tc>
          <w:tcPr>
            <w:tcW w:w="1751" w:type="dxa"/>
            <w:shd w:val="clear" w:color="auto" w:fill="DDF3FA"/>
            <w:vAlign w:val="center"/>
          </w:tcPr>
          <w:p w:rsidR="006133A8" w:rsidRPr="00497D3E" w:rsidRDefault="006133A8" w:rsidP="0060311E">
            <w:pPr>
              <w:pStyle w:val="Tablecolumnheading"/>
              <w:rPr>
                <w:lang w:val="en-US"/>
              </w:rPr>
            </w:pPr>
            <w:r w:rsidRPr="00497D3E">
              <w:rPr>
                <w:lang w:val="en-US"/>
              </w:rPr>
              <w:t>Male</w:t>
            </w:r>
          </w:p>
        </w:tc>
        <w:tc>
          <w:tcPr>
            <w:tcW w:w="1559" w:type="dxa"/>
            <w:shd w:val="clear" w:color="auto" w:fill="DDF3FA"/>
            <w:vAlign w:val="center"/>
          </w:tcPr>
          <w:p w:rsidR="006133A8" w:rsidRPr="00497D3E" w:rsidRDefault="006133A8" w:rsidP="0060311E">
            <w:pPr>
              <w:pStyle w:val="Tablecolumnheading"/>
              <w:rPr>
                <w:lang w:val="en-US"/>
              </w:rPr>
            </w:pPr>
            <w:r w:rsidRPr="00497D3E">
              <w:rPr>
                <w:lang w:val="en-US"/>
              </w:rPr>
              <w:t>Female</w:t>
            </w:r>
          </w:p>
        </w:tc>
        <w:tc>
          <w:tcPr>
            <w:tcW w:w="1559" w:type="dxa"/>
            <w:shd w:val="clear" w:color="auto" w:fill="DDF3FA"/>
            <w:vAlign w:val="center"/>
          </w:tcPr>
          <w:p w:rsidR="006133A8" w:rsidRPr="00497D3E" w:rsidRDefault="006133A8" w:rsidP="0060311E">
            <w:pPr>
              <w:pStyle w:val="Tablecolumnheading"/>
              <w:rPr>
                <w:lang w:val="en-US"/>
              </w:rPr>
            </w:pPr>
            <w:r w:rsidRPr="00497D3E">
              <w:rPr>
                <w:lang w:val="en-US"/>
              </w:rPr>
              <w:t>Male</w:t>
            </w:r>
          </w:p>
        </w:tc>
        <w:tc>
          <w:tcPr>
            <w:tcW w:w="1693" w:type="dxa"/>
            <w:shd w:val="clear" w:color="auto" w:fill="DDF3FA"/>
            <w:vAlign w:val="center"/>
          </w:tcPr>
          <w:p w:rsidR="006133A8" w:rsidRPr="00497D3E" w:rsidRDefault="006133A8" w:rsidP="0060311E">
            <w:pPr>
              <w:pStyle w:val="Tablecolumnheading"/>
              <w:rPr>
                <w:lang w:val="en-US"/>
              </w:rPr>
            </w:pPr>
            <w:r w:rsidRPr="00497D3E">
              <w:rPr>
                <w:lang w:val="en-US"/>
              </w:rPr>
              <w:t>Female</w:t>
            </w:r>
          </w:p>
        </w:tc>
      </w:tr>
      <w:tr w:rsidR="006133A8" w:rsidRPr="00497D3E" w:rsidTr="00497D3E">
        <w:trPr>
          <w:trHeight w:val="239"/>
        </w:trPr>
        <w:tc>
          <w:tcPr>
            <w:tcW w:w="1368" w:type="dxa"/>
            <w:vAlign w:val="center"/>
          </w:tcPr>
          <w:p w:rsidR="006133A8" w:rsidRPr="00497D3E" w:rsidRDefault="006133A8" w:rsidP="0060311E">
            <w:pPr>
              <w:pStyle w:val="Tablebodytext"/>
              <w:rPr>
                <w:lang w:val="en-US"/>
              </w:rPr>
            </w:pPr>
            <w:r w:rsidRPr="00497D3E">
              <w:rPr>
                <w:lang w:val="en-US"/>
              </w:rPr>
              <w:t>30</w:t>
            </w:r>
          </w:p>
        </w:tc>
        <w:tc>
          <w:tcPr>
            <w:tcW w:w="1751" w:type="dxa"/>
            <w:vAlign w:val="center"/>
          </w:tcPr>
          <w:p w:rsidR="006133A8" w:rsidRPr="00497D3E" w:rsidRDefault="006133A8" w:rsidP="0060311E">
            <w:pPr>
              <w:pStyle w:val="Tablebodytext"/>
            </w:pPr>
            <w:r w:rsidRPr="00497D3E">
              <w:t>5.2</w:t>
            </w:r>
          </w:p>
        </w:tc>
        <w:tc>
          <w:tcPr>
            <w:tcW w:w="1559" w:type="dxa"/>
            <w:vAlign w:val="center"/>
          </w:tcPr>
          <w:p w:rsidR="006133A8" w:rsidRPr="00497D3E" w:rsidRDefault="006133A8" w:rsidP="0060311E">
            <w:pPr>
              <w:pStyle w:val="Tablebodytext"/>
            </w:pPr>
            <w:r w:rsidRPr="00497D3E">
              <w:t>7.4</w:t>
            </w:r>
          </w:p>
        </w:tc>
        <w:tc>
          <w:tcPr>
            <w:tcW w:w="1559" w:type="dxa"/>
            <w:vAlign w:val="center"/>
          </w:tcPr>
          <w:p w:rsidR="006133A8" w:rsidRPr="00497D3E" w:rsidRDefault="006133A8" w:rsidP="0060311E">
            <w:pPr>
              <w:pStyle w:val="Tablebodytext"/>
            </w:pPr>
            <w:r w:rsidRPr="00497D3E">
              <w:t>29.6</w:t>
            </w:r>
          </w:p>
        </w:tc>
        <w:tc>
          <w:tcPr>
            <w:tcW w:w="1693" w:type="dxa"/>
            <w:vAlign w:val="center"/>
          </w:tcPr>
          <w:p w:rsidR="006133A8" w:rsidRPr="00497D3E" w:rsidRDefault="006133A8" w:rsidP="0060311E">
            <w:pPr>
              <w:pStyle w:val="Tablebodytext"/>
            </w:pPr>
            <w:r w:rsidRPr="00497D3E">
              <w:t>18.7</w:t>
            </w:r>
          </w:p>
        </w:tc>
      </w:tr>
      <w:tr w:rsidR="006133A8" w:rsidRPr="00497D3E" w:rsidTr="00497D3E">
        <w:trPr>
          <w:trHeight w:val="286"/>
        </w:trPr>
        <w:tc>
          <w:tcPr>
            <w:tcW w:w="1368" w:type="dxa"/>
            <w:vAlign w:val="center"/>
          </w:tcPr>
          <w:p w:rsidR="006133A8" w:rsidRPr="00497D3E" w:rsidRDefault="006133A8" w:rsidP="0060311E">
            <w:pPr>
              <w:pStyle w:val="Tablebodytext"/>
              <w:rPr>
                <w:lang w:val="en-US"/>
              </w:rPr>
            </w:pPr>
            <w:r w:rsidRPr="00497D3E">
              <w:rPr>
                <w:lang w:val="en-US"/>
              </w:rPr>
              <w:t>35</w:t>
            </w:r>
          </w:p>
        </w:tc>
        <w:tc>
          <w:tcPr>
            <w:tcW w:w="1751" w:type="dxa"/>
            <w:vAlign w:val="center"/>
          </w:tcPr>
          <w:p w:rsidR="006133A8" w:rsidRPr="00497D3E" w:rsidRDefault="006133A8" w:rsidP="0060311E">
            <w:pPr>
              <w:pStyle w:val="Tablebodytext"/>
            </w:pPr>
            <w:r w:rsidRPr="00497D3E">
              <w:t>7.5</w:t>
            </w:r>
          </w:p>
        </w:tc>
        <w:tc>
          <w:tcPr>
            <w:tcW w:w="1559" w:type="dxa"/>
            <w:vAlign w:val="center"/>
          </w:tcPr>
          <w:p w:rsidR="006133A8" w:rsidRPr="00497D3E" w:rsidRDefault="006133A8" w:rsidP="0060311E">
            <w:pPr>
              <w:pStyle w:val="Tablebodytext"/>
            </w:pPr>
            <w:r w:rsidRPr="00497D3E">
              <w:t>9.1</w:t>
            </w:r>
          </w:p>
        </w:tc>
        <w:tc>
          <w:tcPr>
            <w:tcW w:w="1559" w:type="dxa"/>
            <w:vAlign w:val="center"/>
          </w:tcPr>
          <w:p w:rsidR="006133A8" w:rsidRPr="00497D3E" w:rsidRDefault="006133A8" w:rsidP="0060311E">
            <w:pPr>
              <w:pStyle w:val="Tablebodytext"/>
            </w:pPr>
            <w:r w:rsidRPr="00497D3E">
              <w:t>16.9</w:t>
            </w:r>
          </w:p>
        </w:tc>
        <w:tc>
          <w:tcPr>
            <w:tcW w:w="1693" w:type="dxa"/>
            <w:vAlign w:val="center"/>
          </w:tcPr>
          <w:p w:rsidR="006133A8" w:rsidRPr="00497D3E" w:rsidRDefault="006133A8" w:rsidP="0060311E">
            <w:pPr>
              <w:pStyle w:val="Tablebodytext"/>
            </w:pPr>
            <w:r w:rsidRPr="00497D3E">
              <w:t>11.1</w:t>
            </w:r>
          </w:p>
        </w:tc>
      </w:tr>
      <w:tr w:rsidR="006133A8" w:rsidRPr="00497D3E" w:rsidTr="00497D3E">
        <w:trPr>
          <w:trHeight w:val="261"/>
        </w:trPr>
        <w:tc>
          <w:tcPr>
            <w:tcW w:w="1368" w:type="dxa"/>
            <w:vAlign w:val="center"/>
          </w:tcPr>
          <w:p w:rsidR="006133A8" w:rsidRPr="00497D3E" w:rsidRDefault="006133A8" w:rsidP="0060311E">
            <w:pPr>
              <w:pStyle w:val="Tablebodytext"/>
              <w:rPr>
                <w:lang w:val="en-US"/>
              </w:rPr>
            </w:pPr>
            <w:r w:rsidRPr="00497D3E">
              <w:rPr>
                <w:lang w:val="en-US"/>
              </w:rPr>
              <w:t>40</w:t>
            </w:r>
          </w:p>
        </w:tc>
        <w:tc>
          <w:tcPr>
            <w:tcW w:w="1751" w:type="dxa"/>
            <w:vAlign w:val="center"/>
          </w:tcPr>
          <w:p w:rsidR="006133A8" w:rsidRPr="00497D3E" w:rsidRDefault="006133A8" w:rsidP="0060311E">
            <w:pPr>
              <w:pStyle w:val="Tablebodytext"/>
            </w:pPr>
            <w:r w:rsidRPr="00497D3E">
              <w:t>9.6</w:t>
            </w:r>
          </w:p>
        </w:tc>
        <w:tc>
          <w:tcPr>
            <w:tcW w:w="1559" w:type="dxa"/>
            <w:vAlign w:val="center"/>
          </w:tcPr>
          <w:p w:rsidR="006133A8" w:rsidRPr="00497D3E" w:rsidRDefault="006133A8" w:rsidP="0060311E">
            <w:pPr>
              <w:pStyle w:val="Tablebodytext"/>
            </w:pPr>
            <w:r w:rsidRPr="00497D3E">
              <w:t>9.0</w:t>
            </w:r>
          </w:p>
        </w:tc>
        <w:tc>
          <w:tcPr>
            <w:tcW w:w="1559" w:type="dxa"/>
            <w:vAlign w:val="center"/>
          </w:tcPr>
          <w:p w:rsidR="006133A8" w:rsidRPr="00497D3E" w:rsidRDefault="006133A8" w:rsidP="0060311E">
            <w:pPr>
              <w:pStyle w:val="Tablebodytext"/>
            </w:pPr>
            <w:r w:rsidRPr="00497D3E">
              <w:t>15.3</w:t>
            </w:r>
          </w:p>
        </w:tc>
        <w:tc>
          <w:tcPr>
            <w:tcW w:w="1693" w:type="dxa"/>
            <w:vAlign w:val="center"/>
          </w:tcPr>
          <w:p w:rsidR="006133A8" w:rsidRPr="00497D3E" w:rsidRDefault="006133A8" w:rsidP="0060311E">
            <w:pPr>
              <w:pStyle w:val="Tablebodytext"/>
            </w:pPr>
            <w:r w:rsidRPr="00497D3E">
              <w:t>9.5</w:t>
            </w:r>
          </w:p>
        </w:tc>
      </w:tr>
      <w:tr w:rsidR="006133A8" w:rsidRPr="00497D3E" w:rsidTr="00497D3E">
        <w:trPr>
          <w:trHeight w:val="278"/>
        </w:trPr>
        <w:tc>
          <w:tcPr>
            <w:tcW w:w="1368" w:type="dxa"/>
            <w:vAlign w:val="center"/>
          </w:tcPr>
          <w:p w:rsidR="006133A8" w:rsidRPr="00497D3E" w:rsidRDefault="006133A8" w:rsidP="0060311E">
            <w:pPr>
              <w:pStyle w:val="Tablebodytext"/>
              <w:rPr>
                <w:lang w:val="en-US"/>
              </w:rPr>
            </w:pPr>
            <w:r w:rsidRPr="00497D3E">
              <w:rPr>
                <w:lang w:val="en-US"/>
              </w:rPr>
              <w:t>45</w:t>
            </w:r>
          </w:p>
        </w:tc>
        <w:tc>
          <w:tcPr>
            <w:tcW w:w="1751" w:type="dxa"/>
            <w:vAlign w:val="center"/>
          </w:tcPr>
          <w:p w:rsidR="006133A8" w:rsidRPr="00497D3E" w:rsidRDefault="006133A8" w:rsidP="0060311E">
            <w:pPr>
              <w:pStyle w:val="Tablebodytext"/>
            </w:pPr>
            <w:r w:rsidRPr="00497D3E">
              <w:t>12.6</w:t>
            </w:r>
          </w:p>
        </w:tc>
        <w:tc>
          <w:tcPr>
            <w:tcW w:w="1559" w:type="dxa"/>
            <w:vAlign w:val="center"/>
          </w:tcPr>
          <w:p w:rsidR="006133A8" w:rsidRPr="00497D3E" w:rsidRDefault="006133A8" w:rsidP="0060311E">
            <w:pPr>
              <w:pStyle w:val="Tablebodytext"/>
            </w:pPr>
            <w:r w:rsidRPr="00497D3E">
              <w:t>9.1</w:t>
            </w:r>
          </w:p>
        </w:tc>
        <w:tc>
          <w:tcPr>
            <w:tcW w:w="1559" w:type="dxa"/>
            <w:vAlign w:val="center"/>
          </w:tcPr>
          <w:p w:rsidR="006133A8" w:rsidRPr="00497D3E" w:rsidRDefault="006133A8" w:rsidP="0060311E">
            <w:pPr>
              <w:pStyle w:val="Tablebodytext"/>
            </w:pPr>
            <w:r w:rsidRPr="00497D3E">
              <w:t>15.3</w:t>
            </w:r>
          </w:p>
        </w:tc>
        <w:tc>
          <w:tcPr>
            <w:tcW w:w="1693" w:type="dxa"/>
            <w:vAlign w:val="center"/>
          </w:tcPr>
          <w:p w:rsidR="006133A8" w:rsidRPr="00497D3E" w:rsidRDefault="006133A8" w:rsidP="0060311E">
            <w:pPr>
              <w:pStyle w:val="Tablebodytext"/>
            </w:pPr>
            <w:r w:rsidRPr="00497D3E">
              <w:t>11.9</w:t>
            </w:r>
          </w:p>
        </w:tc>
      </w:tr>
      <w:tr w:rsidR="006133A8" w:rsidRPr="00497D3E" w:rsidTr="00497D3E">
        <w:trPr>
          <w:trHeight w:val="269"/>
        </w:trPr>
        <w:tc>
          <w:tcPr>
            <w:tcW w:w="1368" w:type="dxa"/>
            <w:vAlign w:val="center"/>
          </w:tcPr>
          <w:p w:rsidR="006133A8" w:rsidRPr="00497D3E" w:rsidRDefault="006133A8" w:rsidP="0060311E">
            <w:pPr>
              <w:pStyle w:val="Tablebodytext"/>
              <w:rPr>
                <w:lang w:val="en-US"/>
              </w:rPr>
            </w:pPr>
            <w:r w:rsidRPr="00497D3E">
              <w:rPr>
                <w:lang w:val="en-US"/>
              </w:rPr>
              <w:t>50</w:t>
            </w:r>
          </w:p>
        </w:tc>
        <w:tc>
          <w:tcPr>
            <w:tcW w:w="1751" w:type="dxa"/>
            <w:vAlign w:val="center"/>
          </w:tcPr>
          <w:p w:rsidR="006133A8" w:rsidRPr="00497D3E" w:rsidRDefault="006133A8" w:rsidP="0060311E">
            <w:pPr>
              <w:pStyle w:val="Tablebodytext"/>
            </w:pPr>
            <w:r w:rsidRPr="00497D3E">
              <w:t>17.4</w:t>
            </w:r>
          </w:p>
        </w:tc>
        <w:tc>
          <w:tcPr>
            <w:tcW w:w="1559" w:type="dxa"/>
            <w:vAlign w:val="center"/>
          </w:tcPr>
          <w:p w:rsidR="006133A8" w:rsidRPr="00497D3E" w:rsidRDefault="006133A8" w:rsidP="0060311E">
            <w:pPr>
              <w:pStyle w:val="Tablebodytext"/>
            </w:pPr>
            <w:r w:rsidRPr="00497D3E">
              <w:t>11.1</w:t>
            </w:r>
          </w:p>
        </w:tc>
        <w:tc>
          <w:tcPr>
            <w:tcW w:w="1559" w:type="dxa"/>
            <w:vAlign w:val="center"/>
          </w:tcPr>
          <w:p w:rsidR="006133A8" w:rsidRPr="00497D3E" w:rsidRDefault="006133A8" w:rsidP="0060311E">
            <w:pPr>
              <w:pStyle w:val="Tablebodytext"/>
            </w:pPr>
            <w:r w:rsidRPr="00497D3E">
              <w:t>27.8</w:t>
            </w:r>
          </w:p>
        </w:tc>
        <w:tc>
          <w:tcPr>
            <w:tcW w:w="1693" w:type="dxa"/>
            <w:vAlign w:val="center"/>
          </w:tcPr>
          <w:p w:rsidR="006133A8" w:rsidRPr="00497D3E" w:rsidRDefault="006133A8" w:rsidP="0060311E">
            <w:pPr>
              <w:pStyle w:val="Tablebodytext"/>
            </w:pPr>
            <w:r w:rsidRPr="00497D3E">
              <w:t>19.0</w:t>
            </w:r>
          </w:p>
        </w:tc>
      </w:tr>
      <w:tr w:rsidR="006133A8" w:rsidRPr="00497D3E" w:rsidTr="00497D3E">
        <w:trPr>
          <w:trHeight w:val="288"/>
        </w:trPr>
        <w:tc>
          <w:tcPr>
            <w:tcW w:w="1368" w:type="dxa"/>
            <w:vAlign w:val="center"/>
          </w:tcPr>
          <w:p w:rsidR="006133A8" w:rsidRPr="00497D3E" w:rsidRDefault="006133A8" w:rsidP="0060311E">
            <w:pPr>
              <w:pStyle w:val="Tablebodytext"/>
              <w:rPr>
                <w:lang w:val="en-US"/>
              </w:rPr>
            </w:pPr>
            <w:r w:rsidRPr="00497D3E">
              <w:rPr>
                <w:lang w:val="en-US"/>
              </w:rPr>
              <w:t>55</w:t>
            </w:r>
          </w:p>
        </w:tc>
        <w:tc>
          <w:tcPr>
            <w:tcW w:w="1751" w:type="dxa"/>
            <w:vAlign w:val="center"/>
          </w:tcPr>
          <w:p w:rsidR="006133A8" w:rsidRPr="00497D3E" w:rsidRDefault="006133A8" w:rsidP="0060311E">
            <w:pPr>
              <w:pStyle w:val="Tablebodytext"/>
            </w:pPr>
            <w:r w:rsidRPr="00497D3E">
              <w:t>26.1</w:t>
            </w:r>
          </w:p>
        </w:tc>
        <w:tc>
          <w:tcPr>
            <w:tcW w:w="1559" w:type="dxa"/>
            <w:vAlign w:val="center"/>
          </w:tcPr>
          <w:p w:rsidR="006133A8" w:rsidRPr="00497D3E" w:rsidRDefault="006133A8" w:rsidP="0060311E">
            <w:pPr>
              <w:pStyle w:val="Tablebodytext"/>
            </w:pPr>
            <w:r w:rsidRPr="00497D3E">
              <w:t>22.3</w:t>
            </w:r>
          </w:p>
        </w:tc>
        <w:tc>
          <w:tcPr>
            <w:tcW w:w="1559" w:type="dxa"/>
            <w:vAlign w:val="center"/>
          </w:tcPr>
          <w:p w:rsidR="006133A8" w:rsidRPr="00497D3E" w:rsidRDefault="006133A8" w:rsidP="0060311E">
            <w:pPr>
              <w:pStyle w:val="Tablebodytext"/>
            </w:pPr>
            <w:r w:rsidRPr="00497D3E">
              <w:t>67.8</w:t>
            </w:r>
          </w:p>
        </w:tc>
        <w:tc>
          <w:tcPr>
            <w:tcW w:w="1693" w:type="dxa"/>
            <w:vAlign w:val="center"/>
          </w:tcPr>
          <w:p w:rsidR="006133A8" w:rsidRPr="00497D3E" w:rsidRDefault="006133A8" w:rsidP="0060311E">
            <w:pPr>
              <w:pStyle w:val="Tablebodytext"/>
            </w:pPr>
            <w:r w:rsidRPr="00497D3E">
              <w:t>36.7</w:t>
            </w:r>
          </w:p>
        </w:tc>
      </w:tr>
      <w:tr w:rsidR="006133A8" w:rsidRPr="00497D3E" w:rsidTr="00497D3E">
        <w:trPr>
          <w:trHeight w:val="288"/>
        </w:trPr>
        <w:tc>
          <w:tcPr>
            <w:tcW w:w="1368" w:type="dxa"/>
            <w:vAlign w:val="center"/>
          </w:tcPr>
          <w:p w:rsidR="006133A8" w:rsidRPr="00497D3E" w:rsidRDefault="006133A8" w:rsidP="0060311E">
            <w:pPr>
              <w:pStyle w:val="Tablebodytext"/>
              <w:rPr>
                <w:lang w:val="en-US"/>
              </w:rPr>
            </w:pPr>
            <w:r w:rsidRPr="00497D3E">
              <w:rPr>
                <w:lang w:val="en-US"/>
              </w:rPr>
              <w:t>60</w:t>
            </w:r>
          </w:p>
        </w:tc>
        <w:tc>
          <w:tcPr>
            <w:tcW w:w="1751" w:type="dxa"/>
            <w:vAlign w:val="center"/>
          </w:tcPr>
          <w:p w:rsidR="006133A8" w:rsidRPr="00497D3E" w:rsidRDefault="006133A8" w:rsidP="0060311E">
            <w:pPr>
              <w:pStyle w:val="Tablebodytext"/>
            </w:pPr>
            <w:r w:rsidRPr="00497D3E">
              <w:t>42.9</w:t>
            </w:r>
          </w:p>
        </w:tc>
        <w:tc>
          <w:tcPr>
            <w:tcW w:w="1559" w:type="dxa"/>
            <w:vAlign w:val="center"/>
          </w:tcPr>
          <w:p w:rsidR="006133A8" w:rsidRPr="00497D3E" w:rsidRDefault="006133A8" w:rsidP="0060311E">
            <w:pPr>
              <w:pStyle w:val="Tablebodytext"/>
            </w:pPr>
            <w:r w:rsidRPr="00497D3E">
              <w:t>31.0</w:t>
            </w:r>
          </w:p>
        </w:tc>
        <w:tc>
          <w:tcPr>
            <w:tcW w:w="1559" w:type="dxa"/>
            <w:vAlign w:val="center"/>
          </w:tcPr>
          <w:p w:rsidR="006133A8" w:rsidRPr="00497D3E" w:rsidRDefault="006133A8" w:rsidP="0060311E">
            <w:pPr>
              <w:pStyle w:val="Tablebodytext"/>
            </w:pPr>
            <w:r w:rsidRPr="00497D3E">
              <w:t>96.8</w:t>
            </w:r>
          </w:p>
        </w:tc>
        <w:tc>
          <w:tcPr>
            <w:tcW w:w="1693" w:type="dxa"/>
            <w:vAlign w:val="center"/>
          </w:tcPr>
          <w:p w:rsidR="006133A8" w:rsidRPr="00497D3E" w:rsidRDefault="006133A8" w:rsidP="0060311E">
            <w:pPr>
              <w:pStyle w:val="Tablebodytext"/>
            </w:pPr>
            <w:r w:rsidRPr="00497D3E">
              <w:t>55.1</w:t>
            </w:r>
          </w:p>
        </w:tc>
      </w:tr>
    </w:tbl>
    <w:p w:rsidR="006133A8" w:rsidRDefault="006133A8" w:rsidP="0060311E">
      <w:pPr>
        <w:pStyle w:val="Heading4nonumbers"/>
      </w:pPr>
      <w:r>
        <w:t>Contributors exits by Death and Invalidity</w:t>
      </w:r>
    </w:p>
    <w:p w:rsidR="0060311E" w:rsidRPr="0060311E" w:rsidRDefault="0060311E" w:rsidP="0060311E">
      <w:pPr>
        <w:pStyle w:val="Heading5"/>
        <w:rPr>
          <w:lang w:val="en-US"/>
        </w:rPr>
      </w:pPr>
      <w:r w:rsidRPr="00497D3E">
        <w:rPr>
          <w:lang w:val="en-US"/>
        </w:rPr>
        <w:t>Death and Invalidity Assumptions – Contributors</w:t>
      </w:r>
      <w:r>
        <w:rPr>
          <w:lang w:val="en-US"/>
        </w:rPr>
        <w:br/>
      </w:r>
      <w:r w:rsidRPr="00497D3E">
        <w:rPr>
          <w:lang w:val="en-US"/>
        </w:rPr>
        <w:t>(per 1,000 at age shown)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978"/>
        <w:gridCol w:w="1149"/>
        <w:gridCol w:w="1134"/>
        <w:gridCol w:w="992"/>
        <w:gridCol w:w="1134"/>
        <w:gridCol w:w="1143"/>
        <w:gridCol w:w="1400"/>
      </w:tblGrid>
      <w:tr w:rsidR="006133A8" w:rsidRPr="00497D3E" w:rsidTr="00497D3E">
        <w:trPr>
          <w:trHeight w:val="265"/>
        </w:trPr>
        <w:tc>
          <w:tcPr>
            <w:tcW w:w="978" w:type="dxa"/>
            <w:vMerge w:val="restart"/>
            <w:shd w:val="clear" w:color="auto" w:fill="DDF3FA"/>
            <w:vAlign w:val="center"/>
          </w:tcPr>
          <w:p w:rsidR="006133A8" w:rsidRPr="00497D3E" w:rsidRDefault="006133A8" w:rsidP="0060311E">
            <w:pPr>
              <w:pStyle w:val="Tablecolumnheading"/>
              <w:rPr>
                <w:lang w:val="en-US"/>
              </w:rPr>
            </w:pPr>
            <w:r w:rsidRPr="00497D3E">
              <w:rPr>
                <w:lang w:val="en-US"/>
              </w:rPr>
              <w:t>Age Last Birthday</w:t>
            </w:r>
          </w:p>
        </w:tc>
        <w:tc>
          <w:tcPr>
            <w:tcW w:w="2283" w:type="dxa"/>
            <w:gridSpan w:val="2"/>
            <w:shd w:val="clear" w:color="auto" w:fill="DDF3FA"/>
            <w:vAlign w:val="center"/>
          </w:tcPr>
          <w:p w:rsidR="006133A8" w:rsidRPr="00497D3E" w:rsidRDefault="006133A8" w:rsidP="0060311E">
            <w:pPr>
              <w:pStyle w:val="Tablecolumnheading"/>
            </w:pPr>
            <w:r w:rsidRPr="00497D3E">
              <w:t>PSS and CSS Deaths</w:t>
            </w:r>
          </w:p>
        </w:tc>
        <w:tc>
          <w:tcPr>
            <w:tcW w:w="2126" w:type="dxa"/>
            <w:gridSpan w:val="2"/>
            <w:shd w:val="clear" w:color="auto" w:fill="DDF3FA"/>
            <w:vAlign w:val="center"/>
          </w:tcPr>
          <w:p w:rsidR="006133A8" w:rsidRPr="00497D3E" w:rsidRDefault="006133A8" w:rsidP="0060311E">
            <w:pPr>
              <w:pStyle w:val="Tablecolumnheading"/>
            </w:pPr>
            <w:r w:rsidRPr="00497D3E">
              <w:t>PSS Invalidities</w:t>
            </w:r>
          </w:p>
        </w:tc>
        <w:tc>
          <w:tcPr>
            <w:tcW w:w="2543" w:type="dxa"/>
            <w:gridSpan w:val="2"/>
            <w:shd w:val="clear" w:color="auto" w:fill="DDF3FA"/>
            <w:vAlign w:val="center"/>
          </w:tcPr>
          <w:p w:rsidR="006133A8" w:rsidRPr="00497D3E" w:rsidRDefault="006133A8" w:rsidP="0060311E">
            <w:pPr>
              <w:pStyle w:val="Tablecolumnheading"/>
            </w:pPr>
            <w:r w:rsidRPr="00497D3E">
              <w:t>CSS Invalidities</w:t>
            </w:r>
          </w:p>
        </w:tc>
      </w:tr>
      <w:tr w:rsidR="006133A8" w:rsidRPr="00497D3E" w:rsidTr="00497D3E">
        <w:trPr>
          <w:trHeight w:val="265"/>
        </w:trPr>
        <w:tc>
          <w:tcPr>
            <w:tcW w:w="978" w:type="dxa"/>
            <w:vMerge/>
            <w:shd w:val="clear" w:color="auto" w:fill="DDF3FA"/>
            <w:vAlign w:val="center"/>
          </w:tcPr>
          <w:p w:rsidR="006133A8" w:rsidRPr="00497D3E" w:rsidRDefault="006133A8" w:rsidP="0060311E">
            <w:pPr>
              <w:pStyle w:val="Tablecolumnheading"/>
              <w:rPr>
                <w:lang w:val="en-US"/>
              </w:rPr>
            </w:pPr>
          </w:p>
        </w:tc>
        <w:tc>
          <w:tcPr>
            <w:tcW w:w="1149" w:type="dxa"/>
            <w:shd w:val="clear" w:color="auto" w:fill="DDF3FA"/>
            <w:vAlign w:val="center"/>
          </w:tcPr>
          <w:p w:rsidR="006133A8" w:rsidRPr="00497D3E" w:rsidRDefault="006133A8" w:rsidP="0060311E">
            <w:pPr>
              <w:pStyle w:val="Tablecolumnheading"/>
            </w:pPr>
            <w:r w:rsidRPr="00497D3E">
              <w:t>Males</w:t>
            </w:r>
          </w:p>
        </w:tc>
        <w:tc>
          <w:tcPr>
            <w:tcW w:w="1134" w:type="dxa"/>
            <w:shd w:val="clear" w:color="auto" w:fill="DDF3FA"/>
            <w:vAlign w:val="center"/>
          </w:tcPr>
          <w:p w:rsidR="006133A8" w:rsidRPr="00497D3E" w:rsidRDefault="006133A8" w:rsidP="0060311E">
            <w:pPr>
              <w:pStyle w:val="Tablecolumnheading"/>
            </w:pPr>
            <w:r w:rsidRPr="00497D3E">
              <w:t>Females</w:t>
            </w:r>
          </w:p>
        </w:tc>
        <w:tc>
          <w:tcPr>
            <w:tcW w:w="992" w:type="dxa"/>
            <w:shd w:val="clear" w:color="auto" w:fill="DDF3FA"/>
            <w:vAlign w:val="center"/>
          </w:tcPr>
          <w:p w:rsidR="006133A8" w:rsidRPr="00497D3E" w:rsidRDefault="006133A8" w:rsidP="0060311E">
            <w:pPr>
              <w:pStyle w:val="Tablecolumnheading"/>
            </w:pPr>
            <w:r w:rsidRPr="00497D3E">
              <w:t>Males</w:t>
            </w:r>
          </w:p>
        </w:tc>
        <w:tc>
          <w:tcPr>
            <w:tcW w:w="1134" w:type="dxa"/>
            <w:shd w:val="clear" w:color="auto" w:fill="DDF3FA"/>
            <w:vAlign w:val="center"/>
          </w:tcPr>
          <w:p w:rsidR="006133A8" w:rsidRPr="00497D3E" w:rsidRDefault="006133A8" w:rsidP="0060311E">
            <w:pPr>
              <w:pStyle w:val="Tablecolumnheading"/>
            </w:pPr>
            <w:r w:rsidRPr="00497D3E">
              <w:t>Females</w:t>
            </w:r>
          </w:p>
        </w:tc>
        <w:tc>
          <w:tcPr>
            <w:tcW w:w="1143" w:type="dxa"/>
            <w:shd w:val="clear" w:color="auto" w:fill="DDF3FA"/>
            <w:vAlign w:val="center"/>
          </w:tcPr>
          <w:p w:rsidR="006133A8" w:rsidRPr="00497D3E" w:rsidRDefault="006133A8" w:rsidP="0060311E">
            <w:pPr>
              <w:pStyle w:val="Tablecolumnheading"/>
            </w:pPr>
            <w:r w:rsidRPr="00497D3E">
              <w:t>Males</w:t>
            </w:r>
          </w:p>
        </w:tc>
        <w:tc>
          <w:tcPr>
            <w:tcW w:w="1400" w:type="dxa"/>
            <w:shd w:val="clear" w:color="auto" w:fill="DDF3FA"/>
            <w:vAlign w:val="center"/>
          </w:tcPr>
          <w:p w:rsidR="006133A8" w:rsidRPr="00497D3E" w:rsidRDefault="006133A8" w:rsidP="0060311E">
            <w:pPr>
              <w:pStyle w:val="Tablecolumnheading"/>
            </w:pPr>
            <w:r w:rsidRPr="00497D3E">
              <w:t>Females</w:t>
            </w:r>
          </w:p>
        </w:tc>
      </w:tr>
      <w:tr w:rsidR="006133A8" w:rsidRPr="00497D3E" w:rsidTr="00497D3E">
        <w:trPr>
          <w:trHeight w:val="239"/>
        </w:trPr>
        <w:tc>
          <w:tcPr>
            <w:tcW w:w="978" w:type="dxa"/>
            <w:vAlign w:val="center"/>
          </w:tcPr>
          <w:p w:rsidR="006133A8" w:rsidRPr="00497D3E" w:rsidRDefault="006133A8" w:rsidP="0060311E">
            <w:pPr>
              <w:pStyle w:val="Tablebodytext"/>
            </w:pPr>
            <w:r w:rsidRPr="00497D3E">
              <w:t>30</w:t>
            </w:r>
          </w:p>
        </w:tc>
        <w:tc>
          <w:tcPr>
            <w:tcW w:w="1149" w:type="dxa"/>
            <w:vAlign w:val="center"/>
          </w:tcPr>
          <w:p w:rsidR="006133A8" w:rsidRPr="00497D3E" w:rsidRDefault="006133A8" w:rsidP="0060311E">
            <w:pPr>
              <w:pStyle w:val="Tablebodytext"/>
            </w:pPr>
            <w:r w:rsidRPr="00497D3E">
              <w:t>0.30</w:t>
            </w:r>
          </w:p>
        </w:tc>
        <w:tc>
          <w:tcPr>
            <w:tcW w:w="1134" w:type="dxa"/>
            <w:vAlign w:val="center"/>
          </w:tcPr>
          <w:p w:rsidR="006133A8" w:rsidRPr="00497D3E" w:rsidRDefault="006133A8" w:rsidP="0060311E">
            <w:pPr>
              <w:pStyle w:val="Tablebodytext"/>
            </w:pPr>
            <w:r w:rsidRPr="00497D3E">
              <w:t>0.14</w:t>
            </w:r>
          </w:p>
        </w:tc>
        <w:tc>
          <w:tcPr>
            <w:tcW w:w="992" w:type="dxa"/>
            <w:vAlign w:val="center"/>
          </w:tcPr>
          <w:p w:rsidR="006133A8" w:rsidRPr="00497D3E" w:rsidRDefault="006133A8" w:rsidP="0060311E">
            <w:pPr>
              <w:pStyle w:val="Tablebodytext"/>
            </w:pPr>
            <w:r w:rsidRPr="00497D3E">
              <w:t>0.27</w:t>
            </w:r>
          </w:p>
        </w:tc>
        <w:tc>
          <w:tcPr>
            <w:tcW w:w="1134" w:type="dxa"/>
            <w:vAlign w:val="center"/>
          </w:tcPr>
          <w:p w:rsidR="006133A8" w:rsidRPr="00497D3E" w:rsidRDefault="006133A8" w:rsidP="0060311E">
            <w:pPr>
              <w:pStyle w:val="Tablebodytext"/>
            </w:pPr>
            <w:r w:rsidRPr="00497D3E">
              <w:t>0.38</w:t>
            </w:r>
          </w:p>
        </w:tc>
        <w:tc>
          <w:tcPr>
            <w:tcW w:w="1143" w:type="dxa"/>
            <w:vAlign w:val="center"/>
          </w:tcPr>
          <w:p w:rsidR="006133A8" w:rsidRPr="00497D3E" w:rsidRDefault="006133A8" w:rsidP="0060311E">
            <w:pPr>
              <w:pStyle w:val="Tablebodytext"/>
            </w:pPr>
            <w:r w:rsidRPr="00497D3E">
              <w:t>0.32</w:t>
            </w:r>
          </w:p>
        </w:tc>
        <w:tc>
          <w:tcPr>
            <w:tcW w:w="1400" w:type="dxa"/>
            <w:vAlign w:val="center"/>
          </w:tcPr>
          <w:p w:rsidR="006133A8" w:rsidRPr="00497D3E" w:rsidRDefault="006133A8" w:rsidP="0060311E">
            <w:pPr>
              <w:pStyle w:val="Tablebodytext"/>
            </w:pPr>
            <w:r w:rsidRPr="00497D3E">
              <w:t>0.32</w:t>
            </w:r>
          </w:p>
        </w:tc>
      </w:tr>
      <w:tr w:rsidR="006133A8" w:rsidRPr="00497D3E" w:rsidTr="00497D3E">
        <w:trPr>
          <w:trHeight w:val="286"/>
        </w:trPr>
        <w:tc>
          <w:tcPr>
            <w:tcW w:w="978" w:type="dxa"/>
            <w:vAlign w:val="center"/>
          </w:tcPr>
          <w:p w:rsidR="006133A8" w:rsidRPr="00497D3E" w:rsidRDefault="006133A8" w:rsidP="0060311E">
            <w:pPr>
              <w:pStyle w:val="Tablebodytext"/>
            </w:pPr>
            <w:r w:rsidRPr="00497D3E">
              <w:t>35</w:t>
            </w:r>
          </w:p>
        </w:tc>
        <w:tc>
          <w:tcPr>
            <w:tcW w:w="1149" w:type="dxa"/>
            <w:vAlign w:val="center"/>
          </w:tcPr>
          <w:p w:rsidR="006133A8" w:rsidRPr="00497D3E" w:rsidRDefault="006133A8" w:rsidP="0060311E">
            <w:pPr>
              <w:pStyle w:val="Tablebodytext"/>
            </w:pPr>
            <w:r w:rsidRPr="00497D3E">
              <w:t>0.38</w:t>
            </w:r>
          </w:p>
        </w:tc>
        <w:tc>
          <w:tcPr>
            <w:tcW w:w="1134" w:type="dxa"/>
            <w:vAlign w:val="center"/>
          </w:tcPr>
          <w:p w:rsidR="006133A8" w:rsidRPr="00497D3E" w:rsidRDefault="006133A8" w:rsidP="0060311E">
            <w:pPr>
              <w:pStyle w:val="Tablebodytext"/>
            </w:pPr>
            <w:r w:rsidRPr="00497D3E">
              <w:t>0.20</w:t>
            </w:r>
          </w:p>
        </w:tc>
        <w:tc>
          <w:tcPr>
            <w:tcW w:w="992" w:type="dxa"/>
            <w:vAlign w:val="center"/>
          </w:tcPr>
          <w:p w:rsidR="006133A8" w:rsidRPr="00497D3E" w:rsidRDefault="006133A8" w:rsidP="0060311E">
            <w:pPr>
              <w:pStyle w:val="Tablebodytext"/>
            </w:pPr>
            <w:r w:rsidRPr="00497D3E">
              <w:t>0.53</w:t>
            </w:r>
          </w:p>
        </w:tc>
        <w:tc>
          <w:tcPr>
            <w:tcW w:w="1134" w:type="dxa"/>
            <w:vAlign w:val="center"/>
          </w:tcPr>
          <w:p w:rsidR="006133A8" w:rsidRPr="00497D3E" w:rsidRDefault="006133A8" w:rsidP="0060311E">
            <w:pPr>
              <w:pStyle w:val="Tablebodytext"/>
            </w:pPr>
            <w:r w:rsidRPr="00497D3E">
              <w:t>0.82</w:t>
            </w:r>
          </w:p>
        </w:tc>
        <w:tc>
          <w:tcPr>
            <w:tcW w:w="1143" w:type="dxa"/>
            <w:vAlign w:val="center"/>
          </w:tcPr>
          <w:p w:rsidR="006133A8" w:rsidRPr="00497D3E" w:rsidRDefault="006133A8" w:rsidP="0060311E">
            <w:pPr>
              <w:pStyle w:val="Tablebodytext"/>
            </w:pPr>
            <w:r w:rsidRPr="00497D3E">
              <w:t>0.57</w:t>
            </w:r>
          </w:p>
        </w:tc>
        <w:tc>
          <w:tcPr>
            <w:tcW w:w="1400" w:type="dxa"/>
            <w:vAlign w:val="center"/>
          </w:tcPr>
          <w:p w:rsidR="006133A8" w:rsidRPr="00497D3E" w:rsidRDefault="006133A8" w:rsidP="0060311E">
            <w:pPr>
              <w:pStyle w:val="Tablebodytext"/>
            </w:pPr>
            <w:r w:rsidRPr="00497D3E">
              <w:t>0.61</w:t>
            </w:r>
          </w:p>
        </w:tc>
      </w:tr>
      <w:tr w:rsidR="006133A8" w:rsidRPr="00497D3E" w:rsidTr="00497D3E">
        <w:trPr>
          <w:trHeight w:val="261"/>
        </w:trPr>
        <w:tc>
          <w:tcPr>
            <w:tcW w:w="978" w:type="dxa"/>
            <w:vAlign w:val="center"/>
          </w:tcPr>
          <w:p w:rsidR="006133A8" w:rsidRPr="00497D3E" w:rsidRDefault="006133A8" w:rsidP="0060311E">
            <w:pPr>
              <w:pStyle w:val="Tablebodytext"/>
            </w:pPr>
            <w:r w:rsidRPr="00497D3E">
              <w:t>40</w:t>
            </w:r>
          </w:p>
        </w:tc>
        <w:tc>
          <w:tcPr>
            <w:tcW w:w="1149" w:type="dxa"/>
            <w:vAlign w:val="center"/>
          </w:tcPr>
          <w:p w:rsidR="006133A8" w:rsidRPr="00497D3E" w:rsidRDefault="006133A8" w:rsidP="0060311E">
            <w:pPr>
              <w:pStyle w:val="Tablebodytext"/>
            </w:pPr>
            <w:r w:rsidRPr="00497D3E">
              <w:t>0.47</w:t>
            </w:r>
          </w:p>
        </w:tc>
        <w:tc>
          <w:tcPr>
            <w:tcW w:w="1134" w:type="dxa"/>
            <w:vAlign w:val="center"/>
          </w:tcPr>
          <w:p w:rsidR="006133A8" w:rsidRPr="00497D3E" w:rsidRDefault="006133A8" w:rsidP="0060311E">
            <w:pPr>
              <w:pStyle w:val="Tablebodytext"/>
            </w:pPr>
            <w:r w:rsidRPr="00497D3E">
              <w:t>0.26</w:t>
            </w:r>
          </w:p>
        </w:tc>
        <w:tc>
          <w:tcPr>
            <w:tcW w:w="992" w:type="dxa"/>
            <w:vAlign w:val="center"/>
          </w:tcPr>
          <w:p w:rsidR="006133A8" w:rsidRPr="00497D3E" w:rsidRDefault="006133A8" w:rsidP="0060311E">
            <w:pPr>
              <w:pStyle w:val="Tablebodytext"/>
            </w:pPr>
            <w:r w:rsidRPr="00497D3E">
              <w:t>0.86</w:t>
            </w:r>
          </w:p>
        </w:tc>
        <w:tc>
          <w:tcPr>
            <w:tcW w:w="1134" w:type="dxa"/>
            <w:vAlign w:val="center"/>
          </w:tcPr>
          <w:p w:rsidR="006133A8" w:rsidRPr="00497D3E" w:rsidRDefault="006133A8" w:rsidP="0060311E">
            <w:pPr>
              <w:pStyle w:val="Tablebodytext"/>
            </w:pPr>
            <w:r w:rsidRPr="00497D3E">
              <w:t>1.42</w:t>
            </w:r>
          </w:p>
        </w:tc>
        <w:tc>
          <w:tcPr>
            <w:tcW w:w="1143" w:type="dxa"/>
            <w:vAlign w:val="center"/>
          </w:tcPr>
          <w:p w:rsidR="006133A8" w:rsidRPr="00497D3E" w:rsidRDefault="006133A8" w:rsidP="0060311E">
            <w:pPr>
              <w:pStyle w:val="Tablebodytext"/>
            </w:pPr>
            <w:r w:rsidRPr="00497D3E">
              <w:t>0.79</w:t>
            </w:r>
          </w:p>
        </w:tc>
        <w:tc>
          <w:tcPr>
            <w:tcW w:w="1400" w:type="dxa"/>
            <w:vAlign w:val="center"/>
          </w:tcPr>
          <w:p w:rsidR="006133A8" w:rsidRPr="00497D3E" w:rsidRDefault="006133A8" w:rsidP="0060311E">
            <w:pPr>
              <w:pStyle w:val="Tablebodytext"/>
            </w:pPr>
            <w:r w:rsidRPr="00497D3E">
              <w:t>1.03</w:t>
            </w:r>
          </w:p>
        </w:tc>
      </w:tr>
      <w:tr w:rsidR="006133A8" w:rsidRPr="00497D3E" w:rsidTr="00497D3E">
        <w:trPr>
          <w:trHeight w:val="278"/>
        </w:trPr>
        <w:tc>
          <w:tcPr>
            <w:tcW w:w="978" w:type="dxa"/>
            <w:vAlign w:val="center"/>
          </w:tcPr>
          <w:p w:rsidR="006133A8" w:rsidRPr="00497D3E" w:rsidRDefault="006133A8" w:rsidP="0060311E">
            <w:pPr>
              <w:pStyle w:val="Tablebodytext"/>
            </w:pPr>
            <w:r w:rsidRPr="00497D3E">
              <w:t>45</w:t>
            </w:r>
          </w:p>
        </w:tc>
        <w:tc>
          <w:tcPr>
            <w:tcW w:w="1149" w:type="dxa"/>
            <w:vAlign w:val="center"/>
          </w:tcPr>
          <w:p w:rsidR="006133A8" w:rsidRPr="00497D3E" w:rsidRDefault="006133A8" w:rsidP="0060311E">
            <w:pPr>
              <w:pStyle w:val="Tablebodytext"/>
            </w:pPr>
            <w:r w:rsidRPr="00497D3E">
              <w:t>0.63</w:t>
            </w:r>
          </w:p>
        </w:tc>
        <w:tc>
          <w:tcPr>
            <w:tcW w:w="1134" w:type="dxa"/>
            <w:vAlign w:val="center"/>
          </w:tcPr>
          <w:p w:rsidR="006133A8" w:rsidRPr="00497D3E" w:rsidRDefault="006133A8" w:rsidP="0060311E">
            <w:pPr>
              <w:pStyle w:val="Tablebodytext"/>
            </w:pPr>
            <w:r w:rsidRPr="00497D3E">
              <w:t>0.41</w:t>
            </w:r>
          </w:p>
        </w:tc>
        <w:tc>
          <w:tcPr>
            <w:tcW w:w="992" w:type="dxa"/>
            <w:vAlign w:val="center"/>
          </w:tcPr>
          <w:p w:rsidR="006133A8" w:rsidRPr="00497D3E" w:rsidRDefault="006133A8" w:rsidP="0060311E">
            <w:pPr>
              <w:pStyle w:val="Tablebodytext"/>
            </w:pPr>
            <w:r w:rsidRPr="00497D3E">
              <w:t>1.74</w:t>
            </w:r>
          </w:p>
        </w:tc>
        <w:tc>
          <w:tcPr>
            <w:tcW w:w="1134" w:type="dxa"/>
            <w:vAlign w:val="center"/>
          </w:tcPr>
          <w:p w:rsidR="006133A8" w:rsidRPr="00497D3E" w:rsidRDefault="006133A8" w:rsidP="0060311E">
            <w:pPr>
              <w:pStyle w:val="Tablebodytext"/>
            </w:pPr>
            <w:r w:rsidRPr="00497D3E">
              <w:t>2.12</w:t>
            </w:r>
          </w:p>
        </w:tc>
        <w:tc>
          <w:tcPr>
            <w:tcW w:w="1143" w:type="dxa"/>
            <w:vAlign w:val="center"/>
          </w:tcPr>
          <w:p w:rsidR="006133A8" w:rsidRPr="00497D3E" w:rsidRDefault="006133A8" w:rsidP="0060311E">
            <w:pPr>
              <w:pStyle w:val="Tablebodytext"/>
            </w:pPr>
            <w:r w:rsidRPr="00497D3E">
              <w:t>1.27</w:t>
            </w:r>
          </w:p>
        </w:tc>
        <w:tc>
          <w:tcPr>
            <w:tcW w:w="1400" w:type="dxa"/>
            <w:vAlign w:val="center"/>
          </w:tcPr>
          <w:p w:rsidR="006133A8" w:rsidRPr="00497D3E" w:rsidRDefault="006133A8" w:rsidP="0060311E">
            <w:pPr>
              <w:pStyle w:val="Tablebodytext"/>
            </w:pPr>
            <w:r w:rsidRPr="00497D3E">
              <w:t>1.64</w:t>
            </w:r>
          </w:p>
        </w:tc>
      </w:tr>
      <w:tr w:rsidR="006133A8" w:rsidRPr="00497D3E" w:rsidTr="00497D3E">
        <w:trPr>
          <w:trHeight w:val="269"/>
        </w:trPr>
        <w:tc>
          <w:tcPr>
            <w:tcW w:w="978" w:type="dxa"/>
            <w:vAlign w:val="center"/>
          </w:tcPr>
          <w:p w:rsidR="006133A8" w:rsidRPr="00497D3E" w:rsidRDefault="006133A8" w:rsidP="0060311E">
            <w:pPr>
              <w:pStyle w:val="Tablebodytext"/>
            </w:pPr>
            <w:r w:rsidRPr="00497D3E">
              <w:t>50</w:t>
            </w:r>
          </w:p>
        </w:tc>
        <w:tc>
          <w:tcPr>
            <w:tcW w:w="1149" w:type="dxa"/>
            <w:vAlign w:val="center"/>
          </w:tcPr>
          <w:p w:rsidR="006133A8" w:rsidRPr="00497D3E" w:rsidRDefault="006133A8" w:rsidP="0060311E">
            <w:pPr>
              <w:pStyle w:val="Tablebodytext"/>
            </w:pPr>
            <w:r w:rsidRPr="00497D3E">
              <w:t>0.88</w:t>
            </w:r>
          </w:p>
        </w:tc>
        <w:tc>
          <w:tcPr>
            <w:tcW w:w="1134" w:type="dxa"/>
            <w:vAlign w:val="center"/>
          </w:tcPr>
          <w:p w:rsidR="006133A8" w:rsidRPr="00497D3E" w:rsidRDefault="006133A8" w:rsidP="0060311E">
            <w:pPr>
              <w:pStyle w:val="Tablebodytext"/>
            </w:pPr>
            <w:r w:rsidRPr="00497D3E">
              <w:t>0.62</w:t>
            </w:r>
          </w:p>
        </w:tc>
        <w:tc>
          <w:tcPr>
            <w:tcW w:w="992" w:type="dxa"/>
            <w:vAlign w:val="center"/>
          </w:tcPr>
          <w:p w:rsidR="006133A8" w:rsidRPr="00497D3E" w:rsidRDefault="006133A8" w:rsidP="0060311E">
            <w:pPr>
              <w:pStyle w:val="Tablebodytext"/>
            </w:pPr>
            <w:r w:rsidRPr="00497D3E">
              <w:t>3.32</w:t>
            </w:r>
          </w:p>
        </w:tc>
        <w:tc>
          <w:tcPr>
            <w:tcW w:w="1134" w:type="dxa"/>
            <w:vAlign w:val="center"/>
          </w:tcPr>
          <w:p w:rsidR="006133A8" w:rsidRPr="00497D3E" w:rsidRDefault="006133A8" w:rsidP="0060311E">
            <w:pPr>
              <w:pStyle w:val="Tablebodytext"/>
            </w:pPr>
            <w:r w:rsidRPr="00497D3E">
              <w:t>2.98</w:t>
            </w:r>
          </w:p>
        </w:tc>
        <w:tc>
          <w:tcPr>
            <w:tcW w:w="1143" w:type="dxa"/>
            <w:vAlign w:val="center"/>
          </w:tcPr>
          <w:p w:rsidR="006133A8" w:rsidRPr="00497D3E" w:rsidRDefault="006133A8" w:rsidP="0060311E">
            <w:pPr>
              <w:pStyle w:val="Tablebodytext"/>
            </w:pPr>
            <w:r w:rsidRPr="00497D3E">
              <w:t>1.94</w:t>
            </w:r>
          </w:p>
        </w:tc>
        <w:tc>
          <w:tcPr>
            <w:tcW w:w="1400" w:type="dxa"/>
            <w:vAlign w:val="center"/>
          </w:tcPr>
          <w:p w:rsidR="006133A8" w:rsidRPr="00497D3E" w:rsidRDefault="006133A8" w:rsidP="0060311E">
            <w:pPr>
              <w:pStyle w:val="Tablebodytext"/>
            </w:pPr>
            <w:r w:rsidRPr="00497D3E">
              <w:t>2.55</w:t>
            </w:r>
          </w:p>
        </w:tc>
      </w:tr>
      <w:tr w:rsidR="006133A8" w:rsidRPr="00497D3E" w:rsidTr="00497D3E">
        <w:trPr>
          <w:trHeight w:val="288"/>
        </w:trPr>
        <w:tc>
          <w:tcPr>
            <w:tcW w:w="978" w:type="dxa"/>
            <w:vAlign w:val="center"/>
          </w:tcPr>
          <w:p w:rsidR="006133A8" w:rsidRPr="00497D3E" w:rsidRDefault="006133A8" w:rsidP="0060311E">
            <w:pPr>
              <w:pStyle w:val="Tablebodytext"/>
            </w:pPr>
            <w:r w:rsidRPr="00497D3E">
              <w:t>55</w:t>
            </w:r>
          </w:p>
        </w:tc>
        <w:tc>
          <w:tcPr>
            <w:tcW w:w="1149" w:type="dxa"/>
            <w:vAlign w:val="center"/>
          </w:tcPr>
          <w:p w:rsidR="006133A8" w:rsidRPr="00497D3E" w:rsidRDefault="006133A8" w:rsidP="0060311E">
            <w:pPr>
              <w:pStyle w:val="Tablebodytext"/>
            </w:pPr>
            <w:r w:rsidRPr="00497D3E">
              <w:t>1.24</w:t>
            </w:r>
          </w:p>
        </w:tc>
        <w:tc>
          <w:tcPr>
            <w:tcW w:w="1134" w:type="dxa"/>
            <w:vAlign w:val="center"/>
          </w:tcPr>
          <w:p w:rsidR="006133A8" w:rsidRPr="00497D3E" w:rsidRDefault="006133A8" w:rsidP="0060311E">
            <w:pPr>
              <w:pStyle w:val="Tablebodytext"/>
            </w:pPr>
            <w:r w:rsidRPr="00497D3E">
              <w:t>1.06</w:t>
            </w:r>
          </w:p>
        </w:tc>
        <w:tc>
          <w:tcPr>
            <w:tcW w:w="992" w:type="dxa"/>
            <w:vAlign w:val="center"/>
          </w:tcPr>
          <w:p w:rsidR="006133A8" w:rsidRPr="00497D3E" w:rsidRDefault="006133A8" w:rsidP="0060311E">
            <w:pPr>
              <w:pStyle w:val="Tablebodytext"/>
            </w:pPr>
            <w:r w:rsidRPr="00497D3E">
              <w:t>5.10</w:t>
            </w:r>
          </w:p>
        </w:tc>
        <w:tc>
          <w:tcPr>
            <w:tcW w:w="1134" w:type="dxa"/>
            <w:vAlign w:val="center"/>
          </w:tcPr>
          <w:p w:rsidR="006133A8" w:rsidRPr="00497D3E" w:rsidRDefault="006133A8" w:rsidP="0060311E">
            <w:pPr>
              <w:pStyle w:val="Tablebodytext"/>
            </w:pPr>
            <w:r w:rsidRPr="00497D3E">
              <w:t>5.76</w:t>
            </w:r>
          </w:p>
        </w:tc>
        <w:tc>
          <w:tcPr>
            <w:tcW w:w="1143" w:type="dxa"/>
            <w:vAlign w:val="center"/>
          </w:tcPr>
          <w:p w:rsidR="006133A8" w:rsidRPr="00497D3E" w:rsidRDefault="006133A8" w:rsidP="0060311E">
            <w:pPr>
              <w:pStyle w:val="Tablebodytext"/>
            </w:pPr>
            <w:r w:rsidRPr="00497D3E">
              <w:t>3.05</w:t>
            </w:r>
          </w:p>
        </w:tc>
        <w:tc>
          <w:tcPr>
            <w:tcW w:w="1400" w:type="dxa"/>
            <w:vAlign w:val="center"/>
          </w:tcPr>
          <w:p w:rsidR="006133A8" w:rsidRPr="00497D3E" w:rsidRDefault="006133A8" w:rsidP="0060311E">
            <w:pPr>
              <w:pStyle w:val="Tablebodytext"/>
            </w:pPr>
            <w:r w:rsidRPr="00497D3E">
              <w:t>4.26</w:t>
            </w:r>
          </w:p>
        </w:tc>
      </w:tr>
      <w:tr w:rsidR="006133A8" w:rsidRPr="00497D3E" w:rsidTr="00497D3E">
        <w:trPr>
          <w:trHeight w:val="288"/>
        </w:trPr>
        <w:tc>
          <w:tcPr>
            <w:tcW w:w="978" w:type="dxa"/>
            <w:vAlign w:val="center"/>
          </w:tcPr>
          <w:p w:rsidR="006133A8" w:rsidRPr="00497D3E" w:rsidRDefault="006133A8" w:rsidP="0060311E">
            <w:pPr>
              <w:pStyle w:val="Tablebodytext"/>
            </w:pPr>
            <w:r w:rsidRPr="00497D3E">
              <w:t>60</w:t>
            </w:r>
          </w:p>
        </w:tc>
        <w:tc>
          <w:tcPr>
            <w:tcW w:w="1149" w:type="dxa"/>
            <w:vAlign w:val="center"/>
          </w:tcPr>
          <w:p w:rsidR="006133A8" w:rsidRPr="00497D3E" w:rsidRDefault="006133A8" w:rsidP="0060311E">
            <w:pPr>
              <w:pStyle w:val="Tablebodytext"/>
            </w:pPr>
            <w:r w:rsidRPr="00497D3E">
              <w:t>1.83</w:t>
            </w:r>
          </w:p>
        </w:tc>
        <w:tc>
          <w:tcPr>
            <w:tcW w:w="1134" w:type="dxa"/>
            <w:vAlign w:val="center"/>
          </w:tcPr>
          <w:p w:rsidR="006133A8" w:rsidRPr="00497D3E" w:rsidRDefault="006133A8" w:rsidP="0060311E">
            <w:pPr>
              <w:pStyle w:val="Tablebodytext"/>
            </w:pPr>
            <w:r w:rsidRPr="00497D3E">
              <w:t>1.73</w:t>
            </w:r>
          </w:p>
        </w:tc>
        <w:tc>
          <w:tcPr>
            <w:tcW w:w="992" w:type="dxa"/>
            <w:vAlign w:val="center"/>
          </w:tcPr>
          <w:p w:rsidR="006133A8" w:rsidRPr="00497D3E" w:rsidRDefault="006133A8" w:rsidP="0060311E">
            <w:pPr>
              <w:pStyle w:val="Tablebodytext"/>
            </w:pPr>
            <w:r w:rsidRPr="00497D3E">
              <w:t>-</w:t>
            </w:r>
          </w:p>
        </w:tc>
        <w:tc>
          <w:tcPr>
            <w:tcW w:w="1134" w:type="dxa"/>
            <w:vAlign w:val="center"/>
          </w:tcPr>
          <w:p w:rsidR="006133A8" w:rsidRPr="00497D3E" w:rsidRDefault="006133A8" w:rsidP="0060311E">
            <w:pPr>
              <w:pStyle w:val="Tablebodytext"/>
            </w:pPr>
            <w:r w:rsidRPr="00497D3E">
              <w:t>6.68</w:t>
            </w:r>
          </w:p>
        </w:tc>
        <w:tc>
          <w:tcPr>
            <w:tcW w:w="1143" w:type="dxa"/>
            <w:vAlign w:val="center"/>
          </w:tcPr>
          <w:p w:rsidR="006133A8" w:rsidRPr="00497D3E" w:rsidRDefault="006133A8" w:rsidP="0060311E">
            <w:pPr>
              <w:pStyle w:val="Tablebodytext"/>
            </w:pPr>
            <w:r w:rsidRPr="00497D3E">
              <w:t>6.01</w:t>
            </w:r>
          </w:p>
        </w:tc>
        <w:tc>
          <w:tcPr>
            <w:tcW w:w="1400" w:type="dxa"/>
            <w:vAlign w:val="center"/>
          </w:tcPr>
          <w:p w:rsidR="006133A8" w:rsidRPr="00497D3E" w:rsidRDefault="006133A8" w:rsidP="0060311E">
            <w:pPr>
              <w:pStyle w:val="Tablebodytext"/>
            </w:pPr>
            <w:r w:rsidRPr="00497D3E">
              <w:t>6.46</w:t>
            </w:r>
          </w:p>
        </w:tc>
      </w:tr>
      <w:tr w:rsidR="006133A8" w:rsidRPr="00497D3E" w:rsidTr="00497D3E">
        <w:trPr>
          <w:trHeight w:val="288"/>
        </w:trPr>
        <w:tc>
          <w:tcPr>
            <w:tcW w:w="978" w:type="dxa"/>
            <w:vAlign w:val="center"/>
          </w:tcPr>
          <w:p w:rsidR="006133A8" w:rsidRPr="00497D3E" w:rsidRDefault="006133A8" w:rsidP="0060311E">
            <w:pPr>
              <w:pStyle w:val="Tablebodytext"/>
            </w:pPr>
            <w:r w:rsidRPr="00497D3E">
              <w:t>65</w:t>
            </w:r>
          </w:p>
        </w:tc>
        <w:tc>
          <w:tcPr>
            <w:tcW w:w="1149" w:type="dxa"/>
            <w:vAlign w:val="center"/>
          </w:tcPr>
          <w:p w:rsidR="006133A8" w:rsidRPr="00497D3E" w:rsidRDefault="006133A8" w:rsidP="0060311E">
            <w:pPr>
              <w:pStyle w:val="Tablebodytext"/>
            </w:pPr>
            <w:r w:rsidRPr="00497D3E">
              <w:t>2.74</w:t>
            </w:r>
          </w:p>
        </w:tc>
        <w:tc>
          <w:tcPr>
            <w:tcW w:w="1134" w:type="dxa"/>
            <w:vAlign w:val="center"/>
          </w:tcPr>
          <w:p w:rsidR="006133A8" w:rsidRPr="00497D3E" w:rsidRDefault="006133A8" w:rsidP="0060311E">
            <w:pPr>
              <w:pStyle w:val="Tablebodytext"/>
            </w:pPr>
            <w:r w:rsidRPr="00497D3E">
              <w:t>2.69</w:t>
            </w:r>
          </w:p>
        </w:tc>
        <w:tc>
          <w:tcPr>
            <w:tcW w:w="992" w:type="dxa"/>
            <w:vAlign w:val="center"/>
          </w:tcPr>
          <w:p w:rsidR="006133A8" w:rsidRPr="00497D3E" w:rsidRDefault="006133A8" w:rsidP="0060311E">
            <w:pPr>
              <w:pStyle w:val="Tablebodytext"/>
            </w:pPr>
            <w:r w:rsidRPr="00497D3E">
              <w:t>-</w:t>
            </w:r>
          </w:p>
        </w:tc>
        <w:tc>
          <w:tcPr>
            <w:tcW w:w="1134" w:type="dxa"/>
            <w:vAlign w:val="center"/>
          </w:tcPr>
          <w:p w:rsidR="006133A8" w:rsidRPr="00497D3E" w:rsidRDefault="006133A8" w:rsidP="0060311E">
            <w:pPr>
              <w:pStyle w:val="Tablebodytext"/>
            </w:pPr>
            <w:r w:rsidRPr="00497D3E">
              <w:t>-</w:t>
            </w:r>
          </w:p>
        </w:tc>
        <w:tc>
          <w:tcPr>
            <w:tcW w:w="1143" w:type="dxa"/>
            <w:vAlign w:val="center"/>
          </w:tcPr>
          <w:p w:rsidR="006133A8" w:rsidRPr="00497D3E" w:rsidRDefault="006133A8" w:rsidP="0060311E">
            <w:pPr>
              <w:pStyle w:val="Tablebodytext"/>
            </w:pPr>
            <w:r w:rsidRPr="00497D3E">
              <w:t>-</w:t>
            </w:r>
          </w:p>
        </w:tc>
        <w:tc>
          <w:tcPr>
            <w:tcW w:w="1400" w:type="dxa"/>
            <w:vAlign w:val="center"/>
          </w:tcPr>
          <w:p w:rsidR="006133A8" w:rsidRPr="00497D3E" w:rsidRDefault="006133A8" w:rsidP="0060311E">
            <w:pPr>
              <w:pStyle w:val="Tablebodytext"/>
            </w:pPr>
            <w:r w:rsidRPr="00497D3E">
              <w:t>-</w:t>
            </w:r>
          </w:p>
        </w:tc>
      </w:tr>
      <w:tr w:rsidR="006133A8" w:rsidRPr="00497D3E" w:rsidTr="00497D3E">
        <w:trPr>
          <w:trHeight w:val="288"/>
        </w:trPr>
        <w:tc>
          <w:tcPr>
            <w:tcW w:w="978" w:type="dxa"/>
            <w:vAlign w:val="center"/>
          </w:tcPr>
          <w:p w:rsidR="006133A8" w:rsidRPr="00497D3E" w:rsidRDefault="006133A8" w:rsidP="0060311E">
            <w:pPr>
              <w:pStyle w:val="Tablebodytext"/>
            </w:pPr>
            <w:r w:rsidRPr="00497D3E">
              <w:t>70</w:t>
            </w:r>
          </w:p>
        </w:tc>
        <w:tc>
          <w:tcPr>
            <w:tcW w:w="1149" w:type="dxa"/>
            <w:vAlign w:val="center"/>
          </w:tcPr>
          <w:p w:rsidR="006133A8" w:rsidRPr="00497D3E" w:rsidRDefault="006133A8" w:rsidP="0060311E">
            <w:pPr>
              <w:pStyle w:val="Tablebodytext"/>
            </w:pPr>
            <w:r w:rsidRPr="00497D3E">
              <w:t>4.11</w:t>
            </w:r>
          </w:p>
        </w:tc>
        <w:tc>
          <w:tcPr>
            <w:tcW w:w="1134" w:type="dxa"/>
            <w:vAlign w:val="center"/>
          </w:tcPr>
          <w:p w:rsidR="006133A8" w:rsidRPr="00497D3E" w:rsidRDefault="006133A8" w:rsidP="0060311E">
            <w:pPr>
              <w:pStyle w:val="Tablebodytext"/>
            </w:pPr>
            <w:r w:rsidRPr="00497D3E">
              <w:t>4.50</w:t>
            </w:r>
          </w:p>
        </w:tc>
        <w:tc>
          <w:tcPr>
            <w:tcW w:w="992" w:type="dxa"/>
            <w:vAlign w:val="center"/>
          </w:tcPr>
          <w:p w:rsidR="006133A8" w:rsidRPr="00497D3E" w:rsidRDefault="006133A8" w:rsidP="0060311E">
            <w:pPr>
              <w:pStyle w:val="Tablebodytext"/>
            </w:pPr>
            <w:r w:rsidRPr="00497D3E">
              <w:t>-</w:t>
            </w:r>
          </w:p>
        </w:tc>
        <w:tc>
          <w:tcPr>
            <w:tcW w:w="1134" w:type="dxa"/>
            <w:vAlign w:val="center"/>
          </w:tcPr>
          <w:p w:rsidR="006133A8" w:rsidRPr="00497D3E" w:rsidRDefault="006133A8" w:rsidP="0060311E">
            <w:pPr>
              <w:pStyle w:val="Tablebodytext"/>
            </w:pPr>
            <w:r w:rsidRPr="00497D3E">
              <w:t>-</w:t>
            </w:r>
          </w:p>
        </w:tc>
        <w:tc>
          <w:tcPr>
            <w:tcW w:w="1143" w:type="dxa"/>
            <w:vAlign w:val="center"/>
          </w:tcPr>
          <w:p w:rsidR="006133A8" w:rsidRPr="00497D3E" w:rsidRDefault="006133A8" w:rsidP="0060311E">
            <w:pPr>
              <w:pStyle w:val="Tablebodytext"/>
            </w:pPr>
            <w:r w:rsidRPr="00497D3E">
              <w:t>-</w:t>
            </w:r>
          </w:p>
        </w:tc>
        <w:tc>
          <w:tcPr>
            <w:tcW w:w="1400" w:type="dxa"/>
            <w:vAlign w:val="center"/>
          </w:tcPr>
          <w:p w:rsidR="006133A8" w:rsidRPr="00497D3E" w:rsidRDefault="006133A8" w:rsidP="0060311E">
            <w:pPr>
              <w:pStyle w:val="Tablebodytext"/>
            </w:pPr>
            <w:r w:rsidRPr="00497D3E">
              <w:t>-</w:t>
            </w:r>
          </w:p>
        </w:tc>
      </w:tr>
    </w:tbl>
    <w:p w:rsidR="00AC3D7A" w:rsidRDefault="00AC3D7A" w:rsidP="0060311E">
      <w:pPr>
        <w:pStyle w:val="Heading4nonumbers"/>
      </w:pPr>
    </w:p>
    <w:p w:rsidR="00AC3D7A" w:rsidRDefault="00AC3D7A" w:rsidP="00AC3D7A">
      <w:pPr>
        <w:pStyle w:val="BodyText1"/>
        <w:rPr>
          <w:rFonts w:ascii="Arial" w:eastAsia="MS Gothic" w:hAnsi="Arial"/>
          <w:color w:val="005A77"/>
          <w:spacing w:val="-6"/>
          <w:sz w:val="24"/>
        </w:rPr>
      </w:pPr>
      <w:r>
        <w:br w:type="page"/>
      </w:r>
    </w:p>
    <w:p w:rsidR="006133A8" w:rsidRDefault="006133A8" w:rsidP="0060311E">
      <w:pPr>
        <w:pStyle w:val="Heading4nonumbers"/>
      </w:pPr>
      <w:r w:rsidRPr="009D20E8">
        <w:lastRenderedPageBreak/>
        <w:t>Preservation on resignation or redundancy</w:t>
      </w:r>
    </w:p>
    <w:p w:rsidR="006133A8" w:rsidRDefault="006133A8" w:rsidP="007B21CF">
      <w:pPr>
        <w:pStyle w:val="ListBullet"/>
        <w:numPr>
          <w:ilvl w:val="0"/>
          <w:numId w:val="0"/>
        </w:numPr>
        <w:contextualSpacing w:val="0"/>
      </w:pPr>
      <w:r>
        <w:t xml:space="preserve">Members are generally required to retain their employer-financed benefits within the schemes. Members who join the PSS after 1 July 1999 are required to retain all their benefits within the scheme. For members who joined the PSS before 1 July 1999 the member-financed benefits may be taken as a lump sum on termination of service (subject to general preservation rules) or retained within the scheme. CSS members who elect not to retain their member financed benefit within the CSS on termination of service forfeit a significant part of their employer-financed benefit. </w:t>
      </w:r>
    </w:p>
    <w:p w:rsidR="006133A8" w:rsidRDefault="006133A8" w:rsidP="007B21CF">
      <w:pPr>
        <w:pStyle w:val="ListBullet"/>
        <w:numPr>
          <w:ilvl w:val="0"/>
          <w:numId w:val="0"/>
        </w:numPr>
        <w:contextualSpacing w:val="0"/>
      </w:pPr>
      <w:r>
        <w:t>Members who are made redundant are eligible to be paid benefits immediately and they therefore have a different pattern of preservation from members under resignation.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3402"/>
        <w:gridCol w:w="2127"/>
        <w:gridCol w:w="2401"/>
      </w:tblGrid>
      <w:tr w:rsidR="006133A8" w:rsidRPr="00497D3E" w:rsidTr="00497D3E">
        <w:trPr>
          <w:trHeight w:val="265"/>
        </w:trPr>
        <w:tc>
          <w:tcPr>
            <w:tcW w:w="3402" w:type="dxa"/>
            <w:tcBorders>
              <w:bottom w:val="single" w:sz="2" w:space="0" w:color="A7B4BE"/>
            </w:tcBorders>
            <w:shd w:val="clear" w:color="auto" w:fill="DDF3FA"/>
            <w:vAlign w:val="bottom"/>
          </w:tcPr>
          <w:p w:rsidR="006133A8" w:rsidRPr="00497D3E" w:rsidRDefault="006133A8" w:rsidP="0060311E">
            <w:pPr>
              <w:pStyle w:val="Tablecolumnheading"/>
              <w:rPr>
                <w:lang w:val="en-US"/>
              </w:rPr>
            </w:pPr>
            <w:r w:rsidRPr="00497D3E">
              <w:rPr>
                <w:lang w:val="en-US"/>
              </w:rPr>
              <w:t>Rate of Preservation</w:t>
            </w:r>
          </w:p>
        </w:tc>
        <w:tc>
          <w:tcPr>
            <w:tcW w:w="2127" w:type="dxa"/>
            <w:tcBorders>
              <w:bottom w:val="single" w:sz="2" w:space="0" w:color="A7B4BE"/>
            </w:tcBorders>
            <w:shd w:val="clear" w:color="auto" w:fill="DDF3FA"/>
            <w:vAlign w:val="bottom"/>
          </w:tcPr>
          <w:p w:rsidR="006133A8" w:rsidRPr="00497D3E" w:rsidRDefault="006133A8" w:rsidP="0060311E">
            <w:pPr>
              <w:pStyle w:val="Tablecolumnheading"/>
              <w:rPr>
                <w:lang w:val="en-US"/>
              </w:rPr>
            </w:pPr>
            <w:r w:rsidRPr="00497D3E">
              <w:rPr>
                <w:lang w:val="en-US"/>
              </w:rPr>
              <w:t>Resignation</w:t>
            </w:r>
          </w:p>
        </w:tc>
        <w:tc>
          <w:tcPr>
            <w:tcW w:w="2401" w:type="dxa"/>
            <w:tcBorders>
              <w:bottom w:val="single" w:sz="2" w:space="0" w:color="A7B4BE"/>
            </w:tcBorders>
            <w:shd w:val="clear" w:color="auto" w:fill="DDF3FA"/>
            <w:vAlign w:val="bottom"/>
          </w:tcPr>
          <w:p w:rsidR="006133A8" w:rsidRPr="00497D3E" w:rsidDel="00F966D4" w:rsidRDefault="006133A8" w:rsidP="0060311E">
            <w:pPr>
              <w:pStyle w:val="Tablecolumnheading"/>
              <w:rPr>
                <w:lang w:val="en-US"/>
              </w:rPr>
            </w:pPr>
            <w:r w:rsidRPr="00497D3E">
              <w:rPr>
                <w:lang w:val="en-US"/>
              </w:rPr>
              <w:t>Redundancy</w:t>
            </w:r>
          </w:p>
        </w:tc>
      </w:tr>
      <w:tr w:rsidR="006133A8" w:rsidRPr="00497D3E" w:rsidTr="00497D3E">
        <w:trPr>
          <w:trHeight w:val="265"/>
        </w:trPr>
        <w:tc>
          <w:tcPr>
            <w:tcW w:w="3402" w:type="dxa"/>
            <w:shd w:val="clear" w:color="auto" w:fill="auto"/>
            <w:vAlign w:val="center"/>
          </w:tcPr>
          <w:p w:rsidR="006133A8" w:rsidRPr="00497D3E" w:rsidRDefault="006133A8" w:rsidP="0060311E">
            <w:pPr>
              <w:pStyle w:val="Tablebodytext"/>
              <w:rPr>
                <w:lang w:val="en-US"/>
              </w:rPr>
            </w:pPr>
            <w:r w:rsidRPr="00497D3E">
              <w:rPr>
                <w:lang w:val="en-US"/>
              </w:rPr>
              <w:t>PSS pre-1 July 1999 members</w:t>
            </w:r>
          </w:p>
        </w:tc>
        <w:tc>
          <w:tcPr>
            <w:tcW w:w="2127" w:type="dxa"/>
            <w:shd w:val="clear" w:color="auto" w:fill="auto"/>
            <w:vAlign w:val="center"/>
          </w:tcPr>
          <w:p w:rsidR="006133A8" w:rsidRPr="00497D3E" w:rsidRDefault="006133A8" w:rsidP="0060311E">
            <w:pPr>
              <w:pStyle w:val="Tablebodytext"/>
              <w:rPr>
                <w:lang w:val="en-US"/>
              </w:rPr>
            </w:pPr>
            <w:r w:rsidRPr="00497D3E">
              <w:rPr>
                <w:lang w:val="en-US"/>
              </w:rPr>
              <w:t>80%</w:t>
            </w:r>
          </w:p>
        </w:tc>
        <w:tc>
          <w:tcPr>
            <w:tcW w:w="2401" w:type="dxa"/>
            <w:shd w:val="clear" w:color="auto" w:fill="auto"/>
            <w:vAlign w:val="center"/>
          </w:tcPr>
          <w:p w:rsidR="006133A8" w:rsidRPr="00497D3E" w:rsidRDefault="006133A8" w:rsidP="0060311E">
            <w:pPr>
              <w:pStyle w:val="Tablebodytext"/>
              <w:rPr>
                <w:lang w:val="en-US"/>
              </w:rPr>
            </w:pPr>
            <w:r w:rsidRPr="00497D3E">
              <w:rPr>
                <w:lang w:val="en-US"/>
              </w:rPr>
              <w:t>40%</w:t>
            </w:r>
          </w:p>
        </w:tc>
      </w:tr>
      <w:tr w:rsidR="006133A8" w:rsidRPr="00497D3E" w:rsidTr="00497D3E">
        <w:trPr>
          <w:trHeight w:val="265"/>
        </w:trPr>
        <w:tc>
          <w:tcPr>
            <w:tcW w:w="3402" w:type="dxa"/>
            <w:shd w:val="clear" w:color="auto" w:fill="auto"/>
            <w:vAlign w:val="center"/>
          </w:tcPr>
          <w:p w:rsidR="006133A8" w:rsidRPr="00497D3E" w:rsidRDefault="006133A8" w:rsidP="0060311E">
            <w:pPr>
              <w:pStyle w:val="Tablebodytext"/>
              <w:rPr>
                <w:lang w:val="en-US"/>
              </w:rPr>
            </w:pPr>
            <w:r w:rsidRPr="00497D3E">
              <w:rPr>
                <w:lang w:val="en-US"/>
              </w:rPr>
              <w:t>PSS post-1 July 1999 members</w:t>
            </w:r>
          </w:p>
        </w:tc>
        <w:tc>
          <w:tcPr>
            <w:tcW w:w="2127" w:type="dxa"/>
            <w:shd w:val="clear" w:color="auto" w:fill="auto"/>
            <w:vAlign w:val="center"/>
          </w:tcPr>
          <w:p w:rsidR="006133A8" w:rsidRPr="00497D3E" w:rsidRDefault="006133A8" w:rsidP="0060311E">
            <w:pPr>
              <w:pStyle w:val="Tablebodytext"/>
              <w:rPr>
                <w:lang w:val="en-US"/>
              </w:rPr>
            </w:pPr>
            <w:r w:rsidRPr="00497D3E">
              <w:rPr>
                <w:lang w:val="en-US"/>
              </w:rPr>
              <w:t>100%</w:t>
            </w:r>
          </w:p>
        </w:tc>
        <w:tc>
          <w:tcPr>
            <w:tcW w:w="2401" w:type="dxa"/>
            <w:shd w:val="clear" w:color="auto" w:fill="auto"/>
            <w:vAlign w:val="center"/>
          </w:tcPr>
          <w:p w:rsidR="006133A8" w:rsidRPr="00497D3E" w:rsidRDefault="006133A8" w:rsidP="0060311E">
            <w:pPr>
              <w:pStyle w:val="Tablebodytext"/>
              <w:rPr>
                <w:lang w:val="en-US"/>
              </w:rPr>
            </w:pPr>
            <w:r w:rsidRPr="00497D3E">
              <w:rPr>
                <w:lang w:val="en-US"/>
              </w:rPr>
              <w:t>40%</w:t>
            </w:r>
          </w:p>
        </w:tc>
      </w:tr>
      <w:tr w:rsidR="006133A8" w:rsidRPr="00497D3E" w:rsidTr="00497D3E">
        <w:trPr>
          <w:trHeight w:val="265"/>
        </w:trPr>
        <w:tc>
          <w:tcPr>
            <w:tcW w:w="3402" w:type="dxa"/>
            <w:shd w:val="clear" w:color="auto" w:fill="auto"/>
            <w:vAlign w:val="center"/>
          </w:tcPr>
          <w:p w:rsidR="006133A8" w:rsidRPr="00497D3E" w:rsidRDefault="006133A8" w:rsidP="0060311E">
            <w:pPr>
              <w:pStyle w:val="Tablebodytext"/>
              <w:rPr>
                <w:lang w:val="en-US"/>
              </w:rPr>
            </w:pPr>
            <w:r w:rsidRPr="00497D3E">
              <w:rPr>
                <w:lang w:val="en-US"/>
              </w:rPr>
              <w:t>CSS</w:t>
            </w:r>
          </w:p>
        </w:tc>
        <w:tc>
          <w:tcPr>
            <w:tcW w:w="2127" w:type="dxa"/>
            <w:shd w:val="clear" w:color="auto" w:fill="auto"/>
            <w:vAlign w:val="center"/>
          </w:tcPr>
          <w:p w:rsidR="006133A8" w:rsidRPr="00497D3E" w:rsidRDefault="006133A8" w:rsidP="0060311E">
            <w:pPr>
              <w:pStyle w:val="Tablebodytext"/>
              <w:rPr>
                <w:lang w:val="en-US"/>
              </w:rPr>
            </w:pPr>
            <w:r w:rsidRPr="00497D3E">
              <w:rPr>
                <w:lang w:val="en-US"/>
              </w:rPr>
              <w:t>100%</w:t>
            </w:r>
          </w:p>
        </w:tc>
        <w:tc>
          <w:tcPr>
            <w:tcW w:w="2401" w:type="dxa"/>
            <w:shd w:val="clear" w:color="auto" w:fill="auto"/>
            <w:vAlign w:val="center"/>
          </w:tcPr>
          <w:p w:rsidR="006133A8" w:rsidRPr="00497D3E" w:rsidRDefault="006133A8" w:rsidP="0060311E">
            <w:pPr>
              <w:pStyle w:val="Tablebodytext"/>
              <w:rPr>
                <w:lang w:val="en-US"/>
              </w:rPr>
            </w:pPr>
            <w:r w:rsidRPr="00497D3E">
              <w:rPr>
                <w:lang w:val="en-US"/>
              </w:rPr>
              <w:t>70%</w:t>
            </w:r>
          </w:p>
        </w:tc>
      </w:tr>
    </w:tbl>
    <w:p w:rsidR="00B00404" w:rsidRDefault="00B00404" w:rsidP="006133A8">
      <w:pPr>
        <w:pStyle w:val="Heading5"/>
      </w:pPr>
    </w:p>
    <w:p w:rsidR="006133A8" w:rsidRDefault="00B00404" w:rsidP="00C676C5">
      <w:pPr>
        <w:pStyle w:val="Heading4nonumbers"/>
      </w:pPr>
      <w:r>
        <w:br w:type="page"/>
      </w:r>
      <w:r w:rsidR="006133A8" w:rsidRPr="0041667F">
        <w:lastRenderedPageBreak/>
        <w:t>Rates of Pension Take-up</w:t>
      </w:r>
    </w:p>
    <w:p w:rsidR="006133A8" w:rsidRDefault="006133A8" w:rsidP="00B00404">
      <w:pPr>
        <w:pStyle w:val="ListBullet"/>
        <w:numPr>
          <w:ilvl w:val="0"/>
          <w:numId w:val="0"/>
        </w:numPr>
        <w:contextualSpacing w:val="0"/>
      </w:pPr>
      <w:r>
        <w:t>It has been assumed for the PSS that 80% of lump sum entitlements of age retirees and spouses of deceased contributors and 80% of the lump sum entitlements of members, who resign and preserve their entire benefit, will be converted to pensions. Invalid retirees must take a pension and members who do not preserve their member accumulations on resignation cannot take a pension.</w:t>
      </w:r>
    </w:p>
    <w:p w:rsidR="006133A8" w:rsidRDefault="006133A8" w:rsidP="00B00404">
      <w:pPr>
        <w:pStyle w:val="ListBullet"/>
        <w:numPr>
          <w:ilvl w:val="0"/>
          <w:numId w:val="0"/>
        </w:numPr>
        <w:contextualSpacing w:val="0"/>
      </w:pPr>
      <w:r>
        <w:t xml:space="preserve">Generally in the CSS, the employer component of the benefit must be taken as a pension. Members then have the option to convert the funded benefits to a non-indexed pension. It has been assumed that 100% of the employer component is taken as a pension. </w:t>
      </w:r>
    </w:p>
    <w:p w:rsidR="006133A8" w:rsidRDefault="006133A8" w:rsidP="00B00404">
      <w:pPr>
        <w:pStyle w:val="ListBullet"/>
        <w:numPr>
          <w:ilvl w:val="0"/>
          <w:numId w:val="0"/>
        </w:numPr>
        <w:contextualSpacing w:val="0"/>
      </w:pPr>
      <w:r>
        <w:t>We have also assumed that 30% of the funded benefits will be converted to a non-indexed pension. However, this is limited by the upper cap taking into account individual members’ details.</w:t>
      </w:r>
    </w:p>
    <w:p w:rsidR="006133A8" w:rsidRDefault="006133A8" w:rsidP="00C676C5">
      <w:pPr>
        <w:pStyle w:val="Heading4nonumbers"/>
      </w:pPr>
      <w:r w:rsidRPr="00C60A59">
        <w:t>PSS Members Election to Cease PSS Membership in Order to Join PSSap</w:t>
      </w:r>
    </w:p>
    <w:p w:rsidR="006133A8" w:rsidRDefault="006133A8" w:rsidP="006133A8">
      <w:pPr>
        <w:pStyle w:val="ListBullet"/>
        <w:numPr>
          <w:ilvl w:val="0"/>
          <w:numId w:val="0"/>
        </w:numPr>
      </w:pPr>
      <w:r w:rsidRPr="00C60A59">
        <w:t>No PSS members are assumed to exercise this option.</w:t>
      </w:r>
    </w:p>
    <w:p w:rsidR="00612408" w:rsidRDefault="00612408" w:rsidP="00C676C5">
      <w:pPr>
        <w:pStyle w:val="Heading4nonumbers"/>
      </w:pPr>
      <w:r w:rsidRPr="000129DD">
        <w:t>Preserved member exits by Age Retirement</w:t>
      </w:r>
    </w:p>
    <w:p w:rsidR="00C676C5" w:rsidRPr="00C676C5" w:rsidRDefault="00C676C5" w:rsidP="00C676C5">
      <w:pPr>
        <w:pStyle w:val="Heading5"/>
        <w:rPr>
          <w:lang w:val="en-US"/>
        </w:rPr>
      </w:pPr>
      <w:r w:rsidRPr="00497D3E">
        <w:rPr>
          <w:lang w:val="en-US"/>
        </w:rPr>
        <w:t>Age Retirement Assumptions – Preserved Members</w:t>
      </w:r>
      <w:r>
        <w:rPr>
          <w:lang w:val="en-US"/>
        </w:rPr>
        <w:br/>
      </w:r>
      <w:r w:rsidRPr="00497D3E">
        <w:rPr>
          <w:lang w:val="en-US"/>
        </w:rPr>
        <w:t>(per 1,000 at age shown)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368"/>
        <w:gridCol w:w="1751"/>
        <w:gridCol w:w="1559"/>
        <w:gridCol w:w="1559"/>
        <w:gridCol w:w="1693"/>
      </w:tblGrid>
      <w:tr w:rsidR="006133A8" w:rsidRPr="00497D3E" w:rsidTr="00497D3E">
        <w:trPr>
          <w:trHeight w:val="265"/>
        </w:trPr>
        <w:tc>
          <w:tcPr>
            <w:tcW w:w="1368" w:type="dxa"/>
            <w:vMerge w:val="restart"/>
            <w:shd w:val="clear" w:color="auto" w:fill="DDF3FA"/>
            <w:vAlign w:val="center"/>
          </w:tcPr>
          <w:p w:rsidR="006133A8" w:rsidRPr="00497D3E" w:rsidRDefault="006133A8" w:rsidP="00C676C5">
            <w:pPr>
              <w:pStyle w:val="Tablecolumnheading"/>
              <w:rPr>
                <w:lang w:val="en-US"/>
              </w:rPr>
            </w:pPr>
            <w:r w:rsidRPr="00497D3E">
              <w:rPr>
                <w:lang w:val="en-US"/>
              </w:rPr>
              <w:t>Age Last Birthday</w:t>
            </w:r>
          </w:p>
        </w:tc>
        <w:tc>
          <w:tcPr>
            <w:tcW w:w="3310" w:type="dxa"/>
            <w:gridSpan w:val="2"/>
            <w:shd w:val="clear" w:color="auto" w:fill="DDF3FA"/>
            <w:vAlign w:val="center"/>
          </w:tcPr>
          <w:p w:rsidR="006133A8" w:rsidRPr="00497D3E" w:rsidRDefault="006133A8" w:rsidP="00C676C5">
            <w:pPr>
              <w:pStyle w:val="Tablecolumnheading"/>
              <w:rPr>
                <w:lang w:val="en-US"/>
              </w:rPr>
            </w:pPr>
            <w:r w:rsidRPr="00497D3E">
              <w:rPr>
                <w:lang w:val="en-US"/>
              </w:rPr>
              <w:t>PSS</w:t>
            </w:r>
          </w:p>
        </w:tc>
        <w:tc>
          <w:tcPr>
            <w:tcW w:w="3252" w:type="dxa"/>
            <w:gridSpan w:val="2"/>
            <w:shd w:val="clear" w:color="auto" w:fill="DDF3FA"/>
            <w:vAlign w:val="center"/>
          </w:tcPr>
          <w:p w:rsidR="006133A8" w:rsidRPr="00497D3E" w:rsidRDefault="006133A8" w:rsidP="00C676C5">
            <w:pPr>
              <w:pStyle w:val="Tablecolumnheading"/>
              <w:rPr>
                <w:lang w:val="en-US"/>
              </w:rPr>
            </w:pPr>
            <w:r w:rsidRPr="00497D3E">
              <w:rPr>
                <w:lang w:val="en-US"/>
              </w:rPr>
              <w:t>CSS</w:t>
            </w:r>
          </w:p>
        </w:tc>
      </w:tr>
      <w:tr w:rsidR="006133A8" w:rsidRPr="00497D3E" w:rsidTr="00497D3E">
        <w:trPr>
          <w:trHeight w:val="265"/>
        </w:trPr>
        <w:tc>
          <w:tcPr>
            <w:tcW w:w="1368" w:type="dxa"/>
            <w:vMerge/>
            <w:shd w:val="clear" w:color="auto" w:fill="DDF3FA"/>
            <w:vAlign w:val="center"/>
          </w:tcPr>
          <w:p w:rsidR="006133A8" w:rsidRPr="00497D3E" w:rsidRDefault="006133A8" w:rsidP="00C676C5">
            <w:pPr>
              <w:pStyle w:val="Tablecolumnheading"/>
              <w:rPr>
                <w:lang w:val="en-US"/>
              </w:rPr>
            </w:pPr>
          </w:p>
        </w:tc>
        <w:tc>
          <w:tcPr>
            <w:tcW w:w="1751" w:type="dxa"/>
            <w:shd w:val="clear" w:color="auto" w:fill="DDF3FA"/>
            <w:vAlign w:val="center"/>
          </w:tcPr>
          <w:p w:rsidR="006133A8" w:rsidRPr="00497D3E" w:rsidRDefault="006133A8" w:rsidP="00C676C5">
            <w:pPr>
              <w:pStyle w:val="Tablecolumnheading"/>
              <w:rPr>
                <w:lang w:val="en-US"/>
              </w:rPr>
            </w:pPr>
            <w:r w:rsidRPr="00497D3E">
              <w:rPr>
                <w:lang w:val="en-US"/>
              </w:rPr>
              <w:t>Males</w:t>
            </w:r>
          </w:p>
        </w:tc>
        <w:tc>
          <w:tcPr>
            <w:tcW w:w="1559" w:type="dxa"/>
            <w:shd w:val="clear" w:color="auto" w:fill="DDF3FA"/>
            <w:vAlign w:val="center"/>
          </w:tcPr>
          <w:p w:rsidR="006133A8" w:rsidRPr="00497D3E" w:rsidRDefault="006133A8" w:rsidP="00C676C5">
            <w:pPr>
              <w:pStyle w:val="Tablecolumnheading"/>
              <w:rPr>
                <w:lang w:val="en-US"/>
              </w:rPr>
            </w:pPr>
            <w:r w:rsidRPr="00497D3E">
              <w:rPr>
                <w:lang w:val="en-US"/>
              </w:rPr>
              <w:t>Females</w:t>
            </w:r>
          </w:p>
        </w:tc>
        <w:tc>
          <w:tcPr>
            <w:tcW w:w="1559" w:type="dxa"/>
            <w:shd w:val="clear" w:color="auto" w:fill="DDF3FA"/>
            <w:vAlign w:val="center"/>
          </w:tcPr>
          <w:p w:rsidR="006133A8" w:rsidRPr="00497D3E" w:rsidRDefault="006133A8" w:rsidP="00C676C5">
            <w:pPr>
              <w:pStyle w:val="Tablecolumnheading"/>
              <w:rPr>
                <w:lang w:val="en-US"/>
              </w:rPr>
            </w:pPr>
            <w:r w:rsidRPr="00497D3E">
              <w:rPr>
                <w:lang w:val="en-US"/>
              </w:rPr>
              <w:t>Males</w:t>
            </w:r>
          </w:p>
        </w:tc>
        <w:tc>
          <w:tcPr>
            <w:tcW w:w="1693" w:type="dxa"/>
            <w:shd w:val="clear" w:color="auto" w:fill="DDF3FA"/>
            <w:vAlign w:val="center"/>
          </w:tcPr>
          <w:p w:rsidR="006133A8" w:rsidRPr="00497D3E" w:rsidRDefault="006133A8" w:rsidP="00C676C5">
            <w:pPr>
              <w:pStyle w:val="Tablecolumnheading"/>
              <w:rPr>
                <w:lang w:val="en-US"/>
              </w:rPr>
            </w:pPr>
            <w:r w:rsidRPr="00497D3E">
              <w:rPr>
                <w:lang w:val="en-US"/>
              </w:rPr>
              <w:t>Females</w:t>
            </w:r>
          </w:p>
        </w:tc>
      </w:tr>
      <w:tr w:rsidR="006133A8" w:rsidRPr="00497D3E" w:rsidTr="00497D3E">
        <w:trPr>
          <w:trHeight w:val="239"/>
        </w:trPr>
        <w:tc>
          <w:tcPr>
            <w:tcW w:w="1368" w:type="dxa"/>
            <w:vAlign w:val="center"/>
          </w:tcPr>
          <w:p w:rsidR="006133A8" w:rsidRPr="00497D3E" w:rsidRDefault="006133A8" w:rsidP="00C676C5">
            <w:pPr>
              <w:pStyle w:val="Tablebodytext"/>
              <w:rPr>
                <w:lang w:val="en-US"/>
              </w:rPr>
            </w:pPr>
            <w:r w:rsidRPr="00497D3E">
              <w:rPr>
                <w:lang w:val="en-US"/>
              </w:rPr>
              <w:t>55</w:t>
            </w:r>
          </w:p>
        </w:tc>
        <w:tc>
          <w:tcPr>
            <w:tcW w:w="1751" w:type="dxa"/>
            <w:vAlign w:val="center"/>
          </w:tcPr>
          <w:p w:rsidR="006133A8" w:rsidRPr="00497D3E" w:rsidRDefault="006133A8" w:rsidP="00C676C5">
            <w:pPr>
              <w:pStyle w:val="Tablebodytext"/>
              <w:rPr>
                <w:lang w:val="en-US"/>
              </w:rPr>
            </w:pPr>
            <w:r w:rsidRPr="00497D3E">
              <w:t>145</w:t>
            </w:r>
          </w:p>
        </w:tc>
        <w:tc>
          <w:tcPr>
            <w:tcW w:w="1559" w:type="dxa"/>
            <w:vAlign w:val="center"/>
          </w:tcPr>
          <w:p w:rsidR="006133A8" w:rsidRPr="00497D3E" w:rsidRDefault="006133A8" w:rsidP="00C676C5">
            <w:pPr>
              <w:pStyle w:val="Tablebodytext"/>
              <w:rPr>
                <w:lang w:val="en-US"/>
              </w:rPr>
            </w:pPr>
            <w:r w:rsidRPr="00497D3E">
              <w:t>200</w:t>
            </w:r>
          </w:p>
        </w:tc>
        <w:tc>
          <w:tcPr>
            <w:tcW w:w="1559" w:type="dxa"/>
            <w:vAlign w:val="center"/>
          </w:tcPr>
          <w:p w:rsidR="006133A8" w:rsidRPr="00497D3E" w:rsidRDefault="006133A8" w:rsidP="00C676C5">
            <w:pPr>
              <w:pStyle w:val="Tablebodytext"/>
              <w:rPr>
                <w:lang w:val="en-US"/>
              </w:rPr>
            </w:pPr>
            <w:r w:rsidRPr="00497D3E">
              <w:t>740</w:t>
            </w:r>
          </w:p>
        </w:tc>
        <w:tc>
          <w:tcPr>
            <w:tcW w:w="1693" w:type="dxa"/>
            <w:vAlign w:val="center"/>
          </w:tcPr>
          <w:p w:rsidR="006133A8" w:rsidRPr="00497D3E" w:rsidRDefault="006133A8" w:rsidP="00C676C5">
            <w:pPr>
              <w:pStyle w:val="Tablebodytext"/>
              <w:rPr>
                <w:lang w:val="en-US"/>
              </w:rPr>
            </w:pPr>
            <w:r w:rsidRPr="00497D3E">
              <w:t>740</w:t>
            </w:r>
          </w:p>
        </w:tc>
      </w:tr>
      <w:tr w:rsidR="006133A8" w:rsidRPr="00497D3E" w:rsidTr="00497D3E">
        <w:trPr>
          <w:trHeight w:val="286"/>
        </w:trPr>
        <w:tc>
          <w:tcPr>
            <w:tcW w:w="1368" w:type="dxa"/>
            <w:vAlign w:val="center"/>
          </w:tcPr>
          <w:p w:rsidR="006133A8" w:rsidRPr="00497D3E" w:rsidRDefault="006133A8" w:rsidP="00C676C5">
            <w:pPr>
              <w:pStyle w:val="Tablebodytext"/>
              <w:rPr>
                <w:lang w:val="en-US"/>
              </w:rPr>
            </w:pPr>
            <w:r w:rsidRPr="00497D3E">
              <w:rPr>
                <w:lang w:val="en-US"/>
              </w:rPr>
              <w:t>56</w:t>
            </w:r>
          </w:p>
        </w:tc>
        <w:tc>
          <w:tcPr>
            <w:tcW w:w="1751" w:type="dxa"/>
            <w:vAlign w:val="center"/>
          </w:tcPr>
          <w:p w:rsidR="006133A8" w:rsidRPr="00497D3E" w:rsidRDefault="006133A8" w:rsidP="00C676C5">
            <w:pPr>
              <w:pStyle w:val="Tablebodytext"/>
              <w:rPr>
                <w:lang w:val="en-US"/>
              </w:rPr>
            </w:pPr>
            <w:r w:rsidRPr="00497D3E">
              <w:t>50</w:t>
            </w:r>
          </w:p>
        </w:tc>
        <w:tc>
          <w:tcPr>
            <w:tcW w:w="1559" w:type="dxa"/>
            <w:vAlign w:val="center"/>
          </w:tcPr>
          <w:p w:rsidR="006133A8" w:rsidRPr="00497D3E" w:rsidRDefault="006133A8" w:rsidP="00C676C5">
            <w:pPr>
              <w:pStyle w:val="Tablebodytext"/>
              <w:rPr>
                <w:lang w:val="en-US"/>
              </w:rPr>
            </w:pPr>
            <w:r w:rsidRPr="00497D3E">
              <w:t>60</w:t>
            </w:r>
          </w:p>
        </w:tc>
        <w:tc>
          <w:tcPr>
            <w:tcW w:w="1559" w:type="dxa"/>
            <w:vAlign w:val="center"/>
          </w:tcPr>
          <w:p w:rsidR="006133A8" w:rsidRPr="00497D3E" w:rsidRDefault="006133A8" w:rsidP="00C676C5">
            <w:pPr>
              <w:pStyle w:val="Tablebodytext"/>
              <w:rPr>
                <w:lang w:val="en-US"/>
              </w:rPr>
            </w:pPr>
            <w:r w:rsidRPr="00497D3E">
              <w:t>170</w:t>
            </w:r>
          </w:p>
        </w:tc>
        <w:tc>
          <w:tcPr>
            <w:tcW w:w="1693" w:type="dxa"/>
            <w:vAlign w:val="center"/>
          </w:tcPr>
          <w:p w:rsidR="006133A8" w:rsidRPr="00497D3E" w:rsidRDefault="006133A8" w:rsidP="00C676C5">
            <w:pPr>
              <w:pStyle w:val="Tablebodytext"/>
              <w:rPr>
                <w:lang w:val="en-US"/>
              </w:rPr>
            </w:pPr>
            <w:r w:rsidRPr="00497D3E">
              <w:t>160</w:t>
            </w:r>
          </w:p>
        </w:tc>
      </w:tr>
      <w:tr w:rsidR="006133A8" w:rsidRPr="00497D3E" w:rsidTr="00497D3E">
        <w:trPr>
          <w:trHeight w:val="261"/>
        </w:trPr>
        <w:tc>
          <w:tcPr>
            <w:tcW w:w="1368" w:type="dxa"/>
            <w:vAlign w:val="center"/>
          </w:tcPr>
          <w:p w:rsidR="006133A8" w:rsidRPr="00497D3E" w:rsidRDefault="006133A8" w:rsidP="00C676C5">
            <w:pPr>
              <w:pStyle w:val="Tablebodytext"/>
              <w:rPr>
                <w:lang w:val="en-US"/>
              </w:rPr>
            </w:pPr>
            <w:r w:rsidRPr="00497D3E">
              <w:rPr>
                <w:lang w:val="en-US"/>
              </w:rPr>
              <w:t>57</w:t>
            </w:r>
          </w:p>
        </w:tc>
        <w:tc>
          <w:tcPr>
            <w:tcW w:w="1751" w:type="dxa"/>
            <w:vAlign w:val="center"/>
          </w:tcPr>
          <w:p w:rsidR="006133A8" w:rsidRPr="00497D3E" w:rsidRDefault="006133A8" w:rsidP="00C676C5">
            <w:pPr>
              <w:pStyle w:val="Tablebodytext"/>
              <w:rPr>
                <w:lang w:val="en-US"/>
              </w:rPr>
            </w:pPr>
            <w:r w:rsidRPr="00497D3E">
              <w:t>50</w:t>
            </w:r>
          </w:p>
        </w:tc>
        <w:tc>
          <w:tcPr>
            <w:tcW w:w="1559" w:type="dxa"/>
            <w:vAlign w:val="center"/>
          </w:tcPr>
          <w:p w:rsidR="006133A8" w:rsidRPr="00497D3E" w:rsidRDefault="006133A8" w:rsidP="00C676C5">
            <w:pPr>
              <w:pStyle w:val="Tablebodytext"/>
              <w:rPr>
                <w:lang w:val="en-US"/>
              </w:rPr>
            </w:pPr>
            <w:r w:rsidRPr="00497D3E">
              <w:t>60</w:t>
            </w:r>
          </w:p>
        </w:tc>
        <w:tc>
          <w:tcPr>
            <w:tcW w:w="1559" w:type="dxa"/>
            <w:vAlign w:val="center"/>
          </w:tcPr>
          <w:p w:rsidR="006133A8" w:rsidRPr="00497D3E" w:rsidRDefault="006133A8" w:rsidP="00C676C5">
            <w:pPr>
              <w:pStyle w:val="Tablebodytext"/>
              <w:rPr>
                <w:lang w:val="en-US"/>
              </w:rPr>
            </w:pPr>
            <w:r w:rsidRPr="00497D3E">
              <w:t>160</w:t>
            </w:r>
          </w:p>
        </w:tc>
        <w:tc>
          <w:tcPr>
            <w:tcW w:w="1693" w:type="dxa"/>
            <w:vAlign w:val="center"/>
          </w:tcPr>
          <w:p w:rsidR="006133A8" w:rsidRPr="00497D3E" w:rsidRDefault="006133A8" w:rsidP="00C676C5">
            <w:pPr>
              <w:pStyle w:val="Tablebodytext"/>
              <w:rPr>
                <w:lang w:val="en-US"/>
              </w:rPr>
            </w:pPr>
            <w:r w:rsidRPr="00497D3E">
              <w:t>150</w:t>
            </w:r>
          </w:p>
        </w:tc>
      </w:tr>
      <w:tr w:rsidR="006133A8" w:rsidRPr="00497D3E" w:rsidTr="00497D3E">
        <w:trPr>
          <w:trHeight w:val="278"/>
        </w:trPr>
        <w:tc>
          <w:tcPr>
            <w:tcW w:w="1368" w:type="dxa"/>
            <w:vAlign w:val="center"/>
          </w:tcPr>
          <w:p w:rsidR="006133A8" w:rsidRPr="00497D3E" w:rsidRDefault="006133A8" w:rsidP="00C676C5">
            <w:pPr>
              <w:pStyle w:val="Tablebodytext"/>
              <w:rPr>
                <w:lang w:val="en-US"/>
              </w:rPr>
            </w:pPr>
            <w:r w:rsidRPr="00497D3E">
              <w:rPr>
                <w:lang w:val="en-US"/>
              </w:rPr>
              <w:t>58</w:t>
            </w:r>
          </w:p>
        </w:tc>
        <w:tc>
          <w:tcPr>
            <w:tcW w:w="1751" w:type="dxa"/>
            <w:vAlign w:val="center"/>
          </w:tcPr>
          <w:p w:rsidR="006133A8" w:rsidRPr="00497D3E" w:rsidRDefault="006133A8" w:rsidP="00C676C5">
            <w:pPr>
              <w:pStyle w:val="Tablebodytext"/>
              <w:rPr>
                <w:lang w:val="en-US"/>
              </w:rPr>
            </w:pPr>
            <w:r w:rsidRPr="00497D3E">
              <w:t>50</w:t>
            </w:r>
          </w:p>
        </w:tc>
        <w:tc>
          <w:tcPr>
            <w:tcW w:w="1559" w:type="dxa"/>
            <w:vAlign w:val="center"/>
          </w:tcPr>
          <w:p w:rsidR="006133A8" w:rsidRPr="00497D3E" w:rsidRDefault="006133A8" w:rsidP="00C676C5">
            <w:pPr>
              <w:pStyle w:val="Tablebodytext"/>
              <w:rPr>
                <w:lang w:val="en-US"/>
              </w:rPr>
            </w:pPr>
            <w:r w:rsidRPr="00497D3E">
              <w:t>55</w:t>
            </w:r>
          </w:p>
        </w:tc>
        <w:tc>
          <w:tcPr>
            <w:tcW w:w="1559" w:type="dxa"/>
            <w:vAlign w:val="center"/>
          </w:tcPr>
          <w:p w:rsidR="006133A8" w:rsidRPr="00497D3E" w:rsidRDefault="006133A8" w:rsidP="00C676C5">
            <w:pPr>
              <w:pStyle w:val="Tablebodytext"/>
              <w:rPr>
                <w:lang w:val="en-US"/>
              </w:rPr>
            </w:pPr>
            <w:r w:rsidRPr="00497D3E">
              <w:t>170</w:t>
            </w:r>
          </w:p>
        </w:tc>
        <w:tc>
          <w:tcPr>
            <w:tcW w:w="1693" w:type="dxa"/>
            <w:vAlign w:val="center"/>
          </w:tcPr>
          <w:p w:rsidR="006133A8" w:rsidRPr="00497D3E" w:rsidRDefault="006133A8" w:rsidP="00C676C5">
            <w:pPr>
              <w:pStyle w:val="Tablebodytext"/>
              <w:rPr>
                <w:lang w:val="en-US"/>
              </w:rPr>
            </w:pPr>
            <w:r w:rsidRPr="00497D3E">
              <w:t>140</w:t>
            </w:r>
          </w:p>
        </w:tc>
      </w:tr>
      <w:tr w:rsidR="006133A8" w:rsidRPr="00497D3E" w:rsidTr="00497D3E">
        <w:trPr>
          <w:trHeight w:val="269"/>
        </w:trPr>
        <w:tc>
          <w:tcPr>
            <w:tcW w:w="1368" w:type="dxa"/>
            <w:vAlign w:val="center"/>
          </w:tcPr>
          <w:p w:rsidR="006133A8" w:rsidRPr="00497D3E" w:rsidRDefault="006133A8" w:rsidP="00C676C5">
            <w:pPr>
              <w:pStyle w:val="Tablebodytext"/>
              <w:rPr>
                <w:lang w:val="en-US"/>
              </w:rPr>
            </w:pPr>
            <w:r w:rsidRPr="00497D3E">
              <w:rPr>
                <w:lang w:val="en-US"/>
              </w:rPr>
              <w:t>59</w:t>
            </w:r>
          </w:p>
        </w:tc>
        <w:tc>
          <w:tcPr>
            <w:tcW w:w="1751" w:type="dxa"/>
            <w:vAlign w:val="center"/>
          </w:tcPr>
          <w:p w:rsidR="006133A8" w:rsidRPr="00497D3E" w:rsidRDefault="006133A8" w:rsidP="00C676C5">
            <w:pPr>
              <w:pStyle w:val="Tablebodytext"/>
              <w:rPr>
                <w:lang w:val="en-US"/>
              </w:rPr>
            </w:pPr>
            <w:r w:rsidRPr="00497D3E">
              <w:t>50</w:t>
            </w:r>
          </w:p>
        </w:tc>
        <w:tc>
          <w:tcPr>
            <w:tcW w:w="1559" w:type="dxa"/>
            <w:vAlign w:val="center"/>
          </w:tcPr>
          <w:p w:rsidR="006133A8" w:rsidRPr="00497D3E" w:rsidRDefault="006133A8" w:rsidP="00C676C5">
            <w:pPr>
              <w:pStyle w:val="Tablebodytext"/>
              <w:rPr>
                <w:lang w:val="en-US"/>
              </w:rPr>
            </w:pPr>
            <w:r w:rsidRPr="00497D3E">
              <w:t>55</w:t>
            </w:r>
          </w:p>
        </w:tc>
        <w:tc>
          <w:tcPr>
            <w:tcW w:w="1559" w:type="dxa"/>
            <w:vAlign w:val="center"/>
          </w:tcPr>
          <w:p w:rsidR="006133A8" w:rsidRPr="00497D3E" w:rsidRDefault="006133A8" w:rsidP="00C676C5">
            <w:pPr>
              <w:pStyle w:val="Tablebodytext"/>
              <w:rPr>
                <w:lang w:val="en-US"/>
              </w:rPr>
            </w:pPr>
            <w:r w:rsidRPr="00497D3E">
              <w:t>170</w:t>
            </w:r>
          </w:p>
        </w:tc>
        <w:tc>
          <w:tcPr>
            <w:tcW w:w="1693" w:type="dxa"/>
            <w:vAlign w:val="center"/>
          </w:tcPr>
          <w:p w:rsidR="006133A8" w:rsidRPr="00497D3E" w:rsidRDefault="006133A8" w:rsidP="00C676C5">
            <w:pPr>
              <w:pStyle w:val="Tablebodytext"/>
              <w:rPr>
                <w:lang w:val="en-US"/>
              </w:rPr>
            </w:pPr>
            <w:r w:rsidRPr="00497D3E">
              <w:t>120</w:t>
            </w:r>
          </w:p>
        </w:tc>
      </w:tr>
      <w:tr w:rsidR="006133A8" w:rsidRPr="00497D3E" w:rsidTr="00497D3E">
        <w:trPr>
          <w:trHeight w:val="269"/>
        </w:trPr>
        <w:tc>
          <w:tcPr>
            <w:tcW w:w="1368" w:type="dxa"/>
            <w:vAlign w:val="center"/>
          </w:tcPr>
          <w:p w:rsidR="006133A8" w:rsidRPr="00497D3E" w:rsidRDefault="006133A8" w:rsidP="00C676C5">
            <w:pPr>
              <w:pStyle w:val="Tablebodytext"/>
              <w:rPr>
                <w:lang w:val="en-US"/>
              </w:rPr>
            </w:pPr>
            <w:r w:rsidRPr="00497D3E">
              <w:rPr>
                <w:lang w:val="en-US"/>
              </w:rPr>
              <w:t>60</w:t>
            </w:r>
          </w:p>
        </w:tc>
        <w:tc>
          <w:tcPr>
            <w:tcW w:w="1751" w:type="dxa"/>
            <w:vAlign w:val="center"/>
          </w:tcPr>
          <w:p w:rsidR="006133A8" w:rsidRPr="00497D3E" w:rsidRDefault="006133A8" w:rsidP="00C676C5">
            <w:pPr>
              <w:pStyle w:val="Tablebodytext"/>
              <w:rPr>
                <w:lang w:val="en-US"/>
              </w:rPr>
            </w:pPr>
            <w:r w:rsidRPr="00497D3E">
              <w:t>130</w:t>
            </w:r>
          </w:p>
        </w:tc>
        <w:tc>
          <w:tcPr>
            <w:tcW w:w="1559" w:type="dxa"/>
            <w:vAlign w:val="center"/>
          </w:tcPr>
          <w:p w:rsidR="006133A8" w:rsidRPr="00497D3E" w:rsidRDefault="006133A8" w:rsidP="00C676C5">
            <w:pPr>
              <w:pStyle w:val="Tablebodytext"/>
              <w:rPr>
                <w:lang w:val="en-US"/>
              </w:rPr>
            </w:pPr>
            <w:r w:rsidRPr="00497D3E">
              <w:t>145</w:t>
            </w:r>
          </w:p>
        </w:tc>
        <w:tc>
          <w:tcPr>
            <w:tcW w:w="1559" w:type="dxa"/>
            <w:vAlign w:val="center"/>
          </w:tcPr>
          <w:p w:rsidR="006133A8" w:rsidRPr="00497D3E" w:rsidRDefault="006133A8" w:rsidP="00C676C5">
            <w:pPr>
              <w:pStyle w:val="Tablebodytext"/>
              <w:rPr>
                <w:lang w:val="en-US"/>
              </w:rPr>
            </w:pPr>
            <w:r w:rsidRPr="00497D3E">
              <w:t>315</w:t>
            </w:r>
          </w:p>
        </w:tc>
        <w:tc>
          <w:tcPr>
            <w:tcW w:w="1693" w:type="dxa"/>
            <w:vAlign w:val="center"/>
          </w:tcPr>
          <w:p w:rsidR="006133A8" w:rsidRPr="00497D3E" w:rsidRDefault="006133A8" w:rsidP="00C676C5">
            <w:pPr>
              <w:pStyle w:val="Tablebodytext"/>
              <w:rPr>
                <w:lang w:val="en-US"/>
              </w:rPr>
            </w:pPr>
            <w:r w:rsidRPr="00497D3E">
              <w:t>270</w:t>
            </w:r>
          </w:p>
        </w:tc>
      </w:tr>
      <w:tr w:rsidR="006133A8" w:rsidRPr="00497D3E" w:rsidTr="00497D3E">
        <w:trPr>
          <w:trHeight w:val="269"/>
        </w:trPr>
        <w:tc>
          <w:tcPr>
            <w:tcW w:w="1368" w:type="dxa"/>
            <w:vAlign w:val="center"/>
          </w:tcPr>
          <w:p w:rsidR="006133A8" w:rsidRPr="00497D3E" w:rsidRDefault="006133A8" w:rsidP="00C676C5">
            <w:pPr>
              <w:pStyle w:val="Tablebodytext"/>
              <w:rPr>
                <w:lang w:val="en-US"/>
              </w:rPr>
            </w:pPr>
            <w:r w:rsidRPr="00497D3E">
              <w:rPr>
                <w:lang w:val="en-US"/>
              </w:rPr>
              <w:t>61</w:t>
            </w:r>
          </w:p>
        </w:tc>
        <w:tc>
          <w:tcPr>
            <w:tcW w:w="1751" w:type="dxa"/>
            <w:vAlign w:val="center"/>
          </w:tcPr>
          <w:p w:rsidR="006133A8" w:rsidRPr="00497D3E" w:rsidRDefault="006133A8" w:rsidP="00C676C5">
            <w:pPr>
              <w:pStyle w:val="Tablebodytext"/>
              <w:rPr>
                <w:lang w:val="en-US"/>
              </w:rPr>
            </w:pPr>
            <w:r w:rsidRPr="00497D3E">
              <w:t>75</w:t>
            </w:r>
          </w:p>
        </w:tc>
        <w:tc>
          <w:tcPr>
            <w:tcW w:w="1559" w:type="dxa"/>
            <w:vAlign w:val="center"/>
          </w:tcPr>
          <w:p w:rsidR="006133A8" w:rsidRPr="00497D3E" w:rsidRDefault="006133A8" w:rsidP="00C676C5">
            <w:pPr>
              <w:pStyle w:val="Tablebodytext"/>
              <w:rPr>
                <w:lang w:val="en-US"/>
              </w:rPr>
            </w:pPr>
            <w:r w:rsidRPr="00497D3E">
              <w:t>85</w:t>
            </w:r>
          </w:p>
        </w:tc>
        <w:tc>
          <w:tcPr>
            <w:tcW w:w="1559" w:type="dxa"/>
            <w:vAlign w:val="center"/>
          </w:tcPr>
          <w:p w:rsidR="006133A8" w:rsidRPr="00497D3E" w:rsidRDefault="006133A8" w:rsidP="00C676C5">
            <w:pPr>
              <w:pStyle w:val="Tablebodytext"/>
              <w:rPr>
                <w:lang w:val="en-US"/>
              </w:rPr>
            </w:pPr>
            <w:r w:rsidRPr="00497D3E">
              <w:t>230</w:t>
            </w:r>
          </w:p>
        </w:tc>
        <w:tc>
          <w:tcPr>
            <w:tcW w:w="1693" w:type="dxa"/>
            <w:vAlign w:val="center"/>
          </w:tcPr>
          <w:p w:rsidR="006133A8" w:rsidRPr="00497D3E" w:rsidRDefault="006133A8" w:rsidP="00C676C5">
            <w:pPr>
              <w:pStyle w:val="Tablebodytext"/>
              <w:rPr>
                <w:lang w:val="en-US"/>
              </w:rPr>
            </w:pPr>
            <w:r w:rsidRPr="00497D3E">
              <w:t>200</w:t>
            </w:r>
          </w:p>
        </w:tc>
      </w:tr>
      <w:tr w:rsidR="006133A8" w:rsidRPr="00497D3E" w:rsidTr="00497D3E">
        <w:trPr>
          <w:trHeight w:val="269"/>
        </w:trPr>
        <w:tc>
          <w:tcPr>
            <w:tcW w:w="1368" w:type="dxa"/>
            <w:vAlign w:val="center"/>
          </w:tcPr>
          <w:p w:rsidR="006133A8" w:rsidRPr="00497D3E" w:rsidRDefault="006133A8" w:rsidP="00C676C5">
            <w:pPr>
              <w:pStyle w:val="Tablebodytext"/>
              <w:rPr>
                <w:lang w:val="en-US"/>
              </w:rPr>
            </w:pPr>
            <w:r w:rsidRPr="00497D3E">
              <w:rPr>
                <w:lang w:val="en-US"/>
              </w:rPr>
              <w:t>62</w:t>
            </w:r>
          </w:p>
        </w:tc>
        <w:tc>
          <w:tcPr>
            <w:tcW w:w="1751" w:type="dxa"/>
            <w:vAlign w:val="center"/>
          </w:tcPr>
          <w:p w:rsidR="006133A8" w:rsidRPr="00497D3E" w:rsidRDefault="006133A8" w:rsidP="00C676C5">
            <w:pPr>
              <w:pStyle w:val="Tablebodytext"/>
              <w:rPr>
                <w:lang w:val="en-US"/>
              </w:rPr>
            </w:pPr>
            <w:r w:rsidRPr="00497D3E">
              <w:t>82</w:t>
            </w:r>
          </w:p>
        </w:tc>
        <w:tc>
          <w:tcPr>
            <w:tcW w:w="1559" w:type="dxa"/>
            <w:vAlign w:val="center"/>
          </w:tcPr>
          <w:p w:rsidR="006133A8" w:rsidRPr="00497D3E" w:rsidRDefault="006133A8" w:rsidP="00C676C5">
            <w:pPr>
              <w:pStyle w:val="Tablebodytext"/>
              <w:rPr>
                <w:lang w:val="en-US"/>
              </w:rPr>
            </w:pPr>
            <w:r w:rsidRPr="00497D3E">
              <w:t>85</w:t>
            </w:r>
          </w:p>
        </w:tc>
        <w:tc>
          <w:tcPr>
            <w:tcW w:w="1559" w:type="dxa"/>
            <w:vAlign w:val="center"/>
          </w:tcPr>
          <w:p w:rsidR="006133A8" w:rsidRPr="00497D3E" w:rsidRDefault="006133A8" w:rsidP="00C676C5">
            <w:pPr>
              <w:pStyle w:val="Tablebodytext"/>
              <w:rPr>
                <w:lang w:val="en-US"/>
              </w:rPr>
            </w:pPr>
            <w:r w:rsidRPr="00497D3E">
              <w:t>230</w:t>
            </w:r>
          </w:p>
        </w:tc>
        <w:tc>
          <w:tcPr>
            <w:tcW w:w="1693" w:type="dxa"/>
            <w:vAlign w:val="center"/>
          </w:tcPr>
          <w:p w:rsidR="006133A8" w:rsidRPr="00497D3E" w:rsidRDefault="006133A8" w:rsidP="00C676C5">
            <w:pPr>
              <w:pStyle w:val="Tablebodytext"/>
              <w:rPr>
                <w:lang w:val="en-US"/>
              </w:rPr>
            </w:pPr>
            <w:r w:rsidRPr="00497D3E">
              <w:t>200</w:t>
            </w:r>
          </w:p>
        </w:tc>
      </w:tr>
      <w:tr w:rsidR="006133A8" w:rsidRPr="00497D3E" w:rsidTr="00497D3E">
        <w:trPr>
          <w:trHeight w:val="269"/>
        </w:trPr>
        <w:tc>
          <w:tcPr>
            <w:tcW w:w="1368" w:type="dxa"/>
            <w:vAlign w:val="center"/>
          </w:tcPr>
          <w:p w:rsidR="006133A8" w:rsidRPr="00497D3E" w:rsidRDefault="006133A8" w:rsidP="00C676C5">
            <w:pPr>
              <w:pStyle w:val="Tablebodytext"/>
              <w:rPr>
                <w:lang w:val="en-US"/>
              </w:rPr>
            </w:pPr>
            <w:r w:rsidRPr="00497D3E">
              <w:rPr>
                <w:lang w:val="en-US"/>
              </w:rPr>
              <w:t>63</w:t>
            </w:r>
          </w:p>
        </w:tc>
        <w:tc>
          <w:tcPr>
            <w:tcW w:w="1751" w:type="dxa"/>
            <w:vAlign w:val="center"/>
          </w:tcPr>
          <w:p w:rsidR="006133A8" w:rsidRPr="00497D3E" w:rsidRDefault="006133A8" w:rsidP="00C676C5">
            <w:pPr>
              <w:pStyle w:val="Tablebodytext"/>
              <w:rPr>
                <w:lang w:val="en-US"/>
              </w:rPr>
            </w:pPr>
            <w:r w:rsidRPr="00497D3E">
              <w:t>95</w:t>
            </w:r>
          </w:p>
        </w:tc>
        <w:tc>
          <w:tcPr>
            <w:tcW w:w="1559" w:type="dxa"/>
            <w:vAlign w:val="center"/>
          </w:tcPr>
          <w:p w:rsidR="006133A8" w:rsidRPr="00497D3E" w:rsidRDefault="006133A8" w:rsidP="00C676C5">
            <w:pPr>
              <w:pStyle w:val="Tablebodytext"/>
              <w:rPr>
                <w:lang w:val="en-US"/>
              </w:rPr>
            </w:pPr>
            <w:r w:rsidRPr="00497D3E">
              <w:t>100</w:t>
            </w:r>
          </w:p>
        </w:tc>
        <w:tc>
          <w:tcPr>
            <w:tcW w:w="1559" w:type="dxa"/>
            <w:vAlign w:val="center"/>
          </w:tcPr>
          <w:p w:rsidR="006133A8" w:rsidRPr="00497D3E" w:rsidRDefault="006133A8" w:rsidP="00C676C5">
            <w:pPr>
              <w:pStyle w:val="Tablebodytext"/>
              <w:rPr>
                <w:lang w:val="en-US"/>
              </w:rPr>
            </w:pPr>
            <w:r w:rsidRPr="00497D3E">
              <w:t>250</w:t>
            </w:r>
          </w:p>
        </w:tc>
        <w:tc>
          <w:tcPr>
            <w:tcW w:w="1693" w:type="dxa"/>
            <w:vAlign w:val="center"/>
          </w:tcPr>
          <w:p w:rsidR="006133A8" w:rsidRPr="00497D3E" w:rsidRDefault="006133A8" w:rsidP="00C676C5">
            <w:pPr>
              <w:pStyle w:val="Tablebodytext"/>
              <w:rPr>
                <w:lang w:val="en-US"/>
              </w:rPr>
            </w:pPr>
            <w:r w:rsidRPr="00497D3E">
              <w:t>200</w:t>
            </w:r>
          </w:p>
        </w:tc>
      </w:tr>
      <w:tr w:rsidR="006133A8" w:rsidRPr="00497D3E" w:rsidTr="00497D3E">
        <w:trPr>
          <w:trHeight w:val="269"/>
        </w:trPr>
        <w:tc>
          <w:tcPr>
            <w:tcW w:w="1368" w:type="dxa"/>
            <w:vAlign w:val="center"/>
          </w:tcPr>
          <w:p w:rsidR="006133A8" w:rsidRPr="00497D3E" w:rsidRDefault="006133A8" w:rsidP="00C676C5">
            <w:pPr>
              <w:pStyle w:val="Tablebodytext"/>
              <w:rPr>
                <w:lang w:val="en-US"/>
              </w:rPr>
            </w:pPr>
            <w:r w:rsidRPr="00497D3E">
              <w:rPr>
                <w:lang w:val="en-US"/>
              </w:rPr>
              <w:t>64</w:t>
            </w:r>
          </w:p>
        </w:tc>
        <w:tc>
          <w:tcPr>
            <w:tcW w:w="1751" w:type="dxa"/>
            <w:vAlign w:val="center"/>
          </w:tcPr>
          <w:p w:rsidR="006133A8" w:rsidRPr="00497D3E" w:rsidRDefault="006133A8" w:rsidP="00C676C5">
            <w:pPr>
              <w:pStyle w:val="Tablebodytext"/>
              <w:rPr>
                <w:lang w:val="en-US"/>
              </w:rPr>
            </w:pPr>
            <w:r w:rsidRPr="00497D3E">
              <w:t>150</w:t>
            </w:r>
          </w:p>
        </w:tc>
        <w:tc>
          <w:tcPr>
            <w:tcW w:w="1559" w:type="dxa"/>
            <w:vAlign w:val="center"/>
          </w:tcPr>
          <w:p w:rsidR="006133A8" w:rsidRPr="00497D3E" w:rsidRDefault="006133A8" w:rsidP="00C676C5">
            <w:pPr>
              <w:pStyle w:val="Tablebodytext"/>
              <w:rPr>
                <w:lang w:val="en-US"/>
              </w:rPr>
            </w:pPr>
            <w:r w:rsidRPr="00497D3E">
              <w:t>150</w:t>
            </w:r>
          </w:p>
        </w:tc>
        <w:tc>
          <w:tcPr>
            <w:tcW w:w="1559" w:type="dxa"/>
            <w:vAlign w:val="center"/>
          </w:tcPr>
          <w:p w:rsidR="006133A8" w:rsidRPr="00497D3E" w:rsidRDefault="006133A8" w:rsidP="00C676C5">
            <w:pPr>
              <w:pStyle w:val="Tablebodytext"/>
              <w:rPr>
                <w:lang w:val="en-US"/>
              </w:rPr>
            </w:pPr>
            <w:r w:rsidRPr="00497D3E">
              <w:t>280</w:t>
            </w:r>
          </w:p>
        </w:tc>
        <w:tc>
          <w:tcPr>
            <w:tcW w:w="1693" w:type="dxa"/>
            <w:vAlign w:val="center"/>
          </w:tcPr>
          <w:p w:rsidR="006133A8" w:rsidRPr="00497D3E" w:rsidRDefault="006133A8" w:rsidP="00C676C5">
            <w:pPr>
              <w:pStyle w:val="Tablebodytext"/>
              <w:rPr>
                <w:lang w:val="en-US"/>
              </w:rPr>
            </w:pPr>
            <w:r w:rsidRPr="00497D3E">
              <w:t>300</w:t>
            </w:r>
          </w:p>
        </w:tc>
      </w:tr>
      <w:tr w:rsidR="006133A8" w:rsidRPr="00497D3E" w:rsidTr="00497D3E">
        <w:trPr>
          <w:trHeight w:val="269"/>
        </w:trPr>
        <w:tc>
          <w:tcPr>
            <w:tcW w:w="1368" w:type="dxa"/>
            <w:vAlign w:val="center"/>
          </w:tcPr>
          <w:p w:rsidR="006133A8" w:rsidRPr="00497D3E" w:rsidRDefault="006133A8" w:rsidP="00C676C5">
            <w:pPr>
              <w:pStyle w:val="Tablebodytext"/>
              <w:rPr>
                <w:lang w:val="en-US"/>
              </w:rPr>
            </w:pPr>
            <w:r w:rsidRPr="00497D3E">
              <w:rPr>
                <w:lang w:val="en-US"/>
              </w:rPr>
              <w:t>65</w:t>
            </w:r>
          </w:p>
        </w:tc>
        <w:tc>
          <w:tcPr>
            <w:tcW w:w="1751" w:type="dxa"/>
            <w:vAlign w:val="center"/>
          </w:tcPr>
          <w:p w:rsidR="006133A8" w:rsidRPr="00497D3E" w:rsidRDefault="006133A8" w:rsidP="00C676C5">
            <w:pPr>
              <w:pStyle w:val="Tablebodytext"/>
              <w:rPr>
                <w:lang w:val="en-US"/>
              </w:rPr>
            </w:pPr>
            <w:r w:rsidRPr="00497D3E">
              <w:t>1,000</w:t>
            </w:r>
          </w:p>
        </w:tc>
        <w:tc>
          <w:tcPr>
            <w:tcW w:w="1559" w:type="dxa"/>
            <w:vAlign w:val="center"/>
          </w:tcPr>
          <w:p w:rsidR="006133A8" w:rsidRPr="00497D3E" w:rsidRDefault="006133A8" w:rsidP="00C676C5">
            <w:pPr>
              <w:pStyle w:val="Tablebodytext"/>
              <w:rPr>
                <w:lang w:val="en-US"/>
              </w:rPr>
            </w:pPr>
            <w:r w:rsidRPr="00497D3E">
              <w:t>1,000</w:t>
            </w:r>
          </w:p>
        </w:tc>
        <w:tc>
          <w:tcPr>
            <w:tcW w:w="1559" w:type="dxa"/>
            <w:vAlign w:val="center"/>
          </w:tcPr>
          <w:p w:rsidR="006133A8" w:rsidRPr="00497D3E" w:rsidRDefault="006133A8" w:rsidP="00C676C5">
            <w:pPr>
              <w:pStyle w:val="Tablebodytext"/>
              <w:rPr>
                <w:lang w:val="en-US"/>
              </w:rPr>
            </w:pPr>
            <w:r w:rsidRPr="00497D3E">
              <w:t>1,000</w:t>
            </w:r>
          </w:p>
        </w:tc>
        <w:tc>
          <w:tcPr>
            <w:tcW w:w="1693" w:type="dxa"/>
            <w:vAlign w:val="center"/>
          </w:tcPr>
          <w:p w:rsidR="006133A8" w:rsidRPr="00497D3E" w:rsidRDefault="006133A8" w:rsidP="00C676C5">
            <w:pPr>
              <w:pStyle w:val="Tablebodytext"/>
              <w:rPr>
                <w:lang w:val="en-US"/>
              </w:rPr>
            </w:pPr>
            <w:r w:rsidRPr="00497D3E">
              <w:t>1,000</w:t>
            </w:r>
          </w:p>
        </w:tc>
      </w:tr>
    </w:tbl>
    <w:p w:rsidR="006133A8" w:rsidRDefault="006133A8" w:rsidP="00C676C5">
      <w:pPr>
        <w:pStyle w:val="Heading4nonumbers"/>
      </w:pPr>
      <w:r w:rsidRPr="001D131B">
        <w:lastRenderedPageBreak/>
        <w:t>Preserved member exits by Death and Invalidity</w:t>
      </w:r>
    </w:p>
    <w:p w:rsidR="00C676C5" w:rsidRPr="00C676C5" w:rsidRDefault="00C676C5" w:rsidP="00C676C5">
      <w:pPr>
        <w:pStyle w:val="Heading5"/>
        <w:rPr>
          <w:lang w:val="en-US"/>
        </w:rPr>
      </w:pPr>
      <w:r w:rsidRPr="00497D3E">
        <w:rPr>
          <w:lang w:val="en-US"/>
        </w:rPr>
        <w:t>Death and Invalidity Assumptions – Preserved Members</w:t>
      </w:r>
      <w:r>
        <w:rPr>
          <w:lang w:val="en-US"/>
        </w:rPr>
        <w:br/>
      </w:r>
      <w:r w:rsidRPr="00497D3E">
        <w:rPr>
          <w:lang w:val="en-US"/>
        </w:rPr>
        <w:t>(per 1,000 at age shown)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978"/>
        <w:gridCol w:w="1149"/>
        <w:gridCol w:w="1134"/>
        <w:gridCol w:w="992"/>
        <w:gridCol w:w="1134"/>
        <w:gridCol w:w="1143"/>
        <w:gridCol w:w="1400"/>
      </w:tblGrid>
      <w:tr w:rsidR="006133A8" w:rsidRPr="00497D3E" w:rsidTr="00497D3E">
        <w:trPr>
          <w:trHeight w:val="265"/>
        </w:trPr>
        <w:tc>
          <w:tcPr>
            <w:tcW w:w="978" w:type="dxa"/>
            <w:vMerge w:val="restart"/>
            <w:shd w:val="clear" w:color="auto" w:fill="DDF3FA"/>
            <w:vAlign w:val="center"/>
          </w:tcPr>
          <w:p w:rsidR="006133A8" w:rsidRPr="00497D3E" w:rsidRDefault="006133A8" w:rsidP="00C676C5">
            <w:pPr>
              <w:pStyle w:val="Tablecolumnheading"/>
              <w:rPr>
                <w:lang w:val="en-US"/>
              </w:rPr>
            </w:pPr>
            <w:r w:rsidRPr="00497D3E">
              <w:rPr>
                <w:lang w:val="en-US"/>
              </w:rPr>
              <w:t>Age Last Birthday</w:t>
            </w:r>
          </w:p>
        </w:tc>
        <w:tc>
          <w:tcPr>
            <w:tcW w:w="2283" w:type="dxa"/>
            <w:gridSpan w:val="2"/>
            <w:shd w:val="clear" w:color="auto" w:fill="DDF3FA"/>
            <w:vAlign w:val="center"/>
          </w:tcPr>
          <w:p w:rsidR="006133A8" w:rsidRPr="00497D3E" w:rsidRDefault="006133A8" w:rsidP="00C676C5">
            <w:pPr>
              <w:pStyle w:val="Tablecolumnheading"/>
            </w:pPr>
            <w:r w:rsidRPr="00497D3E">
              <w:t>PSS and CSS Deaths</w:t>
            </w:r>
          </w:p>
        </w:tc>
        <w:tc>
          <w:tcPr>
            <w:tcW w:w="2126" w:type="dxa"/>
            <w:gridSpan w:val="2"/>
            <w:shd w:val="clear" w:color="auto" w:fill="DDF3FA"/>
            <w:vAlign w:val="center"/>
          </w:tcPr>
          <w:p w:rsidR="006133A8" w:rsidRPr="00497D3E" w:rsidRDefault="006133A8" w:rsidP="00C676C5">
            <w:pPr>
              <w:pStyle w:val="Tablecolumnheading"/>
            </w:pPr>
            <w:r w:rsidRPr="00497D3E">
              <w:t>PSS Invalidities</w:t>
            </w:r>
          </w:p>
        </w:tc>
        <w:tc>
          <w:tcPr>
            <w:tcW w:w="2543" w:type="dxa"/>
            <w:gridSpan w:val="2"/>
            <w:shd w:val="clear" w:color="auto" w:fill="DDF3FA"/>
            <w:vAlign w:val="center"/>
          </w:tcPr>
          <w:p w:rsidR="006133A8" w:rsidRPr="00497D3E" w:rsidRDefault="006133A8" w:rsidP="00C676C5">
            <w:pPr>
              <w:pStyle w:val="Tablecolumnheading"/>
            </w:pPr>
            <w:r w:rsidRPr="00497D3E">
              <w:t>CSS Invalidities</w:t>
            </w:r>
          </w:p>
        </w:tc>
      </w:tr>
      <w:tr w:rsidR="006133A8" w:rsidRPr="00497D3E" w:rsidTr="00497D3E">
        <w:trPr>
          <w:trHeight w:val="265"/>
        </w:trPr>
        <w:tc>
          <w:tcPr>
            <w:tcW w:w="978" w:type="dxa"/>
            <w:vMerge/>
            <w:shd w:val="clear" w:color="auto" w:fill="DDF3FA"/>
            <w:vAlign w:val="center"/>
          </w:tcPr>
          <w:p w:rsidR="006133A8" w:rsidRPr="00497D3E" w:rsidRDefault="006133A8" w:rsidP="00C676C5">
            <w:pPr>
              <w:pStyle w:val="Tablecolumnheading"/>
              <w:rPr>
                <w:lang w:val="en-US"/>
              </w:rPr>
            </w:pPr>
          </w:p>
        </w:tc>
        <w:tc>
          <w:tcPr>
            <w:tcW w:w="1149" w:type="dxa"/>
            <w:shd w:val="clear" w:color="auto" w:fill="DDF3FA"/>
            <w:vAlign w:val="center"/>
          </w:tcPr>
          <w:p w:rsidR="006133A8" w:rsidRPr="00497D3E" w:rsidRDefault="006133A8" w:rsidP="00C676C5">
            <w:pPr>
              <w:pStyle w:val="Tablecolumnheading"/>
            </w:pPr>
            <w:r w:rsidRPr="00497D3E">
              <w:t>Males</w:t>
            </w:r>
          </w:p>
        </w:tc>
        <w:tc>
          <w:tcPr>
            <w:tcW w:w="1134" w:type="dxa"/>
            <w:shd w:val="clear" w:color="auto" w:fill="DDF3FA"/>
            <w:vAlign w:val="center"/>
          </w:tcPr>
          <w:p w:rsidR="006133A8" w:rsidRPr="00497D3E" w:rsidRDefault="006133A8" w:rsidP="00C676C5">
            <w:pPr>
              <w:pStyle w:val="Tablecolumnheading"/>
            </w:pPr>
            <w:r w:rsidRPr="00497D3E">
              <w:t>Females</w:t>
            </w:r>
          </w:p>
        </w:tc>
        <w:tc>
          <w:tcPr>
            <w:tcW w:w="992" w:type="dxa"/>
            <w:shd w:val="clear" w:color="auto" w:fill="DDF3FA"/>
            <w:vAlign w:val="center"/>
          </w:tcPr>
          <w:p w:rsidR="006133A8" w:rsidRPr="00497D3E" w:rsidRDefault="006133A8" w:rsidP="00C676C5">
            <w:pPr>
              <w:pStyle w:val="Tablecolumnheading"/>
            </w:pPr>
            <w:r w:rsidRPr="00497D3E">
              <w:t>Males</w:t>
            </w:r>
          </w:p>
        </w:tc>
        <w:tc>
          <w:tcPr>
            <w:tcW w:w="1134" w:type="dxa"/>
            <w:shd w:val="clear" w:color="auto" w:fill="DDF3FA"/>
            <w:vAlign w:val="center"/>
          </w:tcPr>
          <w:p w:rsidR="006133A8" w:rsidRPr="00497D3E" w:rsidRDefault="006133A8" w:rsidP="00C676C5">
            <w:pPr>
              <w:pStyle w:val="Tablecolumnheading"/>
            </w:pPr>
            <w:r w:rsidRPr="00497D3E">
              <w:t>Females</w:t>
            </w:r>
          </w:p>
        </w:tc>
        <w:tc>
          <w:tcPr>
            <w:tcW w:w="1143" w:type="dxa"/>
            <w:shd w:val="clear" w:color="auto" w:fill="DDF3FA"/>
            <w:vAlign w:val="center"/>
          </w:tcPr>
          <w:p w:rsidR="006133A8" w:rsidRPr="00497D3E" w:rsidRDefault="006133A8" w:rsidP="00C676C5">
            <w:pPr>
              <w:pStyle w:val="Tablecolumnheading"/>
            </w:pPr>
            <w:r w:rsidRPr="00497D3E">
              <w:t>Males</w:t>
            </w:r>
          </w:p>
        </w:tc>
        <w:tc>
          <w:tcPr>
            <w:tcW w:w="1400" w:type="dxa"/>
            <w:shd w:val="clear" w:color="auto" w:fill="DDF3FA"/>
            <w:vAlign w:val="center"/>
          </w:tcPr>
          <w:p w:rsidR="006133A8" w:rsidRPr="00497D3E" w:rsidRDefault="006133A8" w:rsidP="00C676C5">
            <w:pPr>
              <w:pStyle w:val="Tablecolumnheading"/>
            </w:pPr>
            <w:r w:rsidRPr="00497D3E">
              <w:t>Females</w:t>
            </w:r>
          </w:p>
        </w:tc>
      </w:tr>
      <w:tr w:rsidR="006133A8" w:rsidRPr="00497D3E" w:rsidTr="00497D3E">
        <w:trPr>
          <w:trHeight w:val="280"/>
        </w:trPr>
        <w:tc>
          <w:tcPr>
            <w:tcW w:w="978" w:type="dxa"/>
            <w:vAlign w:val="center"/>
          </w:tcPr>
          <w:p w:rsidR="006133A8" w:rsidRPr="00497D3E" w:rsidRDefault="006133A8" w:rsidP="00C676C5">
            <w:pPr>
              <w:pStyle w:val="Tablebodytext"/>
              <w:rPr>
                <w:lang w:val="en-US"/>
              </w:rPr>
            </w:pPr>
            <w:r w:rsidRPr="00497D3E">
              <w:rPr>
                <w:lang w:val="en-US"/>
              </w:rPr>
              <w:t>30</w:t>
            </w:r>
          </w:p>
        </w:tc>
        <w:tc>
          <w:tcPr>
            <w:tcW w:w="1149" w:type="dxa"/>
            <w:vAlign w:val="center"/>
          </w:tcPr>
          <w:p w:rsidR="006133A8" w:rsidRPr="00497D3E" w:rsidRDefault="006133A8" w:rsidP="00C676C5">
            <w:pPr>
              <w:pStyle w:val="Tablebodytext"/>
              <w:rPr>
                <w:lang w:val="en-US"/>
              </w:rPr>
            </w:pPr>
            <w:r w:rsidRPr="00497D3E">
              <w:rPr>
                <w:lang w:val="en-US"/>
              </w:rPr>
              <w:t>0.30</w:t>
            </w:r>
          </w:p>
        </w:tc>
        <w:tc>
          <w:tcPr>
            <w:tcW w:w="1134" w:type="dxa"/>
            <w:vAlign w:val="center"/>
          </w:tcPr>
          <w:p w:rsidR="006133A8" w:rsidRPr="00497D3E" w:rsidRDefault="006133A8" w:rsidP="00C676C5">
            <w:pPr>
              <w:pStyle w:val="Tablebodytext"/>
              <w:rPr>
                <w:lang w:val="en-US"/>
              </w:rPr>
            </w:pPr>
            <w:r w:rsidRPr="00497D3E">
              <w:rPr>
                <w:lang w:val="en-US"/>
              </w:rPr>
              <w:t>0.14</w:t>
            </w:r>
          </w:p>
        </w:tc>
        <w:tc>
          <w:tcPr>
            <w:tcW w:w="992" w:type="dxa"/>
            <w:vAlign w:val="center"/>
          </w:tcPr>
          <w:p w:rsidR="006133A8" w:rsidRPr="00497D3E" w:rsidRDefault="006133A8" w:rsidP="00C676C5">
            <w:pPr>
              <w:pStyle w:val="Tablebodytext"/>
              <w:rPr>
                <w:lang w:val="en-US"/>
              </w:rPr>
            </w:pPr>
            <w:r w:rsidRPr="00497D3E">
              <w:rPr>
                <w:lang w:val="en-US"/>
              </w:rPr>
              <w:t>0.05</w:t>
            </w:r>
          </w:p>
        </w:tc>
        <w:tc>
          <w:tcPr>
            <w:tcW w:w="1134" w:type="dxa"/>
            <w:vAlign w:val="center"/>
          </w:tcPr>
          <w:p w:rsidR="006133A8" w:rsidRPr="00497D3E" w:rsidRDefault="006133A8" w:rsidP="00C676C5">
            <w:pPr>
              <w:pStyle w:val="Tablebodytext"/>
              <w:rPr>
                <w:lang w:val="en-US"/>
              </w:rPr>
            </w:pPr>
            <w:r w:rsidRPr="00497D3E">
              <w:rPr>
                <w:lang w:val="en-US"/>
              </w:rPr>
              <w:t>0.06</w:t>
            </w:r>
          </w:p>
        </w:tc>
        <w:tc>
          <w:tcPr>
            <w:tcW w:w="1143" w:type="dxa"/>
            <w:vAlign w:val="center"/>
          </w:tcPr>
          <w:p w:rsidR="006133A8" w:rsidRPr="00497D3E" w:rsidRDefault="006133A8" w:rsidP="00C676C5">
            <w:pPr>
              <w:pStyle w:val="Tablebodytext"/>
              <w:rPr>
                <w:lang w:val="en-US"/>
              </w:rPr>
            </w:pPr>
            <w:r w:rsidRPr="00497D3E">
              <w:rPr>
                <w:lang w:val="en-US"/>
              </w:rPr>
              <w:t>0.10</w:t>
            </w:r>
          </w:p>
        </w:tc>
        <w:tc>
          <w:tcPr>
            <w:tcW w:w="1400" w:type="dxa"/>
            <w:vAlign w:val="center"/>
          </w:tcPr>
          <w:p w:rsidR="006133A8" w:rsidRPr="00497D3E" w:rsidRDefault="006133A8" w:rsidP="00C676C5">
            <w:pPr>
              <w:pStyle w:val="Tablebodytext"/>
              <w:rPr>
                <w:lang w:val="en-US"/>
              </w:rPr>
            </w:pPr>
            <w:r w:rsidRPr="00497D3E">
              <w:rPr>
                <w:lang w:val="en-US"/>
              </w:rPr>
              <w:t>0.10</w:t>
            </w:r>
          </w:p>
        </w:tc>
      </w:tr>
      <w:tr w:rsidR="006133A8" w:rsidRPr="00497D3E" w:rsidTr="00497D3E">
        <w:trPr>
          <w:trHeight w:val="286"/>
        </w:trPr>
        <w:tc>
          <w:tcPr>
            <w:tcW w:w="978" w:type="dxa"/>
            <w:vAlign w:val="center"/>
          </w:tcPr>
          <w:p w:rsidR="006133A8" w:rsidRPr="00497D3E" w:rsidRDefault="006133A8" w:rsidP="00C676C5">
            <w:pPr>
              <w:pStyle w:val="Tablebodytext"/>
              <w:rPr>
                <w:lang w:val="en-US"/>
              </w:rPr>
            </w:pPr>
            <w:r w:rsidRPr="00497D3E">
              <w:rPr>
                <w:lang w:val="en-US"/>
              </w:rPr>
              <w:t>35</w:t>
            </w:r>
          </w:p>
        </w:tc>
        <w:tc>
          <w:tcPr>
            <w:tcW w:w="1149" w:type="dxa"/>
            <w:vAlign w:val="center"/>
          </w:tcPr>
          <w:p w:rsidR="006133A8" w:rsidRPr="00497D3E" w:rsidRDefault="006133A8" w:rsidP="00C676C5">
            <w:pPr>
              <w:pStyle w:val="Tablebodytext"/>
              <w:rPr>
                <w:lang w:val="en-US"/>
              </w:rPr>
            </w:pPr>
            <w:r w:rsidRPr="00497D3E">
              <w:rPr>
                <w:lang w:val="en-US"/>
              </w:rPr>
              <w:t>0.38</w:t>
            </w:r>
          </w:p>
        </w:tc>
        <w:tc>
          <w:tcPr>
            <w:tcW w:w="1134" w:type="dxa"/>
            <w:vAlign w:val="center"/>
          </w:tcPr>
          <w:p w:rsidR="006133A8" w:rsidRPr="00497D3E" w:rsidRDefault="006133A8" w:rsidP="00C676C5">
            <w:pPr>
              <w:pStyle w:val="Tablebodytext"/>
              <w:rPr>
                <w:lang w:val="en-US"/>
              </w:rPr>
            </w:pPr>
            <w:r w:rsidRPr="00497D3E">
              <w:rPr>
                <w:lang w:val="en-US"/>
              </w:rPr>
              <w:t>0.20</w:t>
            </w:r>
          </w:p>
        </w:tc>
        <w:tc>
          <w:tcPr>
            <w:tcW w:w="992" w:type="dxa"/>
            <w:vAlign w:val="center"/>
          </w:tcPr>
          <w:p w:rsidR="006133A8" w:rsidRPr="00497D3E" w:rsidRDefault="006133A8" w:rsidP="00C676C5">
            <w:pPr>
              <w:pStyle w:val="Tablebodytext"/>
              <w:rPr>
                <w:lang w:val="en-US"/>
              </w:rPr>
            </w:pPr>
            <w:r w:rsidRPr="00497D3E">
              <w:rPr>
                <w:lang w:val="en-US"/>
              </w:rPr>
              <w:t>0.11</w:t>
            </w:r>
          </w:p>
        </w:tc>
        <w:tc>
          <w:tcPr>
            <w:tcW w:w="1134" w:type="dxa"/>
            <w:vAlign w:val="center"/>
          </w:tcPr>
          <w:p w:rsidR="006133A8" w:rsidRPr="00497D3E" w:rsidRDefault="006133A8" w:rsidP="00C676C5">
            <w:pPr>
              <w:pStyle w:val="Tablebodytext"/>
              <w:rPr>
                <w:lang w:val="en-US"/>
              </w:rPr>
            </w:pPr>
            <w:r w:rsidRPr="00497D3E">
              <w:rPr>
                <w:lang w:val="en-US"/>
              </w:rPr>
              <w:t>0.12</w:t>
            </w:r>
          </w:p>
        </w:tc>
        <w:tc>
          <w:tcPr>
            <w:tcW w:w="1143" w:type="dxa"/>
            <w:vAlign w:val="center"/>
          </w:tcPr>
          <w:p w:rsidR="006133A8" w:rsidRPr="00497D3E" w:rsidRDefault="006133A8" w:rsidP="00C676C5">
            <w:pPr>
              <w:pStyle w:val="Tablebodytext"/>
              <w:rPr>
                <w:lang w:val="en-US"/>
              </w:rPr>
            </w:pPr>
            <w:r w:rsidRPr="00497D3E">
              <w:rPr>
                <w:lang w:val="en-US"/>
              </w:rPr>
              <w:t>0.17</w:t>
            </w:r>
          </w:p>
        </w:tc>
        <w:tc>
          <w:tcPr>
            <w:tcW w:w="1400" w:type="dxa"/>
            <w:vAlign w:val="center"/>
          </w:tcPr>
          <w:p w:rsidR="006133A8" w:rsidRPr="00497D3E" w:rsidRDefault="006133A8" w:rsidP="00C676C5">
            <w:pPr>
              <w:pStyle w:val="Tablebodytext"/>
              <w:rPr>
                <w:lang w:val="en-US"/>
              </w:rPr>
            </w:pPr>
            <w:r w:rsidRPr="00497D3E">
              <w:rPr>
                <w:lang w:val="en-US"/>
              </w:rPr>
              <w:t>0.18</w:t>
            </w:r>
          </w:p>
        </w:tc>
      </w:tr>
      <w:tr w:rsidR="006133A8" w:rsidRPr="00497D3E" w:rsidTr="00497D3E">
        <w:trPr>
          <w:trHeight w:val="261"/>
        </w:trPr>
        <w:tc>
          <w:tcPr>
            <w:tcW w:w="978" w:type="dxa"/>
            <w:vAlign w:val="center"/>
          </w:tcPr>
          <w:p w:rsidR="006133A8" w:rsidRPr="00497D3E" w:rsidRDefault="006133A8" w:rsidP="00C676C5">
            <w:pPr>
              <w:pStyle w:val="Tablebodytext"/>
              <w:rPr>
                <w:lang w:val="en-US"/>
              </w:rPr>
            </w:pPr>
            <w:r w:rsidRPr="00497D3E">
              <w:rPr>
                <w:lang w:val="en-US"/>
              </w:rPr>
              <w:t>40</w:t>
            </w:r>
          </w:p>
        </w:tc>
        <w:tc>
          <w:tcPr>
            <w:tcW w:w="1149" w:type="dxa"/>
            <w:vAlign w:val="center"/>
          </w:tcPr>
          <w:p w:rsidR="006133A8" w:rsidRPr="00497D3E" w:rsidRDefault="006133A8" w:rsidP="00C676C5">
            <w:pPr>
              <w:pStyle w:val="Tablebodytext"/>
              <w:rPr>
                <w:lang w:val="en-US"/>
              </w:rPr>
            </w:pPr>
            <w:r w:rsidRPr="00497D3E">
              <w:rPr>
                <w:lang w:val="en-US"/>
              </w:rPr>
              <w:t>0.47</w:t>
            </w:r>
          </w:p>
        </w:tc>
        <w:tc>
          <w:tcPr>
            <w:tcW w:w="1134" w:type="dxa"/>
            <w:vAlign w:val="center"/>
          </w:tcPr>
          <w:p w:rsidR="006133A8" w:rsidRPr="00497D3E" w:rsidRDefault="006133A8" w:rsidP="00C676C5">
            <w:pPr>
              <w:pStyle w:val="Tablebodytext"/>
              <w:rPr>
                <w:lang w:val="en-US"/>
              </w:rPr>
            </w:pPr>
            <w:r w:rsidRPr="00497D3E">
              <w:rPr>
                <w:lang w:val="en-US"/>
              </w:rPr>
              <w:t>0.26</w:t>
            </w:r>
          </w:p>
        </w:tc>
        <w:tc>
          <w:tcPr>
            <w:tcW w:w="992" w:type="dxa"/>
            <w:vAlign w:val="center"/>
          </w:tcPr>
          <w:p w:rsidR="006133A8" w:rsidRPr="00497D3E" w:rsidRDefault="006133A8" w:rsidP="00C676C5">
            <w:pPr>
              <w:pStyle w:val="Tablebodytext"/>
              <w:rPr>
                <w:lang w:val="en-US"/>
              </w:rPr>
            </w:pPr>
            <w:r w:rsidRPr="00497D3E">
              <w:rPr>
                <w:lang w:val="en-US"/>
              </w:rPr>
              <w:t>0.17</w:t>
            </w:r>
          </w:p>
        </w:tc>
        <w:tc>
          <w:tcPr>
            <w:tcW w:w="1134" w:type="dxa"/>
            <w:vAlign w:val="center"/>
          </w:tcPr>
          <w:p w:rsidR="006133A8" w:rsidRPr="00497D3E" w:rsidRDefault="006133A8" w:rsidP="00C676C5">
            <w:pPr>
              <w:pStyle w:val="Tablebodytext"/>
              <w:rPr>
                <w:lang w:val="en-US"/>
              </w:rPr>
            </w:pPr>
            <w:r w:rsidRPr="00497D3E">
              <w:rPr>
                <w:lang w:val="en-US"/>
              </w:rPr>
              <w:t>0.21</w:t>
            </w:r>
          </w:p>
        </w:tc>
        <w:tc>
          <w:tcPr>
            <w:tcW w:w="1143" w:type="dxa"/>
            <w:vAlign w:val="center"/>
          </w:tcPr>
          <w:p w:rsidR="006133A8" w:rsidRPr="00497D3E" w:rsidRDefault="006133A8" w:rsidP="00C676C5">
            <w:pPr>
              <w:pStyle w:val="Tablebodytext"/>
              <w:rPr>
                <w:lang w:val="en-US"/>
              </w:rPr>
            </w:pPr>
            <w:r w:rsidRPr="00497D3E">
              <w:rPr>
                <w:lang w:val="en-US"/>
              </w:rPr>
              <w:t>0.24</w:t>
            </w:r>
          </w:p>
        </w:tc>
        <w:tc>
          <w:tcPr>
            <w:tcW w:w="1400" w:type="dxa"/>
            <w:vAlign w:val="center"/>
          </w:tcPr>
          <w:p w:rsidR="006133A8" w:rsidRPr="00497D3E" w:rsidRDefault="006133A8" w:rsidP="00C676C5">
            <w:pPr>
              <w:pStyle w:val="Tablebodytext"/>
              <w:rPr>
                <w:lang w:val="en-US"/>
              </w:rPr>
            </w:pPr>
            <w:r w:rsidRPr="00497D3E">
              <w:rPr>
                <w:lang w:val="en-US"/>
              </w:rPr>
              <w:t>0.31</w:t>
            </w:r>
          </w:p>
        </w:tc>
      </w:tr>
      <w:tr w:rsidR="006133A8" w:rsidRPr="00497D3E" w:rsidTr="00497D3E">
        <w:trPr>
          <w:trHeight w:val="278"/>
        </w:trPr>
        <w:tc>
          <w:tcPr>
            <w:tcW w:w="978" w:type="dxa"/>
            <w:vAlign w:val="center"/>
          </w:tcPr>
          <w:p w:rsidR="006133A8" w:rsidRPr="00497D3E" w:rsidRDefault="006133A8" w:rsidP="00C676C5">
            <w:pPr>
              <w:pStyle w:val="Tablebodytext"/>
              <w:rPr>
                <w:lang w:val="en-US"/>
              </w:rPr>
            </w:pPr>
            <w:r w:rsidRPr="00497D3E">
              <w:rPr>
                <w:lang w:val="en-US"/>
              </w:rPr>
              <w:t>45</w:t>
            </w:r>
          </w:p>
        </w:tc>
        <w:tc>
          <w:tcPr>
            <w:tcW w:w="1149" w:type="dxa"/>
            <w:vAlign w:val="center"/>
          </w:tcPr>
          <w:p w:rsidR="006133A8" w:rsidRPr="00497D3E" w:rsidRDefault="006133A8" w:rsidP="00C676C5">
            <w:pPr>
              <w:pStyle w:val="Tablebodytext"/>
              <w:rPr>
                <w:lang w:val="en-US"/>
              </w:rPr>
            </w:pPr>
            <w:r w:rsidRPr="00497D3E">
              <w:rPr>
                <w:lang w:val="en-US"/>
              </w:rPr>
              <w:t>0.63</w:t>
            </w:r>
          </w:p>
        </w:tc>
        <w:tc>
          <w:tcPr>
            <w:tcW w:w="1134" w:type="dxa"/>
            <w:vAlign w:val="center"/>
          </w:tcPr>
          <w:p w:rsidR="006133A8" w:rsidRPr="00497D3E" w:rsidRDefault="006133A8" w:rsidP="00C676C5">
            <w:pPr>
              <w:pStyle w:val="Tablebodytext"/>
              <w:rPr>
                <w:lang w:val="en-US"/>
              </w:rPr>
            </w:pPr>
            <w:r w:rsidRPr="00497D3E">
              <w:rPr>
                <w:lang w:val="en-US"/>
              </w:rPr>
              <w:t>0.41</w:t>
            </w:r>
          </w:p>
        </w:tc>
        <w:tc>
          <w:tcPr>
            <w:tcW w:w="992" w:type="dxa"/>
            <w:vAlign w:val="center"/>
          </w:tcPr>
          <w:p w:rsidR="006133A8" w:rsidRPr="00497D3E" w:rsidRDefault="006133A8" w:rsidP="00C676C5">
            <w:pPr>
              <w:pStyle w:val="Tablebodytext"/>
              <w:rPr>
                <w:lang w:val="en-US"/>
              </w:rPr>
            </w:pPr>
            <w:r w:rsidRPr="00497D3E">
              <w:rPr>
                <w:lang w:val="en-US"/>
              </w:rPr>
              <w:t>0.35</w:t>
            </w:r>
          </w:p>
        </w:tc>
        <w:tc>
          <w:tcPr>
            <w:tcW w:w="1134" w:type="dxa"/>
            <w:vAlign w:val="center"/>
          </w:tcPr>
          <w:p w:rsidR="006133A8" w:rsidRPr="00497D3E" w:rsidRDefault="006133A8" w:rsidP="00C676C5">
            <w:pPr>
              <w:pStyle w:val="Tablebodytext"/>
              <w:rPr>
                <w:lang w:val="en-US"/>
              </w:rPr>
            </w:pPr>
            <w:r w:rsidRPr="00497D3E">
              <w:rPr>
                <w:lang w:val="en-US"/>
              </w:rPr>
              <w:t>0.32</w:t>
            </w:r>
          </w:p>
        </w:tc>
        <w:tc>
          <w:tcPr>
            <w:tcW w:w="1143" w:type="dxa"/>
            <w:vAlign w:val="center"/>
          </w:tcPr>
          <w:p w:rsidR="006133A8" w:rsidRPr="00497D3E" w:rsidRDefault="006133A8" w:rsidP="00C676C5">
            <w:pPr>
              <w:pStyle w:val="Tablebodytext"/>
              <w:rPr>
                <w:lang w:val="en-US"/>
              </w:rPr>
            </w:pPr>
            <w:r w:rsidRPr="00497D3E">
              <w:rPr>
                <w:lang w:val="en-US"/>
              </w:rPr>
              <w:t>0.38</w:t>
            </w:r>
          </w:p>
        </w:tc>
        <w:tc>
          <w:tcPr>
            <w:tcW w:w="1400" w:type="dxa"/>
            <w:vAlign w:val="center"/>
          </w:tcPr>
          <w:p w:rsidR="006133A8" w:rsidRPr="00497D3E" w:rsidRDefault="006133A8" w:rsidP="00C676C5">
            <w:pPr>
              <w:pStyle w:val="Tablebodytext"/>
              <w:rPr>
                <w:lang w:val="en-US"/>
              </w:rPr>
            </w:pPr>
            <w:r w:rsidRPr="00497D3E">
              <w:rPr>
                <w:lang w:val="en-US"/>
              </w:rPr>
              <w:t>0.49</w:t>
            </w:r>
          </w:p>
        </w:tc>
      </w:tr>
      <w:tr w:rsidR="006133A8" w:rsidRPr="00497D3E" w:rsidTr="00497D3E">
        <w:trPr>
          <w:trHeight w:val="269"/>
        </w:trPr>
        <w:tc>
          <w:tcPr>
            <w:tcW w:w="978" w:type="dxa"/>
            <w:vAlign w:val="center"/>
          </w:tcPr>
          <w:p w:rsidR="006133A8" w:rsidRPr="00497D3E" w:rsidRDefault="006133A8" w:rsidP="00C676C5">
            <w:pPr>
              <w:pStyle w:val="Tablebodytext"/>
              <w:rPr>
                <w:lang w:val="en-US"/>
              </w:rPr>
            </w:pPr>
            <w:r w:rsidRPr="00497D3E">
              <w:rPr>
                <w:lang w:val="en-US"/>
              </w:rPr>
              <w:t>50</w:t>
            </w:r>
          </w:p>
        </w:tc>
        <w:tc>
          <w:tcPr>
            <w:tcW w:w="1149" w:type="dxa"/>
            <w:vAlign w:val="center"/>
          </w:tcPr>
          <w:p w:rsidR="006133A8" w:rsidRPr="00497D3E" w:rsidRDefault="006133A8" w:rsidP="00C676C5">
            <w:pPr>
              <w:pStyle w:val="Tablebodytext"/>
              <w:rPr>
                <w:lang w:val="en-US"/>
              </w:rPr>
            </w:pPr>
            <w:r w:rsidRPr="00497D3E">
              <w:rPr>
                <w:lang w:val="en-US"/>
              </w:rPr>
              <w:t>0.88</w:t>
            </w:r>
          </w:p>
        </w:tc>
        <w:tc>
          <w:tcPr>
            <w:tcW w:w="1134" w:type="dxa"/>
            <w:vAlign w:val="center"/>
          </w:tcPr>
          <w:p w:rsidR="006133A8" w:rsidRPr="00497D3E" w:rsidRDefault="006133A8" w:rsidP="00C676C5">
            <w:pPr>
              <w:pStyle w:val="Tablebodytext"/>
              <w:rPr>
                <w:lang w:val="en-US"/>
              </w:rPr>
            </w:pPr>
            <w:r w:rsidRPr="00497D3E">
              <w:rPr>
                <w:lang w:val="en-US"/>
              </w:rPr>
              <w:t>0.62</w:t>
            </w:r>
          </w:p>
        </w:tc>
        <w:tc>
          <w:tcPr>
            <w:tcW w:w="992" w:type="dxa"/>
            <w:vAlign w:val="center"/>
          </w:tcPr>
          <w:p w:rsidR="006133A8" w:rsidRPr="00497D3E" w:rsidRDefault="006133A8" w:rsidP="00C676C5">
            <w:pPr>
              <w:pStyle w:val="Tablebodytext"/>
              <w:rPr>
                <w:lang w:val="en-US"/>
              </w:rPr>
            </w:pPr>
            <w:r w:rsidRPr="00497D3E">
              <w:rPr>
                <w:lang w:val="en-US"/>
              </w:rPr>
              <w:t>0.66</w:t>
            </w:r>
          </w:p>
        </w:tc>
        <w:tc>
          <w:tcPr>
            <w:tcW w:w="1134" w:type="dxa"/>
            <w:vAlign w:val="center"/>
          </w:tcPr>
          <w:p w:rsidR="006133A8" w:rsidRPr="00497D3E" w:rsidRDefault="006133A8" w:rsidP="00C676C5">
            <w:pPr>
              <w:pStyle w:val="Tablebodytext"/>
              <w:rPr>
                <w:lang w:val="en-US"/>
              </w:rPr>
            </w:pPr>
            <w:r w:rsidRPr="00497D3E">
              <w:rPr>
                <w:lang w:val="en-US"/>
              </w:rPr>
              <w:t>0.45</w:t>
            </w:r>
          </w:p>
        </w:tc>
        <w:tc>
          <w:tcPr>
            <w:tcW w:w="1143" w:type="dxa"/>
            <w:vAlign w:val="center"/>
          </w:tcPr>
          <w:p w:rsidR="006133A8" w:rsidRPr="00497D3E" w:rsidRDefault="006133A8" w:rsidP="00C676C5">
            <w:pPr>
              <w:pStyle w:val="Tablebodytext"/>
              <w:rPr>
                <w:lang w:val="en-US"/>
              </w:rPr>
            </w:pPr>
            <w:r w:rsidRPr="00497D3E">
              <w:rPr>
                <w:lang w:val="en-US"/>
              </w:rPr>
              <w:t>0.58</w:t>
            </w:r>
          </w:p>
        </w:tc>
        <w:tc>
          <w:tcPr>
            <w:tcW w:w="1400" w:type="dxa"/>
            <w:vAlign w:val="center"/>
          </w:tcPr>
          <w:p w:rsidR="006133A8" w:rsidRPr="00497D3E" w:rsidRDefault="006133A8" w:rsidP="00C676C5">
            <w:pPr>
              <w:pStyle w:val="Tablebodytext"/>
              <w:rPr>
                <w:lang w:val="en-US"/>
              </w:rPr>
            </w:pPr>
            <w:r w:rsidRPr="00497D3E">
              <w:rPr>
                <w:lang w:val="en-US"/>
              </w:rPr>
              <w:t>0.77</w:t>
            </w:r>
          </w:p>
        </w:tc>
      </w:tr>
      <w:tr w:rsidR="006133A8" w:rsidRPr="00497D3E" w:rsidTr="00497D3E">
        <w:trPr>
          <w:trHeight w:val="288"/>
        </w:trPr>
        <w:tc>
          <w:tcPr>
            <w:tcW w:w="978" w:type="dxa"/>
            <w:vAlign w:val="center"/>
          </w:tcPr>
          <w:p w:rsidR="006133A8" w:rsidRPr="00497D3E" w:rsidRDefault="006133A8" w:rsidP="00C676C5">
            <w:pPr>
              <w:pStyle w:val="Tablebodytext"/>
              <w:rPr>
                <w:lang w:val="en-US"/>
              </w:rPr>
            </w:pPr>
            <w:r w:rsidRPr="00497D3E">
              <w:rPr>
                <w:lang w:val="en-US"/>
              </w:rPr>
              <w:t>55</w:t>
            </w:r>
          </w:p>
        </w:tc>
        <w:tc>
          <w:tcPr>
            <w:tcW w:w="1149" w:type="dxa"/>
            <w:vAlign w:val="center"/>
          </w:tcPr>
          <w:p w:rsidR="006133A8" w:rsidRPr="00497D3E" w:rsidRDefault="006133A8" w:rsidP="00C676C5">
            <w:pPr>
              <w:pStyle w:val="Tablebodytext"/>
              <w:rPr>
                <w:lang w:val="en-US"/>
              </w:rPr>
            </w:pPr>
            <w:r w:rsidRPr="00497D3E">
              <w:rPr>
                <w:lang w:val="en-US"/>
              </w:rPr>
              <w:t>1.24</w:t>
            </w:r>
          </w:p>
        </w:tc>
        <w:tc>
          <w:tcPr>
            <w:tcW w:w="1134" w:type="dxa"/>
            <w:vAlign w:val="center"/>
          </w:tcPr>
          <w:p w:rsidR="006133A8" w:rsidRPr="00497D3E" w:rsidRDefault="006133A8" w:rsidP="00C676C5">
            <w:pPr>
              <w:pStyle w:val="Tablebodytext"/>
              <w:rPr>
                <w:lang w:val="en-US"/>
              </w:rPr>
            </w:pPr>
            <w:r w:rsidRPr="00497D3E">
              <w:rPr>
                <w:lang w:val="en-US"/>
              </w:rPr>
              <w:t>1.06</w:t>
            </w:r>
          </w:p>
        </w:tc>
        <w:tc>
          <w:tcPr>
            <w:tcW w:w="992" w:type="dxa"/>
            <w:vAlign w:val="center"/>
          </w:tcPr>
          <w:p w:rsidR="006133A8" w:rsidRPr="00497D3E" w:rsidRDefault="006133A8" w:rsidP="00C676C5">
            <w:pPr>
              <w:pStyle w:val="Tablebodytext"/>
              <w:rPr>
                <w:lang w:val="en-US"/>
              </w:rPr>
            </w:pPr>
            <w:r w:rsidRPr="00497D3E">
              <w:rPr>
                <w:lang w:val="en-US"/>
              </w:rPr>
              <w:t>1.02</w:t>
            </w:r>
          </w:p>
        </w:tc>
        <w:tc>
          <w:tcPr>
            <w:tcW w:w="1134" w:type="dxa"/>
            <w:vAlign w:val="center"/>
          </w:tcPr>
          <w:p w:rsidR="006133A8" w:rsidRPr="00497D3E" w:rsidRDefault="006133A8" w:rsidP="00C676C5">
            <w:pPr>
              <w:pStyle w:val="Tablebodytext"/>
              <w:rPr>
                <w:lang w:val="en-US"/>
              </w:rPr>
            </w:pPr>
            <w:r w:rsidRPr="00497D3E">
              <w:rPr>
                <w:lang w:val="en-US"/>
              </w:rPr>
              <w:t>0.86</w:t>
            </w:r>
          </w:p>
        </w:tc>
        <w:tc>
          <w:tcPr>
            <w:tcW w:w="1143" w:type="dxa"/>
            <w:vAlign w:val="center"/>
          </w:tcPr>
          <w:p w:rsidR="006133A8" w:rsidRPr="00497D3E" w:rsidRDefault="006133A8" w:rsidP="00C676C5">
            <w:pPr>
              <w:pStyle w:val="Tablebodytext"/>
              <w:rPr>
                <w:lang w:val="en-US"/>
              </w:rPr>
            </w:pPr>
            <w:r w:rsidRPr="00497D3E">
              <w:rPr>
                <w:lang w:val="en-US"/>
              </w:rPr>
              <w:t>0.92</w:t>
            </w:r>
          </w:p>
        </w:tc>
        <w:tc>
          <w:tcPr>
            <w:tcW w:w="1400" w:type="dxa"/>
            <w:vAlign w:val="center"/>
          </w:tcPr>
          <w:p w:rsidR="006133A8" w:rsidRPr="00497D3E" w:rsidRDefault="006133A8" w:rsidP="00C676C5">
            <w:pPr>
              <w:pStyle w:val="Tablebodytext"/>
              <w:rPr>
                <w:lang w:val="en-US"/>
              </w:rPr>
            </w:pPr>
            <w:r w:rsidRPr="00497D3E">
              <w:rPr>
                <w:lang w:val="en-US"/>
              </w:rPr>
              <w:t>1.28</w:t>
            </w:r>
          </w:p>
        </w:tc>
      </w:tr>
      <w:tr w:rsidR="006133A8" w:rsidRPr="00497D3E" w:rsidTr="00497D3E">
        <w:trPr>
          <w:trHeight w:val="288"/>
        </w:trPr>
        <w:tc>
          <w:tcPr>
            <w:tcW w:w="978" w:type="dxa"/>
            <w:vAlign w:val="center"/>
          </w:tcPr>
          <w:p w:rsidR="006133A8" w:rsidRPr="00497D3E" w:rsidRDefault="006133A8" w:rsidP="00C676C5">
            <w:pPr>
              <w:pStyle w:val="Tablebodytext"/>
              <w:rPr>
                <w:lang w:val="en-US"/>
              </w:rPr>
            </w:pPr>
            <w:r w:rsidRPr="00497D3E">
              <w:rPr>
                <w:lang w:val="en-US"/>
              </w:rPr>
              <w:t>60</w:t>
            </w:r>
          </w:p>
        </w:tc>
        <w:tc>
          <w:tcPr>
            <w:tcW w:w="1149" w:type="dxa"/>
            <w:vAlign w:val="center"/>
          </w:tcPr>
          <w:p w:rsidR="006133A8" w:rsidRPr="00497D3E" w:rsidRDefault="006133A8" w:rsidP="00C676C5">
            <w:pPr>
              <w:pStyle w:val="Tablebodytext"/>
              <w:rPr>
                <w:lang w:val="en-US"/>
              </w:rPr>
            </w:pPr>
            <w:r w:rsidRPr="00497D3E">
              <w:rPr>
                <w:lang w:val="en-US"/>
              </w:rPr>
              <w:t>1.83</w:t>
            </w:r>
          </w:p>
        </w:tc>
        <w:tc>
          <w:tcPr>
            <w:tcW w:w="1134" w:type="dxa"/>
            <w:vAlign w:val="center"/>
          </w:tcPr>
          <w:p w:rsidR="006133A8" w:rsidRPr="00497D3E" w:rsidRDefault="006133A8" w:rsidP="00C676C5">
            <w:pPr>
              <w:pStyle w:val="Tablebodytext"/>
              <w:rPr>
                <w:lang w:val="en-US"/>
              </w:rPr>
            </w:pPr>
            <w:r w:rsidRPr="00497D3E">
              <w:rPr>
                <w:lang w:val="en-US"/>
              </w:rPr>
              <w:t>1.73</w:t>
            </w:r>
          </w:p>
        </w:tc>
        <w:tc>
          <w:tcPr>
            <w:tcW w:w="992" w:type="dxa"/>
            <w:vAlign w:val="center"/>
          </w:tcPr>
          <w:p w:rsidR="006133A8" w:rsidRPr="00497D3E" w:rsidRDefault="006133A8" w:rsidP="00C676C5">
            <w:pPr>
              <w:pStyle w:val="Tablebodytext"/>
              <w:rPr>
                <w:lang w:val="en-US"/>
              </w:rPr>
            </w:pPr>
            <w:r w:rsidRPr="00497D3E">
              <w:rPr>
                <w:lang w:val="en-US"/>
              </w:rPr>
              <w:t>-</w:t>
            </w:r>
          </w:p>
        </w:tc>
        <w:tc>
          <w:tcPr>
            <w:tcW w:w="1134" w:type="dxa"/>
            <w:vAlign w:val="center"/>
          </w:tcPr>
          <w:p w:rsidR="006133A8" w:rsidRPr="00497D3E" w:rsidRDefault="006133A8" w:rsidP="00C676C5">
            <w:pPr>
              <w:pStyle w:val="Tablebodytext"/>
              <w:rPr>
                <w:lang w:val="en-US"/>
              </w:rPr>
            </w:pPr>
            <w:r w:rsidRPr="00497D3E">
              <w:rPr>
                <w:lang w:val="en-US"/>
              </w:rPr>
              <w:t>1.00</w:t>
            </w:r>
          </w:p>
        </w:tc>
        <w:tc>
          <w:tcPr>
            <w:tcW w:w="1143" w:type="dxa"/>
            <w:vAlign w:val="center"/>
          </w:tcPr>
          <w:p w:rsidR="006133A8" w:rsidRPr="00497D3E" w:rsidRDefault="006133A8" w:rsidP="00C676C5">
            <w:pPr>
              <w:pStyle w:val="Tablebodytext"/>
              <w:rPr>
                <w:lang w:val="en-US"/>
              </w:rPr>
            </w:pPr>
            <w:r w:rsidRPr="00497D3E">
              <w:rPr>
                <w:lang w:val="en-US"/>
              </w:rPr>
              <w:t>1.80</w:t>
            </w:r>
          </w:p>
        </w:tc>
        <w:tc>
          <w:tcPr>
            <w:tcW w:w="1400" w:type="dxa"/>
            <w:vAlign w:val="center"/>
          </w:tcPr>
          <w:p w:rsidR="006133A8" w:rsidRPr="00497D3E" w:rsidRDefault="006133A8" w:rsidP="00C676C5">
            <w:pPr>
              <w:pStyle w:val="Tablebodytext"/>
              <w:rPr>
                <w:lang w:val="en-US"/>
              </w:rPr>
            </w:pPr>
            <w:r w:rsidRPr="00497D3E">
              <w:rPr>
                <w:lang w:val="en-US"/>
              </w:rPr>
              <w:t>1.94</w:t>
            </w:r>
          </w:p>
        </w:tc>
      </w:tr>
    </w:tbl>
    <w:p w:rsidR="006133A8" w:rsidRDefault="006133A8" w:rsidP="00C676C5">
      <w:pPr>
        <w:pStyle w:val="Heading4nonumbers"/>
      </w:pPr>
      <w:r w:rsidRPr="00A966F8">
        <w:t>Pensioner Mortality</w:t>
      </w:r>
    </w:p>
    <w:p w:rsidR="006133A8" w:rsidRDefault="006133A8" w:rsidP="006133A8">
      <w:r>
        <w:t xml:space="preserve">The table below shows the mortality rates assumed for age retired and dependant pensioners in the year 1 July 2014 to 30 June 2015. </w:t>
      </w:r>
    </w:p>
    <w:p w:rsidR="00C676C5" w:rsidRDefault="00C676C5" w:rsidP="00C676C5">
      <w:pPr>
        <w:pStyle w:val="Heading5"/>
      </w:pPr>
      <w:r w:rsidRPr="00497D3E">
        <w:rPr>
          <w:lang w:val="en-US"/>
        </w:rPr>
        <w:t>Age</w:t>
      </w:r>
      <w:r w:rsidR="00666517">
        <w:rPr>
          <w:lang w:val="en-US"/>
        </w:rPr>
        <w:t xml:space="preserve"> Retirement Pensioner Mortality </w:t>
      </w:r>
      <w:r w:rsidRPr="00497D3E">
        <w:rPr>
          <w:lang w:val="en-US"/>
        </w:rPr>
        <w:t>(per 1,000 at age shown)</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368"/>
        <w:gridCol w:w="1751"/>
        <w:gridCol w:w="1559"/>
        <w:gridCol w:w="1559"/>
        <w:gridCol w:w="1693"/>
      </w:tblGrid>
      <w:tr w:rsidR="006133A8" w:rsidRPr="00497D3E" w:rsidTr="00497D3E">
        <w:trPr>
          <w:trHeight w:val="367"/>
        </w:trPr>
        <w:tc>
          <w:tcPr>
            <w:tcW w:w="1368" w:type="dxa"/>
            <w:vMerge w:val="restart"/>
            <w:shd w:val="clear" w:color="auto" w:fill="DDF3FA"/>
            <w:vAlign w:val="center"/>
          </w:tcPr>
          <w:p w:rsidR="006133A8" w:rsidRPr="00497D3E" w:rsidRDefault="006133A8" w:rsidP="00C676C5">
            <w:pPr>
              <w:pStyle w:val="Tablecolumnheading"/>
              <w:rPr>
                <w:lang w:val="en-US"/>
              </w:rPr>
            </w:pPr>
            <w:r w:rsidRPr="00497D3E">
              <w:rPr>
                <w:lang w:val="en-US"/>
              </w:rPr>
              <w:t>Age Last Birthday</w:t>
            </w:r>
          </w:p>
        </w:tc>
        <w:tc>
          <w:tcPr>
            <w:tcW w:w="3310" w:type="dxa"/>
            <w:gridSpan w:val="2"/>
            <w:shd w:val="clear" w:color="auto" w:fill="DDF3FA"/>
          </w:tcPr>
          <w:p w:rsidR="006133A8" w:rsidRPr="00497D3E" w:rsidRDefault="006133A8" w:rsidP="00C676C5">
            <w:pPr>
              <w:pStyle w:val="Tablecolumnheading"/>
            </w:pPr>
            <w:r w:rsidRPr="00497D3E">
              <w:t>Males</w:t>
            </w:r>
          </w:p>
        </w:tc>
        <w:tc>
          <w:tcPr>
            <w:tcW w:w="3252" w:type="dxa"/>
            <w:gridSpan w:val="2"/>
            <w:shd w:val="clear" w:color="auto" w:fill="DDF3FA"/>
          </w:tcPr>
          <w:p w:rsidR="006133A8" w:rsidRPr="00497D3E" w:rsidRDefault="006133A8" w:rsidP="00C676C5">
            <w:pPr>
              <w:pStyle w:val="Tablecolumnheading"/>
            </w:pPr>
            <w:r w:rsidRPr="00497D3E">
              <w:t>Females</w:t>
            </w:r>
          </w:p>
        </w:tc>
      </w:tr>
      <w:tr w:rsidR="006133A8" w:rsidRPr="00497D3E" w:rsidTr="00497D3E">
        <w:trPr>
          <w:trHeight w:val="265"/>
        </w:trPr>
        <w:tc>
          <w:tcPr>
            <w:tcW w:w="1368" w:type="dxa"/>
            <w:vMerge/>
            <w:shd w:val="clear" w:color="auto" w:fill="DDF3FA"/>
            <w:vAlign w:val="center"/>
          </w:tcPr>
          <w:p w:rsidR="006133A8" w:rsidRPr="00497D3E" w:rsidRDefault="006133A8" w:rsidP="00C676C5">
            <w:pPr>
              <w:pStyle w:val="Tablecolumnheading"/>
              <w:rPr>
                <w:lang w:val="en-US"/>
              </w:rPr>
            </w:pPr>
          </w:p>
        </w:tc>
        <w:tc>
          <w:tcPr>
            <w:tcW w:w="1751" w:type="dxa"/>
            <w:shd w:val="clear" w:color="auto" w:fill="DDF3FA"/>
            <w:vAlign w:val="center"/>
          </w:tcPr>
          <w:p w:rsidR="006133A8" w:rsidRPr="00497D3E" w:rsidRDefault="006133A8" w:rsidP="00C676C5">
            <w:pPr>
              <w:pStyle w:val="Tablecolumnheading"/>
              <w:rPr>
                <w:lang w:val="en-US"/>
              </w:rPr>
            </w:pPr>
            <w:r w:rsidRPr="00497D3E">
              <w:t>Age Retired</w:t>
            </w:r>
          </w:p>
        </w:tc>
        <w:tc>
          <w:tcPr>
            <w:tcW w:w="1559" w:type="dxa"/>
            <w:shd w:val="clear" w:color="auto" w:fill="DDF3FA"/>
            <w:vAlign w:val="center"/>
          </w:tcPr>
          <w:p w:rsidR="006133A8" w:rsidRPr="00497D3E" w:rsidRDefault="006133A8" w:rsidP="00C676C5">
            <w:pPr>
              <w:pStyle w:val="Tablecolumnheading"/>
            </w:pPr>
            <w:r w:rsidRPr="00497D3E">
              <w:t>Widower</w:t>
            </w:r>
          </w:p>
        </w:tc>
        <w:tc>
          <w:tcPr>
            <w:tcW w:w="1559" w:type="dxa"/>
            <w:shd w:val="clear" w:color="auto" w:fill="DDF3FA"/>
            <w:vAlign w:val="center"/>
          </w:tcPr>
          <w:p w:rsidR="006133A8" w:rsidRPr="00497D3E" w:rsidRDefault="006133A8" w:rsidP="00C676C5">
            <w:pPr>
              <w:pStyle w:val="Tablecolumnheading"/>
            </w:pPr>
            <w:r w:rsidRPr="00497D3E">
              <w:t>Age Retired</w:t>
            </w:r>
          </w:p>
        </w:tc>
        <w:tc>
          <w:tcPr>
            <w:tcW w:w="1693" w:type="dxa"/>
            <w:shd w:val="clear" w:color="auto" w:fill="DDF3FA"/>
            <w:vAlign w:val="center"/>
          </w:tcPr>
          <w:p w:rsidR="006133A8" w:rsidRPr="00497D3E" w:rsidRDefault="006133A8" w:rsidP="00C676C5">
            <w:pPr>
              <w:pStyle w:val="Tablecolumnheading"/>
            </w:pPr>
            <w:r w:rsidRPr="00497D3E">
              <w:t>Widower</w:t>
            </w:r>
          </w:p>
        </w:tc>
      </w:tr>
      <w:tr w:rsidR="006133A8" w:rsidRPr="00497D3E" w:rsidTr="00497D3E">
        <w:trPr>
          <w:trHeight w:val="239"/>
        </w:trPr>
        <w:tc>
          <w:tcPr>
            <w:tcW w:w="1368" w:type="dxa"/>
            <w:vAlign w:val="center"/>
          </w:tcPr>
          <w:p w:rsidR="006133A8" w:rsidRPr="00497D3E" w:rsidRDefault="006133A8" w:rsidP="005667B5">
            <w:pPr>
              <w:pStyle w:val="Tablebodytext"/>
              <w:rPr>
                <w:lang w:val="en-US"/>
              </w:rPr>
            </w:pPr>
            <w:r w:rsidRPr="00497D3E">
              <w:rPr>
                <w:lang w:val="en-US"/>
              </w:rPr>
              <w:t>20</w:t>
            </w:r>
          </w:p>
        </w:tc>
        <w:tc>
          <w:tcPr>
            <w:tcW w:w="1751" w:type="dxa"/>
            <w:vAlign w:val="center"/>
          </w:tcPr>
          <w:p w:rsidR="006133A8" w:rsidRPr="00497D3E" w:rsidRDefault="006133A8" w:rsidP="005667B5">
            <w:pPr>
              <w:pStyle w:val="Tablebodytext"/>
              <w:rPr>
                <w:lang w:val="en-US"/>
              </w:rPr>
            </w:pPr>
            <w:r w:rsidRPr="00497D3E">
              <w:rPr>
                <w:lang w:val="en-US"/>
              </w:rPr>
              <w:t>0.35</w:t>
            </w:r>
          </w:p>
        </w:tc>
        <w:tc>
          <w:tcPr>
            <w:tcW w:w="1559" w:type="dxa"/>
            <w:vAlign w:val="center"/>
          </w:tcPr>
          <w:p w:rsidR="006133A8" w:rsidRPr="00497D3E" w:rsidRDefault="006133A8" w:rsidP="005667B5">
            <w:pPr>
              <w:pStyle w:val="Tablebodytext"/>
              <w:rPr>
                <w:lang w:val="en-US"/>
              </w:rPr>
            </w:pPr>
            <w:r w:rsidRPr="00497D3E">
              <w:rPr>
                <w:lang w:val="en-US"/>
              </w:rPr>
              <w:t>0.74</w:t>
            </w:r>
          </w:p>
        </w:tc>
        <w:tc>
          <w:tcPr>
            <w:tcW w:w="1559" w:type="dxa"/>
            <w:vAlign w:val="center"/>
          </w:tcPr>
          <w:p w:rsidR="006133A8" w:rsidRPr="00497D3E" w:rsidRDefault="006133A8" w:rsidP="005667B5">
            <w:pPr>
              <w:pStyle w:val="Tablebodytext"/>
              <w:rPr>
                <w:lang w:val="en-US"/>
              </w:rPr>
            </w:pPr>
            <w:r w:rsidRPr="00497D3E">
              <w:rPr>
                <w:lang w:val="en-US"/>
              </w:rPr>
              <w:t>0.18</w:t>
            </w:r>
          </w:p>
        </w:tc>
        <w:tc>
          <w:tcPr>
            <w:tcW w:w="1693" w:type="dxa"/>
            <w:vAlign w:val="center"/>
          </w:tcPr>
          <w:p w:rsidR="006133A8" w:rsidRPr="00497D3E" w:rsidRDefault="006133A8" w:rsidP="005667B5">
            <w:pPr>
              <w:pStyle w:val="Tablebodytext"/>
              <w:rPr>
                <w:lang w:val="en-US"/>
              </w:rPr>
            </w:pPr>
            <w:r w:rsidRPr="00497D3E">
              <w:rPr>
                <w:lang w:val="en-US"/>
              </w:rPr>
              <w:t>0.24</w:t>
            </w:r>
          </w:p>
        </w:tc>
      </w:tr>
      <w:tr w:rsidR="006133A8" w:rsidRPr="00497D3E" w:rsidTr="00497D3E">
        <w:trPr>
          <w:trHeight w:val="286"/>
        </w:trPr>
        <w:tc>
          <w:tcPr>
            <w:tcW w:w="1368" w:type="dxa"/>
            <w:vAlign w:val="center"/>
          </w:tcPr>
          <w:p w:rsidR="006133A8" w:rsidRPr="00497D3E" w:rsidRDefault="006133A8" w:rsidP="005667B5">
            <w:pPr>
              <w:pStyle w:val="Tablebodytext"/>
              <w:rPr>
                <w:lang w:val="en-US"/>
              </w:rPr>
            </w:pPr>
            <w:r w:rsidRPr="00497D3E">
              <w:rPr>
                <w:lang w:val="en-US"/>
              </w:rPr>
              <w:t>30</w:t>
            </w:r>
          </w:p>
        </w:tc>
        <w:tc>
          <w:tcPr>
            <w:tcW w:w="1751" w:type="dxa"/>
            <w:vAlign w:val="center"/>
          </w:tcPr>
          <w:p w:rsidR="006133A8" w:rsidRPr="00497D3E" w:rsidRDefault="006133A8" w:rsidP="005667B5">
            <w:pPr>
              <w:pStyle w:val="Tablebodytext"/>
              <w:rPr>
                <w:lang w:val="en-US"/>
              </w:rPr>
            </w:pPr>
            <w:r w:rsidRPr="00497D3E">
              <w:rPr>
                <w:lang w:val="en-US"/>
              </w:rPr>
              <w:t>0.53</w:t>
            </w:r>
          </w:p>
        </w:tc>
        <w:tc>
          <w:tcPr>
            <w:tcW w:w="1559" w:type="dxa"/>
            <w:vAlign w:val="center"/>
          </w:tcPr>
          <w:p w:rsidR="006133A8" w:rsidRPr="00497D3E" w:rsidRDefault="006133A8" w:rsidP="005667B5">
            <w:pPr>
              <w:pStyle w:val="Tablebodytext"/>
              <w:rPr>
                <w:lang w:val="en-US"/>
              </w:rPr>
            </w:pPr>
            <w:r w:rsidRPr="00497D3E">
              <w:rPr>
                <w:lang w:val="en-US"/>
              </w:rPr>
              <w:t>1.11</w:t>
            </w:r>
          </w:p>
        </w:tc>
        <w:tc>
          <w:tcPr>
            <w:tcW w:w="1559" w:type="dxa"/>
            <w:vAlign w:val="center"/>
          </w:tcPr>
          <w:p w:rsidR="006133A8" w:rsidRPr="00497D3E" w:rsidRDefault="006133A8" w:rsidP="005667B5">
            <w:pPr>
              <w:pStyle w:val="Tablebodytext"/>
              <w:rPr>
                <w:lang w:val="en-US"/>
              </w:rPr>
            </w:pPr>
            <w:r w:rsidRPr="00497D3E">
              <w:rPr>
                <w:lang w:val="en-US"/>
              </w:rPr>
              <w:t>0.23</w:t>
            </w:r>
          </w:p>
        </w:tc>
        <w:tc>
          <w:tcPr>
            <w:tcW w:w="1693" w:type="dxa"/>
            <w:vAlign w:val="center"/>
          </w:tcPr>
          <w:p w:rsidR="006133A8" w:rsidRPr="00497D3E" w:rsidRDefault="006133A8" w:rsidP="005667B5">
            <w:pPr>
              <w:pStyle w:val="Tablebodytext"/>
              <w:rPr>
                <w:lang w:val="en-US"/>
              </w:rPr>
            </w:pPr>
            <w:r w:rsidRPr="00497D3E">
              <w:rPr>
                <w:lang w:val="en-US"/>
              </w:rPr>
              <w:t>0.32</w:t>
            </w:r>
          </w:p>
        </w:tc>
      </w:tr>
      <w:tr w:rsidR="006133A8" w:rsidRPr="00497D3E" w:rsidTr="00497D3E">
        <w:trPr>
          <w:trHeight w:val="261"/>
        </w:trPr>
        <w:tc>
          <w:tcPr>
            <w:tcW w:w="1368" w:type="dxa"/>
            <w:vAlign w:val="center"/>
          </w:tcPr>
          <w:p w:rsidR="006133A8" w:rsidRPr="00497D3E" w:rsidRDefault="006133A8" w:rsidP="005667B5">
            <w:pPr>
              <w:pStyle w:val="Tablebodytext"/>
              <w:rPr>
                <w:lang w:val="en-US"/>
              </w:rPr>
            </w:pPr>
            <w:r w:rsidRPr="00497D3E">
              <w:rPr>
                <w:lang w:val="en-US"/>
              </w:rPr>
              <w:t>40</w:t>
            </w:r>
          </w:p>
        </w:tc>
        <w:tc>
          <w:tcPr>
            <w:tcW w:w="1751" w:type="dxa"/>
            <w:vAlign w:val="center"/>
          </w:tcPr>
          <w:p w:rsidR="006133A8" w:rsidRPr="00497D3E" w:rsidRDefault="006133A8" w:rsidP="005667B5">
            <w:pPr>
              <w:pStyle w:val="Tablebodytext"/>
              <w:rPr>
                <w:lang w:val="en-US"/>
              </w:rPr>
            </w:pPr>
            <w:r w:rsidRPr="00497D3E">
              <w:rPr>
                <w:lang w:val="en-US"/>
              </w:rPr>
              <w:t>0.62</w:t>
            </w:r>
          </w:p>
        </w:tc>
        <w:tc>
          <w:tcPr>
            <w:tcW w:w="1559" w:type="dxa"/>
            <w:vAlign w:val="center"/>
          </w:tcPr>
          <w:p w:rsidR="006133A8" w:rsidRPr="00497D3E" w:rsidRDefault="006133A8" w:rsidP="005667B5">
            <w:pPr>
              <w:pStyle w:val="Tablebodytext"/>
              <w:rPr>
                <w:lang w:val="en-US"/>
              </w:rPr>
            </w:pPr>
            <w:r w:rsidRPr="00497D3E">
              <w:rPr>
                <w:lang w:val="en-US"/>
              </w:rPr>
              <w:t>1.28</w:t>
            </w:r>
          </w:p>
        </w:tc>
        <w:tc>
          <w:tcPr>
            <w:tcW w:w="1559" w:type="dxa"/>
            <w:vAlign w:val="center"/>
          </w:tcPr>
          <w:p w:rsidR="006133A8" w:rsidRPr="00497D3E" w:rsidRDefault="006133A8" w:rsidP="005667B5">
            <w:pPr>
              <w:pStyle w:val="Tablebodytext"/>
              <w:rPr>
                <w:lang w:val="en-US"/>
              </w:rPr>
            </w:pPr>
            <w:r w:rsidRPr="00497D3E">
              <w:rPr>
                <w:lang w:val="en-US"/>
              </w:rPr>
              <w:t>0.44</w:t>
            </w:r>
          </w:p>
        </w:tc>
        <w:tc>
          <w:tcPr>
            <w:tcW w:w="1693" w:type="dxa"/>
            <w:vAlign w:val="center"/>
          </w:tcPr>
          <w:p w:rsidR="006133A8" w:rsidRPr="00497D3E" w:rsidRDefault="006133A8" w:rsidP="005667B5">
            <w:pPr>
              <w:pStyle w:val="Tablebodytext"/>
              <w:rPr>
                <w:lang w:val="en-US"/>
              </w:rPr>
            </w:pPr>
            <w:r w:rsidRPr="00497D3E">
              <w:rPr>
                <w:lang w:val="en-US"/>
              </w:rPr>
              <w:t>0.59</w:t>
            </w:r>
          </w:p>
        </w:tc>
      </w:tr>
      <w:tr w:rsidR="006133A8" w:rsidRPr="00497D3E" w:rsidTr="00497D3E">
        <w:trPr>
          <w:trHeight w:val="278"/>
        </w:trPr>
        <w:tc>
          <w:tcPr>
            <w:tcW w:w="1368" w:type="dxa"/>
            <w:vAlign w:val="center"/>
          </w:tcPr>
          <w:p w:rsidR="006133A8" w:rsidRPr="00497D3E" w:rsidRDefault="006133A8" w:rsidP="005667B5">
            <w:pPr>
              <w:pStyle w:val="Tablebodytext"/>
              <w:rPr>
                <w:lang w:val="en-US"/>
              </w:rPr>
            </w:pPr>
            <w:r w:rsidRPr="00497D3E">
              <w:rPr>
                <w:lang w:val="en-US"/>
              </w:rPr>
              <w:t>50</w:t>
            </w:r>
          </w:p>
        </w:tc>
        <w:tc>
          <w:tcPr>
            <w:tcW w:w="1751" w:type="dxa"/>
            <w:vAlign w:val="center"/>
          </w:tcPr>
          <w:p w:rsidR="006133A8" w:rsidRPr="00497D3E" w:rsidRDefault="006133A8" w:rsidP="005667B5">
            <w:pPr>
              <w:pStyle w:val="Tablebodytext"/>
              <w:rPr>
                <w:lang w:val="en-US"/>
              </w:rPr>
            </w:pPr>
            <w:r w:rsidRPr="00497D3E">
              <w:rPr>
                <w:lang w:val="en-US"/>
              </w:rPr>
              <w:t>1.07</w:t>
            </w:r>
          </w:p>
        </w:tc>
        <w:tc>
          <w:tcPr>
            <w:tcW w:w="1559" w:type="dxa"/>
            <w:vAlign w:val="center"/>
          </w:tcPr>
          <w:p w:rsidR="006133A8" w:rsidRPr="00497D3E" w:rsidRDefault="006133A8" w:rsidP="005667B5">
            <w:pPr>
              <w:pStyle w:val="Tablebodytext"/>
              <w:rPr>
                <w:lang w:val="en-US"/>
              </w:rPr>
            </w:pPr>
            <w:r w:rsidRPr="00497D3E">
              <w:rPr>
                <w:lang w:val="en-US"/>
              </w:rPr>
              <w:t>2.40</w:t>
            </w:r>
          </w:p>
        </w:tc>
        <w:tc>
          <w:tcPr>
            <w:tcW w:w="1559" w:type="dxa"/>
            <w:vAlign w:val="center"/>
          </w:tcPr>
          <w:p w:rsidR="006133A8" w:rsidRPr="00497D3E" w:rsidRDefault="006133A8" w:rsidP="005667B5">
            <w:pPr>
              <w:pStyle w:val="Tablebodytext"/>
              <w:rPr>
                <w:lang w:val="en-US"/>
              </w:rPr>
            </w:pPr>
            <w:r w:rsidRPr="00497D3E">
              <w:rPr>
                <w:lang w:val="en-US"/>
              </w:rPr>
              <w:t>0.96</w:t>
            </w:r>
          </w:p>
        </w:tc>
        <w:tc>
          <w:tcPr>
            <w:tcW w:w="1693" w:type="dxa"/>
            <w:vAlign w:val="center"/>
          </w:tcPr>
          <w:p w:rsidR="006133A8" w:rsidRPr="00497D3E" w:rsidRDefault="006133A8" w:rsidP="005667B5">
            <w:pPr>
              <w:pStyle w:val="Tablebodytext"/>
              <w:rPr>
                <w:lang w:val="en-US"/>
              </w:rPr>
            </w:pPr>
            <w:r w:rsidRPr="00497D3E">
              <w:rPr>
                <w:lang w:val="en-US"/>
              </w:rPr>
              <w:t>1.42</w:t>
            </w:r>
          </w:p>
        </w:tc>
      </w:tr>
      <w:tr w:rsidR="006133A8" w:rsidRPr="00497D3E" w:rsidTr="00497D3E">
        <w:trPr>
          <w:trHeight w:val="269"/>
        </w:trPr>
        <w:tc>
          <w:tcPr>
            <w:tcW w:w="1368" w:type="dxa"/>
            <w:vAlign w:val="center"/>
          </w:tcPr>
          <w:p w:rsidR="006133A8" w:rsidRPr="00497D3E" w:rsidRDefault="006133A8" w:rsidP="005667B5">
            <w:pPr>
              <w:pStyle w:val="Tablebodytext"/>
              <w:rPr>
                <w:lang w:val="en-US"/>
              </w:rPr>
            </w:pPr>
            <w:r w:rsidRPr="00497D3E">
              <w:rPr>
                <w:lang w:val="en-US"/>
              </w:rPr>
              <w:t>55</w:t>
            </w:r>
          </w:p>
        </w:tc>
        <w:tc>
          <w:tcPr>
            <w:tcW w:w="1751" w:type="dxa"/>
            <w:vAlign w:val="center"/>
          </w:tcPr>
          <w:p w:rsidR="006133A8" w:rsidRPr="00497D3E" w:rsidRDefault="006133A8" w:rsidP="005667B5">
            <w:pPr>
              <w:pStyle w:val="Tablebodytext"/>
              <w:rPr>
                <w:lang w:val="en-US"/>
              </w:rPr>
            </w:pPr>
            <w:r w:rsidRPr="00497D3E">
              <w:rPr>
                <w:lang w:val="en-US"/>
              </w:rPr>
              <w:t>1.79</w:t>
            </w:r>
          </w:p>
        </w:tc>
        <w:tc>
          <w:tcPr>
            <w:tcW w:w="1559" w:type="dxa"/>
            <w:vAlign w:val="center"/>
          </w:tcPr>
          <w:p w:rsidR="006133A8" w:rsidRPr="00497D3E" w:rsidRDefault="006133A8" w:rsidP="005667B5">
            <w:pPr>
              <w:pStyle w:val="Tablebodytext"/>
              <w:rPr>
                <w:lang w:val="en-US"/>
              </w:rPr>
            </w:pPr>
            <w:r w:rsidRPr="00497D3E">
              <w:rPr>
                <w:lang w:val="en-US"/>
              </w:rPr>
              <w:t>3.95</w:t>
            </w:r>
          </w:p>
        </w:tc>
        <w:tc>
          <w:tcPr>
            <w:tcW w:w="1559" w:type="dxa"/>
            <w:vAlign w:val="center"/>
          </w:tcPr>
          <w:p w:rsidR="006133A8" w:rsidRPr="00497D3E" w:rsidRDefault="006133A8" w:rsidP="005667B5">
            <w:pPr>
              <w:pStyle w:val="Tablebodytext"/>
              <w:rPr>
                <w:lang w:val="en-US"/>
              </w:rPr>
            </w:pPr>
            <w:r w:rsidRPr="00497D3E">
              <w:rPr>
                <w:lang w:val="en-US"/>
              </w:rPr>
              <w:t>1.57</w:t>
            </w:r>
          </w:p>
        </w:tc>
        <w:tc>
          <w:tcPr>
            <w:tcW w:w="1693" w:type="dxa"/>
            <w:vAlign w:val="center"/>
          </w:tcPr>
          <w:p w:rsidR="006133A8" w:rsidRPr="00497D3E" w:rsidRDefault="006133A8" w:rsidP="005667B5">
            <w:pPr>
              <w:pStyle w:val="Tablebodytext"/>
              <w:rPr>
                <w:lang w:val="en-US"/>
              </w:rPr>
            </w:pPr>
            <w:r w:rsidRPr="00497D3E">
              <w:rPr>
                <w:lang w:val="en-US"/>
              </w:rPr>
              <w:t>2.31</w:t>
            </w:r>
          </w:p>
        </w:tc>
      </w:tr>
      <w:tr w:rsidR="006133A8" w:rsidRPr="00497D3E" w:rsidTr="00497D3E">
        <w:trPr>
          <w:trHeight w:val="269"/>
        </w:trPr>
        <w:tc>
          <w:tcPr>
            <w:tcW w:w="1368" w:type="dxa"/>
            <w:vAlign w:val="center"/>
          </w:tcPr>
          <w:p w:rsidR="006133A8" w:rsidRPr="00497D3E" w:rsidRDefault="006133A8" w:rsidP="005667B5">
            <w:pPr>
              <w:pStyle w:val="Tablebodytext"/>
              <w:rPr>
                <w:lang w:val="en-US"/>
              </w:rPr>
            </w:pPr>
            <w:r w:rsidRPr="00497D3E">
              <w:rPr>
                <w:lang w:val="en-US"/>
              </w:rPr>
              <w:t>60</w:t>
            </w:r>
          </w:p>
        </w:tc>
        <w:tc>
          <w:tcPr>
            <w:tcW w:w="1751" w:type="dxa"/>
            <w:vAlign w:val="center"/>
          </w:tcPr>
          <w:p w:rsidR="006133A8" w:rsidRPr="00497D3E" w:rsidRDefault="006133A8" w:rsidP="005667B5">
            <w:pPr>
              <w:pStyle w:val="Tablebodytext"/>
              <w:rPr>
                <w:lang w:val="en-US"/>
              </w:rPr>
            </w:pPr>
            <w:r w:rsidRPr="00497D3E">
              <w:rPr>
                <w:lang w:val="en-US"/>
              </w:rPr>
              <w:t>2.84</w:t>
            </w:r>
          </w:p>
        </w:tc>
        <w:tc>
          <w:tcPr>
            <w:tcW w:w="1559" w:type="dxa"/>
            <w:vAlign w:val="center"/>
          </w:tcPr>
          <w:p w:rsidR="006133A8" w:rsidRPr="00497D3E" w:rsidRDefault="006133A8" w:rsidP="005667B5">
            <w:pPr>
              <w:pStyle w:val="Tablebodytext"/>
              <w:rPr>
                <w:lang w:val="en-US"/>
              </w:rPr>
            </w:pPr>
            <w:r w:rsidRPr="00497D3E">
              <w:rPr>
                <w:lang w:val="en-US"/>
              </w:rPr>
              <w:t>6.66</w:t>
            </w:r>
          </w:p>
        </w:tc>
        <w:tc>
          <w:tcPr>
            <w:tcW w:w="1559" w:type="dxa"/>
            <w:vAlign w:val="center"/>
          </w:tcPr>
          <w:p w:rsidR="006133A8" w:rsidRPr="00497D3E" w:rsidRDefault="006133A8" w:rsidP="005667B5">
            <w:pPr>
              <w:pStyle w:val="Tablebodytext"/>
              <w:rPr>
                <w:lang w:val="en-US"/>
              </w:rPr>
            </w:pPr>
            <w:r w:rsidRPr="00497D3E">
              <w:rPr>
                <w:lang w:val="en-US"/>
              </w:rPr>
              <w:t>2.24</w:t>
            </w:r>
          </w:p>
        </w:tc>
        <w:tc>
          <w:tcPr>
            <w:tcW w:w="1693" w:type="dxa"/>
            <w:vAlign w:val="center"/>
          </w:tcPr>
          <w:p w:rsidR="006133A8" w:rsidRPr="00497D3E" w:rsidRDefault="006133A8" w:rsidP="005667B5">
            <w:pPr>
              <w:pStyle w:val="Tablebodytext"/>
              <w:rPr>
                <w:lang w:val="en-US"/>
              </w:rPr>
            </w:pPr>
            <w:r w:rsidRPr="00497D3E">
              <w:rPr>
                <w:lang w:val="en-US"/>
              </w:rPr>
              <w:t>3.56</w:t>
            </w:r>
          </w:p>
        </w:tc>
      </w:tr>
      <w:tr w:rsidR="006133A8" w:rsidRPr="00497D3E" w:rsidTr="00497D3E">
        <w:trPr>
          <w:trHeight w:val="269"/>
        </w:trPr>
        <w:tc>
          <w:tcPr>
            <w:tcW w:w="1368" w:type="dxa"/>
            <w:vAlign w:val="center"/>
          </w:tcPr>
          <w:p w:rsidR="006133A8" w:rsidRPr="00497D3E" w:rsidRDefault="006133A8" w:rsidP="005667B5">
            <w:pPr>
              <w:pStyle w:val="Tablebodytext"/>
              <w:rPr>
                <w:lang w:val="en-US"/>
              </w:rPr>
            </w:pPr>
            <w:r w:rsidRPr="00497D3E">
              <w:rPr>
                <w:lang w:val="en-US"/>
              </w:rPr>
              <w:t>65</w:t>
            </w:r>
          </w:p>
        </w:tc>
        <w:tc>
          <w:tcPr>
            <w:tcW w:w="1751" w:type="dxa"/>
            <w:vAlign w:val="center"/>
          </w:tcPr>
          <w:p w:rsidR="006133A8" w:rsidRPr="00497D3E" w:rsidRDefault="006133A8" w:rsidP="005667B5">
            <w:pPr>
              <w:pStyle w:val="Tablebodytext"/>
              <w:rPr>
                <w:lang w:val="en-US"/>
              </w:rPr>
            </w:pPr>
            <w:r w:rsidRPr="00497D3E">
              <w:rPr>
                <w:lang w:val="en-US"/>
              </w:rPr>
              <w:t>5.13</w:t>
            </w:r>
          </w:p>
        </w:tc>
        <w:tc>
          <w:tcPr>
            <w:tcW w:w="1559" w:type="dxa"/>
            <w:vAlign w:val="center"/>
          </w:tcPr>
          <w:p w:rsidR="006133A8" w:rsidRPr="00497D3E" w:rsidRDefault="006133A8" w:rsidP="005667B5">
            <w:pPr>
              <w:pStyle w:val="Tablebodytext"/>
              <w:rPr>
                <w:lang w:val="en-US"/>
              </w:rPr>
            </w:pPr>
            <w:r w:rsidRPr="00497D3E">
              <w:rPr>
                <w:lang w:val="en-US"/>
              </w:rPr>
              <w:t>11.45</w:t>
            </w:r>
          </w:p>
        </w:tc>
        <w:tc>
          <w:tcPr>
            <w:tcW w:w="1559" w:type="dxa"/>
            <w:vAlign w:val="center"/>
          </w:tcPr>
          <w:p w:rsidR="006133A8" w:rsidRPr="00497D3E" w:rsidRDefault="006133A8" w:rsidP="005667B5">
            <w:pPr>
              <w:pStyle w:val="Tablebodytext"/>
              <w:rPr>
                <w:lang w:val="en-US"/>
              </w:rPr>
            </w:pPr>
            <w:r w:rsidRPr="00497D3E">
              <w:rPr>
                <w:lang w:val="en-US"/>
              </w:rPr>
              <w:t>3.68</w:t>
            </w:r>
          </w:p>
        </w:tc>
        <w:tc>
          <w:tcPr>
            <w:tcW w:w="1693" w:type="dxa"/>
            <w:vAlign w:val="center"/>
          </w:tcPr>
          <w:p w:rsidR="006133A8" w:rsidRPr="00497D3E" w:rsidRDefault="006133A8" w:rsidP="005667B5">
            <w:pPr>
              <w:pStyle w:val="Tablebodytext"/>
              <w:rPr>
                <w:lang w:val="en-US"/>
              </w:rPr>
            </w:pPr>
            <w:r w:rsidRPr="00497D3E">
              <w:rPr>
                <w:lang w:val="en-US"/>
              </w:rPr>
              <w:t>5.56</w:t>
            </w:r>
          </w:p>
        </w:tc>
      </w:tr>
      <w:tr w:rsidR="006133A8" w:rsidRPr="00497D3E" w:rsidTr="00497D3E">
        <w:trPr>
          <w:trHeight w:val="269"/>
        </w:trPr>
        <w:tc>
          <w:tcPr>
            <w:tcW w:w="1368" w:type="dxa"/>
            <w:vAlign w:val="center"/>
          </w:tcPr>
          <w:p w:rsidR="006133A8" w:rsidRPr="00497D3E" w:rsidRDefault="006133A8" w:rsidP="005667B5">
            <w:pPr>
              <w:pStyle w:val="Tablebodytext"/>
              <w:rPr>
                <w:lang w:val="en-US"/>
              </w:rPr>
            </w:pPr>
            <w:r w:rsidRPr="00497D3E">
              <w:rPr>
                <w:lang w:val="en-US"/>
              </w:rPr>
              <w:t>70</w:t>
            </w:r>
          </w:p>
        </w:tc>
        <w:tc>
          <w:tcPr>
            <w:tcW w:w="1751" w:type="dxa"/>
            <w:vAlign w:val="center"/>
          </w:tcPr>
          <w:p w:rsidR="006133A8" w:rsidRPr="00497D3E" w:rsidRDefault="006133A8" w:rsidP="005667B5">
            <w:pPr>
              <w:pStyle w:val="Tablebodytext"/>
              <w:rPr>
                <w:lang w:val="en-US"/>
              </w:rPr>
            </w:pPr>
            <w:r w:rsidRPr="00497D3E">
              <w:rPr>
                <w:lang w:val="en-US"/>
              </w:rPr>
              <w:t>9.75</w:t>
            </w:r>
          </w:p>
        </w:tc>
        <w:tc>
          <w:tcPr>
            <w:tcW w:w="1559" w:type="dxa"/>
            <w:vAlign w:val="center"/>
          </w:tcPr>
          <w:p w:rsidR="006133A8" w:rsidRPr="00497D3E" w:rsidRDefault="006133A8" w:rsidP="005667B5">
            <w:pPr>
              <w:pStyle w:val="Tablebodytext"/>
              <w:rPr>
                <w:lang w:val="en-US"/>
              </w:rPr>
            </w:pPr>
            <w:r w:rsidRPr="00497D3E">
              <w:rPr>
                <w:lang w:val="en-US"/>
              </w:rPr>
              <w:t>20.16</w:t>
            </w:r>
          </w:p>
        </w:tc>
        <w:tc>
          <w:tcPr>
            <w:tcW w:w="1559" w:type="dxa"/>
            <w:vAlign w:val="center"/>
          </w:tcPr>
          <w:p w:rsidR="006133A8" w:rsidRPr="00497D3E" w:rsidRDefault="006133A8" w:rsidP="005667B5">
            <w:pPr>
              <w:pStyle w:val="Tablebodytext"/>
              <w:rPr>
                <w:lang w:val="en-US"/>
              </w:rPr>
            </w:pPr>
            <w:r w:rsidRPr="00497D3E">
              <w:rPr>
                <w:lang w:val="en-US"/>
              </w:rPr>
              <w:t>6.89</w:t>
            </w:r>
          </w:p>
        </w:tc>
        <w:tc>
          <w:tcPr>
            <w:tcW w:w="1693" w:type="dxa"/>
            <w:vAlign w:val="center"/>
          </w:tcPr>
          <w:p w:rsidR="006133A8" w:rsidRPr="00497D3E" w:rsidRDefault="006133A8" w:rsidP="005667B5">
            <w:pPr>
              <w:pStyle w:val="Tablebodytext"/>
              <w:rPr>
                <w:lang w:val="en-US"/>
              </w:rPr>
            </w:pPr>
            <w:r w:rsidRPr="00497D3E">
              <w:rPr>
                <w:lang w:val="en-US"/>
              </w:rPr>
              <w:t>9.30</w:t>
            </w:r>
          </w:p>
        </w:tc>
      </w:tr>
      <w:tr w:rsidR="006133A8" w:rsidRPr="00497D3E" w:rsidTr="00497D3E">
        <w:trPr>
          <w:trHeight w:val="269"/>
        </w:trPr>
        <w:tc>
          <w:tcPr>
            <w:tcW w:w="1368" w:type="dxa"/>
            <w:vAlign w:val="center"/>
          </w:tcPr>
          <w:p w:rsidR="006133A8" w:rsidRPr="00497D3E" w:rsidRDefault="006133A8" w:rsidP="005667B5">
            <w:pPr>
              <w:pStyle w:val="Tablebodytext"/>
              <w:rPr>
                <w:lang w:val="en-US"/>
              </w:rPr>
            </w:pPr>
            <w:r w:rsidRPr="00497D3E">
              <w:rPr>
                <w:lang w:val="en-US"/>
              </w:rPr>
              <w:t>75</w:t>
            </w:r>
          </w:p>
        </w:tc>
        <w:tc>
          <w:tcPr>
            <w:tcW w:w="1751" w:type="dxa"/>
            <w:vAlign w:val="center"/>
          </w:tcPr>
          <w:p w:rsidR="006133A8" w:rsidRPr="00497D3E" w:rsidRDefault="006133A8" w:rsidP="005667B5">
            <w:pPr>
              <w:pStyle w:val="Tablebodytext"/>
              <w:rPr>
                <w:lang w:val="en-US"/>
              </w:rPr>
            </w:pPr>
            <w:r w:rsidRPr="00497D3E">
              <w:rPr>
                <w:lang w:val="en-US"/>
              </w:rPr>
              <w:t>18.71</w:t>
            </w:r>
          </w:p>
        </w:tc>
        <w:tc>
          <w:tcPr>
            <w:tcW w:w="1559" w:type="dxa"/>
            <w:vAlign w:val="center"/>
          </w:tcPr>
          <w:p w:rsidR="006133A8" w:rsidRPr="00497D3E" w:rsidRDefault="006133A8" w:rsidP="005667B5">
            <w:pPr>
              <w:pStyle w:val="Tablebodytext"/>
              <w:rPr>
                <w:lang w:val="en-US"/>
              </w:rPr>
            </w:pPr>
            <w:r w:rsidRPr="00497D3E">
              <w:rPr>
                <w:lang w:val="en-US"/>
              </w:rPr>
              <w:t>32.91</w:t>
            </w:r>
          </w:p>
        </w:tc>
        <w:tc>
          <w:tcPr>
            <w:tcW w:w="1559" w:type="dxa"/>
            <w:vAlign w:val="center"/>
          </w:tcPr>
          <w:p w:rsidR="006133A8" w:rsidRPr="00497D3E" w:rsidRDefault="006133A8" w:rsidP="005667B5">
            <w:pPr>
              <w:pStyle w:val="Tablebodytext"/>
              <w:rPr>
                <w:lang w:val="en-US"/>
              </w:rPr>
            </w:pPr>
            <w:r w:rsidRPr="00497D3E">
              <w:rPr>
                <w:lang w:val="en-US"/>
              </w:rPr>
              <w:t>12.50</w:t>
            </w:r>
          </w:p>
        </w:tc>
        <w:tc>
          <w:tcPr>
            <w:tcW w:w="1693" w:type="dxa"/>
            <w:vAlign w:val="center"/>
          </w:tcPr>
          <w:p w:rsidR="006133A8" w:rsidRPr="00497D3E" w:rsidRDefault="006133A8" w:rsidP="005667B5">
            <w:pPr>
              <w:pStyle w:val="Tablebodytext"/>
              <w:rPr>
                <w:lang w:val="en-US"/>
              </w:rPr>
            </w:pPr>
            <w:r w:rsidRPr="00497D3E">
              <w:rPr>
                <w:lang w:val="en-US"/>
              </w:rPr>
              <w:t>15.98</w:t>
            </w:r>
          </w:p>
        </w:tc>
      </w:tr>
      <w:tr w:rsidR="006133A8" w:rsidRPr="00497D3E" w:rsidTr="00497D3E">
        <w:trPr>
          <w:trHeight w:val="269"/>
        </w:trPr>
        <w:tc>
          <w:tcPr>
            <w:tcW w:w="1368" w:type="dxa"/>
            <w:vAlign w:val="center"/>
          </w:tcPr>
          <w:p w:rsidR="006133A8" w:rsidRPr="00497D3E" w:rsidRDefault="006133A8" w:rsidP="005667B5">
            <w:pPr>
              <w:pStyle w:val="Tablebodytext"/>
              <w:rPr>
                <w:lang w:val="en-US"/>
              </w:rPr>
            </w:pPr>
            <w:r w:rsidRPr="00497D3E">
              <w:rPr>
                <w:lang w:val="en-US"/>
              </w:rPr>
              <w:t>80</w:t>
            </w:r>
          </w:p>
        </w:tc>
        <w:tc>
          <w:tcPr>
            <w:tcW w:w="1751" w:type="dxa"/>
            <w:vAlign w:val="center"/>
          </w:tcPr>
          <w:p w:rsidR="006133A8" w:rsidRPr="00497D3E" w:rsidRDefault="006133A8" w:rsidP="005667B5">
            <w:pPr>
              <w:pStyle w:val="Tablebodytext"/>
              <w:rPr>
                <w:lang w:val="en-US"/>
              </w:rPr>
            </w:pPr>
            <w:r w:rsidRPr="00497D3E">
              <w:rPr>
                <w:lang w:val="en-US"/>
              </w:rPr>
              <w:t>38.19</w:t>
            </w:r>
          </w:p>
        </w:tc>
        <w:tc>
          <w:tcPr>
            <w:tcW w:w="1559" w:type="dxa"/>
            <w:vAlign w:val="center"/>
          </w:tcPr>
          <w:p w:rsidR="006133A8" w:rsidRPr="00497D3E" w:rsidRDefault="006133A8" w:rsidP="005667B5">
            <w:pPr>
              <w:pStyle w:val="Tablebodytext"/>
              <w:rPr>
                <w:lang w:val="en-US"/>
              </w:rPr>
            </w:pPr>
            <w:r w:rsidRPr="00497D3E">
              <w:rPr>
                <w:lang w:val="en-US"/>
              </w:rPr>
              <w:t>56.47</w:t>
            </w:r>
          </w:p>
        </w:tc>
        <w:tc>
          <w:tcPr>
            <w:tcW w:w="1559" w:type="dxa"/>
            <w:vAlign w:val="center"/>
          </w:tcPr>
          <w:p w:rsidR="006133A8" w:rsidRPr="00497D3E" w:rsidRDefault="006133A8" w:rsidP="005667B5">
            <w:pPr>
              <w:pStyle w:val="Tablebodytext"/>
              <w:rPr>
                <w:lang w:val="en-US"/>
              </w:rPr>
            </w:pPr>
            <w:r w:rsidRPr="00497D3E">
              <w:rPr>
                <w:lang w:val="en-US"/>
              </w:rPr>
              <w:t>24.42</w:t>
            </w:r>
          </w:p>
        </w:tc>
        <w:tc>
          <w:tcPr>
            <w:tcW w:w="1693" w:type="dxa"/>
            <w:vAlign w:val="center"/>
          </w:tcPr>
          <w:p w:rsidR="006133A8" w:rsidRPr="00497D3E" w:rsidRDefault="006133A8" w:rsidP="005667B5">
            <w:pPr>
              <w:pStyle w:val="Tablebodytext"/>
              <w:rPr>
                <w:lang w:val="en-US"/>
              </w:rPr>
            </w:pPr>
            <w:r w:rsidRPr="00497D3E">
              <w:rPr>
                <w:lang w:val="en-US"/>
              </w:rPr>
              <w:t>30.13</w:t>
            </w:r>
          </w:p>
        </w:tc>
      </w:tr>
      <w:tr w:rsidR="006133A8" w:rsidRPr="00497D3E" w:rsidTr="00497D3E">
        <w:trPr>
          <w:trHeight w:val="269"/>
        </w:trPr>
        <w:tc>
          <w:tcPr>
            <w:tcW w:w="1368" w:type="dxa"/>
            <w:vAlign w:val="center"/>
          </w:tcPr>
          <w:p w:rsidR="006133A8" w:rsidRPr="00497D3E" w:rsidRDefault="006133A8" w:rsidP="005667B5">
            <w:pPr>
              <w:pStyle w:val="Tablebodytext"/>
              <w:rPr>
                <w:lang w:val="en-US"/>
              </w:rPr>
            </w:pPr>
            <w:r w:rsidRPr="00497D3E">
              <w:rPr>
                <w:lang w:val="en-US"/>
              </w:rPr>
              <w:t>85</w:t>
            </w:r>
          </w:p>
        </w:tc>
        <w:tc>
          <w:tcPr>
            <w:tcW w:w="1751" w:type="dxa"/>
            <w:vAlign w:val="center"/>
          </w:tcPr>
          <w:p w:rsidR="006133A8" w:rsidRPr="00497D3E" w:rsidRDefault="006133A8" w:rsidP="005667B5">
            <w:pPr>
              <w:pStyle w:val="Tablebodytext"/>
              <w:rPr>
                <w:lang w:val="en-US"/>
              </w:rPr>
            </w:pPr>
            <w:r w:rsidRPr="00497D3E">
              <w:rPr>
                <w:lang w:val="en-US"/>
              </w:rPr>
              <w:t>77.39</w:t>
            </w:r>
          </w:p>
        </w:tc>
        <w:tc>
          <w:tcPr>
            <w:tcW w:w="1559" w:type="dxa"/>
            <w:vAlign w:val="center"/>
          </w:tcPr>
          <w:p w:rsidR="006133A8" w:rsidRPr="00497D3E" w:rsidRDefault="006133A8" w:rsidP="005667B5">
            <w:pPr>
              <w:pStyle w:val="Tablebodytext"/>
              <w:rPr>
                <w:lang w:val="en-US"/>
              </w:rPr>
            </w:pPr>
            <w:r w:rsidRPr="00497D3E">
              <w:rPr>
                <w:lang w:val="en-US"/>
              </w:rPr>
              <w:t>99.62</w:t>
            </w:r>
          </w:p>
        </w:tc>
        <w:tc>
          <w:tcPr>
            <w:tcW w:w="1559" w:type="dxa"/>
            <w:vAlign w:val="center"/>
          </w:tcPr>
          <w:p w:rsidR="006133A8" w:rsidRPr="00497D3E" w:rsidRDefault="006133A8" w:rsidP="005667B5">
            <w:pPr>
              <w:pStyle w:val="Tablebodytext"/>
              <w:rPr>
                <w:lang w:val="en-US"/>
              </w:rPr>
            </w:pPr>
            <w:r w:rsidRPr="00497D3E">
              <w:rPr>
                <w:lang w:val="en-US"/>
              </w:rPr>
              <w:t>50.69</w:t>
            </w:r>
          </w:p>
        </w:tc>
        <w:tc>
          <w:tcPr>
            <w:tcW w:w="1693" w:type="dxa"/>
            <w:vAlign w:val="center"/>
          </w:tcPr>
          <w:p w:rsidR="006133A8" w:rsidRPr="00497D3E" w:rsidRDefault="006133A8" w:rsidP="005667B5">
            <w:pPr>
              <w:pStyle w:val="Tablebodytext"/>
              <w:rPr>
                <w:lang w:val="en-US"/>
              </w:rPr>
            </w:pPr>
            <w:r w:rsidRPr="00497D3E">
              <w:rPr>
                <w:lang w:val="en-US"/>
              </w:rPr>
              <w:t>60.15</w:t>
            </w:r>
          </w:p>
        </w:tc>
      </w:tr>
      <w:tr w:rsidR="006133A8" w:rsidRPr="00497D3E" w:rsidTr="00497D3E">
        <w:trPr>
          <w:trHeight w:val="269"/>
        </w:trPr>
        <w:tc>
          <w:tcPr>
            <w:tcW w:w="1368" w:type="dxa"/>
            <w:vAlign w:val="center"/>
          </w:tcPr>
          <w:p w:rsidR="006133A8" w:rsidRPr="00497D3E" w:rsidRDefault="006133A8" w:rsidP="005667B5">
            <w:pPr>
              <w:pStyle w:val="Tablebodytext"/>
              <w:rPr>
                <w:lang w:val="en-US"/>
              </w:rPr>
            </w:pPr>
            <w:r w:rsidRPr="00497D3E">
              <w:rPr>
                <w:lang w:val="en-US"/>
              </w:rPr>
              <w:t>90</w:t>
            </w:r>
          </w:p>
        </w:tc>
        <w:tc>
          <w:tcPr>
            <w:tcW w:w="1751" w:type="dxa"/>
            <w:vAlign w:val="center"/>
          </w:tcPr>
          <w:p w:rsidR="006133A8" w:rsidRPr="00497D3E" w:rsidRDefault="006133A8" w:rsidP="005667B5">
            <w:pPr>
              <w:pStyle w:val="Tablebodytext"/>
              <w:rPr>
                <w:lang w:val="en-US"/>
              </w:rPr>
            </w:pPr>
            <w:r w:rsidRPr="00497D3E">
              <w:rPr>
                <w:lang w:val="en-US"/>
              </w:rPr>
              <w:t>142.91</w:t>
            </w:r>
          </w:p>
        </w:tc>
        <w:tc>
          <w:tcPr>
            <w:tcW w:w="1559" w:type="dxa"/>
            <w:vAlign w:val="center"/>
          </w:tcPr>
          <w:p w:rsidR="006133A8" w:rsidRPr="00497D3E" w:rsidRDefault="006133A8" w:rsidP="005667B5">
            <w:pPr>
              <w:pStyle w:val="Tablebodytext"/>
              <w:rPr>
                <w:lang w:val="en-US"/>
              </w:rPr>
            </w:pPr>
            <w:r w:rsidRPr="00497D3E">
              <w:rPr>
                <w:lang w:val="en-US"/>
              </w:rPr>
              <w:t>161.77</w:t>
            </w:r>
          </w:p>
        </w:tc>
        <w:tc>
          <w:tcPr>
            <w:tcW w:w="1559" w:type="dxa"/>
            <w:vAlign w:val="center"/>
          </w:tcPr>
          <w:p w:rsidR="006133A8" w:rsidRPr="00497D3E" w:rsidRDefault="006133A8" w:rsidP="005667B5">
            <w:pPr>
              <w:pStyle w:val="Tablebodytext"/>
              <w:rPr>
                <w:lang w:val="en-US"/>
              </w:rPr>
            </w:pPr>
            <w:r w:rsidRPr="00497D3E">
              <w:rPr>
                <w:lang w:val="en-US"/>
              </w:rPr>
              <w:t>102.25</w:t>
            </w:r>
          </w:p>
        </w:tc>
        <w:tc>
          <w:tcPr>
            <w:tcW w:w="1693" w:type="dxa"/>
            <w:vAlign w:val="center"/>
          </w:tcPr>
          <w:p w:rsidR="006133A8" w:rsidRPr="00497D3E" w:rsidRDefault="006133A8" w:rsidP="005667B5">
            <w:pPr>
              <w:pStyle w:val="Tablebodytext"/>
              <w:rPr>
                <w:lang w:val="en-US"/>
              </w:rPr>
            </w:pPr>
            <w:r w:rsidRPr="00497D3E">
              <w:rPr>
                <w:lang w:val="en-US"/>
              </w:rPr>
              <w:t>110.21</w:t>
            </w:r>
          </w:p>
        </w:tc>
      </w:tr>
      <w:tr w:rsidR="006133A8" w:rsidRPr="00497D3E" w:rsidTr="00497D3E">
        <w:trPr>
          <w:trHeight w:val="269"/>
        </w:trPr>
        <w:tc>
          <w:tcPr>
            <w:tcW w:w="1368" w:type="dxa"/>
            <w:vAlign w:val="center"/>
          </w:tcPr>
          <w:p w:rsidR="006133A8" w:rsidRPr="00497D3E" w:rsidRDefault="006133A8" w:rsidP="005667B5">
            <w:pPr>
              <w:pStyle w:val="Tablebodytext"/>
              <w:rPr>
                <w:lang w:val="en-US"/>
              </w:rPr>
            </w:pPr>
            <w:r w:rsidRPr="00497D3E">
              <w:rPr>
                <w:lang w:val="en-US"/>
              </w:rPr>
              <w:t>95</w:t>
            </w:r>
          </w:p>
        </w:tc>
        <w:tc>
          <w:tcPr>
            <w:tcW w:w="1751" w:type="dxa"/>
            <w:vAlign w:val="center"/>
          </w:tcPr>
          <w:p w:rsidR="006133A8" w:rsidRPr="00497D3E" w:rsidRDefault="006133A8" w:rsidP="005667B5">
            <w:pPr>
              <w:pStyle w:val="Tablebodytext"/>
              <w:rPr>
                <w:lang w:val="en-US"/>
              </w:rPr>
            </w:pPr>
            <w:r w:rsidRPr="00497D3E">
              <w:rPr>
                <w:lang w:val="en-US"/>
              </w:rPr>
              <w:t>249.01</w:t>
            </w:r>
          </w:p>
        </w:tc>
        <w:tc>
          <w:tcPr>
            <w:tcW w:w="1559" w:type="dxa"/>
            <w:vAlign w:val="center"/>
          </w:tcPr>
          <w:p w:rsidR="006133A8" w:rsidRPr="00497D3E" w:rsidRDefault="006133A8" w:rsidP="005667B5">
            <w:pPr>
              <w:pStyle w:val="Tablebodytext"/>
              <w:rPr>
                <w:lang w:val="en-US"/>
              </w:rPr>
            </w:pPr>
            <w:r w:rsidRPr="00497D3E">
              <w:rPr>
                <w:lang w:val="en-US"/>
              </w:rPr>
              <w:t>244.17</w:t>
            </w:r>
          </w:p>
        </w:tc>
        <w:tc>
          <w:tcPr>
            <w:tcW w:w="1559" w:type="dxa"/>
            <w:vAlign w:val="center"/>
          </w:tcPr>
          <w:p w:rsidR="006133A8" w:rsidRPr="00497D3E" w:rsidRDefault="006133A8" w:rsidP="005667B5">
            <w:pPr>
              <w:pStyle w:val="Tablebodytext"/>
              <w:rPr>
                <w:lang w:val="en-US"/>
              </w:rPr>
            </w:pPr>
            <w:r w:rsidRPr="00497D3E">
              <w:rPr>
                <w:lang w:val="en-US"/>
              </w:rPr>
              <w:t>176.83</w:t>
            </w:r>
          </w:p>
        </w:tc>
        <w:tc>
          <w:tcPr>
            <w:tcW w:w="1693" w:type="dxa"/>
            <w:vAlign w:val="center"/>
          </w:tcPr>
          <w:p w:rsidR="006133A8" w:rsidRPr="00497D3E" w:rsidRDefault="006133A8" w:rsidP="005667B5">
            <w:pPr>
              <w:pStyle w:val="Tablebodytext"/>
              <w:rPr>
                <w:lang w:val="en-US"/>
              </w:rPr>
            </w:pPr>
            <w:r w:rsidRPr="00497D3E">
              <w:rPr>
                <w:lang w:val="en-US"/>
              </w:rPr>
              <w:t>193.21</w:t>
            </w:r>
          </w:p>
        </w:tc>
      </w:tr>
      <w:tr w:rsidR="006133A8" w:rsidRPr="00497D3E" w:rsidTr="00497D3E">
        <w:trPr>
          <w:trHeight w:val="269"/>
        </w:trPr>
        <w:tc>
          <w:tcPr>
            <w:tcW w:w="1368" w:type="dxa"/>
            <w:vAlign w:val="center"/>
          </w:tcPr>
          <w:p w:rsidR="006133A8" w:rsidRPr="00497D3E" w:rsidRDefault="006133A8" w:rsidP="005667B5">
            <w:pPr>
              <w:pStyle w:val="Tablebodytext"/>
              <w:rPr>
                <w:lang w:val="en-US"/>
              </w:rPr>
            </w:pPr>
            <w:r w:rsidRPr="00497D3E">
              <w:rPr>
                <w:lang w:val="en-US"/>
              </w:rPr>
              <w:t>100</w:t>
            </w:r>
          </w:p>
        </w:tc>
        <w:tc>
          <w:tcPr>
            <w:tcW w:w="1751" w:type="dxa"/>
            <w:vAlign w:val="center"/>
          </w:tcPr>
          <w:p w:rsidR="006133A8" w:rsidRPr="00497D3E" w:rsidRDefault="006133A8" w:rsidP="005667B5">
            <w:pPr>
              <w:pStyle w:val="Tablebodytext"/>
              <w:rPr>
                <w:lang w:val="en-US"/>
              </w:rPr>
            </w:pPr>
            <w:r w:rsidRPr="00497D3E">
              <w:rPr>
                <w:lang w:val="en-US"/>
              </w:rPr>
              <w:t>419.08</w:t>
            </w:r>
          </w:p>
        </w:tc>
        <w:tc>
          <w:tcPr>
            <w:tcW w:w="1559" w:type="dxa"/>
            <w:vAlign w:val="center"/>
          </w:tcPr>
          <w:p w:rsidR="006133A8" w:rsidRPr="00497D3E" w:rsidRDefault="006133A8" w:rsidP="005667B5">
            <w:pPr>
              <w:pStyle w:val="Tablebodytext"/>
              <w:rPr>
                <w:lang w:val="en-US"/>
              </w:rPr>
            </w:pPr>
            <w:r w:rsidRPr="00497D3E">
              <w:rPr>
                <w:lang w:val="en-US"/>
              </w:rPr>
              <w:t>358.79</w:t>
            </w:r>
          </w:p>
        </w:tc>
        <w:tc>
          <w:tcPr>
            <w:tcW w:w="1559" w:type="dxa"/>
            <w:vAlign w:val="center"/>
          </w:tcPr>
          <w:p w:rsidR="006133A8" w:rsidRPr="00497D3E" w:rsidRDefault="006133A8" w:rsidP="005667B5">
            <w:pPr>
              <w:pStyle w:val="Tablebodytext"/>
              <w:rPr>
                <w:lang w:val="en-US"/>
              </w:rPr>
            </w:pPr>
            <w:r w:rsidRPr="00497D3E">
              <w:rPr>
                <w:lang w:val="en-US"/>
              </w:rPr>
              <w:t>313.35</w:t>
            </w:r>
          </w:p>
        </w:tc>
        <w:tc>
          <w:tcPr>
            <w:tcW w:w="1693" w:type="dxa"/>
            <w:vAlign w:val="center"/>
          </w:tcPr>
          <w:p w:rsidR="006133A8" w:rsidRPr="00497D3E" w:rsidRDefault="006133A8" w:rsidP="005667B5">
            <w:pPr>
              <w:pStyle w:val="Tablebodytext"/>
              <w:rPr>
                <w:lang w:val="en-US"/>
              </w:rPr>
            </w:pPr>
            <w:r w:rsidRPr="00497D3E">
              <w:rPr>
                <w:lang w:val="en-US"/>
              </w:rPr>
              <w:t>338.67</w:t>
            </w:r>
          </w:p>
        </w:tc>
      </w:tr>
    </w:tbl>
    <w:p w:rsidR="006133A8" w:rsidRDefault="006133A8" w:rsidP="00EB192D">
      <w:pPr>
        <w:spacing w:before="240" w:after="240"/>
      </w:pPr>
      <w:r>
        <w:t>Child pensioners are assumed to leave at age 25 with no decrement applied prior to age 25.</w:t>
      </w:r>
    </w:p>
    <w:p w:rsidR="006133A8" w:rsidRDefault="00EB192D" w:rsidP="006133A8">
      <w:r>
        <w:br w:type="page"/>
      </w:r>
      <w:r w:rsidR="006133A8">
        <w:lastRenderedPageBreak/>
        <w:t>The table below shows the mortality rates assumed for invalidity pensioners with duration less than 3 years. The duration refers to the time since the member became an invalid pensioner.</w:t>
      </w:r>
    </w:p>
    <w:p w:rsidR="005667B5" w:rsidRDefault="00666517" w:rsidP="005667B5">
      <w:pPr>
        <w:pStyle w:val="Heading5"/>
      </w:pPr>
      <w:r>
        <w:rPr>
          <w:lang w:val="en-US"/>
        </w:rPr>
        <w:t xml:space="preserve">Invalidity Pensioner Mortality </w:t>
      </w:r>
      <w:r w:rsidR="005667B5" w:rsidRPr="00497D3E">
        <w:rPr>
          <w:lang w:val="en-US"/>
        </w:rPr>
        <w:t>(per 1,000 at duration shown)</w:t>
      </w:r>
    </w:p>
    <w:tbl>
      <w:tblPr>
        <w:tblW w:w="7984" w:type="dxa"/>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926"/>
        <w:gridCol w:w="2864"/>
        <w:gridCol w:w="3194"/>
      </w:tblGrid>
      <w:tr w:rsidR="006133A8" w:rsidRPr="00497D3E" w:rsidTr="005667B5">
        <w:trPr>
          <w:trHeight w:val="293"/>
        </w:trPr>
        <w:tc>
          <w:tcPr>
            <w:tcW w:w="1926" w:type="dxa"/>
            <w:tcBorders>
              <w:bottom w:val="single" w:sz="2" w:space="0" w:color="A7B4BE"/>
            </w:tcBorders>
            <w:shd w:val="clear" w:color="auto" w:fill="DDF3FA"/>
          </w:tcPr>
          <w:p w:rsidR="006133A8" w:rsidRPr="00497D3E" w:rsidRDefault="006133A8" w:rsidP="005667B5">
            <w:pPr>
              <w:pStyle w:val="Tablecolumnheading"/>
              <w:rPr>
                <w:lang w:val="en-US"/>
              </w:rPr>
            </w:pPr>
            <w:r w:rsidRPr="00497D3E">
              <w:rPr>
                <w:lang w:val="en-US"/>
              </w:rPr>
              <w:t>Duration (Years)</w:t>
            </w:r>
          </w:p>
        </w:tc>
        <w:tc>
          <w:tcPr>
            <w:tcW w:w="2864" w:type="dxa"/>
            <w:tcBorders>
              <w:bottom w:val="single" w:sz="2" w:space="0" w:color="A7B4BE"/>
            </w:tcBorders>
            <w:shd w:val="clear" w:color="auto" w:fill="DDF3FA"/>
            <w:vAlign w:val="center"/>
          </w:tcPr>
          <w:p w:rsidR="006133A8" w:rsidRPr="00497D3E" w:rsidRDefault="006133A8" w:rsidP="005667B5">
            <w:pPr>
              <w:pStyle w:val="Tablecolumnheading"/>
              <w:rPr>
                <w:rFonts w:cs="Arial"/>
                <w:bCs/>
                <w:lang w:val="en-US"/>
              </w:rPr>
            </w:pPr>
            <w:r w:rsidRPr="00497D3E">
              <w:rPr>
                <w:rFonts w:cs="Arial"/>
                <w:bCs/>
                <w:lang w:val="en-US"/>
              </w:rPr>
              <w:t>Males</w:t>
            </w:r>
          </w:p>
        </w:tc>
        <w:tc>
          <w:tcPr>
            <w:tcW w:w="3194" w:type="dxa"/>
            <w:tcBorders>
              <w:bottom w:val="single" w:sz="2" w:space="0" w:color="A7B4BE"/>
            </w:tcBorders>
            <w:shd w:val="clear" w:color="auto" w:fill="DDF3FA"/>
            <w:vAlign w:val="center"/>
          </w:tcPr>
          <w:p w:rsidR="006133A8" w:rsidRPr="00497D3E" w:rsidRDefault="006133A8" w:rsidP="005667B5">
            <w:pPr>
              <w:pStyle w:val="Tablecolumnheading"/>
              <w:rPr>
                <w:rFonts w:cs="Arial"/>
                <w:bCs/>
                <w:lang w:val="en-US"/>
              </w:rPr>
            </w:pPr>
            <w:r w:rsidRPr="00497D3E">
              <w:rPr>
                <w:rFonts w:cs="Arial"/>
                <w:bCs/>
                <w:lang w:val="en-US"/>
              </w:rPr>
              <w:t>Females</w:t>
            </w:r>
          </w:p>
        </w:tc>
      </w:tr>
      <w:tr w:rsidR="006133A8" w:rsidRPr="00497D3E" w:rsidTr="005667B5">
        <w:trPr>
          <w:trHeight w:val="293"/>
        </w:trPr>
        <w:tc>
          <w:tcPr>
            <w:tcW w:w="1926" w:type="dxa"/>
            <w:shd w:val="clear" w:color="auto" w:fill="auto"/>
          </w:tcPr>
          <w:p w:rsidR="006133A8" w:rsidRPr="00497D3E" w:rsidRDefault="006133A8" w:rsidP="005667B5">
            <w:pPr>
              <w:pStyle w:val="Tablebodytext"/>
              <w:rPr>
                <w:lang w:val="en-US"/>
              </w:rPr>
            </w:pPr>
            <w:r w:rsidRPr="00497D3E">
              <w:rPr>
                <w:lang w:val="en-US"/>
              </w:rPr>
              <w:t>0 – 1</w:t>
            </w:r>
          </w:p>
        </w:tc>
        <w:tc>
          <w:tcPr>
            <w:tcW w:w="2864" w:type="dxa"/>
            <w:shd w:val="clear" w:color="auto" w:fill="auto"/>
          </w:tcPr>
          <w:p w:rsidR="006133A8" w:rsidRPr="00497D3E" w:rsidRDefault="006133A8" w:rsidP="005667B5">
            <w:pPr>
              <w:pStyle w:val="Tablebodytext"/>
              <w:rPr>
                <w:lang w:val="en-US"/>
              </w:rPr>
            </w:pPr>
            <w:r w:rsidRPr="00497D3E">
              <w:rPr>
                <w:lang w:val="en-US"/>
              </w:rPr>
              <w:t>86.45</w:t>
            </w:r>
          </w:p>
        </w:tc>
        <w:tc>
          <w:tcPr>
            <w:tcW w:w="3194" w:type="dxa"/>
            <w:shd w:val="clear" w:color="auto" w:fill="auto"/>
          </w:tcPr>
          <w:p w:rsidR="006133A8" w:rsidRPr="00497D3E" w:rsidRDefault="006133A8" w:rsidP="005667B5">
            <w:pPr>
              <w:pStyle w:val="Tablebodytext"/>
              <w:rPr>
                <w:lang w:val="en-US"/>
              </w:rPr>
            </w:pPr>
            <w:r w:rsidRPr="00497D3E">
              <w:rPr>
                <w:lang w:val="en-US"/>
              </w:rPr>
              <w:t>43.70</w:t>
            </w:r>
          </w:p>
        </w:tc>
      </w:tr>
      <w:tr w:rsidR="006133A8" w:rsidRPr="00497D3E" w:rsidTr="005667B5">
        <w:trPr>
          <w:trHeight w:val="293"/>
        </w:trPr>
        <w:tc>
          <w:tcPr>
            <w:tcW w:w="1926" w:type="dxa"/>
            <w:shd w:val="clear" w:color="auto" w:fill="auto"/>
          </w:tcPr>
          <w:p w:rsidR="006133A8" w:rsidRPr="00497D3E" w:rsidRDefault="006133A8" w:rsidP="005667B5">
            <w:pPr>
              <w:pStyle w:val="Tablebodytext"/>
              <w:rPr>
                <w:lang w:val="en-US"/>
              </w:rPr>
            </w:pPr>
            <w:r w:rsidRPr="00497D3E">
              <w:rPr>
                <w:lang w:val="en-US"/>
              </w:rPr>
              <w:t>1 – 2</w:t>
            </w:r>
          </w:p>
        </w:tc>
        <w:tc>
          <w:tcPr>
            <w:tcW w:w="2864" w:type="dxa"/>
            <w:shd w:val="clear" w:color="auto" w:fill="auto"/>
          </w:tcPr>
          <w:p w:rsidR="006133A8" w:rsidRPr="00497D3E" w:rsidRDefault="006133A8" w:rsidP="005667B5">
            <w:pPr>
              <w:pStyle w:val="Tablebodytext"/>
              <w:rPr>
                <w:lang w:val="en-US"/>
              </w:rPr>
            </w:pPr>
            <w:r w:rsidRPr="00497D3E">
              <w:rPr>
                <w:lang w:val="en-US"/>
              </w:rPr>
              <w:t>42.75</w:t>
            </w:r>
          </w:p>
        </w:tc>
        <w:tc>
          <w:tcPr>
            <w:tcW w:w="3194" w:type="dxa"/>
            <w:shd w:val="clear" w:color="auto" w:fill="auto"/>
          </w:tcPr>
          <w:p w:rsidR="006133A8" w:rsidRPr="00497D3E" w:rsidRDefault="006133A8" w:rsidP="005667B5">
            <w:pPr>
              <w:pStyle w:val="Tablebodytext"/>
              <w:rPr>
                <w:lang w:val="en-US"/>
              </w:rPr>
            </w:pPr>
            <w:r w:rsidRPr="00497D3E">
              <w:rPr>
                <w:lang w:val="en-US"/>
              </w:rPr>
              <w:t>24.70</w:t>
            </w:r>
          </w:p>
        </w:tc>
      </w:tr>
      <w:tr w:rsidR="006133A8" w:rsidRPr="00497D3E" w:rsidTr="005667B5">
        <w:trPr>
          <w:trHeight w:val="293"/>
        </w:trPr>
        <w:tc>
          <w:tcPr>
            <w:tcW w:w="1926" w:type="dxa"/>
            <w:shd w:val="clear" w:color="auto" w:fill="auto"/>
          </w:tcPr>
          <w:p w:rsidR="006133A8" w:rsidRPr="00497D3E" w:rsidRDefault="006133A8" w:rsidP="005667B5">
            <w:pPr>
              <w:pStyle w:val="Tablebodytext"/>
              <w:rPr>
                <w:lang w:val="en-US"/>
              </w:rPr>
            </w:pPr>
            <w:r w:rsidRPr="00497D3E">
              <w:rPr>
                <w:lang w:val="en-US"/>
              </w:rPr>
              <w:t>2 – 3</w:t>
            </w:r>
          </w:p>
        </w:tc>
        <w:tc>
          <w:tcPr>
            <w:tcW w:w="2864" w:type="dxa"/>
            <w:shd w:val="clear" w:color="auto" w:fill="auto"/>
          </w:tcPr>
          <w:p w:rsidR="006133A8" w:rsidRPr="00497D3E" w:rsidRDefault="006133A8" w:rsidP="005667B5">
            <w:pPr>
              <w:pStyle w:val="Tablebodytext"/>
              <w:rPr>
                <w:lang w:val="en-US"/>
              </w:rPr>
            </w:pPr>
            <w:r w:rsidRPr="00497D3E">
              <w:rPr>
                <w:lang w:val="en-US"/>
              </w:rPr>
              <w:t>28.50</w:t>
            </w:r>
          </w:p>
        </w:tc>
        <w:tc>
          <w:tcPr>
            <w:tcW w:w="3194" w:type="dxa"/>
            <w:shd w:val="clear" w:color="auto" w:fill="auto"/>
          </w:tcPr>
          <w:p w:rsidR="006133A8" w:rsidRPr="00497D3E" w:rsidRDefault="006133A8" w:rsidP="005667B5">
            <w:pPr>
              <w:pStyle w:val="Tablebodytext"/>
              <w:rPr>
                <w:lang w:val="en-US"/>
              </w:rPr>
            </w:pPr>
            <w:r w:rsidRPr="00497D3E">
              <w:rPr>
                <w:lang w:val="en-US"/>
              </w:rPr>
              <w:t>23.75</w:t>
            </w:r>
          </w:p>
        </w:tc>
      </w:tr>
    </w:tbl>
    <w:p w:rsidR="006133A8" w:rsidRDefault="006133A8" w:rsidP="00EB192D">
      <w:pPr>
        <w:spacing w:before="240" w:after="240"/>
      </w:pPr>
      <w:r w:rsidRPr="00047C4B">
        <w:t>The table below shows the mortality rates assumed for invalidity pensioners in the year 1 July 2014 to 30 June 2015.</w:t>
      </w:r>
    </w:p>
    <w:p w:rsidR="005667B5" w:rsidRDefault="005667B5" w:rsidP="005667B5">
      <w:pPr>
        <w:pStyle w:val="Heading5"/>
      </w:pPr>
      <w:r w:rsidRPr="005667B5">
        <w:t>In</w:t>
      </w:r>
      <w:r w:rsidR="00666517">
        <w:t xml:space="preserve">validity Pensioner Mortality – </w:t>
      </w:r>
      <w:r w:rsidRPr="005667B5">
        <w:t>Duration Greater than 3 Years</w:t>
      </w:r>
      <w:r w:rsidRPr="005667B5">
        <w:br/>
        <w:t>(per 1,000</w:t>
      </w:r>
      <w:r w:rsidRPr="00497D3E">
        <w:rPr>
          <w:szCs w:val="18"/>
          <w:lang w:val="en-US"/>
        </w:rPr>
        <w:t xml:space="preserve"> at age shown)</w:t>
      </w:r>
    </w:p>
    <w:tbl>
      <w:tblPr>
        <w:tblW w:w="8090" w:type="dxa"/>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952"/>
        <w:gridCol w:w="2902"/>
        <w:gridCol w:w="3236"/>
      </w:tblGrid>
      <w:tr w:rsidR="006133A8" w:rsidRPr="00497D3E" w:rsidTr="005667B5">
        <w:trPr>
          <w:trHeight w:val="257"/>
        </w:trPr>
        <w:tc>
          <w:tcPr>
            <w:tcW w:w="1952" w:type="dxa"/>
            <w:tcBorders>
              <w:bottom w:val="single" w:sz="2" w:space="0" w:color="A7B4BE"/>
            </w:tcBorders>
            <w:shd w:val="clear" w:color="auto" w:fill="DDF3FA"/>
          </w:tcPr>
          <w:p w:rsidR="006133A8" w:rsidRPr="00497D3E" w:rsidRDefault="006133A8" w:rsidP="005667B5">
            <w:pPr>
              <w:pStyle w:val="Tablecolumnheading"/>
              <w:rPr>
                <w:lang w:val="en-US"/>
              </w:rPr>
            </w:pPr>
            <w:r w:rsidRPr="00497D3E">
              <w:rPr>
                <w:lang w:val="en-US"/>
              </w:rPr>
              <w:t>Age Last Birthday</w:t>
            </w:r>
          </w:p>
        </w:tc>
        <w:tc>
          <w:tcPr>
            <w:tcW w:w="2902" w:type="dxa"/>
            <w:tcBorders>
              <w:bottom w:val="single" w:sz="2" w:space="0" w:color="A7B4BE"/>
            </w:tcBorders>
            <w:shd w:val="clear" w:color="auto" w:fill="DDF3FA"/>
          </w:tcPr>
          <w:p w:rsidR="006133A8" w:rsidRPr="00497D3E" w:rsidRDefault="006133A8" w:rsidP="005667B5">
            <w:pPr>
              <w:pStyle w:val="Tablecolumnheading"/>
              <w:rPr>
                <w:lang w:val="en-US"/>
              </w:rPr>
            </w:pPr>
            <w:r w:rsidRPr="00497D3E">
              <w:rPr>
                <w:lang w:val="en-US"/>
              </w:rPr>
              <w:t>Males</w:t>
            </w:r>
          </w:p>
        </w:tc>
        <w:tc>
          <w:tcPr>
            <w:tcW w:w="3236" w:type="dxa"/>
            <w:tcBorders>
              <w:bottom w:val="single" w:sz="2" w:space="0" w:color="A7B4BE"/>
            </w:tcBorders>
            <w:shd w:val="clear" w:color="auto" w:fill="DDF3FA"/>
          </w:tcPr>
          <w:p w:rsidR="006133A8" w:rsidRPr="00497D3E" w:rsidRDefault="006133A8" w:rsidP="005667B5">
            <w:pPr>
              <w:pStyle w:val="Tablecolumnheading"/>
              <w:rPr>
                <w:lang w:val="en-US"/>
              </w:rPr>
            </w:pPr>
            <w:r w:rsidRPr="00497D3E">
              <w:rPr>
                <w:lang w:val="en-US"/>
              </w:rPr>
              <w:t>Females</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20</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0.65</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0.37</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30</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0.92</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0.50</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40</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1.15</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0.92</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50</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2.02</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2.05</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55</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3.21</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3.50</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60</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5.75</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5.72</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65</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10.76</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9.43</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70</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18.75</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15.90</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75</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31.11</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26.08</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80</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56.15</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42.08</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85</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101.35</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79.59</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90</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159.21</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145.24</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95</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244.17</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216.37</w:t>
            </w:r>
          </w:p>
        </w:tc>
      </w:tr>
      <w:tr w:rsidR="006133A8" w:rsidRPr="00497D3E" w:rsidTr="005667B5">
        <w:trPr>
          <w:trHeight w:val="257"/>
        </w:trPr>
        <w:tc>
          <w:tcPr>
            <w:tcW w:w="1952" w:type="dxa"/>
            <w:shd w:val="clear" w:color="auto" w:fill="auto"/>
            <w:vAlign w:val="center"/>
          </w:tcPr>
          <w:p w:rsidR="006133A8" w:rsidRPr="00497D3E" w:rsidRDefault="006133A8" w:rsidP="005667B5">
            <w:pPr>
              <w:pStyle w:val="Tablebodytext"/>
              <w:rPr>
                <w:lang w:val="en-US"/>
              </w:rPr>
            </w:pPr>
            <w:r w:rsidRPr="00497D3E">
              <w:rPr>
                <w:lang w:val="en-US"/>
              </w:rPr>
              <w:t>100</w:t>
            </w:r>
          </w:p>
        </w:tc>
        <w:tc>
          <w:tcPr>
            <w:tcW w:w="2902" w:type="dxa"/>
            <w:shd w:val="clear" w:color="auto" w:fill="auto"/>
            <w:vAlign w:val="center"/>
          </w:tcPr>
          <w:p w:rsidR="006133A8" w:rsidRPr="00497D3E" w:rsidRDefault="006133A8" w:rsidP="005667B5">
            <w:pPr>
              <w:pStyle w:val="Tablebodytext"/>
              <w:rPr>
                <w:lang w:val="en-US"/>
              </w:rPr>
            </w:pPr>
            <w:r w:rsidRPr="00497D3E">
              <w:rPr>
                <w:lang w:val="en-US"/>
              </w:rPr>
              <w:t>358.79</w:t>
            </w:r>
          </w:p>
        </w:tc>
        <w:tc>
          <w:tcPr>
            <w:tcW w:w="3236" w:type="dxa"/>
            <w:shd w:val="clear" w:color="auto" w:fill="auto"/>
            <w:vAlign w:val="center"/>
          </w:tcPr>
          <w:p w:rsidR="006133A8" w:rsidRPr="00497D3E" w:rsidRDefault="006133A8" w:rsidP="005667B5">
            <w:pPr>
              <w:pStyle w:val="Tablebodytext"/>
              <w:rPr>
                <w:lang w:val="en-US"/>
              </w:rPr>
            </w:pPr>
            <w:r w:rsidRPr="00497D3E">
              <w:rPr>
                <w:lang w:val="en-US"/>
              </w:rPr>
              <w:t>356.50</w:t>
            </w:r>
          </w:p>
        </w:tc>
      </w:tr>
    </w:tbl>
    <w:p w:rsidR="006133A8" w:rsidRDefault="006133A8" w:rsidP="005667B5">
      <w:pPr>
        <w:pStyle w:val="Heading4nonumbers"/>
      </w:pPr>
      <w:r w:rsidRPr="00852168">
        <w:t>Pensioner Mortality Improvement Factors</w:t>
      </w:r>
    </w:p>
    <w:p w:rsidR="006133A8" w:rsidRDefault="006133A8" w:rsidP="006133A8">
      <w:r w:rsidRPr="00852168">
        <w:t>Improvements in mortality for all pensioners except invalidity pensioners with duration less than three years and child pensioners will be based on the improvement factors from Australian Life Tables 2005-07. The 25-year improvement factors will be applied for the year 2014 to 2021, and the 100-year improvement factors will be applied thereafter.</w:t>
      </w:r>
    </w:p>
    <w:p w:rsidR="00666517" w:rsidRDefault="00666517">
      <w:pPr>
        <w:spacing w:after="0"/>
        <w:rPr>
          <w:rFonts w:ascii="Arial" w:eastAsia="MS Gothic" w:hAnsi="Arial"/>
          <w:b/>
          <w:color w:val="37424A"/>
          <w:spacing w:val="-6"/>
          <w:szCs w:val="24"/>
          <w:lang w:val="en-US"/>
        </w:rPr>
      </w:pPr>
      <w:r>
        <w:rPr>
          <w:lang w:val="en-US"/>
        </w:rPr>
        <w:br w:type="page"/>
      </w:r>
    </w:p>
    <w:p w:rsidR="005667B5" w:rsidRDefault="005667B5" w:rsidP="005667B5">
      <w:pPr>
        <w:pStyle w:val="Heading5"/>
      </w:pPr>
      <w:r w:rsidRPr="00497D3E">
        <w:rPr>
          <w:lang w:val="en-US"/>
        </w:rPr>
        <w:lastRenderedPageBreak/>
        <w:t>Assumed Rates of Mortality Reduction (% per annum)</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368"/>
        <w:gridCol w:w="1751"/>
        <w:gridCol w:w="1559"/>
        <w:gridCol w:w="1559"/>
        <w:gridCol w:w="1693"/>
      </w:tblGrid>
      <w:tr w:rsidR="006133A8" w:rsidRPr="00497D3E" w:rsidTr="00497D3E">
        <w:trPr>
          <w:trHeight w:val="367"/>
        </w:trPr>
        <w:tc>
          <w:tcPr>
            <w:tcW w:w="1368" w:type="dxa"/>
            <w:vMerge w:val="restart"/>
            <w:shd w:val="clear" w:color="auto" w:fill="DDF3FA"/>
          </w:tcPr>
          <w:p w:rsidR="006133A8" w:rsidRPr="00497D3E" w:rsidRDefault="006133A8" w:rsidP="005667B5">
            <w:pPr>
              <w:pStyle w:val="Tablecolumnheading"/>
              <w:rPr>
                <w:lang w:val="en-US"/>
              </w:rPr>
            </w:pPr>
            <w:r w:rsidRPr="00497D3E">
              <w:rPr>
                <w:lang w:val="en-US"/>
              </w:rPr>
              <w:t>Age</w:t>
            </w:r>
            <w:r w:rsidRPr="00497D3E">
              <w:rPr>
                <w:lang w:val="en-US"/>
              </w:rPr>
              <w:br/>
              <w:t>Last Birthday</w:t>
            </w:r>
          </w:p>
        </w:tc>
        <w:tc>
          <w:tcPr>
            <w:tcW w:w="3310" w:type="dxa"/>
            <w:gridSpan w:val="2"/>
            <w:shd w:val="clear" w:color="auto" w:fill="DDF3FA"/>
          </w:tcPr>
          <w:p w:rsidR="006133A8" w:rsidRPr="00497D3E" w:rsidRDefault="006133A8" w:rsidP="005667B5">
            <w:pPr>
              <w:pStyle w:val="Tablecolumnheading"/>
              <w:rPr>
                <w:lang w:val="en-US"/>
              </w:rPr>
            </w:pPr>
            <w:r w:rsidRPr="00497D3E">
              <w:rPr>
                <w:lang w:val="en-US"/>
              </w:rPr>
              <w:t>Short Term</w:t>
            </w:r>
            <w:r w:rsidRPr="00497D3E">
              <w:rPr>
                <w:lang w:val="en-US"/>
              </w:rPr>
              <w:br/>
              <w:t>(1 July 2014 to 30 June 2021)</w:t>
            </w:r>
          </w:p>
        </w:tc>
        <w:tc>
          <w:tcPr>
            <w:tcW w:w="3252" w:type="dxa"/>
            <w:gridSpan w:val="2"/>
            <w:shd w:val="clear" w:color="auto" w:fill="DDF3FA"/>
          </w:tcPr>
          <w:p w:rsidR="006133A8" w:rsidRPr="00497D3E" w:rsidRDefault="006133A8" w:rsidP="005667B5">
            <w:pPr>
              <w:pStyle w:val="Tablecolumnheading"/>
              <w:rPr>
                <w:lang w:val="en-US"/>
              </w:rPr>
            </w:pPr>
            <w:r w:rsidRPr="00497D3E">
              <w:rPr>
                <w:lang w:val="en-US"/>
              </w:rPr>
              <w:t>Long Term</w:t>
            </w:r>
            <w:r w:rsidRPr="00497D3E">
              <w:rPr>
                <w:lang w:val="en-US"/>
              </w:rPr>
              <w:br/>
              <w:t>(1 July 2021 onwards)</w:t>
            </w:r>
          </w:p>
        </w:tc>
      </w:tr>
      <w:tr w:rsidR="006133A8" w:rsidRPr="00497D3E" w:rsidTr="00497D3E">
        <w:trPr>
          <w:trHeight w:val="265"/>
        </w:trPr>
        <w:tc>
          <w:tcPr>
            <w:tcW w:w="1368" w:type="dxa"/>
            <w:vMerge/>
            <w:shd w:val="clear" w:color="auto" w:fill="DDF3FA"/>
          </w:tcPr>
          <w:p w:rsidR="006133A8" w:rsidRPr="00497D3E" w:rsidRDefault="006133A8" w:rsidP="005667B5">
            <w:pPr>
              <w:pStyle w:val="Tablecolumnheading"/>
              <w:rPr>
                <w:lang w:val="en-US"/>
              </w:rPr>
            </w:pPr>
          </w:p>
        </w:tc>
        <w:tc>
          <w:tcPr>
            <w:tcW w:w="1751" w:type="dxa"/>
            <w:shd w:val="clear" w:color="auto" w:fill="DDF3FA"/>
          </w:tcPr>
          <w:p w:rsidR="006133A8" w:rsidRPr="00497D3E" w:rsidRDefault="006133A8" w:rsidP="005667B5">
            <w:pPr>
              <w:pStyle w:val="Tablecolumnheading"/>
              <w:rPr>
                <w:lang w:val="en-US"/>
              </w:rPr>
            </w:pPr>
            <w:r w:rsidRPr="00497D3E">
              <w:rPr>
                <w:lang w:val="en-US"/>
              </w:rPr>
              <w:t>Male</w:t>
            </w:r>
          </w:p>
        </w:tc>
        <w:tc>
          <w:tcPr>
            <w:tcW w:w="1559" w:type="dxa"/>
            <w:shd w:val="clear" w:color="auto" w:fill="DDF3FA"/>
          </w:tcPr>
          <w:p w:rsidR="006133A8" w:rsidRPr="00497D3E" w:rsidRDefault="006133A8" w:rsidP="005667B5">
            <w:pPr>
              <w:pStyle w:val="Tablecolumnheading"/>
              <w:rPr>
                <w:lang w:val="en-US"/>
              </w:rPr>
            </w:pPr>
            <w:r w:rsidRPr="00497D3E">
              <w:rPr>
                <w:lang w:val="en-US"/>
              </w:rPr>
              <w:t>Female</w:t>
            </w:r>
          </w:p>
        </w:tc>
        <w:tc>
          <w:tcPr>
            <w:tcW w:w="1559" w:type="dxa"/>
            <w:shd w:val="clear" w:color="auto" w:fill="DDF3FA"/>
          </w:tcPr>
          <w:p w:rsidR="006133A8" w:rsidRPr="00497D3E" w:rsidRDefault="006133A8" w:rsidP="005667B5">
            <w:pPr>
              <w:pStyle w:val="Tablecolumnheading"/>
              <w:rPr>
                <w:lang w:val="en-US"/>
              </w:rPr>
            </w:pPr>
            <w:r w:rsidRPr="00497D3E">
              <w:rPr>
                <w:lang w:val="en-US"/>
              </w:rPr>
              <w:t>Male</w:t>
            </w:r>
          </w:p>
        </w:tc>
        <w:tc>
          <w:tcPr>
            <w:tcW w:w="1693" w:type="dxa"/>
            <w:shd w:val="clear" w:color="auto" w:fill="DDF3FA"/>
          </w:tcPr>
          <w:p w:rsidR="006133A8" w:rsidRPr="00497D3E" w:rsidRDefault="006133A8" w:rsidP="005667B5">
            <w:pPr>
              <w:pStyle w:val="Tablecolumnheading"/>
              <w:rPr>
                <w:lang w:val="en-US"/>
              </w:rPr>
            </w:pPr>
            <w:r w:rsidRPr="00497D3E">
              <w:rPr>
                <w:lang w:val="en-US"/>
              </w:rPr>
              <w:t>Female</w:t>
            </w:r>
          </w:p>
        </w:tc>
      </w:tr>
      <w:tr w:rsidR="006133A8" w:rsidRPr="00497D3E" w:rsidTr="00497D3E">
        <w:trPr>
          <w:trHeight w:val="239"/>
        </w:trPr>
        <w:tc>
          <w:tcPr>
            <w:tcW w:w="1368" w:type="dxa"/>
            <w:vAlign w:val="bottom"/>
          </w:tcPr>
          <w:p w:rsidR="006133A8" w:rsidRPr="00497D3E" w:rsidRDefault="006133A8" w:rsidP="005667B5">
            <w:pPr>
              <w:pStyle w:val="Tablebodytext"/>
              <w:rPr>
                <w:lang w:val="en-US"/>
              </w:rPr>
            </w:pPr>
            <w:r w:rsidRPr="00497D3E">
              <w:rPr>
                <w:lang w:val="en-US"/>
              </w:rPr>
              <w:t>60</w:t>
            </w:r>
          </w:p>
        </w:tc>
        <w:tc>
          <w:tcPr>
            <w:tcW w:w="1751" w:type="dxa"/>
            <w:vAlign w:val="bottom"/>
          </w:tcPr>
          <w:p w:rsidR="006133A8" w:rsidRPr="00497D3E" w:rsidRDefault="006133A8" w:rsidP="005667B5">
            <w:pPr>
              <w:pStyle w:val="Tablebodytext"/>
              <w:rPr>
                <w:lang w:val="en-US"/>
              </w:rPr>
            </w:pPr>
            <w:r w:rsidRPr="00497D3E">
              <w:rPr>
                <w:lang w:val="en-US"/>
              </w:rPr>
              <w:t>3.34</w:t>
            </w:r>
          </w:p>
        </w:tc>
        <w:tc>
          <w:tcPr>
            <w:tcW w:w="1559" w:type="dxa"/>
            <w:vAlign w:val="bottom"/>
          </w:tcPr>
          <w:p w:rsidR="006133A8" w:rsidRPr="00497D3E" w:rsidRDefault="006133A8" w:rsidP="005667B5">
            <w:pPr>
              <w:pStyle w:val="Tablebodytext"/>
              <w:rPr>
                <w:lang w:val="en-US"/>
              </w:rPr>
            </w:pPr>
            <w:r w:rsidRPr="00497D3E">
              <w:rPr>
                <w:lang w:val="en-US"/>
              </w:rPr>
              <w:t>2.52</w:t>
            </w:r>
          </w:p>
        </w:tc>
        <w:tc>
          <w:tcPr>
            <w:tcW w:w="1559" w:type="dxa"/>
            <w:vAlign w:val="bottom"/>
          </w:tcPr>
          <w:p w:rsidR="006133A8" w:rsidRPr="00497D3E" w:rsidRDefault="006133A8" w:rsidP="005667B5">
            <w:pPr>
              <w:pStyle w:val="Tablebodytext"/>
              <w:rPr>
                <w:lang w:val="en-US"/>
              </w:rPr>
            </w:pPr>
            <w:r w:rsidRPr="00497D3E">
              <w:rPr>
                <w:lang w:val="en-US"/>
              </w:rPr>
              <w:t>1.27</w:t>
            </w:r>
          </w:p>
        </w:tc>
        <w:tc>
          <w:tcPr>
            <w:tcW w:w="1693" w:type="dxa"/>
            <w:vAlign w:val="bottom"/>
          </w:tcPr>
          <w:p w:rsidR="006133A8" w:rsidRPr="00497D3E" w:rsidRDefault="006133A8" w:rsidP="005667B5">
            <w:pPr>
              <w:pStyle w:val="Tablebodytext"/>
              <w:rPr>
                <w:lang w:val="en-US"/>
              </w:rPr>
            </w:pPr>
            <w:r w:rsidRPr="00497D3E">
              <w:rPr>
                <w:lang w:val="en-US"/>
              </w:rPr>
              <w:t>1.47</w:t>
            </w:r>
          </w:p>
        </w:tc>
      </w:tr>
      <w:tr w:rsidR="006133A8" w:rsidRPr="00497D3E" w:rsidTr="00497D3E">
        <w:trPr>
          <w:trHeight w:val="286"/>
        </w:trPr>
        <w:tc>
          <w:tcPr>
            <w:tcW w:w="1368" w:type="dxa"/>
            <w:vAlign w:val="bottom"/>
          </w:tcPr>
          <w:p w:rsidR="006133A8" w:rsidRPr="00497D3E" w:rsidRDefault="006133A8" w:rsidP="005667B5">
            <w:pPr>
              <w:pStyle w:val="Tablebodytext"/>
              <w:rPr>
                <w:lang w:val="en-US"/>
              </w:rPr>
            </w:pPr>
            <w:r w:rsidRPr="00497D3E">
              <w:rPr>
                <w:lang w:val="en-US"/>
              </w:rPr>
              <w:t>70</w:t>
            </w:r>
          </w:p>
        </w:tc>
        <w:tc>
          <w:tcPr>
            <w:tcW w:w="1751" w:type="dxa"/>
            <w:vAlign w:val="bottom"/>
          </w:tcPr>
          <w:p w:rsidR="006133A8" w:rsidRPr="00497D3E" w:rsidRDefault="006133A8" w:rsidP="005667B5">
            <w:pPr>
              <w:pStyle w:val="Tablebodytext"/>
              <w:rPr>
                <w:lang w:val="en-US"/>
              </w:rPr>
            </w:pPr>
            <w:r w:rsidRPr="00497D3E">
              <w:rPr>
                <w:lang w:val="en-US"/>
              </w:rPr>
              <w:t>3.08</w:t>
            </w:r>
          </w:p>
        </w:tc>
        <w:tc>
          <w:tcPr>
            <w:tcW w:w="1559" w:type="dxa"/>
            <w:vAlign w:val="bottom"/>
          </w:tcPr>
          <w:p w:rsidR="006133A8" w:rsidRPr="00497D3E" w:rsidRDefault="006133A8" w:rsidP="005667B5">
            <w:pPr>
              <w:pStyle w:val="Tablebodytext"/>
              <w:rPr>
                <w:lang w:val="en-US"/>
              </w:rPr>
            </w:pPr>
            <w:r w:rsidRPr="00497D3E">
              <w:rPr>
                <w:lang w:val="en-US"/>
              </w:rPr>
              <w:t>2.45</w:t>
            </w:r>
          </w:p>
        </w:tc>
        <w:tc>
          <w:tcPr>
            <w:tcW w:w="1559" w:type="dxa"/>
            <w:vAlign w:val="bottom"/>
          </w:tcPr>
          <w:p w:rsidR="006133A8" w:rsidRPr="00497D3E" w:rsidRDefault="006133A8" w:rsidP="005667B5">
            <w:pPr>
              <w:pStyle w:val="Tablebodytext"/>
              <w:rPr>
                <w:lang w:val="en-US"/>
              </w:rPr>
            </w:pPr>
            <w:r w:rsidRPr="00497D3E">
              <w:rPr>
                <w:lang w:val="en-US"/>
              </w:rPr>
              <w:t>1.16</w:t>
            </w:r>
          </w:p>
        </w:tc>
        <w:tc>
          <w:tcPr>
            <w:tcW w:w="1693" w:type="dxa"/>
            <w:vAlign w:val="bottom"/>
          </w:tcPr>
          <w:p w:rsidR="006133A8" w:rsidRPr="00497D3E" w:rsidRDefault="006133A8" w:rsidP="005667B5">
            <w:pPr>
              <w:pStyle w:val="Tablebodytext"/>
              <w:rPr>
                <w:lang w:val="en-US"/>
              </w:rPr>
            </w:pPr>
            <w:r w:rsidRPr="00497D3E">
              <w:rPr>
                <w:lang w:val="en-US"/>
              </w:rPr>
              <w:t>1.44</w:t>
            </w:r>
          </w:p>
        </w:tc>
      </w:tr>
      <w:tr w:rsidR="006133A8" w:rsidRPr="00497D3E" w:rsidTr="00497D3E">
        <w:trPr>
          <w:trHeight w:val="261"/>
        </w:trPr>
        <w:tc>
          <w:tcPr>
            <w:tcW w:w="1368" w:type="dxa"/>
            <w:vAlign w:val="bottom"/>
          </w:tcPr>
          <w:p w:rsidR="006133A8" w:rsidRPr="00497D3E" w:rsidRDefault="006133A8" w:rsidP="005667B5">
            <w:pPr>
              <w:pStyle w:val="Tablebodytext"/>
              <w:rPr>
                <w:lang w:val="en-US"/>
              </w:rPr>
            </w:pPr>
            <w:r w:rsidRPr="00497D3E">
              <w:rPr>
                <w:lang w:val="en-US"/>
              </w:rPr>
              <w:t>80</w:t>
            </w:r>
          </w:p>
        </w:tc>
        <w:tc>
          <w:tcPr>
            <w:tcW w:w="1751" w:type="dxa"/>
            <w:vAlign w:val="bottom"/>
          </w:tcPr>
          <w:p w:rsidR="006133A8" w:rsidRPr="00497D3E" w:rsidRDefault="006133A8" w:rsidP="005667B5">
            <w:pPr>
              <w:pStyle w:val="Tablebodytext"/>
              <w:rPr>
                <w:lang w:val="en-US"/>
              </w:rPr>
            </w:pPr>
            <w:r w:rsidRPr="00497D3E">
              <w:rPr>
                <w:lang w:val="en-US"/>
              </w:rPr>
              <w:t>2.21</w:t>
            </w:r>
          </w:p>
        </w:tc>
        <w:tc>
          <w:tcPr>
            <w:tcW w:w="1559" w:type="dxa"/>
            <w:vAlign w:val="bottom"/>
          </w:tcPr>
          <w:p w:rsidR="006133A8" w:rsidRPr="00497D3E" w:rsidRDefault="006133A8" w:rsidP="005667B5">
            <w:pPr>
              <w:pStyle w:val="Tablebodytext"/>
              <w:rPr>
                <w:lang w:val="en-US"/>
              </w:rPr>
            </w:pPr>
            <w:r w:rsidRPr="00497D3E">
              <w:rPr>
                <w:lang w:val="en-US"/>
              </w:rPr>
              <w:t>2.07</w:t>
            </w:r>
          </w:p>
        </w:tc>
        <w:tc>
          <w:tcPr>
            <w:tcW w:w="1559" w:type="dxa"/>
            <w:vAlign w:val="bottom"/>
          </w:tcPr>
          <w:p w:rsidR="006133A8" w:rsidRPr="00497D3E" w:rsidRDefault="006133A8" w:rsidP="005667B5">
            <w:pPr>
              <w:pStyle w:val="Tablebodytext"/>
              <w:rPr>
                <w:lang w:val="en-US"/>
              </w:rPr>
            </w:pPr>
            <w:r w:rsidRPr="00497D3E">
              <w:rPr>
                <w:lang w:val="en-US"/>
              </w:rPr>
              <w:t>0.87</w:t>
            </w:r>
          </w:p>
        </w:tc>
        <w:tc>
          <w:tcPr>
            <w:tcW w:w="1693" w:type="dxa"/>
            <w:vAlign w:val="bottom"/>
          </w:tcPr>
          <w:p w:rsidR="006133A8" w:rsidRPr="00497D3E" w:rsidRDefault="006133A8" w:rsidP="005667B5">
            <w:pPr>
              <w:pStyle w:val="Tablebodytext"/>
              <w:rPr>
                <w:lang w:val="en-US"/>
              </w:rPr>
            </w:pPr>
            <w:r w:rsidRPr="00497D3E">
              <w:rPr>
                <w:lang w:val="en-US"/>
              </w:rPr>
              <w:t>1.12</w:t>
            </w:r>
          </w:p>
        </w:tc>
      </w:tr>
      <w:tr w:rsidR="006133A8" w:rsidRPr="00497D3E" w:rsidTr="00497D3E">
        <w:trPr>
          <w:trHeight w:val="278"/>
        </w:trPr>
        <w:tc>
          <w:tcPr>
            <w:tcW w:w="1368" w:type="dxa"/>
            <w:vAlign w:val="bottom"/>
          </w:tcPr>
          <w:p w:rsidR="006133A8" w:rsidRPr="00497D3E" w:rsidRDefault="006133A8" w:rsidP="005667B5">
            <w:pPr>
              <w:pStyle w:val="Tablebodytext"/>
              <w:rPr>
                <w:lang w:val="en-US"/>
              </w:rPr>
            </w:pPr>
            <w:r w:rsidRPr="00497D3E">
              <w:rPr>
                <w:lang w:val="en-US"/>
              </w:rPr>
              <w:t>90</w:t>
            </w:r>
          </w:p>
        </w:tc>
        <w:tc>
          <w:tcPr>
            <w:tcW w:w="1751" w:type="dxa"/>
            <w:vAlign w:val="bottom"/>
          </w:tcPr>
          <w:p w:rsidR="006133A8" w:rsidRPr="00497D3E" w:rsidRDefault="006133A8" w:rsidP="005667B5">
            <w:pPr>
              <w:pStyle w:val="Tablebodytext"/>
              <w:rPr>
                <w:lang w:val="en-US"/>
              </w:rPr>
            </w:pPr>
            <w:r w:rsidRPr="00497D3E">
              <w:rPr>
                <w:lang w:val="en-US"/>
              </w:rPr>
              <w:t>1.07</w:t>
            </w:r>
          </w:p>
        </w:tc>
        <w:tc>
          <w:tcPr>
            <w:tcW w:w="1559" w:type="dxa"/>
            <w:vAlign w:val="bottom"/>
          </w:tcPr>
          <w:p w:rsidR="006133A8" w:rsidRPr="00497D3E" w:rsidRDefault="006133A8" w:rsidP="005667B5">
            <w:pPr>
              <w:pStyle w:val="Tablebodytext"/>
              <w:rPr>
                <w:lang w:val="en-US"/>
              </w:rPr>
            </w:pPr>
            <w:r w:rsidRPr="00497D3E">
              <w:rPr>
                <w:lang w:val="en-US"/>
              </w:rPr>
              <w:t>1.04</w:t>
            </w:r>
          </w:p>
        </w:tc>
        <w:tc>
          <w:tcPr>
            <w:tcW w:w="1559" w:type="dxa"/>
            <w:vAlign w:val="bottom"/>
          </w:tcPr>
          <w:p w:rsidR="006133A8" w:rsidRPr="00497D3E" w:rsidRDefault="006133A8" w:rsidP="005667B5">
            <w:pPr>
              <w:pStyle w:val="Tablebodytext"/>
              <w:rPr>
                <w:lang w:val="en-US"/>
              </w:rPr>
            </w:pPr>
            <w:r w:rsidRPr="00497D3E">
              <w:rPr>
                <w:lang w:val="en-US"/>
              </w:rPr>
              <w:t>0.53</w:t>
            </w:r>
          </w:p>
        </w:tc>
        <w:tc>
          <w:tcPr>
            <w:tcW w:w="1693" w:type="dxa"/>
            <w:vAlign w:val="bottom"/>
          </w:tcPr>
          <w:p w:rsidR="006133A8" w:rsidRPr="00497D3E" w:rsidRDefault="006133A8" w:rsidP="005667B5">
            <w:pPr>
              <w:pStyle w:val="Tablebodytext"/>
              <w:rPr>
                <w:lang w:val="en-US"/>
              </w:rPr>
            </w:pPr>
            <w:r w:rsidRPr="00497D3E">
              <w:rPr>
                <w:lang w:val="en-US"/>
              </w:rPr>
              <w:t>0.61</w:t>
            </w:r>
          </w:p>
        </w:tc>
      </w:tr>
      <w:tr w:rsidR="006133A8" w:rsidRPr="00497D3E" w:rsidTr="00497D3E">
        <w:trPr>
          <w:trHeight w:val="269"/>
        </w:trPr>
        <w:tc>
          <w:tcPr>
            <w:tcW w:w="1368" w:type="dxa"/>
            <w:vAlign w:val="bottom"/>
          </w:tcPr>
          <w:p w:rsidR="006133A8" w:rsidRPr="00497D3E" w:rsidRDefault="006133A8" w:rsidP="005667B5">
            <w:pPr>
              <w:pStyle w:val="Tablebodytext"/>
              <w:rPr>
                <w:lang w:val="en-US"/>
              </w:rPr>
            </w:pPr>
            <w:r w:rsidRPr="00497D3E">
              <w:rPr>
                <w:lang w:val="en-US"/>
              </w:rPr>
              <w:t>100</w:t>
            </w:r>
          </w:p>
        </w:tc>
        <w:tc>
          <w:tcPr>
            <w:tcW w:w="1751" w:type="dxa"/>
            <w:vAlign w:val="bottom"/>
          </w:tcPr>
          <w:p w:rsidR="006133A8" w:rsidRPr="00497D3E" w:rsidRDefault="006133A8" w:rsidP="005667B5">
            <w:pPr>
              <w:pStyle w:val="Tablebodytext"/>
              <w:rPr>
                <w:lang w:val="en-US"/>
              </w:rPr>
            </w:pPr>
            <w:r w:rsidRPr="00497D3E">
              <w:rPr>
                <w:lang w:val="en-US"/>
              </w:rPr>
              <w:t>0.51</w:t>
            </w:r>
          </w:p>
        </w:tc>
        <w:tc>
          <w:tcPr>
            <w:tcW w:w="1559" w:type="dxa"/>
            <w:vAlign w:val="bottom"/>
          </w:tcPr>
          <w:p w:rsidR="006133A8" w:rsidRPr="00497D3E" w:rsidRDefault="006133A8" w:rsidP="005667B5">
            <w:pPr>
              <w:pStyle w:val="Tablebodytext"/>
              <w:rPr>
                <w:lang w:val="en-US"/>
              </w:rPr>
            </w:pPr>
            <w:r w:rsidRPr="00497D3E">
              <w:rPr>
                <w:lang w:val="en-US"/>
              </w:rPr>
              <w:t>0.47</w:t>
            </w:r>
          </w:p>
        </w:tc>
        <w:tc>
          <w:tcPr>
            <w:tcW w:w="1559" w:type="dxa"/>
            <w:vAlign w:val="bottom"/>
          </w:tcPr>
          <w:p w:rsidR="006133A8" w:rsidRPr="00497D3E" w:rsidRDefault="006133A8" w:rsidP="005667B5">
            <w:pPr>
              <w:pStyle w:val="Tablebodytext"/>
              <w:rPr>
                <w:lang w:val="en-US"/>
              </w:rPr>
            </w:pPr>
            <w:r w:rsidRPr="00497D3E">
              <w:rPr>
                <w:lang w:val="en-US"/>
              </w:rPr>
              <w:t>0.26</w:t>
            </w:r>
          </w:p>
        </w:tc>
        <w:tc>
          <w:tcPr>
            <w:tcW w:w="1693" w:type="dxa"/>
            <w:vAlign w:val="bottom"/>
          </w:tcPr>
          <w:p w:rsidR="006133A8" w:rsidRPr="00497D3E" w:rsidRDefault="006133A8" w:rsidP="005667B5">
            <w:pPr>
              <w:pStyle w:val="Tablebodytext"/>
              <w:rPr>
                <w:lang w:val="en-US"/>
              </w:rPr>
            </w:pPr>
            <w:r w:rsidRPr="00497D3E">
              <w:rPr>
                <w:lang w:val="en-US"/>
              </w:rPr>
              <w:t>0.25</w:t>
            </w:r>
          </w:p>
        </w:tc>
      </w:tr>
    </w:tbl>
    <w:p w:rsidR="006133A8" w:rsidRDefault="006133A8" w:rsidP="006133A8">
      <w:r>
        <w:t xml:space="preserve">For example, for the projection year from 1 July 2022, a male age retirement pensioner aged 60 would have an improved mortality rate equal to the base mortality rate of 2.84 (per 1000 population) at 1 July 2014 improved for 8 years from 1 July 2014, 7 years of improvement based on short term improvement factor of 3.34% pa and 1 year of improvement based on long term improvement factor of 1.27% pa.  This leads to a mortality rate of 2.21 </w:t>
      </w:r>
      <w:r w:rsidR="000B5F49">
        <w:t>= 2.84</w:t>
      </w:r>
      <w:r>
        <w:t xml:space="preserve"> x (1-3.34%)7 x (1-1.27%).</w:t>
      </w:r>
    </w:p>
    <w:p w:rsidR="006133A8" w:rsidRDefault="006133A8" w:rsidP="006133A8">
      <w:r>
        <w:t>The following table shows the projected life expectancies of retirement pensioners aged 65 under the pensioner mortality and mortality improvement assumptions adopted for this Report.  The projected life expectancies calculated under assumptions adopted for the 2011 Report are also included for comparison.</w:t>
      </w:r>
    </w:p>
    <w:p w:rsidR="005667B5" w:rsidRDefault="005667B5" w:rsidP="005667B5">
      <w:pPr>
        <w:pStyle w:val="Heading5"/>
      </w:pPr>
      <w:r w:rsidRPr="00497D3E">
        <w:rPr>
          <w:lang w:val="en-US"/>
        </w:rPr>
        <w:t>Projected life expectancy for a retirement pensioner aged 65</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tblPr>
      <w:tblGrid>
        <w:gridCol w:w="1368"/>
        <w:gridCol w:w="1751"/>
        <w:gridCol w:w="1559"/>
        <w:gridCol w:w="1559"/>
        <w:gridCol w:w="1693"/>
      </w:tblGrid>
      <w:tr w:rsidR="006133A8" w:rsidRPr="00497D3E" w:rsidTr="00497D3E">
        <w:trPr>
          <w:trHeight w:val="367"/>
        </w:trPr>
        <w:tc>
          <w:tcPr>
            <w:tcW w:w="1368" w:type="dxa"/>
            <w:vMerge w:val="restart"/>
            <w:shd w:val="clear" w:color="auto" w:fill="DDF3FA"/>
          </w:tcPr>
          <w:p w:rsidR="006133A8" w:rsidRPr="00497D3E" w:rsidRDefault="006133A8" w:rsidP="005667B5">
            <w:pPr>
              <w:pStyle w:val="Tablecolumnheading"/>
              <w:rPr>
                <w:lang w:val="en-US"/>
              </w:rPr>
            </w:pPr>
            <w:r w:rsidRPr="00497D3E">
              <w:rPr>
                <w:lang w:val="en-US"/>
              </w:rPr>
              <w:t>Sex</w:t>
            </w:r>
          </w:p>
        </w:tc>
        <w:tc>
          <w:tcPr>
            <w:tcW w:w="3310" w:type="dxa"/>
            <w:gridSpan w:val="2"/>
            <w:shd w:val="clear" w:color="auto" w:fill="DDF3FA"/>
          </w:tcPr>
          <w:p w:rsidR="006133A8" w:rsidRPr="00497D3E" w:rsidRDefault="006133A8" w:rsidP="005667B5">
            <w:pPr>
              <w:pStyle w:val="Tablecolumnheading"/>
              <w:rPr>
                <w:lang w:val="en-US"/>
              </w:rPr>
            </w:pPr>
            <w:r w:rsidRPr="00497D3E">
              <w:rPr>
                <w:lang w:val="en-US"/>
              </w:rPr>
              <w:t>At valuation date</w:t>
            </w:r>
          </w:p>
        </w:tc>
        <w:tc>
          <w:tcPr>
            <w:tcW w:w="3252" w:type="dxa"/>
            <w:gridSpan w:val="2"/>
            <w:shd w:val="clear" w:color="auto" w:fill="DDF3FA"/>
          </w:tcPr>
          <w:p w:rsidR="006133A8" w:rsidRPr="00497D3E" w:rsidRDefault="006133A8" w:rsidP="005667B5">
            <w:pPr>
              <w:pStyle w:val="Tablecolumnheading"/>
              <w:rPr>
                <w:lang w:val="en-US"/>
              </w:rPr>
            </w:pPr>
            <w:r w:rsidRPr="00497D3E">
              <w:rPr>
                <w:lang w:val="en-US"/>
              </w:rPr>
              <w:t>In 20 years’ time</w:t>
            </w:r>
          </w:p>
        </w:tc>
      </w:tr>
      <w:tr w:rsidR="006133A8" w:rsidRPr="00497D3E" w:rsidTr="00497D3E">
        <w:trPr>
          <w:trHeight w:val="265"/>
        </w:trPr>
        <w:tc>
          <w:tcPr>
            <w:tcW w:w="1368" w:type="dxa"/>
            <w:vMerge/>
            <w:shd w:val="clear" w:color="auto" w:fill="DDF3FA"/>
          </w:tcPr>
          <w:p w:rsidR="006133A8" w:rsidRPr="00497D3E" w:rsidRDefault="006133A8" w:rsidP="005667B5">
            <w:pPr>
              <w:pStyle w:val="Tablecolumnheading"/>
              <w:rPr>
                <w:lang w:val="en-US"/>
              </w:rPr>
            </w:pPr>
          </w:p>
        </w:tc>
        <w:tc>
          <w:tcPr>
            <w:tcW w:w="1751" w:type="dxa"/>
            <w:shd w:val="clear" w:color="auto" w:fill="DDF3FA"/>
          </w:tcPr>
          <w:p w:rsidR="006133A8" w:rsidRPr="00497D3E" w:rsidRDefault="006133A8" w:rsidP="005667B5">
            <w:pPr>
              <w:pStyle w:val="Tablecolumnheading"/>
              <w:rPr>
                <w:lang w:val="en-US"/>
              </w:rPr>
            </w:pPr>
            <w:r w:rsidRPr="00497D3E">
              <w:rPr>
                <w:lang w:val="en-US"/>
              </w:rPr>
              <w:t>2014 assumptions</w:t>
            </w:r>
          </w:p>
        </w:tc>
        <w:tc>
          <w:tcPr>
            <w:tcW w:w="1559" w:type="dxa"/>
            <w:shd w:val="clear" w:color="auto" w:fill="DDF3FA"/>
          </w:tcPr>
          <w:p w:rsidR="006133A8" w:rsidRPr="00497D3E" w:rsidRDefault="006133A8" w:rsidP="005667B5">
            <w:pPr>
              <w:pStyle w:val="Tablecolumnheading"/>
              <w:rPr>
                <w:lang w:val="en-US"/>
              </w:rPr>
            </w:pPr>
            <w:r w:rsidRPr="00497D3E">
              <w:rPr>
                <w:lang w:val="en-US"/>
              </w:rPr>
              <w:t>2011 assumptions</w:t>
            </w:r>
          </w:p>
        </w:tc>
        <w:tc>
          <w:tcPr>
            <w:tcW w:w="1559" w:type="dxa"/>
            <w:shd w:val="clear" w:color="auto" w:fill="DDF3FA"/>
          </w:tcPr>
          <w:p w:rsidR="006133A8" w:rsidRPr="00497D3E" w:rsidRDefault="006133A8" w:rsidP="005667B5">
            <w:pPr>
              <w:pStyle w:val="Tablecolumnheading"/>
              <w:rPr>
                <w:lang w:val="en-US"/>
              </w:rPr>
            </w:pPr>
            <w:r w:rsidRPr="00497D3E">
              <w:rPr>
                <w:lang w:val="en-US"/>
              </w:rPr>
              <w:t>2014 assumptions</w:t>
            </w:r>
          </w:p>
        </w:tc>
        <w:tc>
          <w:tcPr>
            <w:tcW w:w="1693" w:type="dxa"/>
            <w:shd w:val="clear" w:color="auto" w:fill="DDF3FA"/>
          </w:tcPr>
          <w:p w:rsidR="006133A8" w:rsidRPr="00497D3E" w:rsidRDefault="006133A8" w:rsidP="005667B5">
            <w:pPr>
              <w:pStyle w:val="Tablecolumnheading"/>
              <w:rPr>
                <w:lang w:val="en-US"/>
              </w:rPr>
            </w:pPr>
            <w:r w:rsidRPr="00497D3E">
              <w:rPr>
                <w:lang w:val="en-US"/>
              </w:rPr>
              <w:t>2011 assumptions</w:t>
            </w:r>
          </w:p>
        </w:tc>
      </w:tr>
      <w:tr w:rsidR="006133A8" w:rsidRPr="00497D3E" w:rsidTr="00497D3E">
        <w:trPr>
          <w:trHeight w:val="239"/>
        </w:trPr>
        <w:tc>
          <w:tcPr>
            <w:tcW w:w="1368" w:type="dxa"/>
          </w:tcPr>
          <w:p w:rsidR="006133A8" w:rsidRPr="00497D3E" w:rsidRDefault="006133A8" w:rsidP="005667B5">
            <w:pPr>
              <w:pStyle w:val="Tablebodytext"/>
              <w:rPr>
                <w:lang w:val="en-US"/>
              </w:rPr>
            </w:pPr>
            <w:r w:rsidRPr="00497D3E">
              <w:rPr>
                <w:lang w:val="en-US"/>
              </w:rPr>
              <w:t xml:space="preserve">Male </w:t>
            </w:r>
          </w:p>
        </w:tc>
        <w:tc>
          <w:tcPr>
            <w:tcW w:w="1751" w:type="dxa"/>
            <w:vAlign w:val="bottom"/>
          </w:tcPr>
          <w:p w:rsidR="006133A8" w:rsidRPr="00497D3E" w:rsidRDefault="006133A8" w:rsidP="005667B5">
            <w:pPr>
              <w:pStyle w:val="Tablebodytext"/>
              <w:rPr>
                <w:lang w:val="en-US"/>
              </w:rPr>
            </w:pPr>
            <w:r w:rsidRPr="00497D3E">
              <w:rPr>
                <w:b/>
                <w:lang w:val="en-US"/>
              </w:rPr>
              <w:t>22.73</w:t>
            </w:r>
          </w:p>
        </w:tc>
        <w:tc>
          <w:tcPr>
            <w:tcW w:w="1559" w:type="dxa"/>
            <w:vAlign w:val="bottom"/>
          </w:tcPr>
          <w:p w:rsidR="006133A8" w:rsidRPr="00497D3E" w:rsidRDefault="006133A8" w:rsidP="005667B5">
            <w:pPr>
              <w:pStyle w:val="Tablebodytext"/>
              <w:rPr>
                <w:lang w:val="en-US"/>
              </w:rPr>
            </w:pPr>
            <w:r w:rsidRPr="00497D3E">
              <w:rPr>
                <w:b/>
                <w:lang w:val="en-US"/>
              </w:rPr>
              <w:t>21.84</w:t>
            </w:r>
          </w:p>
        </w:tc>
        <w:tc>
          <w:tcPr>
            <w:tcW w:w="1559" w:type="dxa"/>
            <w:vAlign w:val="bottom"/>
          </w:tcPr>
          <w:p w:rsidR="006133A8" w:rsidRPr="00497D3E" w:rsidRDefault="006133A8" w:rsidP="005667B5">
            <w:pPr>
              <w:pStyle w:val="Tablebodytext"/>
              <w:rPr>
                <w:lang w:val="en-US"/>
              </w:rPr>
            </w:pPr>
            <w:r w:rsidRPr="00497D3E">
              <w:rPr>
                <w:b/>
                <w:lang w:val="en-US"/>
              </w:rPr>
              <w:t>23.85</w:t>
            </w:r>
          </w:p>
        </w:tc>
        <w:tc>
          <w:tcPr>
            <w:tcW w:w="1693" w:type="dxa"/>
            <w:vAlign w:val="bottom"/>
          </w:tcPr>
          <w:p w:rsidR="006133A8" w:rsidRPr="00497D3E" w:rsidRDefault="006133A8" w:rsidP="005667B5">
            <w:pPr>
              <w:pStyle w:val="Tablebodytext"/>
              <w:rPr>
                <w:lang w:val="en-US"/>
              </w:rPr>
            </w:pPr>
            <w:r w:rsidRPr="00497D3E">
              <w:rPr>
                <w:b/>
                <w:lang w:val="en-US"/>
              </w:rPr>
              <w:t>23.06</w:t>
            </w:r>
          </w:p>
        </w:tc>
      </w:tr>
      <w:tr w:rsidR="006133A8" w:rsidRPr="00497D3E" w:rsidTr="00497D3E">
        <w:trPr>
          <w:trHeight w:val="286"/>
        </w:trPr>
        <w:tc>
          <w:tcPr>
            <w:tcW w:w="1368" w:type="dxa"/>
          </w:tcPr>
          <w:p w:rsidR="006133A8" w:rsidRPr="00497D3E" w:rsidRDefault="006133A8" w:rsidP="005667B5">
            <w:pPr>
              <w:pStyle w:val="Tablebodytext"/>
              <w:rPr>
                <w:lang w:val="en-US"/>
              </w:rPr>
            </w:pPr>
            <w:r w:rsidRPr="00497D3E">
              <w:rPr>
                <w:lang w:val="en-US"/>
              </w:rPr>
              <w:t>Female</w:t>
            </w:r>
          </w:p>
        </w:tc>
        <w:tc>
          <w:tcPr>
            <w:tcW w:w="1751" w:type="dxa"/>
            <w:vAlign w:val="bottom"/>
          </w:tcPr>
          <w:p w:rsidR="006133A8" w:rsidRPr="00497D3E" w:rsidRDefault="006133A8" w:rsidP="005667B5">
            <w:pPr>
              <w:pStyle w:val="Tablebodytext"/>
              <w:rPr>
                <w:lang w:val="en-US"/>
              </w:rPr>
            </w:pPr>
            <w:r w:rsidRPr="00497D3E">
              <w:rPr>
                <w:b/>
                <w:lang w:val="en-US"/>
              </w:rPr>
              <w:t>25.48</w:t>
            </w:r>
          </w:p>
        </w:tc>
        <w:tc>
          <w:tcPr>
            <w:tcW w:w="1559" w:type="dxa"/>
            <w:vAlign w:val="bottom"/>
          </w:tcPr>
          <w:p w:rsidR="006133A8" w:rsidRPr="00497D3E" w:rsidRDefault="006133A8" w:rsidP="005667B5">
            <w:pPr>
              <w:pStyle w:val="Tablebodytext"/>
              <w:rPr>
                <w:lang w:val="en-US"/>
              </w:rPr>
            </w:pPr>
            <w:r w:rsidRPr="00497D3E">
              <w:rPr>
                <w:b/>
                <w:lang w:val="en-US"/>
              </w:rPr>
              <w:t>24.40</w:t>
            </w:r>
          </w:p>
        </w:tc>
        <w:tc>
          <w:tcPr>
            <w:tcW w:w="1559" w:type="dxa"/>
            <w:vAlign w:val="bottom"/>
          </w:tcPr>
          <w:p w:rsidR="006133A8" w:rsidRPr="00497D3E" w:rsidRDefault="006133A8" w:rsidP="005667B5">
            <w:pPr>
              <w:pStyle w:val="Tablebodytext"/>
              <w:rPr>
                <w:lang w:val="en-US"/>
              </w:rPr>
            </w:pPr>
            <w:r w:rsidRPr="00497D3E">
              <w:rPr>
                <w:b/>
                <w:lang w:val="en-US"/>
              </w:rPr>
              <w:t>26.67</w:t>
            </w:r>
          </w:p>
        </w:tc>
        <w:tc>
          <w:tcPr>
            <w:tcW w:w="1693" w:type="dxa"/>
            <w:vAlign w:val="bottom"/>
          </w:tcPr>
          <w:p w:rsidR="006133A8" w:rsidRPr="00497D3E" w:rsidRDefault="006133A8" w:rsidP="005667B5">
            <w:pPr>
              <w:pStyle w:val="Tablebodytext"/>
              <w:rPr>
                <w:lang w:val="en-US"/>
              </w:rPr>
            </w:pPr>
            <w:r w:rsidRPr="00497D3E">
              <w:rPr>
                <w:b/>
                <w:lang w:val="en-US"/>
              </w:rPr>
              <w:t>25.66</w:t>
            </w:r>
          </w:p>
        </w:tc>
      </w:tr>
    </w:tbl>
    <w:p w:rsidR="006133A8" w:rsidRDefault="006133A8" w:rsidP="005667B5">
      <w:pPr>
        <w:pStyle w:val="Heading4nonumbers"/>
      </w:pPr>
      <w:r w:rsidRPr="002E7A55">
        <w:t>New Entrants</w:t>
      </w:r>
    </w:p>
    <w:p w:rsidR="006133A8" w:rsidRDefault="006133A8" w:rsidP="006133A8">
      <w:r w:rsidRPr="002E7A55">
        <w:t>The PSS has been closed to new members since 1 July 2005. The CSS has been closed to new members since 1 July 1990. This Report assumes that there are no future new entrants to either the PSS or CSS.</w:t>
      </w:r>
    </w:p>
    <w:p w:rsidR="006133A8" w:rsidRDefault="006133A8" w:rsidP="005667B5">
      <w:pPr>
        <w:pStyle w:val="Heading4nonumbers"/>
      </w:pPr>
      <w:r>
        <w:t>Proportion Married</w:t>
      </w:r>
    </w:p>
    <w:p w:rsidR="006133A8" w:rsidRDefault="006133A8" w:rsidP="006133A8">
      <w:r>
        <w:t>It has been assumed that the proportion of males who are in a Marital or Couple Relationship at 30 June 2014 (or at the commencement date of their pension if later) will gradually increase with age to 60% at age 42; remain constant to age 69; increase to 75% for ages 70 to 72 and then reduce.</w:t>
      </w:r>
    </w:p>
    <w:p w:rsidR="006133A8" w:rsidRDefault="006133A8" w:rsidP="006133A8">
      <w:r>
        <w:t>It has been assumed that the proportion of females who are in a Marital or Couple Relationship at 30 June 2014 (or at the commencement date of their pension if later) will gradually increase with age to 44% at age 27; remain constant to age 62; and then reduce.</w:t>
      </w:r>
    </w:p>
    <w:p w:rsidR="006133A8" w:rsidRDefault="006133A8" w:rsidP="006133A8">
      <w:r>
        <w:t>It has been assumed that 1% of males and females are in same sex relationships.</w:t>
      </w:r>
    </w:p>
    <w:p w:rsidR="006133A8" w:rsidRDefault="006133A8" w:rsidP="005667B5">
      <w:pPr>
        <w:pStyle w:val="Heading4nonumbers"/>
      </w:pPr>
      <w:r>
        <w:lastRenderedPageBreak/>
        <w:t>Age Gap between Member and Spouse</w:t>
      </w:r>
    </w:p>
    <w:p w:rsidR="006133A8" w:rsidRDefault="006133A8" w:rsidP="006133A8">
      <w:pPr>
        <w:pStyle w:val="ListBullet"/>
        <w:numPr>
          <w:ilvl w:val="0"/>
          <w:numId w:val="0"/>
        </w:numPr>
      </w:pPr>
      <w:r>
        <w:t xml:space="preserve">It is assumed that male members are 3 years older than their spouses, and that female members are 2 years younger than their spouses. </w:t>
      </w:r>
    </w:p>
    <w:p w:rsidR="006133A8" w:rsidRDefault="006133A8" w:rsidP="0011465D">
      <w:pPr>
        <w:pStyle w:val="Heading2"/>
        <w:numPr>
          <w:ilvl w:val="0"/>
          <w:numId w:val="0"/>
        </w:numPr>
        <w:spacing w:after="720"/>
      </w:pPr>
      <w:r>
        <w:br w:type="page"/>
      </w:r>
      <w:bookmarkStart w:id="16" w:name="_Toc422302166"/>
      <w:r>
        <w:lastRenderedPageBreak/>
        <w:t>Appendix C</w:t>
      </w:r>
      <w:r w:rsidR="00552DA0">
        <w:t>: Actuary’s Certification</w:t>
      </w:r>
      <w:bookmarkEnd w:id="16"/>
    </w:p>
    <w:p w:rsidR="006133A8" w:rsidRPr="003662F6" w:rsidRDefault="006133A8" w:rsidP="006133A8">
      <w:pPr>
        <w:spacing w:after="240"/>
      </w:pPr>
      <w:r w:rsidRPr="003662F6">
        <w:t>This Report has been carried out by Richard Boyfield FIAA FIA and Roger Bohlsen FIAA, of Mercer Consulting (Australia) Pty Limited</w:t>
      </w:r>
      <w:r w:rsidRPr="003662F6" w:rsidDel="00AA4052">
        <w:t xml:space="preserve"> </w:t>
      </w:r>
      <w:r w:rsidRPr="003662F6">
        <w:t xml:space="preserve">at the request of the Department of Finance. </w:t>
      </w:r>
    </w:p>
    <w:p w:rsidR="006133A8" w:rsidRPr="003662F6" w:rsidRDefault="006133A8" w:rsidP="006133A8">
      <w:pPr>
        <w:spacing w:after="240"/>
      </w:pPr>
      <w:r w:rsidRPr="003662F6">
        <w:t>Martin Stevenson and Darren Wickham carried out the previous actuarial investigation of the schemes as at 30 June 2011. The results of that investigation were set out in the 2011 Report.</w:t>
      </w:r>
    </w:p>
    <w:p w:rsidR="006133A8" w:rsidRDefault="006133A8" w:rsidP="006133A8">
      <w:pPr>
        <w:spacing w:after="240"/>
      </w:pPr>
      <w:r w:rsidRPr="003662F6">
        <w:t>This Report satisfies the requirements of Professional Standard No. 400 of Actuaries Institute. Professional Standard No. 400 relates to the preparation of reports commenting on the financial condition of defined benefit superannuation funds.</w:t>
      </w:r>
    </w:p>
    <w:p w:rsidR="006133A8" w:rsidRPr="00552DA0" w:rsidRDefault="006133A8" w:rsidP="005667B5">
      <w:pPr>
        <w:pStyle w:val="Heading3nonumbers"/>
        <w:rPr>
          <w:rFonts w:eastAsia="MS Gothic"/>
        </w:rPr>
      </w:pPr>
      <w:r w:rsidRPr="00552DA0">
        <w:rPr>
          <w:rFonts w:eastAsia="MS Gothic"/>
        </w:rPr>
        <w:t>Use of report</w:t>
      </w:r>
    </w:p>
    <w:p w:rsidR="006133A8" w:rsidRPr="003662F6" w:rsidRDefault="006133A8" w:rsidP="006133A8">
      <w:pPr>
        <w:spacing w:after="240"/>
      </w:pPr>
      <w:r w:rsidRPr="003662F6">
        <w:t>This Report should not be relied upon for any other purpose or by any party other than the Department of Finance and the schemes’ trustee. Mercer is not responsible for the consequences of any other use. This Report should be considered in its entirety and not distributed in parts.</w:t>
      </w:r>
    </w:p>
    <w:p w:rsidR="006133A8" w:rsidRDefault="006133A8" w:rsidP="006133A8">
      <w:pPr>
        <w:spacing w:after="240"/>
      </w:pPr>
      <w:r w:rsidRPr="003662F6">
        <w:t>The advice contained in this Report is given in the context of Australian law and practice. No allowance has been made for taxation, accountancy or other requirements in any other country.</w:t>
      </w:r>
    </w:p>
    <w:p w:rsidR="006133A8" w:rsidRPr="00552DA0" w:rsidRDefault="006133A8" w:rsidP="005667B5">
      <w:pPr>
        <w:pStyle w:val="Heading3nonumbers"/>
        <w:rPr>
          <w:rFonts w:eastAsia="MS Gothic"/>
        </w:rPr>
      </w:pPr>
      <w:r w:rsidRPr="00552DA0">
        <w:rPr>
          <w:rFonts w:eastAsia="MS Gothic"/>
        </w:rPr>
        <w:t>Actuarial Uncertainty and Assumptions</w:t>
      </w:r>
    </w:p>
    <w:p w:rsidR="006133A8" w:rsidRPr="003662F6" w:rsidRDefault="006133A8" w:rsidP="006133A8">
      <w:pPr>
        <w:spacing w:after="240"/>
      </w:pPr>
      <w:r w:rsidRPr="003662F6">
        <w:t>An actuarial investigation report contains a snapshot of a scheme’s financial condition at a particular point in time, and projections of the scheme’s estimated future financial position based on certain assumptions. It does not provide certainty in relation to a scheme’s future financial condition or its ability to pay benefits in the future.</w:t>
      </w:r>
    </w:p>
    <w:p w:rsidR="006133A8" w:rsidRPr="003662F6" w:rsidRDefault="006133A8" w:rsidP="006133A8">
      <w:pPr>
        <w:spacing w:after="240"/>
      </w:pPr>
      <w:r w:rsidRPr="003662F6">
        <w:t xml:space="preserve">Future funding and actual costs relating to a scheme are primarily driven by the scheme’s benefit design, the actual rate of salary increases and any discretions exercised by the trustee of the scheme or the Australian Government. The scheme’s actuary does not directly control or influence any of these factors in the context of an actuarial investigation. </w:t>
      </w:r>
    </w:p>
    <w:p w:rsidR="006133A8" w:rsidRPr="003662F6" w:rsidRDefault="006133A8" w:rsidP="006133A8">
      <w:pPr>
        <w:spacing w:after="240"/>
      </w:pPr>
      <w:r w:rsidRPr="003662F6">
        <w:t>The schemes’ future financial position and the estimated long term cost depend on a number of factors, including the amount of benefits the scheme pays, the cause and timing of member withdrawals, the level of taxation and the amount earned on any assets invested to pay the benefits. These amounts and others are uncertain and unknowable at the valuation date, but are predicted to fall within a reasonable range of possibilities.</w:t>
      </w:r>
    </w:p>
    <w:p w:rsidR="006133A8" w:rsidRPr="003662F6" w:rsidRDefault="006133A8" w:rsidP="006133A8">
      <w:pPr>
        <w:spacing w:after="240"/>
      </w:pPr>
      <w:r w:rsidRPr="003662F6">
        <w:lastRenderedPageBreak/>
        <w:t xml:space="preserve">To prepare this Report, assumptions, as described in Section 4, are used to select a single scenario from the range of possibilities. The results of that single scenario are included in this Report. </w:t>
      </w:r>
    </w:p>
    <w:p w:rsidR="006133A8" w:rsidRPr="003662F6" w:rsidRDefault="006133A8" w:rsidP="006133A8">
      <w:pPr>
        <w:spacing w:after="240"/>
      </w:pPr>
      <w:r w:rsidRPr="003662F6">
        <w:t xml:space="preserve">However, the future is uncertain and the schemes’ actual experience may differ from those assumptions. These differences may be significant or immaterial. In addition, different assumptions or scenarios may also be within the reasonable range and results based on those assumptions would be different. For this reason this Report also shows the impact on the results of certain changes in assumptions (see Section 8). </w:t>
      </w:r>
    </w:p>
    <w:p w:rsidR="006133A8" w:rsidRDefault="006133A8" w:rsidP="006133A8">
      <w:pPr>
        <w:spacing w:after="240"/>
      </w:pPr>
      <w:r w:rsidRPr="00DF0B40">
        <w:t>Actuarial assumptions may also be changed from one valuation to the next because of mandated requirements, experience of the schemes, changes in expectations about the future and other factors</w:t>
      </w:r>
      <w:r>
        <w:t xml:space="preserve">. </w:t>
      </w:r>
      <w:r w:rsidRPr="00DF0B40">
        <w:t>We did not perform, and thus do not present, an analysis of the potential range of future possibilities and scenarios.</w:t>
      </w:r>
    </w:p>
    <w:p w:rsidR="006133A8" w:rsidRPr="00DF0B40" w:rsidRDefault="006133A8" w:rsidP="006133A8">
      <w:pPr>
        <w:spacing w:after="240"/>
      </w:pPr>
      <w:r w:rsidRPr="00DF0B40">
        <w:t xml:space="preserve">Because actual experience of the schemes </w:t>
      </w:r>
      <w:r>
        <w:t>may</w:t>
      </w:r>
      <w:r w:rsidRPr="00DF0B40">
        <w:t xml:space="preserve"> differ from the assumptions, decisions about benefit related issues should be made only after careful consideration of alternative future financial conditions and scenarios, and not solely on the basis of a set of valuation results.</w:t>
      </w:r>
    </w:p>
    <w:p w:rsidR="004D6565" w:rsidRPr="009C442A" w:rsidRDefault="006133A8" w:rsidP="00552DA0">
      <w:pPr>
        <w:pStyle w:val="ListBullet"/>
        <w:numPr>
          <w:ilvl w:val="0"/>
          <w:numId w:val="0"/>
        </w:numPr>
      </w:pPr>
      <w:r w:rsidRPr="0074083A">
        <w:t xml:space="preserve">If the data is not accurate and complete, the valuation results may differ significantly from the results that would be obtained with accurate and complete information; this may require a revision of this </w:t>
      </w:r>
      <w:r>
        <w:t>R</w:t>
      </w:r>
      <w:r w:rsidRPr="0074083A">
        <w:t>eport</w:t>
      </w:r>
      <w:bookmarkEnd w:id="6"/>
      <w:r w:rsidR="00552DA0">
        <w:t>.</w:t>
      </w:r>
    </w:p>
    <w:sectPr w:rsidR="004D6565" w:rsidRPr="009C442A" w:rsidSect="00F37383">
      <w:headerReference w:type="default" r:id="rId20"/>
      <w:footerReference w:type="default" r:id="rId21"/>
      <w:pgSz w:w="11900" w:h="16840" w:code="9"/>
      <w:pgMar w:top="1701" w:right="1985" w:bottom="1701" w:left="1985" w:header="510" w:footer="51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0D">
      <wne:fci wne:fciName="InsertPageBreak" wne:swArg="0000"/>
    </wne:keymap>
    <wne:keymap wne:kcmPrimary="0231">
      <wne:acd wne:acdName="acd7"/>
    </wne:keymap>
    <wne:keymap wne:kcmPrimary="0232">
      <wne:acd wne:acdName="acd8"/>
    </wne:keymap>
    <wne:keymap wne:kcmPrimary="0233">
      <wne:acd wne:acdName="acd9"/>
    </wne:keymap>
    <wne:keymap wne:kcmPrimary="0234">
      <wne:acd wne:acdName="acd31"/>
    </wne:keymap>
    <wne:keymap wne:kcmPrimary="0235">
      <wne:acd wne:acdName="acd29"/>
    </wne:keymap>
    <wne:keymap wne:kcmPrimary="0254">
      <wne:acd wne:acdName="acd2"/>
    </wne:keymap>
    <wne:keymap wne:kcmPrimary="0331">
      <wne:acd wne:acdName="acd3"/>
    </wne:keymap>
    <wne:keymap wne:kcmPrimary="0332">
      <wne:acd wne:acdName="acd4"/>
    </wne:keymap>
    <wne:keymap wne:kcmPrimary="0341">
      <wne:acd wne:acdName="acd0"/>
    </wne:keymap>
    <wne:keymap wne:kcmPrimary="0346">
      <wne:acd wne:acdName="acd33"/>
    </wne:keymap>
    <wne:keymap wne:kcmPrimary="0354">
      <wne:acd wne:acdName="acd10"/>
    </wne:keymap>
    <wne:keymap wne:kcmPrimary="0356">
      <wne:macro wne:macroName="TEMPLATEPROJECT.FORMAT.PASTEUNFORMATTED"/>
    </wne:keymap>
    <wne:keymap wne:kcmPrimary="0631">
      <wne:acd wne:acdName="acd12"/>
    </wne:keymap>
    <wne:keymap wne:kcmPrimary="0632">
      <wne:acd wne:acdName="acd15"/>
    </wne:keymap>
    <wne:keymap wne:kcmPrimary="0641">
      <wne:acd wne:acdName="acd1"/>
    </wne:keymap>
    <wne:keymap wne:kcmPrimary="0646">
      <wne:acd wne:acdName="acd5"/>
    </wne:keymap>
    <wne:keymap wne:kcmPrimary="065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Manifest>
    <wne:toolbarData r:id="rId1"/>
  </wne:toolbars>
  <wne:acds>
    <wne:acd wne:argValue="AgBBAHAAcABlAG4AZABpAHgAIABoAGUAYQBkAGkAbgBnACAAMQA=" wne:acdName="acd0" wne:fciIndexBasedOn="0065"/>
    <wne:acd wne:argValue="AgBBAHAAcABlAG4AZABpAHgAIABoAGUAYQBkAGkAbgBnACAAMgA=" wne:acdName="acd1" wne:fciIndexBasedOn="0065"/>
    <wne:acd wne:argValue="AgBCAG8AZAB5ACAAdABlAHgAdAA=" wne:acdName="acd2" wne:fciIndexBasedOn="0065"/>
    <wne:acd wne:argValue="AgBCAHUAbABsAGUAdABzACAAKAAxAHMAdAAgAGkAbgBkAGUAbgB0ACkA" wne:acdName="acd3" wne:fciIndexBasedOn="0065"/>
    <wne:acd wne:argValue="AgBCAHUAbABsAGUAdABzACAAKAAyAG4AZAAgAGkAbgBkAGUAbgB0ACkA" wne:acdName="acd4" wne:fciIndexBasedOn="0065"/>
    <wne:acd wne:argValue="AgBGAGkAZwB1AHIAZQAgAHQAaQB0AGwAZQA=" wne:acdName="acd5" wne:fciIndexBasedOn="0065"/>
    <wne:acd wne:acdName="acd6" wne:fciIndexBasedOn="0065"/>
    <wne:acd wne:argValue="AQAAAAEA" wne:acdName="acd7" wne:fciIndexBasedOn="0065"/>
    <wne:acd wne:argValue="AQAAAAIA" wne:acdName="acd8" wne:fciIndexBasedOn="0065"/>
    <wne:acd wne:argValue="AQAAAAMA" wne:acdName="acd9" wne:fciIndexBasedOn="0065"/>
    <wne:acd wne:argValue="AgBUAGEAYgBsAGUAIABiAG8AZAB5ACAAdABlAHgAdAA=" wne:acdName="acd10" wne:fciIndexBasedOn="0065"/>
    <wne:acd wne:acdName="acd11" wne:fciIndexBasedOn="0065"/>
    <wne:acd wne:argValue="AgBUAGEAYgBsAGUAIABiAHUAbABsAGUAdABzACAAKAAxAHMAdAAgAGkAbgBkAGUAbgB0ACkA" wne:acdName="acd12" wne:fciIndexBasedOn="0065"/>
    <wne:acd wne:acdName="acd13" wne:fciIndexBasedOn="0065"/>
    <wne:acd wne:argValue="AgBUAGEAYgBsAGUAIAB0AGkAdABsAGUA" wne:acdName="acd14" wne:fciIndexBasedOn="0065"/>
    <wne:acd wne:argValue="AgBUAGEAYgBsAGUAIABiAHUAbABsAGUAdABzACAAKAAyAG4AZAAgAGkAbgBkAGUAbgB0ACkA" wne:acdName="acd15" wne:fciIndexBasedOn="0065"/>
    <wne:acd wne:argValue="AgBCAG8AZAB5ACAAdABlAHgAdAAgACgAYgBlAGYAbwByAGUAIABiAHUAbABsAGUAdABzACkA" wne:acdName="acd16" wne:fciIndexBasedOn="0065"/>
    <wne:acd wne:argValue="AgBCAHUAbABsAGUAdABzACAAbABhAHMAdAAgACgAMQBzAHQAIABpAG4AZABlAG4AdAApAA==" wne:acdName="acd17" wne:fciIndexBasedOn="0065"/>
    <wne:acd wne:argValue="AgBCAHUAbABsAGUAdABzACAAbABhAHMAdAAgACgAMgBuAGQAIABpAG4AZABlAG4AdAApAA==" wne:acdName="acd18" wne:fciIndexBasedOn="0065"/>
    <wne:acd wne:argValue="AgBOAG8AdABlACAAdABpAHQAbABlAA==" wne:acdName="acd19" wne:fciIndexBasedOn="0065"/>
    <wne:acd wne:argValue="AgBOAHUAbQBiAGUAcgBlAGQAIABwAGEAcgBhACAAKAAxAHMAdAAgAGkAbgBkAGUAbgB0ACkA" wne:acdName="acd20" wne:fciIndexBasedOn="0065"/>
    <wne:acd wne:argValue="AgBOAHUAbQBiAGUAcgBlAGQAIABwAGEAcgBhACAAKAAyAG4AZAAgAGkAbgBkAGUAbgB0ACkA" wne:acdName="acd21" wne:fciIndexBasedOn="0065"/>
    <wne:acd wne:argValue="AgBOAHUAbQBiAGUAcgBlAGQAIABwAGEAcgBhACAAKAAzAHIAZAAgAGkAbgBkAGUAbgB0ACkA" wne:acdName="acd22" wne:fciIndexBasedOn="0065"/>
    <wne:acd wne:acdName="acd23" wne:fciIndexBasedOn="0065"/>
    <wne:acd wne:acdName="acd24" wne:fciIndexBasedOn="0065"/>
    <wne:acd wne:argValue="QgBvAHgA" wne:acdName="acd25" wne:fciIndexBasedOn="0211"/>
    <wne:acd wne:acdName="acd26" wne:fciIndexBasedOn="0211"/>
    <wne:acd wne:argValue="SABlAGEAZABpAG4AZwAgADEA" wne:acdName="acd27" wne:fciIndexBasedOn="0211"/>
    <wne:acd wne:argValue="AQAAAAQA" wne:acdName="acd28" wne:fciIndexBasedOn="0065"/>
    <wne:acd wne:argValue="AQAAAAUA" wne:acdName="acd29" wne:fciIndexBasedOn="0065"/>
    <wne:acd wne:argValue="AgBIAGUAYQBkAGkAbgBnACAAMwAgACgAbgBvACAAbgB1AG0AYgBlAHIAcwApAA==" wne:acdName="acd30" wne:fciIndexBasedOn="0065"/>
    <wne:acd wne:argValue="AgBIAGUAYQBkAGkAbgBnACAANAAgACgAbgBvACAAbgB1AG0AYgBlAHIAcwApAA==" wne:acdName="acd31" wne:fciIndexBasedOn="0065"/>
    <wne:acd wne:argValue="UwBpAG0AcABsAGUAIABUAGEAYgBsAGUA" wne:acdName="acd32" wne:fciIndexBasedOn="0211"/>
    <wne:acd wne:argValue="AgBTAG8AdQByAGMAZQAvAG4AbwB0AGUAIAB0AGUAeAB0AA==" wne:acdName="acd33" wne:fciIndexBasedOn="0065"/>
    <wne:acd wne:argValue="AgBCAG8AZAB5ACAAVABlAHgAdAAxAA==" wne:acdName="acd34" wne:fciIndexBasedOn="0065"/>
    <wne:acd wne:argValue="AQAAAL0A" wne:acdName="acd35" wne:fciIndexBasedOn="0065"/>
    <wne:acd wne:argValue="AgBIAGUAYQBkAGkAbgBnACAAMgAgACgAbgBvACAAbgB1AG0AYgBlAHIAcwApAA==" wne:acdName="acd36" wne:fciIndexBasedOn="0065"/>
    <wne:acd wne:argValue="AgBEAE8ARgBEACAAcABsAGEAaQBuAA==" wne:acdName="acd37" wne:fciIndexBasedOn="0065"/>
    <wne:acd wne:argValue="AgBEAE8ARgBEACAAYgBhAG4AZABlAGQA" wne:acdName="acd38" wne:fciIndexBasedOn="0065"/>
    <wne:acd wne:argValue="AgBEAE8ARgBEACAAdwBpAHQAaAAgAGgAZQBhAGQAZQByAA==" wne:acdName="acd3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313" w:rsidRDefault="00862313">
      <w:r>
        <w:separator/>
      </w:r>
    </w:p>
  </w:endnote>
  <w:endnote w:type="continuationSeparator" w:id="0">
    <w:p w:rsidR="00862313" w:rsidRDefault="00862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40" w:rsidRPr="00EA4040" w:rsidRDefault="00770E40" w:rsidP="001D20B6">
    <w:pPr>
      <w:pStyle w:val="Footer"/>
      <w:ind w:left="709"/>
      <w:rPr>
        <w:rFonts w:ascii="Arial" w:hAnsi="Arial" w:cs="Arial"/>
        <w:color w:val="37424A"/>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40" w:rsidRPr="00EA4040" w:rsidRDefault="00770E40" w:rsidP="00EA4040">
    <w:pPr>
      <w:pStyle w:val="Footer"/>
      <w:jc w:val="center"/>
      <w:rPr>
        <w:rFonts w:ascii="Arial" w:hAnsi="Arial" w:cs="Arial"/>
        <w:color w:val="37424A"/>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text" w:horzAnchor="page" w:tblpX="11228" w:tblpY="1"/>
      <w:tblOverlap w:val="never"/>
      <w:tblW w:w="0" w:type="auto"/>
      <w:tblLayout w:type="fixed"/>
      <w:tblCellMar>
        <w:left w:w="0" w:type="dxa"/>
        <w:right w:w="0" w:type="dxa"/>
      </w:tblCellMar>
      <w:tblLook w:val="04A0"/>
    </w:tblPr>
    <w:tblGrid>
      <w:gridCol w:w="284"/>
    </w:tblGrid>
    <w:tr w:rsidR="00770E40" w:rsidRPr="00591116" w:rsidTr="00591116">
      <w:trPr>
        <w:cantSplit/>
        <w:trHeight w:hRule="exact" w:val="10773"/>
      </w:trPr>
      <w:tc>
        <w:tcPr>
          <w:tcW w:w="284" w:type="dxa"/>
          <w:textDirection w:val="btLr"/>
          <w:vAlign w:val="center"/>
        </w:tcPr>
        <w:p w:rsidR="00770E40" w:rsidRPr="00591116" w:rsidRDefault="00770E40" w:rsidP="00591116">
          <w:pPr>
            <w:pStyle w:val="Footertext"/>
            <w:framePr w:hSpace="0" w:wrap="auto" w:vAnchor="margin" w:hAnchor="text" w:xAlign="left" w:yAlign="inline"/>
            <w:suppressOverlap w:val="0"/>
          </w:pPr>
          <w:r w:rsidRPr="00591116">
            <w:rPr>
              <w:rStyle w:val="ArialBlackBlue"/>
            </w:rPr>
            <w:t>Book title</w:t>
          </w:r>
        </w:p>
      </w:tc>
    </w:tr>
    <w:tr w:rsidR="00770E40" w:rsidRPr="00591116" w:rsidTr="00591116">
      <w:trPr>
        <w:cantSplit/>
        <w:trHeight w:hRule="exact" w:val="1247"/>
      </w:trPr>
      <w:tc>
        <w:tcPr>
          <w:tcW w:w="284" w:type="dxa"/>
          <w:tcMar>
            <w:bottom w:w="454" w:type="dxa"/>
          </w:tcMar>
          <w:vAlign w:val="bottom"/>
        </w:tcPr>
        <w:p w:rsidR="00770E40" w:rsidRPr="00591116" w:rsidRDefault="00800308" w:rsidP="00591116">
          <w:pPr>
            <w:jc w:val="center"/>
            <w:rPr>
              <w:rStyle w:val="PageNumber"/>
            </w:rPr>
          </w:pPr>
          <w:r w:rsidRPr="00591116">
            <w:rPr>
              <w:rStyle w:val="PageNumber"/>
            </w:rPr>
            <w:fldChar w:fldCharType="begin"/>
          </w:r>
          <w:r w:rsidR="00770E40" w:rsidRPr="00591116">
            <w:rPr>
              <w:rStyle w:val="PageNumber"/>
            </w:rPr>
            <w:instrText xml:space="preserve"> PAGE   \* MERGEFORMAT </w:instrText>
          </w:r>
          <w:r w:rsidRPr="00591116">
            <w:rPr>
              <w:rStyle w:val="PageNumber"/>
            </w:rPr>
            <w:fldChar w:fldCharType="separate"/>
          </w:r>
          <w:r w:rsidR="00770E40" w:rsidRPr="00591116">
            <w:rPr>
              <w:rStyle w:val="PageNumber"/>
              <w:noProof/>
            </w:rPr>
            <w:t>2</w:t>
          </w:r>
          <w:r w:rsidRPr="00591116">
            <w:rPr>
              <w:rStyle w:val="PageNumber"/>
            </w:rPr>
            <w:fldChar w:fldCharType="end"/>
          </w:r>
        </w:p>
      </w:tc>
    </w:tr>
  </w:tbl>
  <w:p w:rsidR="00770E40" w:rsidRPr="00B12E83" w:rsidRDefault="00770E40" w:rsidP="00B12E8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40" w:rsidRDefault="00770E40" w:rsidP="004D6565">
    <w:pPr>
      <w:pStyle w:val="Footer"/>
      <w:ind w:right="-1001"/>
      <w:jc w:val="right"/>
    </w:pPr>
    <w:r>
      <w:rPr>
        <w:rStyle w:val="ArialBlackBlue"/>
        <w:sz w:val="18"/>
        <w:szCs w:val="18"/>
      </w:rPr>
      <w:t>PSS and CSS Long Term Cost Report 2014</w:t>
    </w:r>
    <w:r w:rsidRPr="004D6565">
      <w:rPr>
        <w:sz w:val="18"/>
        <w:szCs w:val="18"/>
      </w:rPr>
      <w:t xml:space="preserve">    </w:t>
    </w:r>
    <w:r w:rsidRPr="004D6565">
      <w:rPr>
        <w:rFonts w:ascii="Arial" w:hAnsi="Arial" w:cs="Arial"/>
        <w:sz w:val="18"/>
        <w:szCs w:val="18"/>
      </w:rPr>
      <w:t xml:space="preserve">|    </w:t>
    </w:r>
    <w:r w:rsidR="00800308"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800308" w:rsidRPr="004D6565">
      <w:rPr>
        <w:rFonts w:ascii="Arial" w:hAnsi="Arial" w:cs="Arial"/>
        <w:sz w:val="18"/>
        <w:szCs w:val="18"/>
      </w:rPr>
      <w:fldChar w:fldCharType="separate"/>
    </w:r>
    <w:r w:rsidR="00472381">
      <w:rPr>
        <w:rFonts w:ascii="Arial" w:hAnsi="Arial" w:cs="Arial"/>
        <w:noProof/>
        <w:sz w:val="18"/>
        <w:szCs w:val="18"/>
      </w:rPr>
      <w:t>30</w:t>
    </w:r>
    <w:r w:rsidR="00800308" w:rsidRPr="004D6565">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313" w:rsidRDefault="00862313" w:rsidP="00700BDE">
      <w:pPr>
        <w:pBdr>
          <w:bottom w:val="single" w:sz="2" w:space="1" w:color="37424A"/>
        </w:pBdr>
      </w:pPr>
    </w:p>
  </w:footnote>
  <w:footnote w:type="continuationSeparator" w:id="0">
    <w:p w:rsidR="00862313" w:rsidRDefault="00862313" w:rsidP="00700BDE">
      <w:pPr>
        <w:pBdr>
          <w:bottom w:val="single" w:sz="2" w:space="1" w:color="37424A"/>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40" w:rsidRDefault="00770E40">
    <w:pPr>
      <w:pStyle w:val="Header"/>
    </w:pPr>
    <w:r>
      <w:rPr>
        <w:noProof/>
        <w:lang w:eastAsia="en-AU"/>
      </w:rPr>
      <w:drawing>
        <wp:anchor distT="0" distB="0" distL="114300" distR="114300" simplePos="0" relativeHeight="251657216" behindDoc="1" locked="0" layoutInCell="1" allowOverlap="1">
          <wp:simplePos x="0" y="0"/>
          <wp:positionH relativeFrom="column">
            <wp:posOffset>-1291590</wp:posOffset>
          </wp:positionH>
          <wp:positionV relativeFrom="paragraph">
            <wp:posOffset>-338455</wp:posOffset>
          </wp:positionV>
          <wp:extent cx="7609840" cy="10748010"/>
          <wp:effectExtent l="19050" t="0" r="0" b="0"/>
          <wp:wrapNone/>
          <wp:docPr id="3" name="Picture 3" descr="Australian Government&#10;Department of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10;Department of Finance"/>
                  <pic:cNvPicPr>
                    <a:picLocks noChangeAspect="1" noChangeArrowheads="1"/>
                  </pic:cNvPicPr>
                </pic:nvPicPr>
                <pic:blipFill>
                  <a:blip r:embed="rId1"/>
                  <a:srcRect/>
                  <a:stretch>
                    <a:fillRect/>
                  </a:stretch>
                </pic:blipFill>
                <pic:spPr bwMode="auto">
                  <a:xfrm>
                    <a:off x="0" y="0"/>
                    <a:ext cx="7609840" cy="1074801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40" w:rsidRDefault="00770E40">
    <w:pPr>
      <w:pStyle w:val="Header"/>
    </w:pPr>
    <w:r>
      <w:rPr>
        <w:noProof/>
        <w:lang w:eastAsia="en-AU"/>
      </w:rPr>
      <w:drawing>
        <wp:anchor distT="0" distB="0" distL="114300" distR="114300" simplePos="0" relativeHeight="251658240" behindDoc="1" locked="0" layoutInCell="1" allowOverlap="1">
          <wp:simplePos x="0" y="0"/>
          <wp:positionH relativeFrom="column">
            <wp:posOffset>-1273810</wp:posOffset>
          </wp:positionH>
          <wp:positionV relativeFrom="paragraph">
            <wp:posOffset>-335915</wp:posOffset>
          </wp:positionV>
          <wp:extent cx="3639820" cy="1267460"/>
          <wp:effectExtent l="19050" t="0" r="0" b="0"/>
          <wp:wrapNone/>
          <wp:docPr id="4" name="Picture 4" descr="Australian Government&#10;Department of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10;Department of Finance"/>
                  <pic:cNvPicPr>
                    <a:picLocks noChangeAspect="1" noChangeArrowheads="1"/>
                  </pic:cNvPicPr>
                </pic:nvPicPr>
                <pic:blipFill>
                  <a:blip r:embed="rId1"/>
                  <a:srcRect/>
                  <a:stretch>
                    <a:fillRect/>
                  </a:stretch>
                </pic:blipFill>
                <pic:spPr bwMode="auto">
                  <a:xfrm>
                    <a:off x="0" y="0"/>
                    <a:ext cx="3639820" cy="126746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40" w:rsidRDefault="00770E4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40" w:rsidRDefault="00770E4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40" w:rsidRDefault="00770E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0E28EC"/>
    <w:lvl w:ilvl="0">
      <w:start w:val="1"/>
      <w:numFmt w:val="decimal"/>
      <w:lvlText w:val="%1."/>
      <w:lvlJc w:val="left"/>
      <w:pPr>
        <w:tabs>
          <w:tab w:val="num" w:pos="1492"/>
        </w:tabs>
        <w:ind w:left="1492" w:hanging="360"/>
      </w:pPr>
    </w:lvl>
  </w:abstractNum>
  <w:abstractNum w:abstractNumId="1">
    <w:nsid w:val="FFFFFF7D"/>
    <w:multiLevelType w:val="singleLevel"/>
    <w:tmpl w:val="7028393E"/>
    <w:lvl w:ilvl="0">
      <w:start w:val="1"/>
      <w:numFmt w:val="decimal"/>
      <w:lvlText w:val="%1."/>
      <w:lvlJc w:val="left"/>
      <w:pPr>
        <w:tabs>
          <w:tab w:val="num" w:pos="1209"/>
        </w:tabs>
        <w:ind w:left="1209" w:hanging="360"/>
      </w:pPr>
    </w:lvl>
  </w:abstractNum>
  <w:abstractNum w:abstractNumId="2">
    <w:nsid w:val="FFFFFF7E"/>
    <w:multiLevelType w:val="singleLevel"/>
    <w:tmpl w:val="297E545A"/>
    <w:lvl w:ilvl="0">
      <w:start w:val="1"/>
      <w:numFmt w:val="decimal"/>
      <w:lvlText w:val="%1."/>
      <w:lvlJc w:val="left"/>
      <w:pPr>
        <w:tabs>
          <w:tab w:val="num" w:pos="926"/>
        </w:tabs>
        <w:ind w:left="926" w:hanging="360"/>
      </w:pPr>
    </w:lvl>
  </w:abstractNum>
  <w:abstractNum w:abstractNumId="3">
    <w:nsid w:val="FFFFFF7F"/>
    <w:multiLevelType w:val="singleLevel"/>
    <w:tmpl w:val="F33AA8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CD62C5F6"/>
    <w:lvl w:ilvl="0">
      <w:start w:val="1"/>
      <w:numFmt w:val="bullet"/>
      <w:lvlText w:val=""/>
      <w:lvlJc w:val="left"/>
      <w:pPr>
        <w:tabs>
          <w:tab w:val="num" w:pos="1492"/>
        </w:tabs>
        <w:ind w:left="1492" w:hanging="360"/>
      </w:pPr>
      <w:rPr>
        <w:rFonts w:ascii="Symbol" w:hAnsi="Symbol" w:hint="default"/>
      </w:rPr>
    </w:lvl>
  </w:abstractNum>
  <w:abstractNum w:abstractNumId="5">
    <w:nsid w:val="FFFFFF82"/>
    <w:multiLevelType w:val="singleLevel"/>
    <w:tmpl w:val="6342775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4E4FE24"/>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multilevel"/>
    <w:tmpl w:val="619C32BE"/>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FFFFFF89"/>
    <w:multiLevelType w:val="singleLevel"/>
    <w:tmpl w:val="7C1EEB5C"/>
    <w:lvl w:ilvl="0">
      <w:start w:val="1"/>
      <w:numFmt w:val="bullet"/>
      <w:pStyle w:val="ListBullet"/>
      <w:lvlText w:val=""/>
      <w:lvlJc w:val="left"/>
      <w:pPr>
        <w:ind w:left="360" w:hanging="360"/>
      </w:pPr>
      <w:rPr>
        <w:rFonts w:ascii="Symbol" w:hAnsi="Symbol" w:hint="default"/>
        <w:color w:val="14708E"/>
      </w:rPr>
    </w:lvl>
  </w:abstractNum>
  <w:abstractNum w:abstractNumId="9">
    <w:nsid w:val="294214C9"/>
    <w:multiLevelType w:val="multilevel"/>
    <w:tmpl w:val="15BC10E0"/>
    <w:styleLink w:val="Bullets"/>
    <w:lvl w:ilvl="0">
      <w:start w:val="1"/>
      <w:numFmt w:val="bullet"/>
      <w:pStyle w:val="Bullets1stindent"/>
      <w:lvlText w:val="•"/>
      <w:lvlJc w:val="left"/>
      <w:pPr>
        <w:tabs>
          <w:tab w:val="num" w:pos="284"/>
        </w:tabs>
        <w:ind w:left="284" w:hanging="284"/>
      </w:pPr>
      <w:rPr>
        <w:rFonts w:ascii="Cambria" w:hAnsi="Cambria" w:hint="default"/>
        <w:color w:val="5BC6E8"/>
      </w:rPr>
    </w:lvl>
    <w:lvl w:ilvl="1">
      <w:start w:val="1"/>
      <w:numFmt w:val="bullet"/>
      <w:pStyle w:val="Bullets2ndindent"/>
      <w:lvlText w:val="•"/>
      <w:lvlJc w:val="left"/>
      <w:pPr>
        <w:tabs>
          <w:tab w:val="num" w:pos="567"/>
        </w:tabs>
        <w:ind w:left="567" w:hanging="283"/>
      </w:pPr>
      <w:rPr>
        <w:rFonts w:ascii="Cambria" w:hAnsi="Cambria" w:hint="default"/>
        <w:color w:val="5BC6E8"/>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29765422"/>
    <w:multiLevelType w:val="multilevel"/>
    <w:tmpl w:val="0D8881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3"/>
      <w:numFmt w:val="decimal"/>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11">
    <w:nsid w:val="2B994507"/>
    <w:multiLevelType w:val="multilevel"/>
    <w:tmpl w:val="9E6899E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decimal"/>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12">
    <w:nsid w:val="2C852FF9"/>
    <w:multiLevelType w:val="hybridMultilevel"/>
    <w:tmpl w:val="3FFE5D2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811011C"/>
    <w:multiLevelType w:val="hybridMultilevel"/>
    <w:tmpl w:val="9D6818E0"/>
    <w:name w:val="SREP_HEAD1"/>
    <w:lvl w:ilvl="0" w:tplc="13B42958">
      <w:start w:val="1"/>
      <w:numFmt w:val="bullet"/>
      <w:lvlText w:val=""/>
      <w:lvlJc w:val="left"/>
      <w:pPr>
        <w:tabs>
          <w:tab w:val="num" w:pos="393"/>
        </w:tabs>
        <w:ind w:left="393" w:hanging="360"/>
      </w:pPr>
      <w:rPr>
        <w:rFonts w:ascii="Wingdings" w:hAnsi="Wingdings" w:hint="default"/>
      </w:rPr>
    </w:lvl>
    <w:lvl w:ilvl="1" w:tplc="5F0CEC00" w:tentative="1">
      <w:start w:val="1"/>
      <w:numFmt w:val="bullet"/>
      <w:lvlText w:val="o"/>
      <w:lvlJc w:val="left"/>
      <w:pPr>
        <w:tabs>
          <w:tab w:val="num" w:pos="1113"/>
        </w:tabs>
        <w:ind w:left="1113" w:hanging="360"/>
      </w:pPr>
      <w:rPr>
        <w:rFonts w:ascii="Courier New" w:hAnsi="Courier New" w:hint="default"/>
      </w:rPr>
    </w:lvl>
    <w:lvl w:ilvl="2" w:tplc="69DC9E38" w:tentative="1">
      <w:start w:val="1"/>
      <w:numFmt w:val="bullet"/>
      <w:lvlText w:val=""/>
      <w:lvlJc w:val="left"/>
      <w:pPr>
        <w:tabs>
          <w:tab w:val="num" w:pos="1833"/>
        </w:tabs>
        <w:ind w:left="1833" w:hanging="360"/>
      </w:pPr>
      <w:rPr>
        <w:rFonts w:ascii="Wingdings" w:hAnsi="Wingdings" w:hint="default"/>
      </w:rPr>
    </w:lvl>
    <w:lvl w:ilvl="3" w:tplc="74985E50" w:tentative="1">
      <w:start w:val="1"/>
      <w:numFmt w:val="bullet"/>
      <w:lvlText w:val=""/>
      <w:lvlJc w:val="left"/>
      <w:pPr>
        <w:tabs>
          <w:tab w:val="num" w:pos="2553"/>
        </w:tabs>
        <w:ind w:left="2553" w:hanging="360"/>
      </w:pPr>
      <w:rPr>
        <w:rFonts w:ascii="Symbol" w:hAnsi="Symbol" w:hint="default"/>
      </w:rPr>
    </w:lvl>
    <w:lvl w:ilvl="4" w:tplc="A55EA138" w:tentative="1">
      <w:start w:val="1"/>
      <w:numFmt w:val="bullet"/>
      <w:lvlText w:val="o"/>
      <w:lvlJc w:val="left"/>
      <w:pPr>
        <w:tabs>
          <w:tab w:val="num" w:pos="3273"/>
        </w:tabs>
        <w:ind w:left="3273" w:hanging="360"/>
      </w:pPr>
      <w:rPr>
        <w:rFonts w:ascii="Courier New" w:hAnsi="Courier New" w:hint="default"/>
      </w:rPr>
    </w:lvl>
    <w:lvl w:ilvl="5" w:tplc="5B00A588" w:tentative="1">
      <w:start w:val="1"/>
      <w:numFmt w:val="bullet"/>
      <w:lvlText w:val=""/>
      <w:lvlJc w:val="left"/>
      <w:pPr>
        <w:tabs>
          <w:tab w:val="num" w:pos="3993"/>
        </w:tabs>
        <w:ind w:left="3993" w:hanging="360"/>
      </w:pPr>
      <w:rPr>
        <w:rFonts w:ascii="Wingdings" w:hAnsi="Wingdings" w:hint="default"/>
      </w:rPr>
    </w:lvl>
    <w:lvl w:ilvl="6" w:tplc="F2EA7E82" w:tentative="1">
      <w:start w:val="1"/>
      <w:numFmt w:val="bullet"/>
      <w:lvlText w:val=""/>
      <w:lvlJc w:val="left"/>
      <w:pPr>
        <w:tabs>
          <w:tab w:val="num" w:pos="4713"/>
        </w:tabs>
        <w:ind w:left="4713" w:hanging="360"/>
      </w:pPr>
      <w:rPr>
        <w:rFonts w:ascii="Symbol" w:hAnsi="Symbol" w:hint="default"/>
      </w:rPr>
    </w:lvl>
    <w:lvl w:ilvl="7" w:tplc="D2A6DCEC" w:tentative="1">
      <w:start w:val="1"/>
      <w:numFmt w:val="bullet"/>
      <w:lvlText w:val="o"/>
      <w:lvlJc w:val="left"/>
      <w:pPr>
        <w:tabs>
          <w:tab w:val="num" w:pos="5433"/>
        </w:tabs>
        <w:ind w:left="5433" w:hanging="360"/>
      </w:pPr>
      <w:rPr>
        <w:rFonts w:ascii="Courier New" w:hAnsi="Courier New" w:hint="default"/>
      </w:rPr>
    </w:lvl>
    <w:lvl w:ilvl="8" w:tplc="FE9A0108" w:tentative="1">
      <w:start w:val="1"/>
      <w:numFmt w:val="bullet"/>
      <w:lvlText w:val=""/>
      <w:lvlJc w:val="left"/>
      <w:pPr>
        <w:tabs>
          <w:tab w:val="num" w:pos="6153"/>
        </w:tabs>
        <w:ind w:left="6153" w:hanging="360"/>
      </w:pPr>
      <w:rPr>
        <w:rFonts w:ascii="Wingdings" w:hAnsi="Wingdings" w:hint="default"/>
      </w:rPr>
    </w:lvl>
  </w:abstractNum>
  <w:abstractNum w:abstractNumId="14">
    <w:nsid w:val="4F1523F7"/>
    <w:multiLevelType w:val="multilevel"/>
    <w:tmpl w:val="2D8247C8"/>
    <w:styleLink w:val="Numbers"/>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737"/>
        </w:tabs>
        <w:ind w:left="737" w:hanging="737"/>
      </w:pPr>
      <w:rPr>
        <w:rFonts w:hint="default"/>
      </w:rPr>
    </w:lvl>
    <w:lvl w:ilvl="2">
      <w:start w:val="1"/>
      <w:numFmt w:val="decimal"/>
      <w:pStyle w:val="Heading4"/>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bullet"/>
      <w:pStyle w:val="Numberedpara2ndindent"/>
      <w:lvlText w:val=""/>
      <w:lvlJc w:val="left"/>
      <w:pPr>
        <w:tabs>
          <w:tab w:val="num" w:pos="851"/>
        </w:tabs>
        <w:ind w:left="851" w:hanging="284"/>
      </w:pPr>
      <w:rPr>
        <w:rFonts w:ascii="Symbol" w:hAnsi="Symbol"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5">
    <w:nsid w:val="515A2466"/>
    <w:multiLevelType w:val="multilevel"/>
    <w:tmpl w:val="BA48F5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upperLetter"/>
      <w:pStyle w:val="AppendixHeading1"/>
      <w:suff w:val="nothing"/>
      <w:lvlText w:val="Appendix: %5."/>
      <w:lvlJc w:val="left"/>
      <w:pPr>
        <w:tabs>
          <w:tab w:val="num" w:pos="0"/>
        </w:tabs>
      </w:pPr>
      <w:rPr>
        <w:rFonts w:cs="Times New Roman"/>
        <w:b w:val="0"/>
        <w:i w:val="0"/>
        <w:caps w:val="0"/>
        <w:smallCaps w:val="0"/>
        <w:vanish/>
        <w:u w:val="none"/>
      </w:rPr>
    </w:lvl>
    <w:lvl w:ilvl="5">
      <w:start w:val="1"/>
      <w:numFmt w:val="decimal"/>
      <w:pStyle w:val="AppendixHeading2"/>
      <w:lvlText w:val="%5.%6."/>
      <w:lvlJc w:val="left"/>
      <w:pPr>
        <w:tabs>
          <w:tab w:val="num" w:pos="840"/>
        </w:tabs>
        <w:ind w:left="840" w:hanging="840"/>
      </w:pPr>
      <w:rPr>
        <w:rFonts w:cs="Times New Roman"/>
      </w:rPr>
    </w:lvl>
    <w:lvl w:ilvl="6">
      <w:start w:val="1"/>
      <w:numFmt w:val="decimal"/>
      <w:pStyle w:val="AppendixHeading3"/>
      <w:lvlText w:val="%5.%6.%7."/>
      <w:lvlJc w:val="left"/>
      <w:pPr>
        <w:tabs>
          <w:tab w:val="num" w:pos="1080"/>
        </w:tabs>
        <w:ind w:left="1080" w:hanging="1080"/>
      </w:pPr>
      <w:rPr>
        <w:rFonts w:cs="Times New Roman"/>
      </w:rPr>
    </w:lvl>
    <w:lvl w:ilvl="7">
      <w:start w:val="1"/>
      <w:numFmt w:val="decimal"/>
      <w:lvlText w:val="%5.%6.%7.%8."/>
      <w:lvlJc w:val="left"/>
      <w:pPr>
        <w:tabs>
          <w:tab w:val="num" w:pos="1080"/>
        </w:tabs>
        <w:ind w:left="1080" w:hanging="1080"/>
      </w:pPr>
      <w:rPr>
        <w:rFonts w:cs="Times New Roman"/>
      </w:rPr>
    </w:lvl>
    <w:lvl w:ilvl="8">
      <w:start w:val="1"/>
      <w:numFmt w:val="decimal"/>
      <w:lvlText w:val="%5.%6.%7.%8.%9"/>
      <w:lvlJc w:val="left"/>
      <w:pPr>
        <w:tabs>
          <w:tab w:val="num" w:pos="1080"/>
        </w:tabs>
        <w:ind w:left="1080" w:hanging="1080"/>
      </w:pPr>
      <w:rPr>
        <w:rFonts w:cs="Times New Roman"/>
      </w:rPr>
    </w:lvl>
  </w:abstractNum>
  <w:abstractNum w:abstractNumId="16">
    <w:nsid w:val="5E244427"/>
    <w:multiLevelType w:val="multilevel"/>
    <w:tmpl w:val="640A32D2"/>
    <w:name w:val="HeadingNumb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4"/>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7">
    <w:nsid w:val="6AF932A6"/>
    <w:multiLevelType w:val="singleLevel"/>
    <w:tmpl w:val="BFAA8006"/>
    <w:lvl w:ilvl="0">
      <w:start w:val="1"/>
      <w:numFmt w:val="upperLetter"/>
      <w:pStyle w:val="AppendixStart"/>
      <w:lvlText w:val="Appendix %1"/>
      <w:lvlJc w:val="left"/>
      <w:pPr>
        <w:tabs>
          <w:tab w:val="num" w:pos="0"/>
        </w:tabs>
      </w:pPr>
      <w:rPr>
        <w:rFonts w:cs="Times New Roman" w:hint="default"/>
      </w:rPr>
    </w:lvl>
  </w:abstractNum>
  <w:abstractNum w:abstractNumId="18">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C6E8"/>
      </w:rPr>
    </w:lvl>
    <w:lvl w:ilvl="6">
      <w:start w:val="1"/>
      <w:numFmt w:val="bullet"/>
      <w:lvlText w:val="•"/>
      <w:lvlJc w:val="left"/>
      <w:pPr>
        <w:tabs>
          <w:tab w:val="num" w:pos="437"/>
        </w:tabs>
        <w:ind w:left="437" w:hanging="171"/>
      </w:pPr>
      <w:rPr>
        <w:rFonts w:ascii="Cambria" w:hAnsi="Cambria" w:hint="default"/>
        <w:color w:val="5BC6E8"/>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4"/>
  </w:num>
  <w:num w:numId="2">
    <w:abstractNumId w:val="9"/>
  </w:num>
  <w:num w:numId="3">
    <w:abstractNumId w:val="18"/>
  </w:num>
  <w:num w:numId="4">
    <w:abstractNumId w:val="8"/>
  </w:num>
  <w:num w:numId="5">
    <w:abstractNumId w:val="7"/>
  </w:num>
  <w:num w:numId="6">
    <w:abstractNumId w:val="3"/>
  </w:num>
  <w:num w:numId="7">
    <w:abstractNumId w:val="17"/>
  </w:num>
  <w:num w:numId="8">
    <w:abstractNumId w:val="12"/>
  </w:num>
  <w:num w:numId="9">
    <w:abstractNumId w:val="16"/>
  </w:num>
  <w:num w:numId="10">
    <w:abstractNumId w:val="15"/>
  </w:num>
  <w:num w:numId="11">
    <w:abstractNumId w:val="11"/>
  </w:num>
  <w:num w:numId="12">
    <w:abstractNumId w:val="10"/>
  </w:num>
  <w:num w:numId="13">
    <w:abstractNumId w:val="6"/>
  </w:num>
  <w:num w:numId="14">
    <w:abstractNumId w:val="5"/>
  </w:num>
  <w:num w:numId="15">
    <w:abstractNumId w:val="4"/>
  </w:num>
  <w:num w:numId="16">
    <w:abstractNumId w:val="2"/>
  </w:num>
  <w:num w:numId="17">
    <w:abstractNumId w:val="1"/>
  </w:num>
  <w:num w:numId="18">
    <w:abstractNumId w:val="0"/>
  </w:num>
  <w:num w:numId="19">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1024"/>
  <w:stylePaneSortMethod w:val="0000"/>
  <w:defaultTabStop w:val="720"/>
  <w:defaultTableStyle w:val="DOFDplain"/>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rsids>
    <w:rsidRoot w:val="00E11300"/>
    <w:rsid w:val="000007EE"/>
    <w:rsid w:val="00002DAA"/>
    <w:rsid w:val="0000300E"/>
    <w:rsid w:val="000043FB"/>
    <w:rsid w:val="00013C05"/>
    <w:rsid w:val="00015535"/>
    <w:rsid w:val="000158A5"/>
    <w:rsid w:val="0001738B"/>
    <w:rsid w:val="00020514"/>
    <w:rsid w:val="00023B29"/>
    <w:rsid w:val="00025493"/>
    <w:rsid w:val="000267B3"/>
    <w:rsid w:val="00030FB6"/>
    <w:rsid w:val="00033027"/>
    <w:rsid w:val="0003409D"/>
    <w:rsid w:val="000403F1"/>
    <w:rsid w:val="00040411"/>
    <w:rsid w:val="000420FC"/>
    <w:rsid w:val="0004353D"/>
    <w:rsid w:val="00045CD2"/>
    <w:rsid w:val="000533F3"/>
    <w:rsid w:val="00060262"/>
    <w:rsid w:val="00061FA9"/>
    <w:rsid w:val="00073227"/>
    <w:rsid w:val="00082CFA"/>
    <w:rsid w:val="00090797"/>
    <w:rsid w:val="00095546"/>
    <w:rsid w:val="00095D42"/>
    <w:rsid w:val="00096C17"/>
    <w:rsid w:val="000A559D"/>
    <w:rsid w:val="000B50AA"/>
    <w:rsid w:val="000B5B19"/>
    <w:rsid w:val="000B5F49"/>
    <w:rsid w:val="000C6452"/>
    <w:rsid w:val="000C766F"/>
    <w:rsid w:val="000D4626"/>
    <w:rsid w:val="000D7181"/>
    <w:rsid w:val="000E21F5"/>
    <w:rsid w:val="000E6E97"/>
    <w:rsid w:val="000E7056"/>
    <w:rsid w:val="000F0CE7"/>
    <w:rsid w:val="0010065D"/>
    <w:rsid w:val="00105F30"/>
    <w:rsid w:val="00107867"/>
    <w:rsid w:val="001105DF"/>
    <w:rsid w:val="00112913"/>
    <w:rsid w:val="0011465D"/>
    <w:rsid w:val="001147CA"/>
    <w:rsid w:val="00120110"/>
    <w:rsid w:val="00120569"/>
    <w:rsid w:val="0012453C"/>
    <w:rsid w:val="00133DE8"/>
    <w:rsid w:val="001345DB"/>
    <w:rsid w:val="00143144"/>
    <w:rsid w:val="00146B25"/>
    <w:rsid w:val="001516D5"/>
    <w:rsid w:val="001566A1"/>
    <w:rsid w:val="0015777B"/>
    <w:rsid w:val="00157B01"/>
    <w:rsid w:val="0016375A"/>
    <w:rsid w:val="00165AB5"/>
    <w:rsid w:val="00167104"/>
    <w:rsid w:val="001743C3"/>
    <w:rsid w:val="001810B6"/>
    <w:rsid w:val="00182E20"/>
    <w:rsid w:val="001832F6"/>
    <w:rsid w:val="00195A56"/>
    <w:rsid w:val="001A11B3"/>
    <w:rsid w:val="001A6620"/>
    <w:rsid w:val="001B0475"/>
    <w:rsid w:val="001B1284"/>
    <w:rsid w:val="001C7384"/>
    <w:rsid w:val="001D20B6"/>
    <w:rsid w:val="001E1690"/>
    <w:rsid w:val="001E27BA"/>
    <w:rsid w:val="001E516E"/>
    <w:rsid w:val="001F13DC"/>
    <w:rsid w:val="001F392F"/>
    <w:rsid w:val="00201922"/>
    <w:rsid w:val="00202AE0"/>
    <w:rsid w:val="0020578A"/>
    <w:rsid w:val="002115A9"/>
    <w:rsid w:val="00215DC0"/>
    <w:rsid w:val="00216C27"/>
    <w:rsid w:val="002211DD"/>
    <w:rsid w:val="00224E49"/>
    <w:rsid w:val="00230912"/>
    <w:rsid w:val="002321AB"/>
    <w:rsid w:val="00233957"/>
    <w:rsid w:val="00235FC7"/>
    <w:rsid w:val="00236F21"/>
    <w:rsid w:val="00237A7C"/>
    <w:rsid w:val="002406DF"/>
    <w:rsid w:val="00241DF9"/>
    <w:rsid w:val="00250368"/>
    <w:rsid w:val="002519FC"/>
    <w:rsid w:val="00252CF6"/>
    <w:rsid w:val="00253723"/>
    <w:rsid w:val="00253BA3"/>
    <w:rsid w:val="00257CEE"/>
    <w:rsid w:val="00266115"/>
    <w:rsid w:val="00266412"/>
    <w:rsid w:val="00266A7E"/>
    <w:rsid w:val="00271F9C"/>
    <w:rsid w:val="0027363C"/>
    <w:rsid w:val="00275489"/>
    <w:rsid w:val="00287EDC"/>
    <w:rsid w:val="002907DB"/>
    <w:rsid w:val="002959A7"/>
    <w:rsid w:val="002A378D"/>
    <w:rsid w:val="002A4381"/>
    <w:rsid w:val="002A4560"/>
    <w:rsid w:val="002A4AE2"/>
    <w:rsid w:val="002A5802"/>
    <w:rsid w:val="002A5A8C"/>
    <w:rsid w:val="002B764F"/>
    <w:rsid w:val="002D0080"/>
    <w:rsid w:val="002D35B5"/>
    <w:rsid w:val="002D3885"/>
    <w:rsid w:val="002D4A6C"/>
    <w:rsid w:val="002D5FBA"/>
    <w:rsid w:val="002E126F"/>
    <w:rsid w:val="002E6351"/>
    <w:rsid w:val="002F6328"/>
    <w:rsid w:val="00303CD3"/>
    <w:rsid w:val="003114F0"/>
    <w:rsid w:val="00316D11"/>
    <w:rsid w:val="003205EC"/>
    <w:rsid w:val="00326579"/>
    <w:rsid w:val="00327EFB"/>
    <w:rsid w:val="00330DA3"/>
    <w:rsid w:val="003321B1"/>
    <w:rsid w:val="00337DB4"/>
    <w:rsid w:val="0034101C"/>
    <w:rsid w:val="003421C5"/>
    <w:rsid w:val="00345ADC"/>
    <w:rsid w:val="00353920"/>
    <w:rsid w:val="003542FB"/>
    <w:rsid w:val="00354857"/>
    <w:rsid w:val="0036299D"/>
    <w:rsid w:val="00364BAA"/>
    <w:rsid w:val="00366551"/>
    <w:rsid w:val="00370955"/>
    <w:rsid w:val="00374D1C"/>
    <w:rsid w:val="00375B3E"/>
    <w:rsid w:val="003810B5"/>
    <w:rsid w:val="0038208A"/>
    <w:rsid w:val="003905F5"/>
    <w:rsid w:val="003943BE"/>
    <w:rsid w:val="003A07C7"/>
    <w:rsid w:val="003A2614"/>
    <w:rsid w:val="003A3E55"/>
    <w:rsid w:val="003A6C48"/>
    <w:rsid w:val="003B4658"/>
    <w:rsid w:val="003B5F8F"/>
    <w:rsid w:val="003B748E"/>
    <w:rsid w:val="003C223C"/>
    <w:rsid w:val="003C7C6A"/>
    <w:rsid w:val="003D11C0"/>
    <w:rsid w:val="003D2733"/>
    <w:rsid w:val="003D40D2"/>
    <w:rsid w:val="003D69C1"/>
    <w:rsid w:val="003D75A6"/>
    <w:rsid w:val="003E551D"/>
    <w:rsid w:val="003E5DAB"/>
    <w:rsid w:val="003F282C"/>
    <w:rsid w:val="003F2C38"/>
    <w:rsid w:val="003F639C"/>
    <w:rsid w:val="003F71DA"/>
    <w:rsid w:val="003F7B06"/>
    <w:rsid w:val="0040260B"/>
    <w:rsid w:val="004069A3"/>
    <w:rsid w:val="00412CF2"/>
    <w:rsid w:val="00413689"/>
    <w:rsid w:val="004139EE"/>
    <w:rsid w:val="004175CF"/>
    <w:rsid w:val="00424683"/>
    <w:rsid w:val="00424C95"/>
    <w:rsid w:val="00426032"/>
    <w:rsid w:val="004326E5"/>
    <w:rsid w:val="004465A8"/>
    <w:rsid w:val="00451D70"/>
    <w:rsid w:val="0045585F"/>
    <w:rsid w:val="004620C7"/>
    <w:rsid w:val="00463FF8"/>
    <w:rsid w:val="00472381"/>
    <w:rsid w:val="0047430A"/>
    <w:rsid w:val="00474E81"/>
    <w:rsid w:val="004758DC"/>
    <w:rsid w:val="00476FA2"/>
    <w:rsid w:val="00482667"/>
    <w:rsid w:val="00482C62"/>
    <w:rsid w:val="0048329A"/>
    <w:rsid w:val="004834E2"/>
    <w:rsid w:val="004839E1"/>
    <w:rsid w:val="00485922"/>
    <w:rsid w:val="00491485"/>
    <w:rsid w:val="00495570"/>
    <w:rsid w:val="00497236"/>
    <w:rsid w:val="00497D3E"/>
    <w:rsid w:val="004A09A9"/>
    <w:rsid w:val="004A35B2"/>
    <w:rsid w:val="004A4702"/>
    <w:rsid w:val="004A67C3"/>
    <w:rsid w:val="004B1710"/>
    <w:rsid w:val="004B1948"/>
    <w:rsid w:val="004B23CE"/>
    <w:rsid w:val="004D2611"/>
    <w:rsid w:val="004D6565"/>
    <w:rsid w:val="004D6730"/>
    <w:rsid w:val="004E22DA"/>
    <w:rsid w:val="004E3FFE"/>
    <w:rsid w:val="004F35A3"/>
    <w:rsid w:val="004F43C1"/>
    <w:rsid w:val="005048D7"/>
    <w:rsid w:val="00504F25"/>
    <w:rsid w:val="005128D2"/>
    <w:rsid w:val="00512A12"/>
    <w:rsid w:val="00516FBB"/>
    <w:rsid w:val="00520A7A"/>
    <w:rsid w:val="00526772"/>
    <w:rsid w:val="0053057F"/>
    <w:rsid w:val="00532F1B"/>
    <w:rsid w:val="00534ADF"/>
    <w:rsid w:val="00542800"/>
    <w:rsid w:val="00547EF3"/>
    <w:rsid w:val="00552DA0"/>
    <w:rsid w:val="005553DE"/>
    <w:rsid w:val="0056265C"/>
    <w:rsid w:val="005667B5"/>
    <w:rsid w:val="005729B5"/>
    <w:rsid w:val="0058478D"/>
    <w:rsid w:val="0059080F"/>
    <w:rsid w:val="00591116"/>
    <w:rsid w:val="005A436D"/>
    <w:rsid w:val="005A6507"/>
    <w:rsid w:val="005B1403"/>
    <w:rsid w:val="005B4C95"/>
    <w:rsid w:val="005B69AF"/>
    <w:rsid w:val="005C6053"/>
    <w:rsid w:val="005D0496"/>
    <w:rsid w:val="005D12B7"/>
    <w:rsid w:val="005D1DA9"/>
    <w:rsid w:val="005D2CB4"/>
    <w:rsid w:val="005D6F40"/>
    <w:rsid w:val="005E014C"/>
    <w:rsid w:val="005E0C11"/>
    <w:rsid w:val="005E2BEA"/>
    <w:rsid w:val="005E3FCF"/>
    <w:rsid w:val="005E56E6"/>
    <w:rsid w:val="005E7AC7"/>
    <w:rsid w:val="005F227E"/>
    <w:rsid w:val="00602AAE"/>
    <w:rsid w:val="0060311E"/>
    <w:rsid w:val="00605C88"/>
    <w:rsid w:val="00611164"/>
    <w:rsid w:val="00611A79"/>
    <w:rsid w:val="00611DD7"/>
    <w:rsid w:val="00612408"/>
    <w:rsid w:val="00612710"/>
    <w:rsid w:val="006133A8"/>
    <w:rsid w:val="00627AA6"/>
    <w:rsid w:val="006407B1"/>
    <w:rsid w:val="00643A17"/>
    <w:rsid w:val="0064528E"/>
    <w:rsid w:val="00651E39"/>
    <w:rsid w:val="00657CB0"/>
    <w:rsid w:val="00657FFD"/>
    <w:rsid w:val="00662539"/>
    <w:rsid w:val="0066373F"/>
    <w:rsid w:val="00664B77"/>
    <w:rsid w:val="00666517"/>
    <w:rsid w:val="006669E1"/>
    <w:rsid w:val="00666ABF"/>
    <w:rsid w:val="00666DF9"/>
    <w:rsid w:val="00671899"/>
    <w:rsid w:val="006754E5"/>
    <w:rsid w:val="00675A7C"/>
    <w:rsid w:val="00681B41"/>
    <w:rsid w:val="00691804"/>
    <w:rsid w:val="006B0FAC"/>
    <w:rsid w:val="006B21FC"/>
    <w:rsid w:val="006B357E"/>
    <w:rsid w:val="006C0AC1"/>
    <w:rsid w:val="006D218C"/>
    <w:rsid w:val="006D488C"/>
    <w:rsid w:val="006D71A1"/>
    <w:rsid w:val="006D7778"/>
    <w:rsid w:val="006E6EA4"/>
    <w:rsid w:val="006F6D6C"/>
    <w:rsid w:val="00700BDE"/>
    <w:rsid w:val="0070128F"/>
    <w:rsid w:val="007119BB"/>
    <w:rsid w:val="00711F2B"/>
    <w:rsid w:val="00712298"/>
    <w:rsid w:val="00714994"/>
    <w:rsid w:val="00715FA7"/>
    <w:rsid w:val="0071668A"/>
    <w:rsid w:val="00723AD9"/>
    <w:rsid w:val="0072661F"/>
    <w:rsid w:val="00731B77"/>
    <w:rsid w:val="00732A67"/>
    <w:rsid w:val="00734DB9"/>
    <w:rsid w:val="0073639A"/>
    <w:rsid w:val="00740E86"/>
    <w:rsid w:val="00745381"/>
    <w:rsid w:val="007477EB"/>
    <w:rsid w:val="00750EC9"/>
    <w:rsid w:val="00751515"/>
    <w:rsid w:val="007577D4"/>
    <w:rsid w:val="00765EE9"/>
    <w:rsid w:val="007674B8"/>
    <w:rsid w:val="00770E40"/>
    <w:rsid w:val="00772FC7"/>
    <w:rsid w:val="007732FF"/>
    <w:rsid w:val="00774A1E"/>
    <w:rsid w:val="00777443"/>
    <w:rsid w:val="00782507"/>
    <w:rsid w:val="0078454D"/>
    <w:rsid w:val="00784B4C"/>
    <w:rsid w:val="00790177"/>
    <w:rsid w:val="007903EE"/>
    <w:rsid w:val="007919A6"/>
    <w:rsid w:val="007932CF"/>
    <w:rsid w:val="00794B22"/>
    <w:rsid w:val="007978A4"/>
    <w:rsid w:val="007A0ACF"/>
    <w:rsid w:val="007A5B84"/>
    <w:rsid w:val="007B21CF"/>
    <w:rsid w:val="007B21FA"/>
    <w:rsid w:val="007B2E51"/>
    <w:rsid w:val="007B5BC0"/>
    <w:rsid w:val="007C2E37"/>
    <w:rsid w:val="007C3C60"/>
    <w:rsid w:val="007C3DF7"/>
    <w:rsid w:val="007C6040"/>
    <w:rsid w:val="007D125B"/>
    <w:rsid w:val="007D27CE"/>
    <w:rsid w:val="007D5F35"/>
    <w:rsid w:val="007E0A5F"/>
    <w:rsid w:val="007E205C"/>
    <w:rsid w:val="007E3448"/>
    <w:rsid w:val="007E3548"/>
    <w:rsid w:val="007E47F7"/>
    <w:rsid w:val="007F2F19"/>
    <w:rsid w:val="007F2F40"/>
    <w:rsid w:val="007F6FFC"/>
    <w:rsid w:val="007F7648"/>
    <w:rsid w:val="00800308"/>
    <w:rsid w:val="008055B0"/>
    <w:rsid w:val="00806B5E"/>
    <w:rsid w:val="00807EC1"/>
    <w:rsid w:val="00821C17"/>
    <w:rsid w:val="0082240B"/>
    <w:rsid w:val="00823F0C"/>
    <w:rsid w:val="008313E2"/>
    <w:rsid w:val="00835A93"/>
    <w:rsid w:val="00840864"/>
    <w:rsid w:val="00840C2E"/>
    <w:rsid w:val="00840C76"/>
    <w:rsid w:val="00842699"/>
    <w:rsid w:val="0085179F"/>
    <w:rsid w:val="00852BCA"/>
    <w:rsid w:val="00861ACD"/>
    <w:rsid w:val="00861C26"/>
    <w:rsid w:val="00862313"/>
    <w:rsid w:val="00866D85"/>
    <w:rsid w:val="00867D89"/>
    <w:rsid w:val="00876589"/>
    <w:rsid w:val="00876C83"/>
    <w:rsid w:val="00877C50"/>
    <w:rsid w:val="00877D62"/>
    <w:rsid w:val="008803AA"/>
    <w:rsid w:val="00882B0C"/>
    <w:rsid w:val="00882B2F"/>
    <w:rsid w:val="00884F7B"/>
    <w:rsid w:val="00893682"/>
    <w:rsid w:val="00894C65"/>
    <w:rsid w:val="00894E58"/>
    <w:rsid w:val="008A19E4"/>
    <w:rsid w:val="008A4A81"/>
    <w:rsid w:val="008A68FD"/>
    <w:rsid w:val="008B2560"/>
    <w:rsid w:val="008B3153"/>
    <w:rsid w:val="008B3270"/>
    <w:rsid w:val="008B3315"/>
    <w:rsid w:val="008B3954"/>
    <w:rsid w:val="008B598D"/>
    <w:rsid w:val="008B6BC9"/>
    <w:rsid w:val="008C226A"/>
    <w:rsid w:val="008C34BB"/>
    <w:rsid w:val="008C561F"/>
    <w:rsid w:val="008C763E"/>
    <w:rsid w:val="008D2807"/>
    <w:rsid w:val="008D7A95"/>
    <w:rsid w:val="008E2C63"/>
    <w:rsid w:val="008F0B16"/>
    <w:rsid w:val="00901524"/>
    <w:rsid w:val="00902394"/>
    <w:rsid w:val="00902F86"/>
    <w:rsid w:val="00905965"/>
    <w:rsid w:val="0090622C"/>
    <w:rsid w:val="00906C15"/>
    <w:rsid w:val="00911D47"/>
    <w:rsid w:val="00914DBD"/>
    <w:rsid w:val="0092079F"/>
    <w:rsid w:val="0092421F"/>
    <w:rsid w:val="00926613"/>
    <w:rsid w:val="00927FF3"/>
    <w:rsid w:val="00932CA4"/>
    <w:rsid w:val="00940449"/>
    <w:rsid w:val="00941A58"/>
    <w:rsid w:val="00944E6E"/>
    <w:rsid w:val="00952392"/>
    <w:rsid w:val="00954309"/>
    <w:rsid w:val="00960DD9"/>
    <w:rsid w:val="00963A77"/>
    <w:rsid w:val="009656C0"/>
    <w:rsid w:val="0098778C"/>
    <w:rsid w:val="00991B37"/>
    <w:rsid w:val="0099223F"/>
    <w:rsid w:val="00994885"/>
    <w:rsid w:val="00994C3B"/>
    <w:rsid w:val="00995253"/>
    <w:rsid w:val="0099534C"/>
    <w:rsid w:val="009B300F"/>
    <w:rsid w:val="009C442A"/>
    <w:rsid w:val="009C5A83"/>
    <w:rsid w:val="009E250E"/>
    <w:rsid w:val="009E5C20"/>
    <w:rsid w:val="009F138C"/>
    <w:rsid w:val="009F363A"/>
    <w:rsid w:val="009F7AA6"/>
    <w:rsid w:val="009F7FCC"/>
    <w:rsid w:val="00A02998"/>
    <w:rsid w:val="00A06413"/>
    <w:rsid w:val="00A06FBD"/>
    <w:rsid w:val="00A10916"/>
    <w:rsid w:val="00A12C58"/>
    <w:rsid w:val="00A14CBE"/>
    <w:rsid w:val="00A167C9"/>
    <w:rsid w:val="00A3590E"/>
    <w:rsid w:val="00A36135"/>
    <w:rsid w:val="00A36362"/>
    <w:rsid w:val="00A43409"/>
    <w:rsid w:val="00A43CC2"/>
    <w:rsid w:val="00A46055"/>
    <w:rsid w:val="00A5196F"/>
    <w:rsid w:val="00A54224"/>
    <w:rsid w:val="00A56F92"/>
    <w:rsid w:val="00A676BC"/>
    <w:rsid w:val="00A67BB8"/>
    <w:rsid w:val="00A772E4"/>
    <w:rsid w:val="00A84904"/>
    <w:rsid w:val="00A84C93"/>
    <w:rsid w:val="00AA3010"/>
    <w:rsid w:val="00AB143D"/>
    <w:rsid w:val="00AB3DA9"/>
    <w:rsid w:val="00AB4F48"/>
    <w:rsid w:val="00AC212D"/>
    <w:rsid w:val="00AC3D7A"/>
    <w:rsid w:val="00AC7852"/>
    <w:rsid w:val="00AD2A77"/>
    <w:rsid w:val="00AD3F73"/>
    <w:rsid w:val="00AD68CD"/>
    <w:rsid w:val="00AE771C"/>
    <w:rsid w:val="00AF6F54"/>
    <w:rsid w:val="00B00404"/>
    <w:rsid w:val="00B014DD"/>
    <w:rsid w:val="00B0195D"/>
    <w:rsid w:val="00B02AAE"/>
    <w:rsid w:val="00B04BAC"/>
    <w:rsid w:val="00B05F21"/>
    <w:rsid w:val="00B07169"/>
    <w:rsid w:val="00B12E83"/>
    <w:rsid w:val="00B13032"/>
    <w:rsid w:val="00B25A64"/>
    <w:rsid w:val="00B25E42"/>
    <w:rsid w:val="00B370E8"/>
    <w:rsid w:val="00B42E5D"/>
    <w:rsid w:val="00B76938"/>
    <w:rsid w:val="00B8023E"/>
    <w:rsid w:val="00B82EB5"/>
    <w:rsid w:val="00B84B61"/>
    <w:rsid w:val="00B8589F"/>
    <w:rsid w:val="00B90D0A"/>
    <w:rsid w:val="00B95356"/>
    <w:rsid w:val="00BA0B64"/>
    <w:rsid w:val="00BA1904"/>
    <w:rsid w:val="00BA2562"/>
    <w:rsid w:val="00BA4955"/>
    <w:rsid w:val="00BB234C"/>
    <w:rsid w:val="00BB42FE"/>
    <w:rsid w:val="00BC1AA9"/>
    <w:rsid w:val="00BC34B4"/>
    <w:rsid w:val="00BD1A56"/>
    <w:rsid w:val="00BD1E9E"/>
    <w:rsid w:val="00BE142D"/>
    <w:rsid w:val="00BF008B"/>
    <w:rsid w:val="00BF323C"/>
    <w:rsid w:val="00BF41E3"/>
    <w:rsid w:val="00C1271B"/>
    <w:rsid w:val="00C141AD"/>
    <w:rsid w:val="00C14E54"/>
    <w:rsid w:val="00C14ECB"/>
    <w:rsid w:val="00C1720A"/>
    <w:rsid w:val="00C2301C"/>
    <w:rsid w:val="00C24260"/>
    <w:rsid w:val="00C31C8B"/>
    <w:rsid w:val="00C40D38"/>
    <w:rsid w:val="00C41D9F"/>
    <w:rsid w:val="00C4245A"/>
    <w:rsid w:val="00C42894"/>
    <w:rsid w:val="00C441EE"/>
    <w:rsid w:val="00C4706A"/>
    <w:rsid w:val="00C63BF4"/>
    <w:rsid w:val="00C6733B"/>
    <w:rsid w:val="00C676C5"/>
    <w:rsid w:val="00C67BB9"/>
    <w:rsid w:val="00C73030"/>
    <w:rsid w:val="00C73699"/>
    <w:rsid w:val="00C7792A"/>
    <w:rsid w:val="00C82389"/>
    <w:rsid w:val="00C8294E"/>
    <w:rsid w:val="00C8604A"/>
    <w:rsid w:val="00C9108D"/>
    <w:rsid w:val="00C94DB3"/>
    <w:rsid w:val="00CA2837"/>
    <w:rsid w:val="00CB30E0"/>
    <w:rsid w:val="00CB6255"/>
    <w:rsid w:val="00CB64EB"/>
    <w:rsid w:val="00CB7500"/>
    <w:rsid w:val="00CC06E4"/>
    <w:rsid w:val="00CC29D1"/>
    <w:rsid w:val="00CC43FC"/>
    <w:rsid w:val="00CC5C94"/>
    <w:rsid w:val="00CC7DF9"/>
    <w:rsid w:val="00CE1218"/>
    <w:rsid w:val="00CE2E0D"/>
    <w:rsid w:val="00CE5DBD"/>
    <w:rsid w:val="00CF3E5C"/>
    <w:rsid w:val="00CF5576"/>
    <w:rsid w:val="00CF7CC4"/>
    <w:rsid w:val="00D0298F"/>
    <w:rsid w:val="00D05863"/>
    <w:rsid w:val="00D05DE7"/>
    <w:rsid w:val="00D06D72"/>
    <w:rsid w:val="00D10BCE"/>
    <w:rsid w:val="00D11024"/>
    <w:rsid w:val="00D132CB"/>
    <w:rsid w:val="00D144B5"/>
    <w:rsid w:val="00D14B19"/>
    <w:rsid w:val="00D207D5"/>
    <w:rsid w:val="00D251E9"/>
    <w:rsid w:val="00D25264"/>
    <w:rsid w:val="00D32990"/>
    <w:rsid w:val="00D3323B"/>
    <w:rsid w:val="00D3351B"/>
    <w:rsid w:val="00D33A28"/>
    <w:rsid w:val="00D36862"/>
    <w:rsid w:val="00D368D0"/>
    <w:rsid w:val="00D41AAC"/>
    <w:rsid w:val="00D41FB7"/>
    <w:rsid w:val="00D46678"/>
    <w:rsid w:val="00D46C0D"/>
    <w:rsid w:val="00D5047A"/>
    <w:rsid w:val="00D5546F"/>
    <w:rsid w:val="00D6025F"/>
    <w:rsid w:val="00D61654"/>
    <w:rsid w:val="00D63FF9"/>
    <w:rsid w:val="00D75375"/>
    <w:rsid w:val="00D77C3C"/>
    <w:rsid w:val="00D77DA3"/>
    <w:rsid w:val="00D81033"/>
    <w:rsid w:val="00D82026"/>
    <w:rsid w:val="00D8436C"/>
    <w:rsid w:val="00DA399B"/>
    <w:rsid w:val="00DA51EA"/>
    <w:rsid w:val="00DA571E"/>
    <w:rsid w:val="00DA5AF4"/>
    <w:rsid w:val="00DB0AEE"/>
    <w:rsid w:val="00DC009C"/>
    <w:rsid w:val="00DC23AA"/>
    <w:rsid w:val="00DC3D96"/>
    <w:rsid w:val="00DC4B77"/>
    <w:rsid w:val="00DD2019"/>
    <w:rsid w:val="00DD354B"/>
    <w:rsid w:val="00DD43EB"/>
    <w:rsid w:val="00DD7B13"/>
    <w:rsid w:val="00DE4ED9"/>
    <w:rsid w:val="00DE5C92"/>
    <w:rsid w:val="00DF00E2"/>
    <w:rsid w:val="00DF6B9C"/>
    <w:rsid w:val="00E01964"/>
    <w:rsid w:val="00E11300"/>
    <w:rsid w:val="00E125B0"/>
    <w:rsid w:val="00E16372"/>
    <w:rsid w:val="00E25F60"/>
    <w:rsid w:val="00E31C9A"/>
    <w:rsid w:val="00E47848"/>
    <w:rsid w:val="00E51626"/>
    <w:rsid w:val="00E52107"/>
    <w:rsid w:val="00E55C18"/>
    <w:rsid w:val="00E5788B"/>
    <w:rsid w:val="00E63C66"/>
    <w:rsid w:val="00E65B67"/>
    <w:rsid w:val="00E67214"/>
    <w:rsid w:val="00E71807"/>
    <w:rsid w:val="00E7295D"/>
    <w:rsid w:val="00E7489F"/>
    <w:rsid w:val="00E75244"/>
    <w:rsid w:val="00E7611E"/>
    <w:rsid w:val="00E92502"/>
    <w:rsid w:val="00E96835"/>
    <w:rsid w:val="00E972BD"/>
    <w:rsid w:val="00EA3B0F"/>
    <w:rsid w:val="00EA3B2C"/>
    <w:rsid w:val="00EA4040"/>
    <w:rsid w:val="00EA4905"/>
    <w:rsid w:val="00EA5912"/>
    <w:rsid w:val="00EB192D"/>
    <w:rsid w:val="00EB2C5E"/>
    <w:rsid w:val="00EC4D5F"/>
    <w:rsid w:val="00ED3831"/>
    <w:rsid w:val="00ED3A56"/>
    <w:rsid w:val="00EE00DE"/>
    <w:rsid w:val="00EE2673"/>
    <w:rsid w:val="00EF28CF"/>
    <w:rsid w:val="00EF299E"/>
    <w:rsid w:val="00F01C11"/>
    <w:rsid w:val="00F03D6C"/>
    <w:rsid w:val="00F041B1"/>
    <w:rsid w:val="00F0572E"/>
    <w:rsid w:val="00F1023F"/>
    <w:rsid w:val="00F13813"/>
    <w:rsid w:val="00F159F2"/>
    <w:rsid w:val="00F229D1"/>
    <w:rsid w:val="00F2301B"/>
    <w:rsid w:val="00F33515"/>
    <w:rsid w:val="00F33DA1"/>
    <w:rsid w:val="00F370CD"/>
    <w:rsid w:val="00F37383"/>
    <w:rsid w:val="00F414F0"/>
    <w:rsid w:val="00F426B2"/>
    <w:rsid w:val="00F46242"/>
    <w:rsid w:val="00F47711"/>
    <w:rsid w:val="00F50393"/>
    <w:rsid w:val="00F52DD2"/>
    <w:rsid w:val="00F5403F"/>
    <w:rsid w:val="00F549D0"/>
    <w:rsid w:val="00F60561"/>
    <w:rsid w:val="00F7071C"/>
    <w:rsid w:val="00F71419"/>
    <w:rsid w:val="00F72905"/>
    <w:rsid w:val="00F81D00"/>
    <w:rsid w:val="00F81F11"/>
    <w:rsid w:val="00F84631"/>
    <w:rsid w:val="00F90395"/>
    <w:rsid w:val="00F93282"/>
    <w:rsid w:val="00F96676"/>
    <w:rsid w:val="00FA0424"/>
    <w:rsid w:val="00FA1277"/>
    <w:rsid w:val="00FA49CF"/>
    <w:rsid w:val="00FB69A0"/>
    <w:rsid w:val="00FC0C7C"/>
    <w:rsid w:val="00FC10B0"/>
    <w:rsid w:val="00FC36B3"/>
    <w:rsid w:val="00FC5064"/>
    <w:rsid w:val="00FC6529"/>
    <w:rsid w:val="00FD7BDF"/>
    <w:rsid w:val="00FF285A"/>
    <w:rsid w:val="00FF30B1"/>
    <w:rsid w:val="00FF64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AU" w:eastAsia="en-AU" w:bidi="ar-SA"/>
      </w:rPr>
    </w:rPrDefault>
    <w:pPrDefault/>
  </w:docDefaults>
  <w:latentStyles w:defLockedState="0" w:defUIPriority="99" w:defSemiHidden="1" w:defUnhideWhenUsed="0" w:defQFormat="0" w:count="267">
    <w:lsdException w:name="Normal" w:semiHidden="0" w:uiPriority="0"/>
    <w:lsdException w:name="heading 1" w:semiHidden="0" w:uiPriority="0"/>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nhideWhenUsed="1"/>
    <w:lsdException w:name="caption" w:uiPriority="35" w:qFormat="1"/>
    <w:lsdException w:name="page number" w:semiHidden="0" w:qFormat="1"/>
    <w:lsdException w:name="List" w:uiPriority="0" w:qFormat="1"/>
    <w:lsdException w:name="List Bullet" w:semiHidden="0" w:uiPriority="0" w:qFormat="1"/>
    <w:lsdException w:name="List Number" w:uiPriority="0" w:qFormat="1"/>
    <w:lsdException w:name="List 2" w:uiPriority="0" w:qFormat="1"/>
    <w:lsdException w:name="List 3" w:uiPriority="0" w:qFormat="1"/>
    <w:lsdException w:name="List 4" w:semiHidden="0" w:uiPriority="0"/>
    <w:lsdException w:name="List 5" w:semiHidden="0" w:uiPriority="0"/>
    <w:lsdException w:name="List Bullet 2" w:semiHidden="0" w:uiPriority="0"/>
    <w:lsdException w:name="List Bullet 3" w:semiHidden="0" w:uiPriority="0"/>
    <w:lsdException w:name="List Bullet 4" w:semiHidden="0" w:uiPriority="0"/>
    <w:lsdException w:name="List Bullet 5" w:semiHidden="0" w:uiPriority="0"/>
    <w:lsdException w:name="List Number 2" w:semiHidden="0" w:uiPriority="0"/>
    <w:lsdException w:name="List Number 3" w:semiHidden="0" w:uiPriority="0"/>
    <w:lsdException w:name="List Number 4" w:semiHidden="0" w:uiPriority="0"/>
    <w:lsdException w:name="List Number 5" w:semiHidden="0" w:uiPriority="0"/>
    <w:lsdException w:name="Title" w:semiHidden="0" w:uiPriority="10"/>
    <w:lsdException w:name="Default Paragraph Font" w:uiPriority="1" w:unhideWhenUsed="1"/>
    <w:lsdException w:name="Body Text" w:uiPriority="0" w:qFormat="1"/>
    <w:lsdException w:name="Subtitle" w:semiHidden="0" w:uiPriority="2"/>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CB30E0"/>
    <w:pPr>
      <w:spacing w:after="200"/>
    </w:pPr>
    <w:rPr>
      <w:rFonts w:ascii="Cambria" w:eastAsia="Cambria" w:hAnsi="Cambria"/>
      <w:sz w:val="22"/>
      <w:szCs w:val="22"/>
      <w:lang w:eastAsia="en-US"/>
    </w:rPr>
  </w:style>
  <w:style w:type="paragraph" w:styleId="Heading1">
    <w:name w:val="heading 1"/>
    <w:next w:val="BodyText1"/>
    <w:link w:val="Heading1Char"/>
    <w:rsid w:val="007477EB"/>
    <w:pPr>
      <w:keepNext/>
      <w:spacing w:line="520" w:lineRule="atLeast"/>
      <w:outlineLvl w:val="0"/>
    </w:pPr>
    <w:rPr>
      <w:rFonts w:ascii="Arial" w:hAnsi="Arial"/>
      <w:color w:val="FFFFFF"/>
      <w:kern w:val="32"/>
      <w:sz w:val="48"/>
      <w:szCs w:val="32"/>
      <w:lang w:eastAsia="en-US"/>
    </w:rPr>
  </w:style>
  <w:style w:type="paragraph" w:styleId="Heading2">
    <w:name w:val="heading 2"/>
    <w:next w:val="BodyText1"/>
    <w:link w:val="Heading2Char"/>
    <w:qFormat/>
    <w:rsid w:val="0066373F"/>
    <w:pPr>
      <w:keepNext/>
      <w:numPr>
        <w:numId w:val="1"/>
      </w:numPr>
      <w:pBdr>
        <w:bottom w:val="single" w:sz="4" w:space="31" w:color="293137"/>
      </w:pBdr>
      <w:spacing w:after="960"/>
      <w:outlineLvl w:val="1"/>
    </w:pPr>
    <w:rPr>
      <w:rFonts w:ascii="Arial" w:hAnsi="Arial"/>
      <w:color w:val="005A77"/>
      <w:spacing w:val="-10"/>
      <w:sz w:val="48"/>
      <w:szCs w:val="28"/>
      <w:lang w:eastAsia="en-US"/>
    </w:rPr>
  </w:style>
  <w:style w:type="paragraph" w:styleId="Heading3">
    <w:name w:val="heading 3"/>
    <w:next w:val="BodyText1"/>
    <w:qFormat/>
    <w:rsid w:val="0066373F"/>
    <w:pPr>
      <w:keepNext/>
      <w:keepLines/>
      <w:numPr>
        <w:ilvl w:val="1"/>
        <w:numId w:val="1"/>
      </w:numPr>
      <w:tabs>
        <w:tab w:val="clear" w:pos="737"/>
      </w:tabs>
      <w:spacing w:before="284" w:after="113"/>
      <w:outlineLvl w:val="2"/>
    </w:pPr>
    <w:rPr>
      <w:rFonts w:ascii="Arial" w:hAnsi="Arial"/>
      <w:b/>
      <w:spacing w:val="-6"/>
      <w:sz w:val="26"/>
      <w:szCs w:val="26"/>
      <w:lang w:eastAsia="en-US"/>
    </w:rPr>
  </w:style>
  <w:style w:type="paragraph" w:styleId="Heading4">
    <w:name w:val="heading 4"/>
    <w:next w:val="BodyText1"/>
    <w:link w:val="Heading4Char"/>
    <w:qFormat/>
    <w:rsid w:val="00275489"/>
    <w:pPr>
      <w:keepNext/>
      <w:keepLines/>
      <w:numPr>
        <w:ilvl w:val="2"/>
        <w:numId w:val="1"/>
      </w:numPr>
      <w:spacing w:before="340" w:after="170"/>
      <w:outlineLvl w:val="3"/>
    </w:pPr>
    <w:rPr>
      <w:rFonts w:ascii="Arial" w:eastAsia="MS Gothic" w:hAnsi="Arial"/>
      <w:b/>
      <w:bCs/>
      <w:iCs/>
      <w:color w:val="005A77"/>
      <w:spacing w:val="-6"/>
      <w:sz w:val="24"/>
      <w:szCs w:val="24"/>
      <w:lang w:eastAsia="en-US"/>
    </w:rPr>
  </w:style>
  <w:style w:type="paragraph" w:styleId="Heading5">
    <w:name w:val="heading 5"/>
    <w:next w:val="BodyText1"/>
    <w:link w:val="Heading5Char"/>
    <w:qFormat/>
    <w:rsid w:val="00F46242"/>
    <w:pPr>
      <w:keepNext/>
      <w:keepLines/>
      <w:spacing w:before="284" w:after="113"/>
      <w:outlineLvl w:val="4"/>
    </w:pPr>
    <w:rPr>
      <w:rFonts w:ascii="Arial" w:eastAsia="MS Gothic" w:hAnsi="Arial"/>
      <w:b/>
      <w:color w:val="37424A"/>
      <w:spacing w:val="-6"/>
      <w:sz w:val="22"/>
      <w:szCs w:val="24"/>
      <w:lang w:eastAsia="en-US"/>
    </w:rPr>
  </w:style>
  <w:style w:type="paragraph" w:styleId="Heading6">
    <w:name w:val="heading 6"/>
    <w:basedOn w:val="Normal"/>
    <w:next w:val="Normal"/>
    <w:link w:val="Heading6Char"/>
    <w:uiPriority w:val="9"/>
    <w:semiHidden/>
    <w:qFormat/>
    <w:rsid w:val="00A67BB8"/>
    <w:pPr>
      <w:keepNext/>
      <w:keepLines/>
      <w:spacing w:before="200"/>
      <w:outlineLvl w:val="5"/>
    </w:pPr>
    <w:rPr>
      <w:rFonts w:ascii="Arial" w:eastAsia="MS Gothic" w:hAnsi="Arial"/>
      <w:i/>
      <w:iCs/>
      <w:color w:val="136F8C"/>
    </w:rPr>
  </w:style>
  <w:style w:type="paragraph" w:styleId="Heading7">
    <w:name w:val="heading 7"/>
    <w:basedOn w:val="Normal"/>
    <w:next w:val="Normal"/>
    <w:link w:val="Heading7Char"/>
    <w:uiPriority w:val="9"/>
    <w:semiHidden/>
    <w:qFormat/>
    <w:rsid w:val="00A67BB8"/>
    <w:pPr>
      <w:keepNext/>
      <w:keepLines/>
      <w:spacing w:before="200"/>
      <w:outlineLvl w:val="6"/>
    </w:pPr>
    <w:rPr>
      <w:rFonts w:ascii="Arial" w:eastAsia="MS Gothic" w:hAnsi="Arial"/>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semiHidden/>
    <w:qFormat/>
    <w:rsid w:val="003D11C0"/>
    <w:pPr>
      <w:spacing w:after="57" w:line="113" w:lineRule="exact"/>
    </w:pPr>
    <w:rPr>
      <w:rFonts w:ascii="Cambria" w:hAnsi="Cambria"/>
      <w:sz w:val="2"/>
      <w:szCs w:val="24"/>
      <w:lang w:eastAsia="en-US"/>
    </w:rPr>
  </w:style>
  <w:style w:type="paragraph" w:customStyle="1" w:styleId="Bodytextbeforebullets">
    <w:name w:val="Body text (before bullets)"/>
    <w:basedOn w:val="BodyText1"/>
    <w:semiHidden/>
    <w:rsid w:val="003D11C0"/>
    <w:pPr>
      <w:spacing w:after="57"/>
    </w:pPr>
  </w:style>
  <w:style w:type="paragraph" w:customStyle="1" w:styleId="BodyText1">
    <w:name w:val="Body Text1"/>
    <w:link w:val="BodyText1Char"/>
    <w:semiHidden/>
    <w:rsid w:val="007D125B"/>
    <w:pPr>
      <w:spacing w:after="113" w:line="260" w:lineRule="atLeast"/>
    </w:pPr>
    <w:rPr>
      <w:rFonts w:ascii="Cambria" w:hAnsi="Cambria"/>
      <w:sz w:val="22"/>
      <w:szCs w:val="24"/>
      <w:lang w:eastAsia="en-US"/>
    </w:rPr>
  </w:style>
  <w:style w:type="paragraph" w:customStyle="1" w:styleId="Bullets1stindent">
    <w:name w:val="Bullets (1st indent)"/>
    <w:basedOn w:val="BodyText1"/>
    <w:link w:val="Bullets1stindentChar"/>
    <w:semiHidden/>
    <w:rsid w:val="00D33A28"/>
    <w:pPr>
      <w:numPr>
        <w:numId w:val="2"/>
      </w:numPr>
      <w:spacing w:after="57"/>
    </w:pPr>
  </w:style>
  <w:style w:type="paragraph" w:customStyle="1" w:styleId="Bullets2ndindent">
    <w:name w:val="Bullets (2nd indent)"/>
    <w:basedOn w:val="BodyText1"/>
    <w:semiHidden/>
    <w:rsid w:val="00C141AD"/>
    <w:pPr>
      <w:numPr>
        <w:ilvl w:val="1"/>
        <w:numId w:val="2"/>
      </w:numPr>
      <w:spacing w:after="57"/>
      <w:ind w:left="568" w:hanging="284"/>
    </w:pPr>
  </w:style>
  <w:style w:type="numbering" w:customStyle="1" w:styleId="Bullets">
    <w:name w:val="Bullets"/>
    <w:basedOn w:val="NoList"/>
    <w:uiPriority w:val="99"/>
    <w:rsid w:val="00D33A28"/>
    <w:pPr>
      <w:numPr>
        <w:numId w:val="2"/>
      </w:numPr>
    </w:pPr>
  </w:style>
  <w:style w:type="paragraph" w:customStyle="1" w:styleId="Figuretitle">
    <w:name w:val="Figure title"/>
    <w:next w:val="BodyText1"/>
    <w:qFormat/>
    <w:rsid w:val="00275489"/>
    <w:pPr>
      <w:keepNext/>
      <w:keepLines/>
      <w:numPr>
        <w:ilvl w:val="6"/>
        <w:numId w:val="1"/>
      </w:numPr>
      <w:spacing w:before="340" w:after="170"/>
    </w:pPr>
    <w:rPr>
      <w:rFonts w:ascii="Arial" w:hAnsi="Arial"/>
      <w:b/>
      <w:color w:val="005A77"/>
      <w:spacing w:val="-6"/>
      <w:sz w:val="24"/>
      <w:szCs w:val="24"/>
      <w:lang w:val="en-US" w:eastAsia="en-US"/>
    </w:rPr>
  </w:style>
  <w:style w:type="paragraph" w:customStyle="1" w:styleId="Footertext">
    <w:name w:val="Footer text"/>
    <w:semiHidden/>
    <w:rsid w:val="00202AE0"/>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Sourcenotetext">
    <w:name w:val="Source/note text"/>
    <w:qFormat/>
    <w:rsid w:val="00770E40"/>
    <w:pPr>
      <w:spacing w:before="85" w:after="85"/>
    </w:pPr>
    <w:rPr>
      <w:rFonts w:ascii="Arial" w:hAnsi="Arial" w:cs="Arial"/>
      <w:i/>
      <w:sz w:val="16"/>
      <w:szCs w:val="12"/>
      <w:lang w:eastAsia="en-US"/>
    </w:rPr>
  </w:style>
  <w:style w:type="paragraph" w:customStyle="1" w:styleId="Bulletslast1stindent">
    <w:name w:val="Bullets last (1st indent)"/>
    <w:basedOn w:val="BodyText1"/>
    <w:semiHidden/>
    <w:rsid w:val="00C141AD"/>
    <w:pPr>
      <w:numPr>
        <w:ilvl w:val="2"/>
        <w:numId w:val="2"/>
      </w:numPr>
    </w:pPr>
  </w:style>
  <w:style w:type="numbering" w:customStyle="1" w:styleId="Numbers">
    <w:name w:val="Numbers"/>
    <w:basedOn w:val="NoList"/>
    <w:rsid w:val="004326E5"/>
    <w:pPr>
      <w:numPr>
        <w:numId w:val="1"/>
      </w:numPr>
    </w:pPr>
  </w:style>
  <w:style w:type="paragraph" w:customStyle="1" w:styleId="Bulletslast2ndindent">
    <w:name w:val="Bullets last (2nd indent)"/>
    <w:basedOn w:val="BodyText1"/>
    <w:semiHidden/>
    <w:rsid w:val="00C141AD"/>
    <w:pPr>
      <w:numPr>
        <w:ilvl w:val="3"/>
        <w:numId w:val="2"/>
      </w:numPr>
      <w:ind w:left="568" w:hanging="284"/>
    </w:pPr>
  </w:style>
  <w:style w:type="paragraph" w:styleId="Subtitle">
    <w:name w:val="Subtitle"/>
    <w:basedOn w:val="Title"/>
    <w:uiPriority w:val="2"/>
    <w:semiHidden/>
    <w:rsid w:val="007B5BC0"/>
    <w:pPr>
      <w:spacing w:before="200" w:line="300" w:lineRule="atLeast"/>
    </w:pPr>
    <w:rPr>
      <w:color w:val="FFFFFF"/>
      <w:sz w:val="24"/>
    </w:rPr>
  </w:style>
  <w:style w:type="paragraph" w:customStyle="1" w:styleId="Tablebodytext">
    <w:name w:val="Table body text"/>
    <w:qFormat/>
    <w:rsid w:val="00F46242"/>
    <w:pPr>
      <w:spacing w:before="57" w:after="57"/>
      <w:ind w:left="96" w:right="96"/>
    </w:pPr>
    <w:rPr>
      <w:rFonts w:ascii="Arial" w:hAnsi="Arial"/>
      <w:sz w:val="18"/>
      <w:szCs w:val="24"/>
      <w:lang w:eastAsia="en-US"/>
    </w:rPr>
  </w:style>
  <w:style w:type="paragraph" w:customStyle="1" w:styleId="Tablebullets2ndindent">
    <w:name w:val="Table bullets (2nd indent)"/>
    <w:basedOn w:val="Tablebodytext"/>
    <w:qFormat/>
    <w:rsid w:val="00275489"/>
    <w:pPr>
      <w:numPr>
        <w:ilvl w:val="6"/>
        <w:numId w:val="2"/>
      </w:numPr>
    </w:pPr>
  </w:style>
  <w:style w:type="paragraph" w:customStyle="1" w:styleId="Tablebullets1stindent">
    <w:name w:val="Table bullets (1st indent)"/>
    <w:basedOn w:val="Tablebodytext"/>
    <w:qFormat/>
    <w:rsid w:val="00275489"/>
    <w:pPr>
      <w:numPr>
        <w:ilvl w:val="5"/>
        <w:numId w:val="2"/>
      </w:numPr>
    </w:pPr>
  </w:style>
  <w:style w:type="paragraph" w:customStyle="1" w:styleId="Tablecolumnheading">
    <w:name w:val="Table column heading"/>
    <w:basedOn w:val="Tablebodytext"/>
    <w:qFormat/>
    <w:rsid w:val="00F46242"/>
    <w:pPr>
      <w:keepNext/>
    </w:pPr>
    <w:rPr>
      <w:b/>
      <w:szCs w:val="18"/>
    </w:rPr>
  </w:style>
  <w:style w:type="paragraph" w:customStyle="1" w:styleId="Title2">
    <w:name w:val="Title 2"/>
    <w:basedOn w:val="Title"/>
    <w:uiPriority w:val="2"/>
    <w:semiHidden/>
    <w:rsid w:val="007B5BC0"/>
  </w:style>
  <w:style w:type="paragraph" w:customStyle="1" w:styleId="Tabletitle">
    <w:name w:val="Table title"/>
    <w:next w:val="BodyText1"/>
    <w:qFormat/>
    <w:rsid w:val="00275489"/>
    <w:pPr>
      <w:keepNext/>
      <w:numPr>
        <w:ilvl w:val="8"/>
        <w:numId w:val="1"/>
      </w:numPr>
      <w:spacing w:before="340" w:after="170"/>
    </w:pPr>
    <w:rPr>
      <w:rFonts w:ascii="Arial" w:hAnsi="Arial"/>
      <w:b/>
      <w:color w:val="005A77"/>
      <w:spacing w:val="-6"/>
      <w:sz w:val="24"/>
      <w:szCs w:val="24"/>
      <w:lang w:val="en-US" w:eastAsia="en-US"/>
    </w:rPr>
  </w:style>
  <w:style w:type="paragraph" w:styleId="Title">
    <w:name w:val="Title"/>
    <w:basedOn w:val="Normal"/>
    <w:next w:val="Normal"/>
    <w:link w:val="TitleChar"/>
    <w:uiPriority w:val="10"/>
    <w:rsid w:val="00751515"/>
    <w:pPr>
      <w:pBdr>
        <w:bottom w:val="single" w:sz="8" w:space="4" w:color="5BC6E8"/>
      </w:pBdr>
      <w:spacing w:after="300"/>
      <w:contextualSpacing/>
    </w:pPr>
    <w:rPr>
      <w:rFonts w:ascii="Arial" w:eastAsia="MS Gothic" w:hAnsi="Arial"/>
      <w:color w:val="14708E"/>
      <w:spacing w:val="5"/>
      <w:kern w:val="28"/>
      <w:sz w:val="52"/>
      <w:szCs w:val="52"/>
    </w:rPr>
  </w:style>
  <w:style w:type="paragraph" w:customStyle="1" w:styleId="Simpletableheading">
    <w:name w:val="Simple table heading"/>
    <w:next w:val="BodyText1"/>
    <w:uiPriority w:val="1"/>
    <w:rsid w:val="003D11C0"/>
    <w:pPr>
      <w:spacing w:line="240" w:lineRule="atLeast"/>
    </w:pPr>
    <w:rPr>
      <w:rFonts w:ascii="Arial" w:hAnsi="Arial"/>
      <w:b/>
      <w:color w:val="37424A"/>
      <w:sz w:val="22"/>
      <w:szCs w:val="24"/>
      <w:lang w:eastAsia="en-US"/>
    </w:rPr>
  </w:style>
  <w:style w:type="paragraph" w:styleId="Footer">
    <w:name w:val="footer"/>
    <w:basedOn w:val="Normal"/>
    <w:link w:val="FooterChar"/>
    <w:uiPriority w:val="99"/>
    <w:rsid w:val="0031325C"/>
    <w:pPr>
      <w:tabs>
        <w:tab w:val="center" w:pos="4320"/>
        <w:tab w:val="right" w:pos="8640"/>
      </w:tabs>
    </w:pPr>
  </w:style>
  <w:style w:type="table" w:styleId="TableGrid">
    <w:name w:val="Table Grid"/>
    <w:basedOn w:val="TableNormal"/>
    <w:rsid w:val="0031325C"/>
    <w:rPr>
      <w:rFonts w:ascii="Arial" w:hAnsi="Arial"/>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rsid w:val="0090622C"/>
    <w:rPr>
      <w:rFonts w:ascii="Tahoma" w:hAnsi="Tahoma" w:cs="Tahoma"/>
      <w:sz w:val="16"/>
      <w:szCs w:val="16"/>
    </w:rPr>
  </w:style>
  <w:style w:type="character" w:customStyle="1" w:styleId="BalloonTextChar">
    <w:name w:val="Balloon Text Char"/>
    <w:basedOn w:val="DefaultParagraphFont"/>
    <w:link w:val="BalloonText"/>
    <w:uiPriority w:val="99"/>
    <w:semiHidden/>
    <w:rsid w:val="0090622C"/>
    <w:rPr>
      <w:rFonts w:ascii="Tahoma" w:hAnsi="Tahoma" w:cs="Tahoma"/>
      <w:sz w:val="16"/>
      <w:szCs w:val="16"/>
      <w:lang w:eastAsia="en-US"/>
    </w:rPr>
  </w:style>
  <w:style w:type="paragraph" w:styleId="Header">
    <w:name w:val="header"/>
    <w:basedOn w:val="Normal"/>
    <w:link w:val="HeaderChar"/>
    <w:uiPriority w:val="99"/>
    <w:rsid w:val="00E16372"/>
    <w:pPr>
      <w:tabs>
        <w:tab w:val="center" w:pos="4680"/>
        <w:tab w:val="right" w:pos="9360"/>
      </w:tabs>
    </w:pPr>
  </w:style>
  <w:style w:type="character" w:customStyle="1" w:styleId="HeaderChar">
    <w:name w:val="Header Char"/>
    <w:basedOn w:val="DefaultParagraphFont"/>
    <w:link w:val="Header"/>
    <w:uiPriority w:val="99"/>
    <w:semiHidden/>
    <w:rsid w:val="00E16372"/>
    <w:rPr>
      <w:rFonts w:ascii="Arial" w:hAnsi="Arial"/>
      <w:szCs w:val="24"/>
      <w:lang w:eastAsia="en-US"/>
    </w:rPr>
  </w:style>
  <w:style w:type="paragraph" w:customStyle="1" w:styleId="Subtitle2">
    <w:name w:val="Subtitle 2"/>
    <w:uiPriority w:val="2"/>
    <w:semiHidden/>
    <w:rsid w:val="00A36135"/>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46055"/>
    <w:rPr>
      <w:color w:val="5BC6E8"/>
    </w:rPr>
  </w:style>
  <w:style w:type="paragraph" w:styleId="Caption">
    <w:name w:val="caption"/>
    <w:basedOn w:val="Normal"/>
    <w:next w:val="Normal"/>
    <w:uiPriority w:val="35"/>
    <w:semiHidden/>
    <w:qFormat/>
    <w:rsid w:val="00F90395"/>
    <w:rPr>
      <w:b/>
      <w:bCs/>
      <w:color w:val="5BC6E8"/>
      <w:sz w:val="18"/>
      <w:szCs w:val="18"/>
    </w:rPr>
  </w:style>
  <w:style w:type="paragraph" w:customStyle="1" w:styleId="Boxtext">
    <w:name w:val="Box text"/>
    <w:basedOn w:val="Tablebodytext"/>
    <w:uiPriority w:val="1"/>
    <w:unhideWhenUsed/>
    <w:rsid w:val="00D77DA3"/>
    <w:pPr>
      <w:spacing w:before="113" w:after="113" w:line="240" w:lineRule="atLeast"/>
      <w:ind w:left="0" w:right="0"/>
    </w:pPr>
    <w:rPr>
      <w:color w:val="37424A"/>
    </w:rPr>
  </w:style>
  <w:style w:type="paragraph" w:styleId="Quote">
    <w:name w:val="Quote"/>
    <w:link w:val="QuoteChar"/>
    <w:qFormat/>
    <w:rsid w:val="00F46242"/>
    <w:pPr>
      <w:spacing w:before="170" w:after="170"/>
      <w:ind w:left="284" w:right="284"/>
    </w:pPr>
    <w:rPr>
      <w:rFonts w:ascii="Cambria" w:hAnsi="Cambria"/>
      <w:i/>
      <w:iCs/>
      <w:color w:val="000000"/>
      <w:spacing w:val="-2"/>
      <w:sz w:val="22"/>
      <w:szCs w:val="24"/>
      <w:lang w:eastAsia="en-US"/>
    </w:rPr>
  </w:style>
  <w:style w:type="character" w:customStyle="1" w:styleId="QuoteChar">
    <w:name w:val="Quote Char"/>
    <w:basedOn w:val="DefaultParagraphFont"/>
    <w:link w:val="Quote"/>
    <w:rsid w:val="00F46242"/>
    <w:rPr>
      <w:rFonts w:ascii="Cambria" w:hAnsi="Cambria"/>
      <w:i/>
      <w:iCs/>
      <w:color w:val="000000"/>
      <w:spacing w:val="-2"/>
      <w:sz w:val="22"/>
      <w:szCs w:val="24"/>
      <w:lang w:val="en-AU" w:eastAsia="en-US" w:bidi="ar-SA"/>
    </w:rPr>
  </w:style>
  <w:style w:type="table" w:customStyle="1" w:styleId="DOFDwithheader">
    <w:name w:val="DOFD with header"/>
    <w:basedOn w:val="TableNormal"/>
    <w:uiPriority w:val="99"/>
    <w:qFormat/>
    <w:rsid w:val="004175CF"/>
    <w:pPr>
      <w:spacing w:before="57" w:line="220" w:lineRule="atLeast"/>
      <w:ind w:left="96" w:right="96"/>
    </w:pPr>
    <w:rPr>
      <w:rFonts w:ascii="Arial" w:hAnsi="Arial"/>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4D6565"/>
    <w:rPr>
      <w:rFonts w:ascii="Arial Black" w:hAnsi="Arial Black"/>
      <w:color w:val="005A77"/>
    </w:rPr>
  </w:style>
  <w:style w:type="character" w:styleId="PageNumber">
    <w:name w:val="page number"/>
    <w:basedOn w:val="DefaultParagraphFont"/>
    <w:uiPriority w:val="99"/>
    <w:semiHidden/>
    <w:qFormat/>
    <w:rsid w:val="00D0298F"/>
    <w:rPr>
      <w:rFonts w:ascii="Arial" w:hAnsi="Arial"/>
      <w:b/>
      <w:color w:val="1C2735"/>
      <w:spacing w:val="-20"/>
      <w:sz w:val="16"/>
      <w:lang w:val="en-AU"/>
    </w:rPr>
  </w:style>
  <w:style w:type="paragraph" w:customStyle="1" w:styleId="Chapternumber">
    <w:name w:val="Chapter number"/>
    <w:rsid w:val="002A4381"/>
    <w:pPr>
      <w:spacing w:line="940" w:lineRule="exact"/>
      <w:jc w:val="center"/>
    </w:pPr>
    <w:rPr>
      <w:rFonts w:ascii="Arial" w:hAnsi="Arial" w:cs="Arial"/>
      <w:b/>
      <w:color w:val="A7B4BE"/>
      <w:sz w:val="94"/>
      <w:szCs w:val="94"/>
      <w:lang w:eastAsia="en-US"/>
    </w:rPr>
  </w:style>
  <w:style w:type="paragraph" w:styleId="FootnoteText">
    <w:name w:val="footnote text"/>
    <w:link w:val="FootnoteTextChar"/>
    <w:uiPriority w:val="99"/>
    <w:semiHidden/>
    <w:qFormat/>
    <w:rsid w:val="00F03D6C"/>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uiPriority w:val="99"/>
    <w:semiHidden/>
    <w:rsid w:val="00F03D6C"/>
    <w:rPr>
      <w:rFonts w:ascii="Arial" w:hAnsi="Arial"/>
      <w:color w:val="37424A"/>
      <w:sz w:val="15"/>
      <w:lang w:val="en-AU" w:eastAsia="en-US" w:bidi="ar-SA"/>
    </w:rPr>
  </w:style>
  <w:style w:type="character" w:styleId="FootnoteReference">
    <w:name w:val="footnote reference"/>
    <w:basedOn w:val="DefaultParagraphFont"/>
    <w:uiPriority w:val="99"/>
    <w:semiHidden/>
    <w:rsid w:val="00995253"/>
    <w:rPr>
      <w:vertAlign w:val="superscript"/>
    </w:rPr>
  </w:style>
  <w:style w:type="paragraph" w:customStyle="1" w:styleId="Boxheading">
    <w:name w:val="Box heading"/>
    <w:basedOn w:val="Simpletableheading"/>
    <w:uiPriority w:val="1"/>
    <w:unhideWhenUsed/>
    <w:rsid w:val="00275489"/>
    <w:pPr>
      <w:spacing w:before="113" w:after="113"/>
    </w:pPr>
    <w:rPr>
      <w:color w:val="005A77"/>
    </w:rPr>
  </w:style>
  <w:style w:type="paragraph" w:customStyle="1" w:styleId="Notetitle">
    <w:name w:val="Note title"/>
    <w:qFormat/>
    <w:rsid w:val="00275489"/>
    <w:pPr>
      <w:keepNext/>
      <w:numPr>
        <w:ilvl w:val="7"/>
        <w:numId w:val="1"/>
      </w:numPr>
      <w:spacing w:before="340" w:after="170"/>
    </w:pPr>
    <w:rPr>
      <w:rFonts w:ascii="Arial" w:eastAsia="MS Gothic" w:hAnsi="Arial"/>
      <w:b/>
      <w:bCs/>
      <w:iCs/>
      <w:color w:val="005A77"/>
      <w:spacing w:val="-6"/>
      <w:sz w:val="24"/>
      <w:szCs w:val="28"/>
      <w:lang w:val="en-US" w:eastAsia="en-US"/>
    </w:rPr>
  </w:style>
  <w:style w:type="character" w:customStyle="1" w:styleId="Black">
    <w:name w:val="Black"/>
    <w:basedOn w:val="DefaultParagraphFont"/>
    <w:uiPriority w:val="1"/>
    <w:semiHidden/>
    <w:qFormat/>
    <w:rsid w:val="00A36135"/>
    <w:rPr>
      <w:color w:val="1C2735"/>
      <w:lang w:val="en-AU"/>
    </w:rPr>
  </w:style>
  <w:style w:type="paragraph" w:customStyle="1" w:styleId="Numberedpara1stindent">
    <w:name w:val="Numbered para (1st indent)"/>
    <w:basedOn w:val="BodyText1"/>
    <w:rsid w:val="00FA1277"/>
    <w:pPr>
      <w:numPr>
        <w:ilvl w:val="3"/>
        <w:numId w:val="1"/>
      </w:numPr>
      <w:spacing w:after="0" w:line="240" w:lineRule="auto"/>
    </w:pPr>
  </w:style>
  <w:style w:type="paragraph" w:customStyle="1" w:styleId="Numberedpara2ndindent">
    <w:name w:val="Numbered para (2nd indent)"/>
    <w:basedOn w:val="BodyText1"/>
    <w:rsid w:val="00FA1277"/>
    <w:pPr>
      <w:numPr>
        <w:ilvl w:val="4"/>
        <w:numId w:val="1"/>
      </w:numPr>
      <w:spacing w:after="0" w:line="240" w:lineRule="auto"/>
    </w:pPr>
  </w:style>
  <w:style w:type="paragraph" w:customStyle="1" w:styleId="Numberedpara3rdindent">
    <w:name w:val="Numbered para (3rd indent)"/>
    <w:basedOn w:val="BodyText1"/>
    <w:rsid w:val="00FA1277"/>
    <w:pPr>
      <w:numPr>
        <w:ilvl w:val="5"/>
        <w:numId w:val="1"/>
      </w:numPr>
      <w:spacing w:after="0" w:line="240" w:lineRule="auto"/>
      <w:ind w:left="1135" w:hanging="284"/>
    </w:pPr>
  </w:style>
  <w:style w:type="character" w:styleId="Hyperlink">
    <w:name w:val="Hyperlink"/>
    <w:basedOn w:val="DefaultParagraphFont"/>
    <w:uiPriority w:val="99"/>
    <w:semiHidden/>
    <w:rsid w:val="00275489"/>
    <w:rPr>
      <w:color w:val="005A77"/>
      <w:u w:val="single"/>
    </w:rPr>
  </w:style>
  <w:style w:type="character" w:customStyle="1" w:styleId="Heading4Char">
    <w:name w:val="Heading 4 Char"/>
    <w:basedOn w:val="DefaultParagraphFont"/>
    <w:link w:val="Heading4"/>
    <w:rsid w:val="00275489"/>
    <w:rPr>
      <w:rFonts w:ascii="Arial" w:eastAsia="MS Gothic" w:hAnsi="Arial"/>
      <w:b/>
      <w:bCs/>
      <w:iCs/>
      <w:color w:val="005A77"/>
      <w:spacing w:val="-6"/>
      <w:sz w:val="24"/>
      <w:szCs w:val="24"/>
      <w:lang w:eastAsia="en-US"/>
    </w:rPr>
  </w:style>
  <w:style w:type="character" w:customStyle="1" w:styleId="Heading5Char">
    <w:name w:val="Heading 5 Char"/>
    <w:basedOn w:val="DefaultParagraphFont"/>
    <w:link w:val="Heading5"/>
    <w:rsid w:val="00F46242"/>
    <w:rPr>
      <w:rFonts w:ascii="Arial" w:eastAsia="MS Gothic" w:hAnsi="Arial"/>
      <w:b/>
      <w:color w:val="37424A"/>
      <w:spacing w:val="-6"/>
      <w:sz w:val="22"/>
      <w:szCs w:val="24"/>
      <w:lang w:val="en-AU" w:eastAsia="en-US" w:bidi="ar-SA"/>
    </w:rPr>
  </w:style>
  <w:style w:type="paragraph" w:customStyle="1" w:styleId="Heading2nonumbers">
    <w:name w:val="Heading 2 (no numbers)"/>
    <w:basedOn w:val="Heading2"/>
    <w:next w:val="BodyText1"/>
    <w:qFormat/>
    <w:rsid w:val="00F46242"/>
    <w:pPr>
      <w:numPr>
        <w:numId w:val="0"/>
      </w:numPr>
    </w:pPr>
  </w:style>
  <w:style w:type="paragraph" w:customStyle="1" w:styleId="Heading3nonumbers">
    <w:name w:val="Heading 3 (no numbers)"/>
    <w:basedOn w:val="Heading3"/>
    <w:next w:val="BodyText1"/>
    <w:qFormat/>
    <w:rsid w:val="00F46242"/>
    <w:pPr>
      <w:numPr>
        <w:ilvl w:val="0"/>
        <w:numId w:val="0"/>
      </w:numPr>
    </w:pPr>
  </w:style>
  <w:style w:type="paragraph" w:customStyle="1" w:styleId="Heading4nonumbers">
    <w:name w:val="Heading 4 (no numbers)"/>
    <w:basedOn w:val="Heading4"/>
    <w:next w:val="BodyText1"/>
    <w:link w:val="Heading4nonumbersChar"/>
    <w:qFormat/>
    <w:rsid w:val="00F46242"/>
    <w:pPr>
      <w:numPr>
        <w:ilvl w:val="0"/>
        <w:numId w:val="0"/>
      </w:numPr>
    </w:pPr>
  </w:style>
  <w:style w:type="character" w:customStyle="1" w:styleId="Heading4nonumbersChar">
    <w:name w:val="Heading 4 (no numbers) Char"/>
    <w:basedOn w:val="Heading4Char"/>
    <w:link w:val="Heading4nonumbers"/>
    <w:rsid w:val="00F46242"/>
  </w:style>
  <w:style w:type="paragraph" w:styleId="TOC2">
    <w:name w:val="toc 2"/>
    <w:basedOn w:val="Heading5"/>
    <w:next w:val="BodyText1"/>
    <w:autoRedefine/>
    <w:uiPriority w:val="39"/>
    <w:rsid w:val="0066373F"/>
    <w:pPr>
      <w:tabs>
        <w:tab w:val="right" w:pos="7513"/>
      </w:tabs>
      <w:spacing w:before="113" w:after="57"/>
      <w:ind w:left="1191" w:hanging="794"/>
    </w:pPr>
    <w:rPr>
      <w:noProof/>
      <w:sz w:val="20"/>
      <w:lang w:val="en-US"/>
    </w:rPr>
  </w:style>
  <w:style w:type="paragraph" w:customStyle="1" w:styleId="Boxtitle">
    <w:name w:val="Box title"/>
    <w:basedOn w:val="Boxheading"/>
    <w:uiPriority w:val="1"/>
    <w:unhideWhenUsed/>
    <w:rsid w:val="00275489"/>
  </w:style>
  <w:style w:type="paragraph" w:styleId="TOC1">
    <w:name w:val="toc 1"/>
    <w:basedOn w:val="Heading4nonumbers"/>
    <w:next w:val="BodyText1"/>
    <w:autoRedefine/>
    <w:uiPriority w:val="39"/>
    <w:qFormat/>
    <w:rsid w:val="0066373F"/>
    <w:pPr>
      <w:tabs>
        <w:tab w:val="right" w:pos="7513"/>
      </w:tabs>
      <w:spacing w:after="100"/>
      <w:ind w:left="397" w:hanging="397"/>
    </w:pPr>
    <w:rPr>
      <w:noProof/>
    </w:rPr>
  </w:style>
  <w:style w:type="paragraph" w:styleId="TOC3">
    <w:name w:val="toc 3"/>
    <w:basedOn w:val="BodyText1"/>
    <w:next w:val="BodyText1"/>
    <w:autoRedefine/>
    <w:uiPriority w:val="39"/>
    <w:rsid w:val="00EA4905"/>
    <w:pPr>
      <w:tabs>
        <w:tab w:val="left" w:pos="1191"/>
        <w:tab w:val="left" w:pos="1320"/>
        <w:tab w:val="right" w:pos="7920"/>
      </w:tabs>
      <w:spacing w:after="0"/>
      <w:ind w:left="1985" w:hanging="1191"/>
    </w:pPr>
    <w:rPr>
      <w:sz w:val="20"/>
    </w:rPr>
  </w:style>
  <w:style w:type="table" w:customStyle="1" w:styleId="DOFDplain">
    <w:name w:val="DOFD plain"/>
    <w:basedOn w:val="TableNormal"/>
    <w:uiPriority w:val="99"/>
    <w:qFormat/>
    <w:rsid w:val="004175CF"/>
    <w:pPr>
      <w:spacing w:before="57" w:line="220" w:lineRule="atLeast"/>
      <w:ind w:left="96" w:right="96"/>
    </w:pPr>
    <w:rPr>
      <w:rFonts w:ascii="Arial" w:hAnsi="Arial"/>
      <w:sz w:val="17"/>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4175CF"/>
    <w:pPr>
      <w:spacing w:before="57" w:line="220" w:lineRule="atLeast"/>
      <w:ind w:left="96" w:right="96"/>
    </w:pPr>
    <w:rPr>
      <w:rFonts w:ascii="Arial" w:hAnsi="Arial"/>
      <w:sz w:val="17"/>
    </w:rPr>
    <w:tblPr>
      <w:tblStyleRowBandSize w:val="1"/>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DDF3FA"/>
      </w:tcPr>
    </w:tblStylePr>
  </w:style>
  <w:style w:type="character" w:customStyle="1" w:styleId="Heading1Char">
    <w:name w:val="Heading 1 Char"/>
    <w:basedOn w:val="DefaultParagraphFont"/>
    <w:link w:val="Heading1"/>
    <w:rsid w:val="007477EB"/>
    <w:rPr>
      <w:rFonts w:ascii="Arial" w:hAnsi="Arial"/>
      <w:color w:val="FFFFFF"/>
      <w:kern w:val="32"/>
      <w:sz w:val="48"/>
      <w:szCs w:val="32"/>
      <w:lang w:val="en-AU" w:eastAsia="en-US" w:bidi="ar-SA"/>
    </w:rPr>
  </w:style>
  <w:style w:type="character" w:customStyle="1" w:styleId="Heading2Char">
    <w:name w:val="Heading 2 Char"/>
    <w:basedOn w:val="DefaultParagraphFont"/>
    <w:link w:val="Heading2"/>
    <w:rsid w:val="0066373F"/>
    <w:rPr>
      <w:rFonts w:ascii="Arial" w:hAnsi="Arial"/>
      <w:color w:val="005A77"/>
      <w:spacing w:val="-10"/>
      <w:sz w:val="48"/>
      <w:szCs w:val="28"/>
      <w:lang w:eastAsia="en-US"/>
    </w:rPr>
  </w:style>
  <w:style w:type="paragraph" w:styleId="BodyText">
    <w:name w:val="Body Text"/>
    <w:basedOn w:val="Normal"/>
    <w:link w:val="BodyTextChar"/>
    <w:qFormat/>
    <w:rsid w:val="00F46242"/>
    <w:pPr>
      <w:spacing w:after="120"/>
    </w:pPr>
  </w:style>
  <w:style w:type="character" w:customStyle="1" w:styleId="BodyTextChar">
    <w:name w:val="Body Text Char"/>
    <w:basedOn w:val="DefaultParagraphFont"/>
    <w:link w:val="BodyText"/>
    <w:rsid w:val="00F46242"/>
    <w:rPr>
      <w:rFonts w:ascii="Cambria" w:hAnsi="Cambria"/>
      <w:sz w:val="22"/>
      <w:szCs w:val="24"/>
      <w:lang w:eastAsia="en-US"/>
    </w:rPr>
  </w:style>
  <w:style w:type="character" w:customStyle="1" w:styleId="Heading6Char">
    <w:name w:val="Heading 6 Char"/>
    <w:basedOn w:val="DefaultParagraphFont"/>
    <w:link w:val="Heading6"/>
    <w:uiPriority w:val="9"/>
    <w:semiHidden/>
    <w:rsid w:val="00A67BB8"/>
    <w:rPr>
      <w:rFonts w:ascii="Arial" w:eastAsia="MS Gothic" w:hAnsi="Arial" w:cs="Times New Roman"/>
      <w:i/>
      <w:iCs/>
      <w:color w:val="136F8C"/>
      <w:szCs w:val="24"/>
      <w:lang w:eastAsia="en-US"/>
    </w:rPr>
  </w:style>
  <w:style w:type="character" w:customStyle="1" w:styleId="Heading7Char">
    <w:name w:val="Heading 7 Char"/>
    <w:basedOn w:val="DefaultParagraphFont"/>
    <w:link w:val="Heading7"/>
    <w:uiPriority w:val="9"/>
    <w:semiHidden/>
    <w:rsid w:val="00A67BB8"/>
    <w:rPr>
      <w:rFonts w:ascii="Arial" w:eastAsia="MS Gothic" w:hAnsi="Arial" w:cs="Times New Roman"/>
      <w:i/>
      <w:iCs/>
      <w:color w:val="404040"/>
      <w:szCs w:val="24"/>
      <w:lang w:eastAsia="en-US"/>
    </w:rPr>
  </w:style>
  <w:style w:type="paragraph" w:customStyle="1" w:styleId="Bulletsnumbers">
    <w:name w:val="Bullets (numbers)"/>
    <w:basedOn w:val="Bullets1stindent"/>
    <w:link w:val="BulletsnumbersChar"/>
    <w:semiHidden/>
    <w:rsid w:val="00F96676"/>
    <w:pPr>
      <w:numPr>
        <w:numId w:val="3"/>
      </w:numPr>
    </w:pPr>
    <w:rPr>
      <w:lang w:val="en-US"/>
    </w:rPr>
  </w:style>
  <w:style w:type="character" w:customStyle="1" w:styleId="BodyText1Char">
    <w:name w:val="Body Text1 Char"/>
    <w:basedOn w:val="DefaultParagraphFont"/>
    <w:link w:val="BodyText1"/>
    <w:semiHidden/>
    <w:rsid w:val="00195A56"/>
    <w:rPr>
      <w:rFonts w:ascii="Cambria" w:hAnsi="Cambria"/>
      <w:sz w:val="22"/>
      <w:szCs w:val="24"/>
      <w:lang w:val="en-AU" w:eastAsia="en-US" w:bidi="ar-SA"/>
    </w:rPr>
  </w:style>
  <w:style w:type="character" w:customStyle="1" w:styleId="Bullets1stindentChar">
    <w:name w:val="Bullets (1st indent) Char"/>
    <w:basedOn w:val="BodyText1Char"/>
    <w:link w:val="Bullets1stindent"/>
    <w:semiHidden/>
    <w:rsid w:val="00195A56"/>
  </w:style>
  <w:style w:type="character" w:customStyle="1" w:styleId="BulletsnumbersChar">
    <w:name w:val="Bullets (numbers) Char"/>
    <w:basedOn w:val="Bullets1stindentChar"/>
    <w:link w:val="Bulletsnumbers"/>
    <w:semiHidden/>
    <w:rsid w:val="00195A56"/>
    <w:rPr>
      <w:lang w:val="en-US"/>
    </w:rPr>
  </w:style>
  <w:style w:type="character" w:styleId="CommentReference">
    <w:name w:val="annotation reference"/>
    <w:basedOn w:val="DefaultParagraphFont"/>
    <w:uiPriority w:val="99"/>
    <w:semiHidden/>
    <w:rsid w:val="00F96676"/>
    <w:rPr>
      <w:sz w:val="16"/>
      <w:szCs w:val="16"/>
    </w:rPr>
  </w:style>
  <w:style w:type="paragraph" w:styleId="CommentText">
    <w:name w:val="annotation text"/>
    <w:basedOn w:val="Normal"/>
    <w:link w:val="CommentTextChar"/>
    <w:uiPriority w:val="99"/>
    <w:semiHidden/>
    <w:rsid w:val="00F96676"/>
    <w:rPr>
      <w:szCs w:val="20"/>
    </w:rPr>
  </w:style>
  <w:style w:type="character" w:customStyle="1" w:styleId="CommentTextChar">
    <w:name w:val="Comment Text Char"/>
    <w:basedOn w:val="DefaultParagraphFont"/>
    <w:link w:val="CommentText"/>
    <w:uiPriority w:val="99"/>
    <w:semiHidden/>
    <w:rsid w:val="00F96676"/>
    <w:rPr>
      <w:rFonts w:ascii="Cambria" w:hAnsi="Cambria"/>
      <w:lang w:eastAsia="en-US"/>
    </w:rPr>
  </w:style>
  <w:style w:type="paragraph" w:styleId="ListNumber">
    <w:name w:val="List Number"/>
    <w:basedOn w:val="Normal"/>
    <w:qFormat/>
    <w:rsid w:val="002B764F"/>
    <w:pPr>
      <w:numPr>
        <w:numId w:val="5"/>
      </w:numPr>
      <w:spacing w:after="240"/>
      <w:ind w:left="357" w:hanging="357"/>
      <w:contextualSpacing/>
    </w:pPr>
  </w:style>
  <w:style w:type="paragraph" w:styleId="ListNumber2">
    <w:name w:val="List Number 2"/>
    <w:basedOn w:val="Normal"/>
    <w:rsid w:val="002959A7"/>
    <w:pPr>
      <w:numPr>
        <w:numId w:val="6"/>
      </w:numPr>
      <w:contextualSpacing/>
    </w:pPr>
  </w:style>
  <w:style w:type="paragraph" w:styleId="ListBullet">
    <w:name w:val="List Bullet"/>
    <w:basedOn w:val="Normal"/>
    <w:qFormat/>
    <w:rsid w:val="00275489"/>
    <w:pPr>
      <w:numPr>
        <w:numId w:val="4"/>
      </w:numPr>
      <w:spacing w:after="240"/>
      <w:contextualSpacing/>
    </w:pPr>
  </w:style>
  <w:style w:type="table" w:customStyle="1" w:styleId="DOFDtexttable">
    <w:name w:val="DOFD_text table"/>
    <w:basedOn w:val="TableNormal"/>
    <w:uiPriority w:val="99"/>
    <w:qFormat/>
    <w:rsid w:val="003D2733"/>
    <w:pPr>
      <w:spacing w:before="57"/>
    </w:pPr>
    <w:rPr>
      <w:rFonts w:ascii="Cambria" w:hAnsi="Cambria"/>
    </w:rPr>
    <w:tblPr>
      <w:tblInd w:w="0" w:type="dxa"/>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72CE9B"/>
        <w:tcMar>
          <w:top w:w="113" w:type="dxa"/>
          <w:left w:w="0" w:type="nil"/>
          <w:bottom w:w="113" w:type="dxa"/>
          <w:right w:w="0" w:type="nil"/>
        </w:tcMar>
      </w:tcPr>
    </w:tblStylePr>
  </w:style>
  <w:style w:type="paragraph" w:styleId="EndnoteText">
    <w:name w:val="endnote text"/>
    <w:basedOn w:val="Normal"/>
    <w:link w:val="EndnoteTextChar"/>
    <w:uiPriority w:val="99"/>
    <w:semiHidden/>
    <w:rsid w:val="009C442A"/>
    <w:rPr>
      <w:szCs w:val="20"/>
    </w:rPr>
  </w:style>
  <w:style w:type="character" w:customStyle="1" w:styleId="EndnoteTextChar">
    <w:name w:val="Endnote Text Char"/>
    <w:basedOn w:val="DefaultParagraphFont"/>
    <w:link w:val="EndnoteText"/>
    <w:uiPriority w:val="99"/>
    <w:semiHidden/>
    <w:rsid w:val="009C442A"/>
    <w:rPr>
      <w:rFonts w:ascii="Cambria" w:hAnsi="Cambria"/>
      <w:lang w:eastAsia="en-US"/>
    </w:rPr>
  </w:style>
  <w:style w:type="character" w:styleId="EndnoteReference">
    <w:name w:val="endnote reference"/>
    <w:basedOn w:val="DefaultParagraphFont"/>
    <w:uiPriority w:val="99"/>
    <w:semiHidden/>
    <w:rsid w:val="009C442A"/>
    <w:rPr>
      <w:vertAlign w:val="superscript"/>
    </w:rPr>
  </w:style>
  <w:style w:type="character" w:customStyle="1" w:styleId="TitleChar">
    <w:name w:val="Title Char"/>
    <w:basedOn w:val="DefaultParagraphFont"/>
    <w:link w:val="Title"/>
    <w:uiPriority w:val="10"/>
    <w:rsid w:val="00751515"/>
    <w:rPr>
      <w:rFonts w:ascii="Arial" w:eastAsia="MS Gothic" w:hAnsi="Arial" w:cs="Times New Roman"/>
      <w:color w:val="14708E"/>
      <w:spacing w:val="5"/>
      <w:kern w:val="28"/>
      <w:sz w:val="52"/>
      <w:szCs w:val="52"/>
      <w:lang w:eastAsia="en-US"/>
    </w:rPr>
  </w:style>
  <w:style w:type="paragraph" w:styleId="TOCHeading">
    <w:name w:val="TOC Heading"/>
    <w:basedOn w:val="Heading1"/>
    <w:next w:val="Normal"/>
    <w:uiPriority w:val="39"/>
    <w:semiHidden/>
    <w:qFormat/>
    <w:rsid w:val="00275489"/>
    <w:pPr>
      <w:keepLines/>
      <w:spacing w:before="480" w:line="240" w:lineRule="auto"/>
      <w:outlineLvl w:val="9"/>
    </w:pPr>
    <w:rPr>
      <w:rFonts w:eastAsia="MS Gothic"/>
      <w:b/>
      <w:bCs/>
      <w:color w:val="005A77"/>
      <w:kern w:val="0"/>
      <w:sz w:val="28"/>
      <w:szCs w:val="28"/>
    </w:rPr>
  </w:style>
  <w:style w:type="character" w:customStyle="1" w:styleId="FooterChar">
    <w:name w:val="Footer Char"/>
    <w:basedOn w:val="DefaultParagraphFont"/>
    <w:link w:val="Footer"/>
    <w:uiPriority w:val="99"/>
    <w:rsid w:val="004D6565"/>
    <w:rPr>
      <w:rFonts w:ascii="Cambria" w:eastAsia="Cambria" w:hAnsi="Cambria" w:cs="Times New Roman"/>
      <w:sz w:val="22"/>
      <w:szCs w:val="22"/>
      <w:lang w:eastAsia="en-US"/>
    </w:rPr>
  </w:style>
  <w:style w:type="paragraph" w:styleId="List">
    <w:name w:val="List"/>
    <w:basedOn w:val="Numberedpara1stindent"/>
    <w:qFormat/>
    <w:rsid w:val="00F7071C"/>
    <w:pPr>
      <w:spacing w:after="240"/>
    </w:pPr>
  </w:style>
  <w:style w:type="paragraph" w:styleId="List2">
    <w:name w:val="List 2"/>
    <w:basedOn w:val="Numberedpara2ndindent"/>
    <w:qFormat/>
    <w:rsid w:val="00CB30E0"/>
  </w:style>
  <w:style w:type="paragraph" w:styleId="List3">
    <w:name w:val="List 3"/>
    <w:basedOn w:val="Numberedpara3rdindent"/>
    <w:qFormat/>
    <w:rsid w:val="00F7071C"/>
  </w:style>
  <w:style w:type="character" w:customStyle="1" w:styleId="Line">
    <w:name w:val="Line"/>
    <w:basedOn w:val="DefaultParagraphFont"/>
    <w:uiPriority w:val="99"/>
    <w:rsid w:val="00B25A64"/>
    <w:rPr>
      <w:rFonts w:cs="Times New Roman"/>
    </w:rPr>
  </w:style>
  <w:style w:type="paragraph" w:styleId="BodyTextIndent2">
    <w:name w:val="Body Text Indent 2"/>
    <w:basedOn w:val="Normal"/>
    <w:link w:val="BodyTextIndent2Char"/>
    <w:uiPriority w:val="99"/>
    <w:semiHidden/>
    <w:rsid w:val="001743C3"/>
    <w:pPr>
      <w:spacing w:after="120" w:line="480" w:lineRule="auto"/>
      <w:ind w:left="283"/>
    </w:pPr>
  </w:style>
  <w:style w:type="character" w:customStyle="1" w:styleId="BodyTextIndent2Char">
    <w:name w:val="Body Text Indent 2 Char"/>
    <w:basedOn w:val="DefaultParagraphFont"/>
    <w:link w:val="BodyTextIndent2"/>
    <w:uiPriority w:val="99"/>
    <w:semiHidden/>
    <w:rsid w:val="001743C3"/>
    <w:rPr>
      <w:rFonts w:ascii="Cambria" w:eastAsia="Cambria" w:hAnsi="Cambria"/>
      <w:sz w:val="22"/>
      <w:szCs w:val="22"/>
      <w:lang w:eastAsia="en-US"/>
    </w:rPr>
  </w:style>
  <w:style w:type="paragraph" w:customStyle="1" w:styleId="AppendixStart">
    <w:name w:val="Appendix Start"/>
    <w:basedOn w:val="Normal"/>
    <w:next w:val="Normal"/>
    <w:uiPriority w:val="99"/>
    <w:rsid w:val="00526772"/>
    <w:pPr>
      <w:keepNext/>
      <w:pageBreakBefore/>
      <w:numPr>
        <w:numId w:val="7"/>
      </w:numPr>
      <w:pBdr>
        <w:bottom w:val="single" w:sz="12" w:space="0" w:color="00A8C8"/>
      </w:pBdr>
      <w:spacing w:after="360"/>
    </w:pPr>
    <w:rPr>
      <w:rFonts w:ascii="Arial" w:eastAsia="Times New Roman" w:hAnsi="Arial" w:cs="Arial"/>
      <w:caps/>
      <w:color w:val="00A8C8"/>
      <w:sz w:val="48"/>
      <w:szCs w:val="20"/>
      <w:lang w:val="en-GB"/>
    </w:rPr>
  </w:style>
  <w:style w:type="paragraph" w:customStyle="1" w:styleId="NormalIndent3">
    <w:name w:val="Normal Indent 3"/>
    <w:basedOn w:val="Normal"/>
    <w:rsid w:val="00E01964"/>
    <w:pPr>
      <w:spacing w:after="0" w:line="260" w:lineRule="atLeast"/>
      <w:ind w:left="1080"/>
    </w:pPr>
    <w:rPr>
      <w:rFonts w:ascii="Arial" w:eastAsia="Times New Roman" w:hAnsi="Arial" w:cs="Arial"/>
      <w:szCs w:val="20"/>
      <w:lang w:val="en-GB"/>
    </w:rPr>
  </w:style>
  <w:style w:type="paragraph" w:styleId="BodyTextIndent">
    <w:name w:val="Body Text Indent"/>
    <w:basedOn w:val="Normal"/>
    <w:link w:val="BodyTextIndentChar"/>
    <w:uiPriority w:val="99"/>
    <w:semiHidden/>
    <w:rsid w:val="00F0572E"/>
    <w:pPr>
      <w:spacing w:after="120"/>
      <w:ind w:left="283"/>
    </w:pPr>
  </w:style>
  <w:style w:type="character" w:customStyle="1" w:styleId="BodyTextIndentChar">
    <w:name w:val="Body Text Indent Char"/>
    <w:basedOn w:val="DefaultParagraphFont"/>
    <w:link w:val="BodyTextIndent"/>
    <w:uiPriority w:val="99"/>
    <w:semiHidden/>
    <w:rsid w:val="00F0572E"/>
    <w:rPr>
      <w:rFonts w:ascii="Cambria" w:eastAsia="Cambria" w:hAnsi="Cambria"/>
      <w:sz w:val="22"/>
      <w:szCs w:val="22"/>
      <w:lang w:eastAsia="en-US"/>
    </w:rPr>
  </w:style>
  <w:style w:type="paragraph" w:styleId="ListBullet4">
    <w:name w:val="List Bullet 4"/>
    <w:basedOn w:val="Normal"/>
    <w:rsid w:val="008B2560"/>
    <w:pPr>
      <w:tabs>
        <w:tab w:val="num" w:pos="1209"/>
      </w:tabs>
      <w:ind w:left="1209" w:hanging="360"/>
      <w:contextualSpacing/>
    </w:pPr>
  </w:style>
  <w:style w:type="paragraph" w:customStyle="1" w:styleId="BoxText0">
    <w:name w:val="Box Text"/>
    <w:basedOn w:val="Normal"/>
    <w:rsid w:val="008B2560"/>
    <w:pPr>
      <w:spacing w:before="120" w:after="120"/>
    </w:pPr>
    <w:rPr>
      <w:rFonts w:ascii="Arial" w:eastAsia="Times New Roman" w:hAnsi="Arial"/>
      <w:sz w:val="20"/>
      <w:szCs w:val="20"/>
    </w:rPr>
  </w:style>
  <w:style w:type="paragraph" w:customStyle="1" w:styleId="TableHeadingText">
    <w:name w:val="Table Heading Text"/>
    <w:basedOn w:val="Normal"/>
    <w:rsid w:val="006133A8"/>
    <w:pPr>
      <w:keepNext/>
      <w:spacing w:before="40" w:after="40"/>
    </w:pPr>
    <w:rPr>
      <w:rFonts w:ascii="Arial" w:eastAsia="Times New Roman" w:hAnsi="Arial" w:cs="Arial"/>
      <w:b/>
      <w:sz w:val="18"/>
      <w:szCs w:val="20"/>
      <w:lang w:val="en-GB"/>
    </w:rPr>
  </w:style>
  <w:style w:type="paragraph" w:customStyle="1" w:styleId="TableText">
    <w:name w:val="Table Text"/>
    <w:basedOn w:val="Normal"/>
    <w:rsid w:val="006133A8"/>
    <w:pPr>
      <w:spacing w:before="40" w:after="40"/>
    </w:pPr>
    <w:rPr>
      <w:rFonts w:ascii="Arial" w:eastAsia="Times New Roman" w:hAnsi="Arial" w:cs="Arial"/>
      <w:sz w:val="20"/>
      <w:szCs w:val="20"/>
      <w:lang w:val="en-GB"/>
    </w:rPr>
  </w:style>
  <w:style w:type="paragraph" w:customStyle="1" w:styleId="HeadingNumber2">
    <w:name w:val="Heading Number 2"/>
    <w:basedOn w:val="Normal"/>
    <w:next w:val="Normal"/>
    <w:rsid w:val="006133A8"/>
    <w:pPr>
      <w:keepNext/>
      <w:numPr>
        <w:ilvl w:val="5"/>
        <w:numId w:val="9"/>
      </w:numPr>
      <w:spacing w:before="60" w:after="60"/>
      <w:outlineLvl w:val="5"/>
    </w:pPr>
    <w:rPr>
      <w:rFonts w:ascii="Arial" w:eastAsia="Times New Roman" w:hAnsi="Arial" w:cs="Arial"/>
      <w:sz w:val="24"/>
      <w:szCs w:val="20"/>
    </w:rPr>
  </w:style>
  <w:style w:type="paragraph" w:customStyle="1" w:styleId="HeadingNumber3">
    <w:name w:val="Heading Number 3"/>
    <w:basedOn w:val="Normal"/>
    <w:next w:val="Normal"/>
    <w:rsid w:val="006133A8"/>
    <w:pPr>
      <w:keepNext/>
      <w:numPr>
        <w:ilvl w:val="6"/>
        <w:numId w:val="9"/>
      </w:numPr>
      <w:spacing w:before="60" w:after="60"/>
      <w:outlineLvl w:val="6"/>
    </w:pPr>
    <w:rPr>
      <w:rFonts w:ascii="Arial Black" w:eastAsia="Times New Roman" w:hAnsi="Arial Black"/>
      <w:sz w:val="20"/>
      <w:szCs w:val="20"/>
    </w:rPr>
  </w:style>
  <w:style w:type="paragraph" w:customStyle="1" w:styleId="HeadingNumber4">
    <w:name w:val="Heading Number 4"/>
    <w:basedOn w:val="Normal"/>
    <w:next w:val="Normal"/>
    <w:rsid w:val="006133A8"/>
    <w:pPr>
      <w:keepNext/>
      <w:numPr>
        <w:ilvl w:val="7"/>
        <w:numId w:val="9"/>
      </w:numPr>
      <w:spacing w:before="60" w:after="60"/>
      <w:outlineLvl w:val="7"/>
    </w:pPr>
    <w:rPr>
      <w:rFonts w:ascii="Arial" w:eastAsia="Times New Roman" w:hAnsi="Arial" w:cs="Arial"/>
      <w:sz w:val="20"/>
      <w:szCs w:val="20"/>
    </w:rPr>
  </w:style>
  <w:style w:type="paragraph" w:customStyle="1" w:styleId="AppendixHeading1">
    <w:name w:val="Appendix Heading 1"/>
    <w:basedOn w:val="Normal"/>
    <w:next w:val="Normal"/>
    <w:rsid w:val="006133A8"/>
    <w:pPr>
      <w:keepNext/>
      <w:numPr>
        <w:ilvl w:val="4"/>
        <w:numId w:val="10"/>
      </w:numPr>
      <w:spacing w:after="0" w:line="400" w:lineRule="atLeast"/>
      <w:outlineLvl w:val="4"/>
    </w:pPr>
    <w:rPr>
      <w:rFonts w:ascii="Arial" w:eastAsia="Times New Roman" w:hAnsi="Arial" w:cs="Arial"/>
      <w:color w:val="002C77"/>
      <w:sz w:val="36"/>
      <w:szCs w:val="20"/>
      <w:lang w:val="en-GB"/>
    </w:rPr>
  </w:style>
  <w:style w:type="paragraph" w:customStyle="1" w:styleId="AppendixHeading2">
    <w:name w:val="Appendix Heading 2"/>
    <w:basedOn w:val="Normal"/>
    <w:next w:val="Normal"/>
    <w:rsid w:val="006133A8"/>
    <w:pPr>
      <w:keepNext/>
      <w:numPr>
        <w:ilvl w:val="5"/>
        <w:numId w:val="10"/>
      </w:numPr>
      <w:spacing w:after="0" w:line="320" w:lineRule="atLeast"/>
      <w:outlineLvl w:val="5"/>
    </w:pPr>
    <w:rPr>
      <w:rFonts w:ascii="Arial" w:eastAsia="Times New Roman" w:hAnsi="Arial" w:cs="Arial"/>
      <w:b/>
      <w:sz w:val="28"/>
      <w:szCs w:val="20"/>
      <w:lang w:val="en-GB"/>
    </w:rPr>
  </w:style>
  <w:style w:type="paragraph" w:customStyle="1" w:styleId="AppendixHeading3">
    <w:name w:val="Appendix Heading 3"/>
    <w:basedOn w:val="Normal"/>
    <w:next w:val="Normal"/>
    <w:rsid w:val="006133A8"/>
    <w:pPr>
      <w:keepNext/>
      <w:numPr>
        <w:ilvl w:val="6"/>
        <w:numId w:val="10"/>
      </w:numPr>
      <w:spacing w:after="0" w:line="320" w:lineRule="atLeast"/>
      <w:outlineLvl w:val="6"/>
    </w:pPr>
    <w:rPr>
      <w:rFonts w:ascii="Arial" w:eastAsia="Times New Roman" w:hAnsi="Arial" w:cs="Arial"/>
      <w:b/>
      <w:i/>
      <w:sz w:val="28"/>
      <w:szCs w:val="20"/>
      <w:lang w:val="en-GB"/>
    </w:rPr>
  </w:style>
  <w:style w:type="paragraph" w:customStyle="1" w:styleId="contents1">
    <w:name w:val="contents 1"/>
    <w:basedOn w:val="Heading2nonumbers"/>
    <w:rsid w:val="0056265C"/>
    <w:pPr>
      <w:spacing w:after="720"/>
    </w:pPr>
  </w:style>
  <w:style w:type="paragraph" w:styleId="ListParagraph">
    <w:name w:val="List Paragraph"/>
    <w:basedOn w:val="Normal"/>
    <w:uiPriority w:val="34"/>
    <w:semiHidden/>
    <w:qFormat/>
    <w:rsid w:val="00711F2B"/>
    <w:pPr>
      <w:ind w:left="720"/>
    </w:pPr>
  </w:style>
  <w:style w:type="character" w:styleId="FollowedHyperlink">
    <w:name w:val="FollowedHyperlink"/>
    <w:basedOn w:val="DefaultParagraphFont"/>
    <w:uiPriority w:val="99"/>
    <w:semiHidden/>
    <w:rsid w:val="00AE771C"/>
    <w:rPr>
      <w:color w:val="800080" w:themeColor="followedHyperlink"/>
      <w:u w:val="single"/>
    </w:rPr>
  </w:style>
  <w:style w:type="paragraph" w:customStyle="1" w:styleId="Pa3">
    <w:name w:val="Pa3"/>
    <w:basedOn w:val="Normal"/>
    <w:next w:val="Normal"/>
    <w:uiPriority w:val="99"/>
    <w:rsid w:val="008C561F"/>
    <w:pPr>
      <w:autoSpaceDE w:val="0"/>
      <w:autoSpaceDN w:val="0"/>
      <w:adjustRightInd w:val="0"/>
      <w:spacing w:after="0" w:line="241" w:lineRule="atLeast"/>
    </w:pPr>
    <w:rPr>
      <w:rFonts w:ascii="Minion Pro" w:eastAsia="Times New Roman" w:hAnsi="Minion Pro"/>
      <w:sz w:val="24"/>
      <w:szCs w:val="24"/>
      <w:lang w:eastAsia="en-AU"/>
    </w:rPr>
  </w:style>
  <w:style w:type="paragraph" w:styleId="CommentSubject">
    <w:name w:val="annotation subject"/>
    <w:basedOn w:val="CommentText"/>
    <w:next w:val="CommentText"/>
    <w:link w:val="CommentSubjectChar"/>
    <w:uiPriority w:val="99"/>
    <w:semiHidden/>
    <w:rsid w:val="00876589"/>
    <w:rPr>
      <w:b/>
      <w:bCs/>
      <w:sz w:val="20"/>
    </w:rPr>
  </w:style>
  <w:style w:type="character" w:customStyle="1" w:styleId="CommentSubjectChar">
    <w:name w:val="Comment Subject Char"/>
    <w:basedOn w:val="CommentTextChar"/>
    <w:link w:val="CommentSubject"/>
    <w:uiPriority w:val="99"/>
    <w:semiHidden/>
    <w:rsid w:val="00876589"/>
    <w:rPr>
      <w:rFonts w:eastAsia="Cambria"/>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8021C-A512-4A65-8E7F-8D630F6C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14199</Words>
  <Characters>80940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PSS and CSS Long Term Cost Report 2014</vt:lpstr>
    </vt:vector>
  </TitlesOfParts>
  <Company>FINANCE</Company>
  <LinksUpToDate>false</LinksUpToDate>
  <CharactersWithSpaces>94950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 and CSS Long Term Cost Report 2014</dc:title>
  <dc:subject>long to term cost report</dc:subject>
  <dc:creator>Department of Finance</dc:creator>
  <cp:keywords>superannuation, CSS, PSS</cp:keywords>
  <cp:lastModifiedBy>Mark Shen</cp:lastModifiedBy>
  <cp:revision>5</cp:revision>
  <cp:lastPrinted>2015-08-21T02:40:00Z</cp:lastPrinted>
  <dcterms:created xsi:type="dcterms:W3CDTF">2015-07-01T06:51:00Z</dcterms:created>
  <dcterms:modified xsi:type="dcterms:W3CDTF">2015-08-21T02:41:00Z</dcterms:modified>
  <cp:category>report</cp:category>
</cp:coreProperties>
</file>