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BBA248" w14:textId="77777777" w:rsidR="00B26506" w:rsidRDefault="00B26506" w:rsidP="00B26506">
      <w:pPr>
        <w:jc w:val="right"/>
      </w:pPr>
      <w:bookmarkStart w:id="0" w:name="_GoBack"/>
      <w:bookmarkEnd w:id="0"/>
    </w:p>
    <w:p w14:paraId="2B4D6CD7" w14:textId="77777777" w:rsidR="00B26506" w:rsidRDefault="00B26506" w:rsidP="00B26506">
      <w:pPr>
        <w:spacing w:before="360"/>
        <w:jc w:val="center"/>
      </w:pPr>
      <w:r>
        <w:rPr>
          <w:caps/>
          <w:noProof/>
          <w:lang w:eastAsia="en-AU"/>
        </w:rPr>
        <w:drawing>
          <wp:inline distT="0" distB="0" distL="0" distR="0" wp14:anchorId="0D2A8088" wp14:editId="32919508">
            <wp:extent cx="2465705" cy="1371600"/>
            <wp:effectExtent l="0" t="0" r="0" b="0"/>
            <wp:docPr id="5" name="Picture 2"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stralian Government 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5705" cy="1371600"/>
                    </a:xfrm>
                    <a:prstGeom prst="rect">
                      <a:avLst/>
                    </a:prstGeom>
                    <a:noFill/>
                    <a:ln>
                      <a:noFill/>
                    </a:ln>
                  </pic:spPr>
                </pic:pic>
              </a:graphicData>
            </a:graphic>
          </wp:inline>
        </w:drawing>
      </w:r>
    </w:p>
    <w:p w14:paraId="54552EEC" w14:textId="77777777" w:rsidR="00B26506" w:rsidRDefault="00B26506" w:rsidP="00B26506">
      <w:pPr>
        <w:spacing w:before="360"/>
        <w:jc w:val="center"/>
        <w:rPr>
          <w:sz w:val="36"/>
          <w:szCs w:val="36"/>
        </w:rPr>
      </w:pPr>
      <w:r w:rsidRPr="005418C5">
        <w:rPr>
          <w:sz w:val="36"/>
          <w:szCs w:val="36"/>
        </w:rPr>
        <w:t xml:space="preserve">Australian </w:t>
      </w:r>
      <w:r>
        <w:rPr>
          <w:sz w:val="36"/>
          <w:szCs w:val="36"/>
        </w:rPr>
        <w:t>Government</w:t>
      </w:r>
      <w:r w:rsidRPr="005418C5">
        <w:rPr>
          <w:sz w:val="36"/>
          <w:szCs w:val="36"/>
        </w:rPr>
        <w:t xml:space="preserve"> response to the</w:t>
      </w:r>
      <w:r>
        <w:rPr>
          <w:sz w:val="36"/>
          <w:szCs w:val="36"/>
        </w:rPr>
        <w:t xml:space="preserve"> </w:t>
      </w:r>
      <w:r>
        <w:rPr>
          <w:sz w:val="36"/>
          <w:szCs w:val="36"/>
        </w:rPr>
        <w:br/>
        <w:t>J</w:t>
      </w:r>
      <w:r w:rsidRPr="00B26506">
        <w:rPr>
          <w:sz w:val="36"/>
          <w:szCs w:val="36"/>
        </w:rPr>
        <w:t>oint Committee on Intelligence and Security</w:t>
      </w:r>
      <w:r>
        <w:rPr>
          <w:sz w:val="36"/>
          <w:szCs w:val="36"/>
        </w:rPr>
        <w:t xml:space="preserve"> </w:t>
      </w:r>
      <w:r w:rsidRPr="009B57C6">
        <w:rPr>
          <w:sz w:val="36"/>
          <w:szCs w:val="36"/>
        </w:rPr>
        <w:t>report</w:t>
      </w:r>
      <w:r>
        <w:rPr>
          <w:sz w:val="36"/>
          <w:szCs w:val="36"/>
        </w:rPr>
        <w:t>:</w:t>
      </w:r>
    </w:p>
    <w:p w14:paraId="62F60420" w14:textId="77777777" w:rsidR="00B26506" w:rsidRDefault="00B26506" w:rsidP="00B26506">
      <w:pPr>
        <w:spacing w:before="240"/>
        <w:jc w:val="center"/>
        <w:rPr>
          <w:sz w:val="36"/>
          <w:szCs w:val="36"/>
        </w:rPr>
      </w:pPr>
      <w:r w:rsidRPr="00B26506">
        <w:rPr>
          <w:sz w:val="36"/>
          <w:szCs w:val="36"/>
        </w:rPr>
        <w:t>Review of Administrat</w:t>
      </w:r>
      <w:r>
        <w:rPr>
          <w:sz w:val="36"/>
          <w:szCs w:val="36"/>
        </w:rPr>
        <w:t>ion and Expenditure No.14 (2014</w:t>
      </w:r>
      <w:r>
        <w:rPr>
          <w:sz w:val="36"/>
          <w:szCs w:val="36"/>
        </w:rPr>
        <w:noBreakHyphen/>
      </w:r>
      <w:r w:rsidRPr="00B26506">
        <w:rPr>
          <w:sz w:val="36"/>
          <w:szCs w:val="36"/>
        </w:rPr>
        <w:t>2015)</w:t>
      </w:r>
    </w:p>
    <w:p w14:paraId="13092B26" w14:textId="66DF92A1" w:rsidR="00B26506" w:rsidRDefault="00DF4A44" w:rsidP="00B26506">
      <w:pPr>
        <w:spacing w:before="6840" w:after="120"/>
        <w:jc w:val="right"/>
        <w:rPr>
          <w:caps/>
          <w:sz w:val="28"/>
          <w:szCs w:val="28"/>
        </w:rPr>
      </w:pPr>
      <w:r>
        <w:rPr>
          <w:caps/>
          <w:sz w:val="28"/>
          <w:szCs w:val="28"/>
        </w:rPr>
        <w:t>August</w:t>
      </w:r>
      <w:r w:rsidR="00B26506">
        <w:rPr>
          <w:caps/>
          <w:sz w:val="28"/>
          <w:szCs w:val="28"/>
        </w:rPr>
        <w:t xml:space="preserve"> 2017</w:t>
      </w:r>
      <w:r w:rsidR="00B26506">
        <w:rPr>
          <w:caps/>
          <w:sz w:val="28"/>
          <w:szCs w:val="28"/>
        </w:rPr>
        <w:br/>
      </w:r>
    </w:p>
    <w:p w14:paraId="61C91D61" w14:textId="77777777" w:rsidR="00B26506" w:rsidRDefault="00B26506" w:rsidP="00B26506">
      <w:pPr>
        <w:pStyle w:val="AppendixTitle"/>
        <w:spacing w:before="120" w:after="0"/>
      </w:pPr>
      <w:r>
        <w:rPr>
          <w:lang w:val="en-AU"/>
        </w:rPr>
        <w:br w:type="page"/>
      </w:r>
      <w:bookmarkStart w:id="1" w:name="Appendix_J"/>
    </w:p>
    <w:bookmarkEnd w:id="1"/>
    <w:p w14:paraId="7B790480" w14:textId="77777777" w:rsidR="00C03F1B" w:rsidRDefault="00C03F1B" w:rsidP="00B26506">
      <w:pPr>
        <w:rPr>
          <w:b/>
        </w:rPr>
      </w:pPr>
      <w:r w:rsidRPr="00C03F1B">
        <w:rPr>
          <w:b/>
        </w:rPr>
        <w:lastRenderedPageBreak/>
        <w:t>Response to the recommendation</w:t>
      </w:r>
    </w:p>
    <w:p w14:paraId="6CAEA2C6" w14:textId="77777777" w:rsidR="00C03F1B" w:rsidRDefault="00C03F1B" w:rsidP="00B26506">
      <w:pPr>
        <w:rPr>
          <w:b/>
        </w:rPr>
      </w:pPr>
      <w:r>
        <w:rPr>
          <w:noProof/>
          <w:lang w:eastAsia="en-AU"/>
        </w:rPr>
        <mc:AlternateContent>
          <mc:Choice Requires="wps">
            <w:drawing>
              <wp:anchor distT="45720" distB="45720" distL="114300" distR="114300" simplePos="0" relativeHeight="251661312" behindDoc="0" locked="0" layoutInCell="1" allowOverlap="1" wp14:anchorId="160F3385" wp14:editId="60382019">
                <wp:simplePos x="0" y="0"/>
                <wp:positionH relativeFrom="margin">
                  <wp:posOffset>0</wp:posOffset>
                </wp:positionH>
                <wp:positionV relativeFrom="paragraph">
                  <wp:posOffset>220980</wp:posOffset>
                </wp:positionV>
                <wp:extent cx="5867400" cy="1404620"/>
                <wp:effectExtent l="0" t="0" r="19050" b="260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404620"/>
                        </a:xfrm>
                        <a:prstGeom prst="rect">
                          <a:avLst/>
                        </a:prstGeom>
                        <a:solidFill>
                          <a:srgbClr val="FFFFFF"/>
                        </a:solidFill>
                        <a:ln w="9525">
                          <a:solidFill>
                            <a:srgbClr val="000000"/>
                          </a:solidFill>
                          <a:miter lim="800000"/>
                          <a:headEnd/>
                          <a:tailEnd/>
                        </a:ln>
                      </wps:spPr>
                      <wps:txbx>
                        <w:txbxContent>
                          <w:p w14:paraId="3BE1480B" w14:textId="77777777" w:rsidR="00C03F1B" w:rsidRPr="00C03F1B" w:rsidRDefault="00C03F1B" w:rsidP="00C03F1B">
                            <w:pPr>
                              <w:rPr>
                                <w:b/>
                              </w:rPr>
                            </w:pPr>
                            <w:r w:rsidRPr="00C03F1B">
                              <w:rPr>
                                <w:b/>
                              </w:rPr>
                              <w:t xml:space="preserve">Recommendation 1. </w:t>
                            </w:r>
                          </w:p>
                          <w:p w14:paraId="4C95B2A0" w14:textId="77777777" w:rsidR="00C03F1B" w:rsidRPr="00C03F1B" w:rsidRDefault="00C03F1B" w:rsidP="00C03F1B">
                            <w:pPr>
                              <w:rPr>
                                <w:b/>
                              </w:rPr>
                            </w:pPr>
                          </w:p>
                          <w:p w14:paraId="25F27BCB" w14:textId="77777777" w:rsidR="00C03F1B" w:rsidRDefault="00C03F1B" w:rsidP="00C03F1B">
                            <w:pPr>
                              <w:rPr>
                                <w:b/>
                              </w:rPr>
                            </w:pPr>
                            <w:r w:rsidRPr="00C03F1B">
                              <w:rPr>
                                <w:b/>
                              </w:rPr>
                              <w:t>The Committee recommends that, in line with the recommendations of the</w:t>
                            </w:r>
                            <w:r w:rsidR="002C3DD2">
                              <w:rPr>
                                <w:b/>
                              </w:rPr>
                              <w:t xml:space="preserve"> </w:t>
                            </w:r>
                            <w:r w:rsidRPr="00C03F1B">
                              <w:rPr>
                                <w:b/>
                              </w:rPr>
                              <w:t>Department of the Prime Minister and Cabinet’s January 2015 Review of Australia’s Counter-Terrorism Machinery, the efficiency dividend be removed from all Australian Security Intelligence Organisation, Australian Secret Intelligence Service and Australian Federal Police operations.</w:t>
                            </w:r>
                          </w:p>
                          <w:p w14:paraId="6283E227" w14:textId="77777777" w:rsidR="00C03F1B" w:rsidRPr="00C03F1B" w:rsidRDefault="00C03F1B" w:rsidP="00C03F1B">
                            <w:pPr>
                              <w:rPr>
                                <w:b/>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54C65D" id="_x0000_t202" coordsize="21600,21600" o:spt="202" path="m,l,21600r21600,l21600,xe">
                <v:stroke joinstyle="miter"/>
                <v:path gradientshapeok="t" o:connecttype="rect"/>
              </v:shapetype>
              <v:shape id="Text Box 2" o:spid="_x0000_s1026" type="#_x0000_t202" style="position:absolute;margin-left:0;margin-top:17.4pt;width:462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">
                <v:textbox style="mso-fit-shape-to-text:t">
                  <w:txbxContent>
                    <w:p w:rsidR="00C03F1B" w:rsidRPr="00C03F1B" w:rsidRDefault="00C03F1B" w:rsidP="00C03F1B">
                      <w:pPr>
                        <w:rPr>
                          <w:b/>
                        </w:rPr>
                      </w:pPr>
                      <w:r w:rsidRPr="00C03F1B">
                        <w:rPr>
                          <w:b/>
                        </w:rPr>
                        <w:t xml:space="preserve">Recommendation 1. </w:t>
                      </w:r>
                    </w:p>
                    <w:p w:rsidR="00C03F1B" w:rsidRPr="00C03F1B" w:rsidRDefault="00C03F1B" w:rsidP="00C03F1B">
                      <w:pPr>
                        <w:rPr>
                          <w:b/>
                        </w:rPr>
                      </w:pPr>
                    </w:p>
                    <w:p w:rsidR="00C03F1B" w:rsidRDefault="00C03F1B" w:rsidP="00C03F1B">
                      <w:pPr>
                        <w:rPr>
                          <w:b/>
                        </w:rPr>
                      </w:pPr>
                      <w:r w:rsidRPr="00C03F1B">
                        <w:rPr>
                          <w:b/>
                        </w:rPr>
                        <w:t>The Committee recommends that, in line with the recommendations of the</w:t>
                      </w:r>
                      <w:r w:rsidR="002C3DD2">
                        <w:rPr>
                          <w:b/>
                        </w:rPr>
                        <w:t xml:space="preserve"> </w:t>
                      </w:r>
                      <w:r w:rsidRPr="00C03F1B">
                        <w:rPr>
                          <w:b/>
                        </w:rPr>
                        <w:t>Department of the Prime Minister and Cabinet’s January 2015 Review of Australia’s Counter-Terrorism Machinery, the efficiency dividend be removed from all Australian Security Intelligence Organisation, Australian Secret Intelligence Service and Australian Federal Police operations.</w:t>
                      </w:r>
                    </w:p>
                    <w:p w:rsidR="00C03F1B" w:rsidRPr="00C03F1B" w:rsidRDefault="00C03F1B" w:rsidP="00C03F1B">
                      <w:pPr>
                        <w:rPr>
                          <w:b/>
                        </w:rPr>
                      </w:pPr>
                    </w:p>
                  </w:txbxContent>
                </v:textbox>
                <w10:wrap type="square" anchorx="margin"/>
              </v:shape>
            </w:pict>
          </mc:Fallback>
        </mc:AlternateContent>
      </w:r>
    </w:p>
    <w:p w14:paraId="02A784F0" w14:textId="77777777" w:rsidR="00C03F1B" w:rsidRDefault="00C03F1B" w:rsidP="00B26506">
      <w:pPr>
        <w:rPr>
          <w:b/>
        </w:rPr>
      </w:pPr>
    </w:p>
    <w:p w14:paraId="6FA39A2A" w14:textId="77777777" w:rsidR="00C03F1B" w:rsidRDefault="00C03F1B" w:rsidP="00B26506">
      <w:pPr>
        <w:rPr>
          <w:b/>
        </w:rPr>
      </w:pPr>
      <w:r w:rsidRPr="00C03F1B">
        <w:rPr>
          <w:b/>
        </w:rPr>
        <w:t>Noted</w:t>
      </w:r>
    </w:p>
    <w:p w14:paraId="725E3930" w14:textId="77777777" w:rsidR="00C03F1B" w:rsidRDefault="00C03F1B" w:rsidP="00B26506">
      <w:pPr>
        <w:rPr>
          <w:b/>
        </w:rPr>
      </w:pPr>
    </w:p>
    <w:p w14:paraId="23C4E7FE" w14:textId="77777777" w:rsidR="00A17085" w:rsidRDefault="00A17085" w:rsidP="00C03F1B">
      <w:pPr>
        <w:autoSpaceDE w:val="0"/>
        <w:autoSpaceDN w:val="0"/>
        <w:adjustRightInd w:val="0"/>
        <w:rPr>
          <w:rFonts w:eastAsiaTheme="minorHAnsi"/>
        </w:rPr>
      </w:pPr>
      <w:r>
        <w:rPr>
          <w:rFonts w:eastAsiaTheme="minorHAnsi"/>
        </w:rPr>
        <w:t>The Government is committed to transforming the way services are delivered and how government operates to create a smaller, smarter and more productive, sustainable public secto</w:t>
      </w:r>
      <w:r w:rsidR="00285AC3">
        <w:rPr>
          <w:rFonts w:eastAsiaTheme="minorHAnsi"/>
        </w:rPr>
        <w:t>r, better positioned to respond</w:t>
      </w:r>
      <w:r>
        <w:rPr>
          <w:rFonts w:eastAsiaTheme="minorHAnsi"/>
        </w:rPr>
        <w:t xml:space="preserve"> to the challenges of a rapidly changing environment and the continued need for fiscal discipline.  </w:t>
      </w:r>
    </w:p>
    <w:p w14:paraId="5404B0FF" w14:textId="77777777" w:rsidR="00A17085" w:rsidRDefault="00A17085" w:rsidP="00C03F1B">
      <w:pPr>
        <w:autoSpaceDE w:val="0"/>
        <w:autoSpaceDN w:val="0"/>
        <w:adjustRightInd w:val="0"/>
        <w:rPr>
          <w:rFonts w:eastAsiaTheme="minorHAnsi"/>
        </w:rPr>
      </w:pPr>
    </w:p>
    <w:p w14:paraId="5307098B" w14:textId="77777777" w:rsidR="003A7923" w:rsidRDefault="00A943F7" w:rsidP="000109BC">
      <w:pPr>
        <w:autoSpaceDE w:val="0"/>
        <w:autoSpaceDN w:val="0"/>
        <w:adjustRightInd w:val="0"/>
        <w:rPr>
          <w:rFonts w:eastAsiaTheme="minorHAnsi"/>
        </w:rPr>
      </w:pPr>
      <w:r>
        <w:rPr>
          <w:rFonts w:eastAsiaTheme="minorHAnsi"/>
        </w:rPr>
        <w:t>T</w:t>
      </w:r>
      <w:r w:rsidR="000109BC">
        <w:rPr>
          <w:rFonts w:eastAsiaTheme="minorHAnsi"/>
        </w:rPr>
        <w:t xml:space="preserve">he efficiency dividend framework has been an integral part of successive governments' efforts to </w:t>
      </w:r>
      <w:r w:rsidR="002A39F8">
        <w:rPr>
          <w:rFonts w:eastAsiaTheme="minorHAnsi"/>
        </w:rPr>
        <w:t xml:space="preserve">drive </w:t>
      </w:r>
      <w:r w:rsidR="003A7923">
        <w:rPr>
          <w:rFonts w:eastAsiaTheme="minorHAnsi"/>
        </w:rPr>
        <w:t xml:space="preserve">public service efficiencies and </w:t>
      </w:r>
      <w:r w:rsidR="002A39F8">
        <w:rPr>
          <w:rFonts w:eastAsiaTheme="minorHAnsi"/>
        </w:rPr>
        <w:t xml:space="preserve">it </w:t>
      </w:r>
      <w:r w:rsidR="003A7923">
        <w:rPr>
          <w:rFonts w:eastAsiaTheme="minorHAnsi"/>
        </w:rPr>
        <w:t xml:space="preserve">remains an </w:t>
      </w:r>
      <w:r w:rsidR="002A39F8">
        <w:rPr>
          <w:rFonts w:eastAsiaTheme="minorHAnsi"/>
        </w:rPr>
        <w:t>i</w:t>
      </w:r>
      <w:r w:rsidR="003A7923">
        <w:rPr>
          <w:rFonts w:eastAsiaTheme="minorHAnsi"/>
        </w:rPr>
        <w:t xml:space="preserve">mportant element of the Government’s </w:t>
      </w:r>
      <w:r w:rsidR="002A39F8">
        <w:rPr>
          <w:rFonts w:eastAsiaTheme="minorHAnsi"/>
        </w:rPr>
        <w:t xml:space="preserve">broader </w:t>
      </w:r>
      <w:r w:rsidR="003A7923">
        <w:rPr>
          <w:rFonts w:eastAsiaTheme="minorHAnsi"/>
        </w:rPr>
        <w:t xml:space="preserve">efficiency strategy.  </w:t>
      </w:r>
      <w:r w:rsidR="002A39F8">
        <w:rPr>
          <w:rFonts w:eastAsiaTheme="minorHAnsi"/>
        </w:rPr>
        <w:t>Since, 2013 t</w:t>
      </w:r>
      <w:r w:rsidR="003A7923">
        <w:rPr>
          <w:rFonts w:eastAsiaTheme="minorHAnsi"/>
        </w:rPr>
        <w:t xml:space="preserve">he </w:t>
      </w:r>
      <w:r w:rsidR="000109BC">
        <w:rPr>
          <w:rFonts w:eastAsiaTheme="minorHAnsi"/>
        </w:rPr>
        <w:t>efficiency div</w:t>
      </w:r>
      <w:r w:rsidR="002A39F8">
        <w:rPr>
          <w:rFonts w:eastAsiaTheme="minorHAnsi"/>
        </w:rPr>
        <w:t xml:space="preserve">idend has </w:t>
      </w:r>
      <w:r w:rsidR="003A7923">
        <w:rPr>
          <w:rFonts w:eastAsiaTheme="minorHAnsi"/>
        </w:rPr>
        <w:t>driven reform to inefficient programs and practices among Commonwealth Government agencies, following a period of strong public expenditure growth</w:t>
      </w:r>
      <w:r w:rsidR="002A39F8">
        <w:rPr>
          <w:rFonts w:eastAsiaTheme="minorHAnsi"/>
        </w:rPr>
        <w:t>,</w:t>
      </w:r>
      <w:r w:rsidR="003A7923">
        <w:rPr>
          <w:rFonts w:eastAsiaTheme="minorHAnsi"/>
        </w:rPr>
        <w:t xml:space="preserve"> and </w:t>
      </w:r>
      <w:r w:rsidR="002A39F8">
        <w:rPr>
          <w:rFonts w:eastAsiaTheme="minorHAnsi"/>
        </w:rPr>
        <w:t xml:space="preserve">it </w:t>
      </w:r>
      <w:r w:rsidR="003A7923">
        <w:rPr>
          <w:rFonts w:eastAsiaTheme="minorHAnsi"/>
        </w:rPr>
        <w:t>continues to provide an o</w:t>
      </w:r>
      <w:r w:rsidR="000109BC">
        <w:rPr>
          <w:rFonts w:eastAsiaTheme="minorHAnsi"/>
        </w:rPr>
        <w:t>ngoing incentive for agencies to operate efficiently and m</w:t>
      </w:r>
      <w:r w:rsidR="003A7923">
        <w:rPr>
          <w:rFonts w:eastAsiaTheme="minorHAnsi"/>
        </w:rPr>
        <w:t>ake further productivity gains.</w:t>
      </w:r>
    </w:p>
    <w:p w14:paraId="5005EA58" w14:textId="77777777" w:rsidR="003A7923" w:rsidRDefault="003A7923" w:rsidP="000109BC">
      <w:pPr>
        <w:autoSpaceDE w:val="0"/>
        <w:autoSpaceDN w:val="0"/>
        <w:adjustRightInd w:val="0"/>
        <w:rPr>
          <w:rFonts w:eastAsiaTheme="minorHAnsi"/>
        </w:rPr>
      </w:pPr>
    </w:p>
    <w:p w14:paraId="0DFC0B70" w14:textId="77777777" w:rsidR="00285AC3" w:rsidRDefault="00285AC3" w:rsidP="00285AC3">
      <w:pPr>
        <w:autoSpaceDE w:val="0"/>
        <w:autoSpaceDN w:val="0"/>
        <w:adjustRightInd w:val="0"/>
        <w:rPr>
          <w:rFonts w:eastAsiaTheme="minorHAnsi"/>
        </w:rPr>
      </w:pPr>
      <w:r>
        <w:rPr>
          <w:rFonts w:eastAsiaTheme="minorHAnsi"/>
        </w:rPr>
        <w:t xml:space="preserve">In the 2016-17 Budget, the Government announced that it will reduce the size of the efficiency </w:t>
      </w:r>
      <w:r w:rsidRPr="009420D2">
        <w:rPr>
          <w:rFonts w:eastAsiaTheme="minorHAnsi"/>
        </w:rPr>
        <w:t>divide</w:t>
      </w:r>
      <w:r w:rsidR="009420D2">
        <w:rPr>
          <w:rFonts w:eastAsiaTheme="minorHAnsi"/>
        </w:rPr>
        <w:t>n</w:t>
      </w:r>
      <w:r w:rsidRPr="009420D2">
        <w:rPr>
          <w:rFonts w:eastAsiaTheme="minorHAnsi"/>
        </w:rPr>
        <w:t>d</w:t>
      </w:r>
      <w:r>
        <w:rPr>
          <w:rFonts w:eastAsiaTheme="minorHAnsi"/>
        </w:rPr>
        <w:t xml:space="preserve"> over the forward estimates and support ongoing public sector transformation through partial re-investment of relevant savings into </w:t>
      </w:r>
      <w:r w:rsidR="002A39F8">
        <w:rPr>
          <w:rFonts w:eastAsiaTheme="minorHAnsi"/>
        </w:rPr>
        <w:t>reforms that</w:t>
      </w:r>
      <w:r>
        <w:rPr>
          <w:rFonts w:eastAsiaTheme="minorHAnsi"/>
        </w:rPr>
        <w:t xml:space="preserve"> increase productivity and innovation in the public sector</w:t>
      </w:r>
      <w:r w:rsidR="00010496">
        <w:rPr>
          <w:rFonts w:eastAsiaTheme="minorHAnsi"/>
        </w:rPr>
        <w:t xml:space="preserve">.  </w:t>
      </w:r>
      <w:r>
        <w:rPr>
          <w:rFonts w:eastAsiaTheme="minorHAnsi"/>
        </w:rPr>
        <w:t xml:space="preserve">In the 2017-18 Budget, the Government announced </w:t>
      </w:r>
      <w:r w:rsidR="000109BC">
        <w:rPr>
          <w:rFonts w:eastAsiaTheme="minorHAnsi"/>
        </w:rPr>
        <w:t xml:space="preserve">the specific initiatives that would be allocated funding from the </w:t>
      </w:r>
      <w:r w:rsidR="00010496">
        <w:rPr>
          <w:rFonts w:eastAsiaTheme="minorHAnsi"/>
        </w:rPr>
        <w:t xml:space="preserve">$500 million available from the </w:t>
      </w:r>
      <w:r>
        <w:rPr>
          <w:rFonts w:eastAsiaTheme="minorHAnsi"/>
        </w:rPr>
        <w:t>Modernisation</w:t>
      </w:r>
      <w:r w:rsidR="00010496">
        <w:rPr>
          <w:rFonts w:eastAsiaTheme="minorHAnsi"/>
        </w:rPr>
        <w:t xml:space="preserve"> Fund for</w:t>
      </w:r>
      <w:r>
        <w:rPr>
          <w:rFonts w:eastAsiaTheme="minorHAnsi"/>
        </w:rPr>
        <w:t xml:space="preserve"> reforms that deliver quality government services at lower cost and use leading technology and collaborate approaches to address complex problems facing society.  Further information on key individual elements of the Fund </w:t>
      </w:r>
      <w:r w:rsidR="00010496">
        <w:rPr>
          <w:rFonts w:eastAsiaTheme="minorHAnsi"/>
        </w:rPr>
        <w:t xml:space="preserve">and other elements of the Government efficiency initiatives </w:t>
      </w:r>
      <w:r>
        <w:rPr>
          <w:rFonts w:eastAsiaTheme="minorHAnsi"/>
        </w:rPr>
        <w:t xml:space="preserve">are </w:t>
      </w:r>
      <w:r w:rsidR="00010496">
        <w:rPr>
          <w:rFonts w:eastAsiaTheme="minorHAnsi"/>
        </w:rPr>
        <w:t>outlined i</w:t>
      </w:r>
      <w:r>
        <w:rPr>
          <w:rFonts w:eastAsiaTheme="minorHAnsi"/>
        </w:rPr>
        <w:t xml:space="preserve">n the </w:t>
      </w:r>
      <w:r w:rsidRPr="002C3DD2">
        <w:rPr>
          <w:rFonts w:eastAsiaTheme="minorHAnsi"/>
          <w:i/>
        </w:rPr>
        <w:t xml:space="preserve">2017-18 Budget, Agency Resourcing Budget Paper No. </w:t>
      </w:r>
      <w:r w:rsidR="00010496">
        <w:rPr>
          <w:rFonts w:eastAsiaTheme="minorHAnsi"/>
          <w:i/>
        </w:rPr>
        <w:t>4</w:t>
      </w:r>
      <w:r>
        <w:rPr>
          <w:rFonts w:eastAsiaTheme="minorHAnsi"/>
        </w:rPr>
        <w:t>.</w:t>
      </w:r>
    </w:p>
    <w:p w14:paraId="194F7685" w14:textId="77777777" w:rsidR="00CC0F68" w:rsidRDefault="00CC0F68" w:rsidP="00285AC3">
      <w:pPr>
        <w:autoSpaceDE w:val="0"/>
        <w:autoSpaceDN w:val="0"/>
        <w:adjustRightInd w:val="0"/>
        <w:rPr>
          <w:rFonts w:eastAsiaTheme="minorHAnsi"/>
        </w:rPr>
      </w:pPr>
    </w:p>
    <w:p w14:paraId="188293F3" w14:textId="77777777" w:rsidR="00830A56" w:rsidRDefault="00CC0F68" w:rsidP="00830A56">
      <w:r w:rsidRPr="001C01F4">
        <w:rPr>
          <w:rFonts w:eastAsiaTheme="minorHAnsi"/>
        </w:rPr>
        <w:t xml:space="preserve">The Government </w:t>
      </w:r>
      <w:r w:rsidR="00A943F7" w:rsidRPr="001C01F4">
        <w:rPr>
          <w:rFonts w:eastAsiaTheme="minorHAnsi"/>
        </w:rPr>
        <w:t xml:space="preserve">is </w:t>
      </w:r>
      <w:r w:rsidRPr="001C01F4">
        <w:rPr>
          <w:rFonts w:eastAsiaTheme="minorHAnsi"/>
        </w:rPr>
        <w:t xml:space="preserve">committed </w:t>
      </w:r>
      <w:r w:rsidR="002A39F8" w:rsidRPr="001C01F4">
        <w:rPr>
          <w:rFonts w:eastAsiaTheme="minorHAnsi"/>
        </w:rPr>
        <w:t xml:space="preserve">to </w:t>
      </w:r>
      <w:r w:rsidR="00830A56">
        <w:t xml:space="preserve">a safe and secure Australia and </w:t>
      </w:r>
      <w:r w:rsidR="00830A56" w:rsidRPr="00830A56">
        <w:t xml:space="preserve">notes that the </w:t>
      </w:r>
      <w:r w:rsidR="00830A56" w:rsidRPr="00A00B7A">
        <w:t xml:space="preserve">impact of the efficiency dividend on the </w:t>
      </w:r>
      <w:r w:rsidR="00830A56" w:rsidRPr="001C01F4">
        <w:rPr>
          <w:rFonts w:eastAsiaTheme="minorHAnsi"/>
        </w:rPr>
        <w:t>Australian Federal Police (AFP)</w:t>
      </w:r>
      <w:r w:rsidR="00830A56">
        <w:rPr>
          <w:rFonts w:eastAsiaTheme="minorHAnsi"/>
        </w:rPr>
        <w:t xml:space="preserve">, </w:t>
      </w:r>
      <w:r w:rsidR="00830A56" w:rsidRPr="001C01F4">
        <w:t xml:space="preserve">Australian Security Intelligence Organisation </w:t>
      </w:r>
      <w:r w:rsidR="00830A56">
        <w:t xml:space="preserve">(ASIO) and </w:t>
      </w:r>
      <w:r w:rsidR="00830A56" w:rsidRPr="00307D8C">
        <w:t>A</w:t>
      </w:r>
      <w:r w:rsidR="00830A56">
        <w:t>ustralian Secret Intelligence Service (A</w:t>
      </w:r>
      <w:r w:rsidR="00830A56" w:rsidRPr="00307D8C">
        <w:t>SIS</w:t>
      </w:r>
      <w:r w:rsidR="00830A56">
        <w:t xml:space="preserve">) over the </w:t>
      </w:r>
      <w:r w:rsidR="00830A56" w:rsidRPr="00A00B7A">
        <w:t>last decade has been materially outweighed by significant funding growth</w:t>
      </w:r>
      <w:r w:rsidR="00830A56">
        <w:t xml:space="preserve">. </w:t>
      </w:r>
      <w:r w:rsidR="00830A56" w:rsidRPr="00A00B7A">
        <w:t xml:space="preserve"> </w:t>
      </w:r>
    </w:p>
    <w:p w14:paraId="64729DA1" w14:textId="77777777" w:rsidR="00830A56" w:rsidRDefault="00830A56" w:rsidP="00CB1E01">
      <w:pPr>
        <w:autoSpaceDE w:val="0"/>
        <w:autoSpaceDN w:val="0"/>
        <w:adjustRightInd w:val="0"/>
      </w:pPr>
    </w:p>
    <w:p w14:paraId="1C1606DA" w14:textId="77777777" w:rsidR="00CC0F68" w:rsidRDefault="00CB1E01" w:rsidP="00CB1E01">
      <w:pPr>
        <w:autoSpaceDE w:val="0"/>
        <w:autoSpaceDN w:val="0"/>
        <w:adjustRightInd w:val="0"/>
        <w:rPr>
          <w:rFonts w:eastAsiaTheme="minorHAnsi"/>
        </w:rPr>
      </w:pPr>
      <w:r w:rsidRPr="001C01F4">
        <w:rPr>
          <w:rFonts w:eastAsiaTheme="minorHAnsi"/>
        </w:rPr>
        <w:t xml:space="preserve">As outlined in the 2017-18 Budget, the </w:t>
      </w:r>
      <w:r w:rsidR="002A39F8" w:rsidRPr="001C01F4">
        <w:rPr>
          <w:rFonts w:eastAsiaTheme="minorHAnsi"/>
        </w:rPr>
        <w:t xml:space="preserve">Government has invested </w:t>
      </w:r>
      <w:r w:rsidR="00CC0F68" w:rsidRPr="001C01F4">
        <w:rPr>
          <w:rFonts w:eastAsiaTheme="minorHAnsi"/>
        </w:rPr>
        <w:t>an additional $321.4 million to bolster the capability of</w:t>
      </w:r>
      <w:r w:rsidR="006E1ED5">
        <w:rPr>
          <w:rFonts w:eastAsiaTheme="minorHAnsi"/>
        </w:rPr>
        <w:t xml:space="preserve"> the AFP</w:t>
      </w:r>
      <w:r w:rsidR="00CC0F68" w:rsidRPr="001C01F4">
        <w:rPr>
          <w:rFonts w:eastAsiaTheme="minorHAnsi"/>
        </w:rPr>
        <w:t>.</w:t>
      </w:r>
      <w:r w:rsidR="00996FE1">
        <w:rPr>
          <w:rFonts w:eastAsiaTheme="minorHAnsi"/>
        </w:rPr>
        <w:t xml:space="preserve"> </w:t>
      </w:r>
      <w:r w:rsidR="00CC0F68" w:rsidRPr="001C01F4">
        <w:rPr>
          <w:rFonts w:eastAsiaTheme="minorHAnsi"/>
        </w:rPr>
        <w:t>This represents the largest single funding boost for the AFP’s domestic pol</w:t>
      </w:r>
      <w:r w:rsidR="00D337E1">
        <w:rPr>
          <w:rFonts w:eastAsiaTheme="minorHAnsi"/>
        </w:rPr>
        <w:t>icing capabilities in a decade.</w:t>
      </w:r>
    </w:p>
    <w:p w14:paraId="1411991D" w14:textId="77777777" w:rsidR="00830A56" w:rsidRPr="001C01F4" w:rsidRDefault="00830A56" w:rsidP="00CB1E01">
      <w:pPr>
        <w:autoSpaceDE w:val="0"/>
        <w:autoSpaceDN w:val="0"/>
        <w:adjustRightInd w:val="0"/>
      </w:pPr>
    </w:p>
    <w:p w14:paraId="022B9EB1" w14:textId="77777777" w:rsidR="00CB1E01" w:rsidRDefault="00CB1E01" w:rsidP="00CB1E01">
      <w:r w:rsidRPr="001C01F4">
        <w:t xml:space="preserve">The Government also announced </w:t>
      </w:r>
      <w:r w:rsidR="003A0969">
        <w:t xml:space="preserve">in the 2017-18 Budget </w:t>
      </w:r>
      <w:r w:rsidR="003F1982">
        <w:t>a</w:t>
      </w:r>
      <w:r w:rsidRPr="001C01F4">
        <w:t xml:space="preserve">dditional funding to support the </w:t>
      </w:r>
      <w:r w:rsidR="00830A56">
        <w:t>operations of ASIO</w:t>
      </w:r>
      <w:r w:rsidR="00D82331">
        <w:t xml:space="preserve"> </w:t>
      </w:r>
      <w:r w:rsidRPr="001C01F4">
        <w:t xml:space="preserve">and </w:t>
      </w:r>
      <w:r w:rsidR="003F1982">
        <w:t>A</w:t>
      </w:r>
      <w:r w:rsidR="003F1982" w:rsidRPr="00307D8C">
        <w:t xml:space="preserve">SIS </w:t>
      </w:r>
      <w:r w:rsidR="003F1982">
        <w:t xml:space="preserve">to </w:t>
      </w:r>
      <w:r w:rsidRPr="001C01F4">
        <w:t xml:space="preserve">strengthen </w:t>
      </w:r>
      <w:r w:rsidR="003F1982">
        <w:t xml:space="preserve">their </w:t>
      </w:r>
      <w:r w:rsidRPr="001C01F4">
        <w:t>capacity to meet the strategic priorities and objectives of the Organisation</w:t>
      </w:r>
      <w:r w:rsidR="006E1ED5">
        <w:t>s</w:t>
      </w:r>
      <w:r w:rsidRPr="001C01F4">
        <w:t xml:space="preserve"> and the Government.</w:t>
      </w:r>
      <w:r>
        <w:t xml:space="preserve">  </w:t>
      </w:r>
    </w:p>
    <w:p w14:paraId="5E73A5C5" w14:textId="77777777" w:rsidR="00830A56" w:rsidRDefault="00830A56" w:rsidP="006C4F3B"/>
    <w:p w14:paraId="15AB5CA0" w14:textId="77777777" w:rsidR="00B3323E" w:rsidRDefault="004D367E" w:rsidP="006C4F3B">
      <w:r>
        <w:lastRenderedPageBreak/>
        <w:t>As part of the 2016-17</w:t>
      </w:r>
      <w:r w:rsidR="006C4F3B" w:rsidRPr="003A2B77">
        <w:t xml:space="preserve"> Mid-Year Economic and Fiscal Update</w:t>
      </w:r>
      <w:r w:rsidR="006C4F3B">
        <w:t xml:space="preserve">, </w:t>
      </w:r>
      <w:r w:rsidR="00AB2CD6">
        <w:t>t</w:t>
      </w:r>
      <w:r w:rsidR="00453980" w:rsidRPr="006C4F3B">
        <w:t>he Government provide</w:t>
      </w:r>
      <w:r w:rsidR="006C4F3B">
        <w:t>d</w:t>
      </w:r>
      <w:r w:rsidR="00B3323E">
        <w:t xml:space="preserve"> the AFP:</w:t>
      </w:r>
    </w:p>
    <w:p w14:paraId="6A0D1960" w14:textId="77777777" w:rsidR="00453980" w:rsidRPr="006C4F3B" w:rsidRDefault="00453980" w:rsidP="00FF7AF1">
      <w:pPr>
        <w:pStyle w:val="ListParagraph"/>
        <w:numPr>
          <w:ilvl w:val="0"/>
          <w:numId w:val="3"/>
        </w:numPr>
        <w:spacing w:before="120" w:after="120"/>
        <w:ind w:left="714" w:hanging="357"/>
        <w:contextualSpacing w:val="0"/>
      </w:pPr>
      <w:r w:rsidRPr="006C4F3B">
        <w:t>$62.3 million over five years to enhance its technical secu</w:t>
      </w:r>
      <w:r w:rsidR="00AB2CD6">
        <w:t xml:space="preserve">rity capabilities. Funding </w:t>
      </w:r>
      <w:r w:rsidRPr="006C4F3B">
        <w:t>provide</w:t>
      </w:r>
      <w:r w:rsidR="00AB2CD6">
        <w:t>d</w:t>
      </w:r>
      <w:r w:rsidRPr="006C4F3B">
        <w:t xml:space="preserve"> for</w:t>
      </w:r>
      <w:r w:rsidR="00AB2CD6">
        <w:t xml:space="preserve"> </w:t>
      </w:r>
      <w:r w:rsidRPr="006C4F3B">
        <w:t>advanced closed circuit television systems, personal issue communication devices and</w:t>
      </w:r>
      <w:r w:rsidR="00AB2CD6">
        <w:t xml:space="preserve"> </w:t>
      </w:r>
      <w:r w:rsidRPr="006C4F3B">
        <w:t>for enterprise data management.</w:t>
      </w:r>
      <w:r w:rsidR="006C4F3B" w:rsidRPr="006C4F3B">
        <w:t xml:space="preserve"> The cost of this measure was </w:t>
      </w:r>
      <w:r w:rsidRPr="006C4F3B">
        <w:t>partially offset from within the AFP’s existing</w:t>
      </w:r>
      <w:r w:rsidR="00AE640A">
        <w:t xml:space="preserve"> </w:t>
      </w:r>
      <w:r w:rsidRPr="006C4F3B">
        <w:t>resources</w:t>
      </w:r>
      <w:r w:rsidR="000C3126">
        <w:t>; and</w:t>
      </w:r>
    </w:p>
    <w:p w14:paraId="13935B02" w14:textId="77777777" w:rsidR="00AE640A" w:rsidRDefault="001260B5" w:rsidP="00566D81">
      <w:pPr>
        <w:pStyle w:val="ListParagraph"/>
        <w:numPr>
          <w:ilvl w:val="0"/>
          <w:numId w:val="3"/>
        </w:numPr>
        <w:spacing w:before="120"/>
        <w:ind w:left="714" w:hanging="357"/>
        <w:contextualSpacing w:val="0"/>
      </w:pPr>
      <w:r>
        <w:t>$60.7</w:t>
      </w:r>
      <w:r w:rsidR="00AE640A" w:rsidRPr="00AE640A">
        <w:t xml:space="preserve"> million over four years to enhance the tracking and</w:t>
      </w:r>
      <w:r w:rsidR="00AE640A">
        <w:t xml:space="preserve"> </w:t>
      </w:r>
      <w:r w:rsidR="00AE640A" w:rsidRPr="00AE640A">
        <w:t>detection of illegal firearms on our streets and the importation of illegal firearms into</w:t>
      </w:r>
      <w:r w:rsidR="00AE640A">
        <w:t xml:space="preserve"> </w:t>
      </w:r>
      <w:r w:rsidR="00AE640A" w:rsidRPr="00AE640A">
        <w:t>Australia.</w:t>
      </w:r>
    </w:p>
    <w:p w14:paraId="17171B1E" w14:textId="77777777" w:rsidR="00566D81" w:rsidRPr="00AE640A" w:rsidRDefault="00566D81" w:rsidP="00566D81">
      <w:pPr>
        <w:pStyle w:val="ListParagraph"/>
        <w:spacing w:before="120"/>
        <w:ind w:left="714"/>
        <w:contextualSpacing w:val="0"/>
      </w:pPr>
    </w:p>
    <w:p w14:paraId="6C781AFF" w14:textId="77777777" w:rsidR="00453980" w:rsidRPr="006C4F3B" w:rsidRDefault="002110EE" w:rsidP="006C4F3B">
      <w:r w:rsidRPr="006C4F3B">
        <w:t>As part of the 2016-17 Budget, t</w:t>
      </w:r>
      <w:r w:rsidR="00453980" w:rsidRPr="006C4F3B">
        <w:t>he Government provide</w:t>
      </w:r>
      <w:r w:rsidRPr="006C4F3B">
        <w:t xml:space="preserve">d $148.5 million over five years </w:t>
      </w:r>
      <w:r w:rsidR="000C3126">
        <w:t xml:space="preserve">to </w:t>
      </w:r>
      <w:r w:rsidRPr="006C4F3B">
        <w:t xml:space="preserve">the AFP for additional Protective Security Officers, upgraded physical and personnel security and a scoping study for enhanced protective technical capabilities.  </w:t>
      </w:r>
    </w:p>
    <w:p w14:paraId="56B0A551" w14:textId="77777777" w:rsidR="00453980" w:rsidRPr="000D5F1F" w:rsidRDefault="00453980" w:rsidP="000D5F1F"/>
    <w:p w14:paraId="51C2F7DB" w14:textId="77777777" w:rsidR="009F1A38" w:rsidRDefault="00307D8C" w:rsidP="00E378DD">
      <w:r>
        <w:t xml:space="preserve">As part of the 2015-16 Budget, the </w:t>
      </w:r>
      <w:r w:rsidRPr="00307D8C">
        <w:t xml:space="preserve">Government </w:t>
      </w:r>
      <w:r w:rsidR="00E378DD" w:rsidRPr="00307D8C">
        <w:t>provide</w:t>
      </w:r>
      <w:r w:rsidRPr="00307D8C">
        <w:t>d</w:t>
      </w:r>
      <w:r w:rsidR="00E378DD" w:rsidRPr="00307D8C">
        <w:t xml:space="preserve"> $295.8 million over six years </w:t>
      </w:r>
      <w:r w:rsidR="00E07691">
        <w:t xml:space="preserve">(and $47.1 million </w:t>
      </w:r>
      <w:r w:rsidR="006E1ED5">
        <w:t xml:space="preserve">per annum </w:t>
      </w:r>
      <w:r w:rsidR="00E07691">
        <w:t xml:space="preserve">ongoing) </w:t>
      </w:r>
      <w:r w:rsidR="00E378DD" w:rsidRPr="00307D8C">
        <w:t>to strengt</w:t>
      </w:r>
      <w:r>
        <w:t xml:space="preserve">hen capabilities of </w:t>
      </w:r>
      <w:r w:rsidR="00D82331">
        <w:t>A</w:t>
      </w:r>
      <w:r w:rsidR="00E378DD" w:rsidRPr="00307D8C">
        <w:t>SIS including upgrading its IC</w:t>
      </w:r>
      <w:r w:rsidR="00AD7ABD">
        <w:t xml:space="preserve">T systems. </w:t>
      </w:r>
    </w:p>
    <w:p w14:paraId="3FAB67D2" w14:textId="77777777" w:rsidR="00307D8C" w:rsidRDefault="00307D8C" w:rsidP="00DF4C1D"/>
    <w:p w14:paraId="2DBAC645" w14:textId="77777777" w:rsidR="00307D8C" w:rsidRDefault="00EF637E" w:rsidP="00307D8C">
      <w:r>
        <w:t xml:space="preserve">As part of the </w:t>
      </w:r>
      <w:r w:rsidRPr="003A2B77">
        <w:t>2014-15 Mid-Year Economic and Fiscal Update</w:t>
      </w:r>
      <w:r w:rsidR="0031371D">
        <w:t>,</w:t>
      </w:r>
      <w:r w:rsidRPr="00307D8C">
        <w:t xml:space="preserve"> </w:t>
      </w:r>
      <w:r w:rsidR="00DA591D">
        <w:t xml:space="preserve">the </w:t>
      </w:r>
      <w:r w:rsidR="00307D8C" w:rsidRPr="00307D8C">
        <w:t>Government provide</w:t>
      </w:r>
      <w:r w:rsidR="00A1131E">
        <w:t>d</w:t>
      </w:r>
      <w:r w:rsidR="00307D8C" w:rsidRPr="00307D8C">
        <w:t xml:space="preserve"> additional funding </w:t>
      </w:r>
      <w:r w:rsidR="00C74928">
        <w:t xml:space="preserve">to </w:t>
      </w:r>
      <w:r w:rsidR="00092D34">
        <w:t>several Commonwealth a</w:t>
      </w:r>
      <w:r w:rsidR="00C74928">
        <w:t xml:space="preserve">gencies </w:t>
      </w:r>
      <w:r w:rsidR="00307D8C" w:rsidRPr="00307D8C">
        <w:t>of $649.9 million over four years for</w:t>
      </w:r>
      <w:r w:rsidR="00C74928">
        <w:t xml:space="preserve"> </w:t>
      </w:r>
      <w:r w:rsidR="00307D8C" w:rsidRPr="00307D8C">
        <w:t xml:space="preserve">a range of </w:t>
      </w:r>
      <w:r w:rsidR="00A1131E">
        <w:t>c</w:t>
      </w:r>
      <w:r w:rsidR="00307D8C" w:rsidRPr="00307D8C">
        <w:t>ounter-terrorism activities, providing security and intelligence agencies</w:t>
      </w:r>
      <w:r w:rsidR="00C74928">
        <w:t xml:space="preserve"> </w:t>
      </w:r>
      <w:r w:rsidR="00307D8C" w:rsidRPr="00307D8C">
        <w:t>with resources and legislative powers to combat the terrorist threat. The additional</w:t>
      </w:r>
      <w:r w:rsidR="00103D26">
        <w:t xml:space="preserve"> </w:t>
      </w:r>
      <w:r w:rsidR="00307D8C" w:rsidRPr="00307D8C">
        <w:t>funding provided to agencies extend</w:t>
      </w:r>
      <w:r w:rsidR="00C74928">
        <w:t>ed</w:t>
      </w:r>
      <w:r w:rsidR="00307D8C" w:rsidRPr="00307D8C">
        <w:t xml:space="preserve"> beyond the forward estimates, forming part</w:t>
      </w:r>
      <w:r w:rsidR="00103D26">
        <w:t xml:space="preserve"> </w:t>
      </w:r>
      <w:r w:rsidR="00307D8C" w:rsidRPr="00307D8C">
        <w:t>of agencies’ ongoing base funding.</w:t>
      </w:r>
    </w:p>
    <w:p w14:paraId="71551CE1" w14:textId="77777777" w:rsidR="00D92FB5" w:rsidRDefault="00D92FB5" w:rsidP="00307D8C"/>
    <w:p w14:paraId="6941DF71" w14:textId="77777777" w:rsidR="00307D8C" w:rsidRDefault="00307D8C" w:rsidP="00DF4C1D">
      <w:r w:rsidRPr="00307D8C">
        <w:t>The additional funding strengthen</w:t>
      </w:r>
      <w:r w:rsidR="000D5F1F">
        <w:t>ed</w:t>
      </w:r>
      <w:r w:rsidRPr="00307D8C">
        <w:t xml:space="preserve"> monitoring and disruption activities in</w:t>
      </w:r>
      <w:r w:rsidR="00AD7ABD">
        <w:t xml:space="preserve"> </w:t>
      </w:r>
      <w:r w:rsidRPr="00307D8C">
        <w:t>Australia and overseas; increase</w:t>
      </w:r>
      <w:r w:rsidR="00303173">
        <w:t>d</w:t>
      </w:r>
      <w:r w:rsidRPr="00307D8C">
        <w:t xml:space="preserve"> intelligence collection and threat assessment</w:t>
      </w:r>
      <w:r w:rsidR="00AD7ABD">
        <w:t xml:space="preserve"> </w:t>
      </w:r>
      <w:r w:rsidRPr="00307D8C">
        <w:t>capabilities; enhance</w:t>
      </w:r>
      <w:r w:rsidR="00303173">
        <w:t>d</w:t>
      </w:r>
      <w:r w:rsidRPr="00307D8C">
        <w:t xml:space="preserve"> border protection; improve</w:t>
      </w:r>
      <w:r w:rsidR="0031371D">
        <w:t>d</w:t>
      </w:r>
      <w:r w:rsidRPr="00307D8C">
        <w:t xml:space="preserve"> technical capabilities; and provide</w:t>
      </w:r>
      <w:r w:rsidR="00303173">
        <w:t>d</w:t>
      </w:r>
      <w:r w:rsidR="00AD7ABD">
        <w:t xml:space="preserve"> </w:t>
      </w:r>
      <w:r w:rsidRPr="00307D8C">
        <w:t>resources to engage those at risk of radicalisation.</w:t>
      </w:r>
      <w:r w:rsidR="00AD7ABD">
        <w:t xml:space="preserve"> </w:t>
      </w:r>
      <w:r w:rsidR="00C74928">
        <w:t xml:space="preserve">The package included </w:t>
      </w:r>
      <w:r w:rsidR="00C74928" w:rsidRPr="00045EEB">
        <w:t>$126</w:t>
      </w:r>
      <w:r w:rsidR="00045EEB" w:rsidRPr="00045EEB">
        <w:t>.3</w:t>
      </w:r>
      <w:r w:rsidR="00C74928" w:rsidRPr="00045EEB">
        <w:t xml:space="preserve"> million over four years for ASIS</w:t>
      </w:r>
      <w:r w:rsidR="00D92FB5" w:rsidRPr="00045EEB">
        <w:t xml:space="preserve">, </w:t>
      </w:r>
      <w:r w:rsidR="00D92FB5" w:rsidRPr="00DF4C1D">
        <w:t>$</w:t>
      </w:r>
      <w:r w:rsidR="00045EEB" w:rsidRPr="00045EEB">
        <w:t>196.1</w:t>
      </w:r>
      <w:r w:rsidR="00D92FB5" w:rsidRPr="00DF4C1D">
        <w:t> million over four years</w:t>
      </w:r>
      <w:r w:rsidR="00D92FB5">
        <w:t xml:space="preserve"> for ASIO and</w:t>
      </w:r>
      <w:r w:rsidR="00045EEB">
        <w:t xml:space="preserve"> $77.3 million </w:t>
      </w:r>
      <w:r w:rsidR="000C3126">
        <w:t xml:space="preserve">over four years </w:t>
      </w:r>
      <w:r w:rsidR="00045EEB">
        <w:t>f</w:t>
      </w:r>
      <w:r w:rsidR="00AD7ABD">
        <w:t>or the AFP</w:t>
      </w:r>
      <w:r w:rsidR="00FF7AF1">
        <w:t>.</w:t>
      </w:r>
    </w:p>
    <w:p w14:paraId="1F25EE0F" w14:textId="77777777" w:rsidR="00307D8C" w:rsidRDefault="00307D8C" w:rsidP="00DF4C1D"/>
    <w:sectPr w:rsidR="00307D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284456"/>
    <w:multiLevelType w:val="hybridMultilevel"/>
    <w:tmpl w:val="9B70B6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67B2A85"/>
    <w:multiLevelType w:val="hybridMultilevel"/>
    <w:tmpl w:val="B746AE38"/>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506"/>
    <w:rsid w:val="0000545B"/>
    <w:rsid w:val="00010496"/>
    <w:rsid w:val="000109BC"/>
    <w:rsid w:val="00045EEB"/>
    <w:rsid w:val="00063901"/>
    <w:rsid w:val="00092D34"/>
    <w:rsid w:val="000C3126"/>
    <w:rsid w:val="000D5F1F"/>
    <w:rsid w:val="000E7EF8"/>
    <w:rsid w:val="00103D26"/>
    <w:rsid w:val="001260B5"/>
    <w:rsid w:val="001C01F4"/>
    <w:rsid w:val="001E15BC"/>
    <w:rsid w:val="002110EE"/>
    <w:rsid w:val="00285AC3"/>
    <w:rsid w:val="002A39F8"/>
    <w:rsid w:val="002C3DD2"/>
    <w:rsid w:val="002D5612"/>
    <w:rsid w:val="002F19B6"/>
    <w:rsid w:val="00303173"/>
    <w:rsid w:val="00307D8C"/>
    <w:rsid w:val="0031371D"/>
    <w:rsid w:val="003A0969"/>
    <w:rsid w:val="003A7923"/>
    <w:rsid w:val="003C29C0"/>
    <w:rsid w:val="003D71F1"/>
    <w:rsid w:val="003F1982"/>
    <w:rsid w:val="00453980"/>
    <w:rsid w:val="004D367E"/>
    <w:rsid w:val="00566D81"/>
    <w:rsid w:val="00657AF4"/>
    <w:rsid w:val="006C4F3B"/>
    <w:rsid w:val="006E1ED5"/>
    <w:rsid w:val="006F1311"/>
    <w:rsid w:val="00782A7E"/>
    <w:rsid w:val="007A3268"/>
    <w:rsid w:val="007B4F5C"/>
    <w:rsid w:val="007C23FC"/>
    <w:rsid w:val="00830A56"/>
    <w:rsid w:val="00867CD5"/>
    <w:rsid w:val="009420D2"/>
    <w:rsid w:val="0098526E"/>
    <w:rsid w:val="00987AE3"/>
    <w:rsid w:val="00996FE1"/>
    <w:rsid w:val="009F1A38"/>
    <w:rsid w:val="00A1131E"/>
    <w:rsid w:val="00A17085"/>
    <w:rsid w:val="00A21754"/>
    <w:rsid w:val="00A943F7"/>
    <w:rsid w:val="00AB2CD6"/>
    <w:rsid w:val="00AD7ABD"/>
    <w:rsid w:val="00AE640A"/>
    <w:rsid w:val="00B26506"/>
    <w:rsid w:val="00B3323E"/>
    <w:rsid w:val="00BE49A8"/>
    <w:rsid w:val="00C03F1B"/>
    <w:rsid w:val="00C74928"/>
    <w:rsid w:val="00CB1E01"/>
    <w:rsid w:val="00CC0F68"/>
    <w:rsid w:val="00D337E1"/>
    <w:rsid w:val="00D82331"/>
    <w:rsid w:val="00D85F98"/>
    <w:rsid w:val="00D92FB5"/>
    <w:rsid w:val="00DA591D"/>
    <w:rsid w:val="00DD2F3D"/>
    <w:rsid w:val="00DF4A44"/>
    <w:rsid w:val="00DF4AD8"/>
    <w:rsid w:val="00DF4C1D"/>
    <w:rsid w:val="00E07691"/>
    <w:rsid w:val="00E378DD"/>
    <w:rsid w:val="00EB2D3D"/>
    <w:rsid w:val="00EC2285"/>
    <w:rsid w:val="00ED2D4C"/>
    <w:rsid w:val="00EF637E"/>
    <w:rsid w:val="00FF7A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B4242"/>
  <w15:chartTrackingRefBased/>
  <w15:docId w15:val="{76085E91-1D58-494D-A43A-D6BC296AD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650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Title">
    <w:name w:val="Appendix Title"/>
    <w:basedOn w:val="Normal"/>
    <w:link w:val="AppendixTitleCharChar"/>
    <w:rsid w:val="00B26506"/>
    <w:pPr>
      <w:spacing w:after="240"/>
      <w:jc w:val="right"/>
    </w:pPr>
    <w:rPr>
      <w:rFonts w:ascii="Arial" w:hAnsi="Arial"/>
      <w:color w:val="000080"/>
      <w:sz w:val="28"/>
      <w:szCs w:val="28"/>
      <w:lang w:val="x-none" w:eastAsia="x-none"/>
    </w:rPr>
  </w:style>
  <w:style w:type="character" w:customStyle="1" w:styleId="AppendixTitleCharChar">
    <w:name w:val="Appendix Title Char Char"/>
    <w:link w:val="AppendixTitle"/>
    <w:locked/>
    <w:rsid w:val="00B26506"/>
    <w:rPr>
      <w:rFonts w:ascii="Arial" w:eastAsia="Times New Roman" w:hAnsi="Arial" w:cs="Times New Roman"/>
      <w:color w:val="000080"/>
      <w:sz w:val="28"/>
      <w:szCs w:val="28"/>
      <w:lang w:val="x-none" w:eastAsia="x-none"/>
    </w:rPr>
  </w:style>
  <w:style w:type="paragraph" w:styleId="NormalWeb">
    <w:name w:val="Normal (Web)"/>
    <w:basedOn w:val="Normal"/>
    <w:uiPriority w:val="99"/>
    <w:semiHidden/>
    <w:unhideWhenUsed/>
    <w:rsid w:val="00CC0F68"/>
    <w:pPr>
      <w:textAlignment w:val="baseline"/>
    </w:pPr>
    <w:rPr>
      <w:lang w:eastAsia="en-AU"/>
    </w:rPr>
  </w:style>
  <w:style w:type="character" w:customStyle="1" w:styleId="TableHeadingChar">
    <w:name w:val="Table Heading Char"/>
    <w:basedOn w:val="DefaultParagraphFont"/>
    <w:link w:val="TableHeading"/>
    <w:locked/>
    <w:rsid w:val="009F1A38"/>
    <w:rPr>
      <w:b/>
      <w:bCs/>
    </w:rPr>
  </w:style>
  <w:style w:type="paragraph" w:customStyle="1" w:styleId="TableHeading">
    <w:name w:val="Table Heading"/>
    <w:basedOn w:val="Normal"/>
    <w:link w:val="TableHeadingChar"/>
    <w:rsid w:val="009F1A38"/>
    <w:pPr>
      <w:spacing w:line="276" w:lineRule="auto"/>
    </w:pPr>
    <w:rPr>
      <w:rFonts w:asciiTheme="minorHAnsi" w:eastAsiaTheme="minorHAnsi" w:hAnsiTheme="minorHAnsi" w:cstheme="minorBidi"/>
      <w:b/>
      <w:bCs/>
      <w:sz w:val="22"/>
      <w:szCs w:val="22"/>
    </w:rPr>
  </w:style>
  <w:style w:type="paragraph" w:customStyle="1" w:styleId="Default">
    <w:name w:val="Default"/>
    <w:rsid w:val="00657AF4"/>
    <w:pPr>
      <w:autoSpaceDE w:val="0"/>
      <w:autoSpaceDN w:val="0"/>
      <w:adjustRightInd w:val="0"/>
      <w:spacing w:after="0" w:line="240" w:lineRule="auto"/>
    </w:pPr>
    <w:rPr>
      <w:rFonts w:ascii="Book Antiqua" w:hAnsi="Book Antiqua" w:cs="Book Antiqua"/>
      <w:color w:val="000000"/>
      <w:sz w:val="24"/>
      <w:szCs w:val="24"/>
    </w:rPr>
  </w:style>
  <w:style w:type="paragraph" w:styleId="ListParagraph">
    <w:name w:val="List Paragraph"/>
    <w:basedOn w:val="Normal"/>
    <w:uiPriority w:val="34"/>
    <w:qFormat/>
    <w:rsid w:val="00B3323E"/>
    <w:pPr>
      <w:ind w:left="720"/>
      <w:contextualSpacing/>
    </w:pPr>
  </w:style>
  <w:style w:type="paragraph" w:styleId="BalloonText">
    <w:name w:val="Balloon Text"/>
    <w:basedOn w:val="Normal"/>
    <w:link w:val="BalloonTextChar"/>
    <w:uiPriority w:val="99"/>
    <w:semiHidden/>
    <w:unhideWhenUsed/>
    <w:rsid w:val="00D823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33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183789">
      <w:bodyDiv w:val="1"/>
      <w:marLeft w:val="0"/>
      <w:marRight w:val="0"/>
      <w:marTop w:val="0"/>
      <w:marBottom w:val="0"/>
      <w:divBdr>
        <w:top w:val="none" w:sz="0" w:space="0" w:color="auto"/>
        <w:left w:val="none" w:sz="0" w:space="0" w:color="auto"/>
        <w:bottom w:val="none" w:sz="0" w:space="0" w:color="auto"/>
        <w:right w:val="none" w:sz="0" w:space="0" w:color="auto"/>
      </w:divBdr>
    </w:div>
    <w:div w:id="686828375">
      <w:bodyDiv w:val="1"/>
      <w:marLeft w:val="0"/>
      <w:marRight w:val="0"/>
      <w:marTop w:val="0"/>
      <w:marBottom w:val="0"/>
      <w:divBdr>
        <w:top w:val="none" w:sz="0" w:space="0" w:color="auto"/>
        <w:left w:val="none" w:sz="0" w:space="0" w:color="auto"/>
        <w:bottom w:val="none" w:sz="0" w:space="0" w:color="auto"/>
        <w:right w:val="none" w:sz="0" w:space="0" w:color="auto"/>
      </w:divBdr>
      <w:divsChild>
        <w:div w:id="1608269232">
          <w:marLeft w:val="0"/>
          <w:marRight w:val="0"/>
          <w:marTop w:val="0"/>
          <w:marBottom w:val="0"/>
          <w:divBdr>
            <w:top w:val="none" w:sz="0" w:space="0" w:color="auto"/>
            <w:left w:val="none" w:sz="0" w:space="0" w:color="auto"/>
            <w:bottom w:val="none" w:sz="0" w:space="0" w:color="auto"/>
            <w:right w:val="none" w:sz="0" w:space="0" w:color="auto"/>
          </w:divBdr>
          <w:divsChild>
            <w:div w:id="470294890">
              <w:marLeft w:val="0"/>
              <w:marRight w:val="0"/>
              <w:marTop w:val="0"/>
              <w:marBottom w:val="0"/>
              <w:divBdr>
                <w:top w:val="none" w:sz="0" w:space="0" w:color="auto"/>
                <w:left w:val="none" w:sz="0" w:space="0" w:color="auto"/>
                <w:bottom w:val="none" w:sz="0" w:space="0" w:color="auto"/>
                <w:right w:val="none" w:sz="0" w:space="0" w:color="auto"/>
              </w:divBdr>
              <w:divsChild>
                <w:div w:id="1521698878">
                  <w:marLeft w:val="0"/>
                  <w:marRight w:val="0"/>
                  <w:marTop w:val="0"/>
                  <w:marBottom w:val="0"/>
                  <w:divBdr>
                    <w:top w:val="none" w:sz="0" w:space="0" w:color="auto"/>
                    <w:left w:val="none" w:sz="0" w:space="0" w:color="auto"/>
                    <w:bottom w:val="none" w:sz="0" w:space="0" w:color="auto"/>
                    <w:right w:val="none" w:sz="0" w:space="0" w:color="auto"/>
                  </w:divBdr>
                  <w:divsChild>
                    <w:div w:id="577445439">
                      <w:marLeft w:val="150"/>
                      <w:marRight w:val="150"/>
                      <w:marTop w:val="0"/>
                      <w:marBottom w:val="0"/>
                      <w:divBdr>
                        <w:top w:val="none" w:sz="0" w:space="0" w:color="auto"/>
                        <w:left w:val="none" w:sz="0" w:space="0" w:color="auto"/>
                        <w:bottom w:val="none" w:sz="0" w:space="0" w:color="auto"/>
                        <w:right w:val="none" w:sz="0" w:space="0" w:color="auto"/>
                      </w:divBdr>
                      <w:divsChild>
                        <w:div w:id="1306470917">
                          <w:marLeft w:val="0"/>
                          <w:marRight w:val="0"/>
                          <w:marTop w:val="0"/>
                          <w:marBottom w:val="0"/>
                          <w:divBdr>
                            <w:top w:val="none" w:sz="0" w:space="0" w:color="auto"/>
                            <w:left w:val="none" w:sz="0" w:space="0" w:color="auto"/>
                            <w:bottom w:val="none" w:sz="0" w:space="0" w:color="auto"/>
                            <w:right w:val="none" w:sz="0" w:space="0" w:color="auto"/>
                          </w:divBdr>
                          <w:divsChild>
                            <w:div w:id="1712997126">
                              <w:marLeft w:val="0"/>
                              <w:marRight w:val="0"/>
                              <w:marTop w:val="0"/>
                              <w:marBottom w:val="0"/>
                              <w:divBdr>
                                <w:top w:val="none" w:sz="0" w:space="0" w:color="auto"/>
                                <w:left w:val="none" w:sz="0" w:space="0" w:color="auto"/>
                                <w:bottom w:val="none" w:sz="0" w:space="0" w:color="auto"/>
                                <w:right w:val="none" w:sz="0" w:space="0" w:color="auto"/>
                              </w:divBdr>
                              <w:divsChild>
                                <w:div w:id="583493929">
                                  <w:marLeft w:val="0"/>
                                  <w:marRight w:val="0"/>
                                  <w:marTop w:val="0"/>
                                  <w:marBottom w:val="0"/>
                                  <w:divBdr>
                                    <w:top w:val="none" w:sz="0" w:space="0" w:color="auto"/>
                                    <w:left w:val="none" w:sz="0" w:space="0" w:color="auto"/>
                                    <w:bottom w:val="none" w:sz="0" w:space="0" w:color="auto"/>
                                    <w:right w:val="none" w:sz="0" w:space="0" w:color="auto"/>
                                  </w:divBdr>
                                  <w:divsChild>
                                    <w:div w:id="1511286969">
                                      <w:marLeft w:val="0"/>
                                      <w:marRight w:val="0"/>
                                      <w:marTop w:val="0"/>
                                      <w:marBottom w:val="0"/>
                                      <w:divBdr>
                                        <w:top w:val="none" w:sz="0" w:space="0" w:color="auto"/>
                                        <w:left w:val="none" w:sz="0" w:space="0" w:color="auto"/>
                                        <w:bottom w:val="none" w:sz="0" w:space="0" w:color="auto"/>
                                        <w:right w:val="none" w:sz="0" w:space="0" w:color="auto"/>
                                      </w:divBdr>
                                      <w:divsChild>
                                        <w:div w:id="522524713">
                                          <w:marLeft w:val="0"/>
                                          <w:marRight w:val="0"/>
                                          <w:marTop w:val="0"/>
                                          <w:marBottom w:val="0"/>
                                          <w:divBdr>
                                            <w:top w:val="none" w:sz="0" w:space="0" w:color="auto"/>
                                            <w:left w:val="none" w:sz="0" w:space="0" w:color="auto"/>
                                            <w:bottom w:val="none" w:sz="0" w:space="0" w:color="auto"/>
                                            <w:right w:val="none" w:sz="0" w:space="0" w:color="auto"/>
                                          </w:divBdr>
                                          <w:divsChild>
                                            <w:div w:id="127343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1535294">
      <w:bodyDiv w:val="1"/>
      <w:marLeft w:val="0"/>
      <w:marRight w:val="0"/>
      <w:marTop w:val="0"/>
      <w:marBottom w:val="0"/>
      <w:divBdr>
        <w:top w:val="none" w:sz="0" w:space="0" w:color="auto"/>
        <w:left w:val="none" w:sz="0" w:space="0" w:color="auto"/>
        <w:bottom w:val="none" w:sz="0" w:space="0" w:color="auto"/>
        <w:right w:val="none" w:sz="0" w:space="0" w:color="auto"/>
      </w:divBdr>
    </w:div>
    <w:div w:id="150104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76C0264A-DDF0-4F50-B084-4C6EE90FA9B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CFDE9C0AC973C04DAC8C0586B4A3A097" ma:contentTypeVersion="" ma:contentTypeDescription="PDMS Document Site Content Type" ma:contentTypeScope="" ma:versionID="525f27c9c06eb8050d4e5134cf446e37">
  <xsd:schema xmlns:xsd="http://www.w3.org/2001/XMLSchema" xmlns:xs="http://www.w3.org/2001/XMLSchema" xmlns:p="http://schemas.microsoft.com/office/2006/metadata/properties" xmlns:ns2="76C0264A-DDF0-4F50-B084-4C6EE90FA9B9" targetNamespace="http://schemas.microsoft.com/office/2006/metadata/properties" ma:root="true" ma:fieldsID="bbcbd7243feabc6e27bec5fdbaa6c2c2" ns2:_="">
    <xsd:import namespace="76C0264A-DDF0-4F50-B084-4C6EE90FA9B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0264A-DDF0-4F50-B084-4C6EE90FA9B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CFCE54-D9FB-4155-8A20-58E695A47C99}">
  <ds:schemaRefs>
    <ds:schemaRef ds:uri="http://schemas.microsoft.com/sharepoint/v3/contenttype/forms"/>
  </ds:schemaRefs>
</ds:datastoreItem>
</file>

<file path=customXml/itemProps2.xml><?xml version="1.0" encoding="utf-8"?>
<ds:datastoreItem xmlns:ds="http://schemas.openxmlformats.org/officeDocument/2006/customXml" ds:itemID="{7CCA4094-6BB8-4990-B583-4785BAE4420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76C0264A-DDF0-4F50-B084-4C6EE90FA9B9"/>
    <ds:schemaRef ds:uri="http://www.w3.org/XML/1998/namespace"/>
    <ds:schemaRef ds:uri="http://purl.org/dc/dcmitype/"/>
  </ds:schemaRefs>
</ds:datastoreItem>
</file>

<file path=customXml/itemProps3.xml><?xml version="1.0" encoding="utf-8"?>
<ds:datastoreItem xmlns:ds="http://schemas.openxmlformats.org/officeDocument/2006/customXml" ds:itemID="{D5AD8404-3921-4E54-963B-6B944B92E4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0264A-DDF0-4F50-B084-4C6EE90FA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AE9B6DC9.dotm</Template>
  <TotalTime>1</TotalTime>
  <Pages>3</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response to the Joint Committee on Intelligence and Security Review of Administration and Expenditure No.14 (2014-15)</dc:title>
  <dc:subject/>
  <dc:creator/>
  <cp:keywords/>
  <dc:description/>
  <cp:lastModifiedBy>Pratley, Damien</cp:lastModifiedBy>
  <cp:revision>3</cp:revision>
  <cp:lastPrinted>2017-05-29T03:08:00Z</cp:lastPrinted>
  <dcterms:created xsi:type="dcterms:W3CDTF">2017-08-24T04:29:00Z</dcterms:created>
  <dcterms:modified xsi:type="dcterms:W3CDTF">2017-08-24T04:30:00Z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0x010100266966F133664895A6EE3632470D45F500CFDE9C0AC973C04DAC8C0586B4A3A097</vt:lpwstr>
  </property>
</Properties>
</file>