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4"/>
      </w:tblGrid>
      <w:tr w:rsidR="003950E6" w:rsidTr="00441147">
        <w:trPr>
          <w:trHeight w:val="1701"/>
        </w:trPr>
        <w:tc>
          <w:tcPr>
            <w:tcW w:w="9134" w:type="dxa"/>
            <w:tcBorders>
              <w:top w:val="nil"/>
              <w:left w:val="nil"/>
              <w:bottom w:val="nil"/>
              <w:right w:val="nil"/>
            </w:tcBorders>
          </w:tcPr>
          <w:bookmarkStart w:id="0" w:name="BrandTagline"/>
          <w:p w:rsidR="00D41B3E" w:rsidRDefault="00BF3B60" w:rsidP="00394AD2">
            <w:pPr>
              <w:pStyle w:val="ReportTagline"/>
              <w:jc w:val="both"/>
            </w:pPr>
            <w:r>
              <w:rPr>
                <w:noProof/>
                <w:lang w:eastAsia="en-AU"/>
              </w:rPr>
              <mc:AlternateContent>
                <mc:Choice Requires="wpg">
                  <w:drawing>
                    <wp:anchor distT="0" distB="0" distL="114300" distR="114300" simplePos="0" relativeHeight="251667456" behindDoc="1" locked="0" layoutInCell="0" allowOverlap="1" wp14:anchorId="33A62231" wp14:editId="077A7A8F">
                      <wp:simplePos x="0" y="0"/>
                      <wp:positionH relativeFrom="page">
                        <wp:posOffset>-236764</wp:posOffset>
                      </wp:positionH>
                      <wp:positionV relativeFrom="page">
                        <wp:posOffset>0</wp:posOffset>
                      </wp:positionV>
                      <wp:extent cx="7813221" cy="10009414"/>
                      <wp:effectExtent l="0" t="0" r="0" b="0"/>
                      <wp:wrapNone/>
                      <wp:docPr id="11" name="MMCPrism"/>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813221" cy="10009414"/>
                                <a:chOff x="0" y="0"/>
                                <a:chExt cx="11684635" cy="14974570"/>
                              </a:xfrm>
                            </wpg:grpSpPr>
                            <wps:wsp>
                              <wps:cNvPr id="2" name="MMCPrismCoverAnchorTriangle1"/>
                              <wps:cNvSpPr/>
                              <wps:spPr>
                                <a:xfrm>
                                  <a:off x="0"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MMCPrismCoverAnchorTriangle2"/>
                              <wps:cNvSpPr/>
                              <wps:spPr>
                                <a:xfrm>
                                  <a:off x="0" y="1199007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MMCPrismCoverAnchorTriangle3"/>
                              <wps:cNvSpPr/>
                              <wps:spPr>
                                <a:xfrm>
                                  <a:off x="8223885" y="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MMCPrismCoverAnchorTriangle4"/>
                              <wps:cNvSpPr/>
                              <wps:spPr>
                                <a:xfrm>
                                  <a:off x="8223885" y="11990070"/>
                                  <a:ext cx="3432175" cy="2984500"/>
                                </a:xfrm>
                                <a:prstGeom prst="triangle">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MMCPrismTriangle1"/>
                              <wps:cNvSpPr/>
                              <wps:spPr>
                                <a:xfrm>
                                  <a:off x="8252460" y="11990070"/>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MMCPrismTriangle2"/>
                              <wps:cNvSpPr/>
                              <wps:spPr>
                                <a:xfrm>
                                  <a:off x="6537960" y="9006840"/>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MCPrismTriangle3"/>
                              <wps:cNvSpPr/>
                              <wps:spPr>
                                <a:xfrm>
                                  <a:off x="8252460" y="6017895"/>
                                  <a:ext cx="3432175" cy="2984500"/>
                                </a:xfrm>
                                <a:prstGeom prst="triangle">
                                  <a:avLst/>
                                </a:prstGeom>
                                <a:solidFill>
                                  <a:srgbClr val="A6E2E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MMCPrismTriangle4"/>
                              <wps:cNvSpPr/>
                              <wps:spPr>
                                <a:xfrm flipV="1">
                                  <a:off x="6537960" y="6017895"/>
                                  <a:ext cx="3432175" cy="2984500"/>
                                </a:xfrm>
                                <a:prstGeom prst="triangle">
                                  <a:avLst/>
                                </a:prstGeom>
                                <a:solidFill>
                                  <a:srgbClr val="D9D9D9"/>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MCPrismTriangle5"/>
                              <wps:cNvSpPr/>
                              <wps:spPr>
                                <a:xfrm>
                                  <a:off x="8252460" y="51435"/>
                                  <a:ext cx="3432175" cy="2984500"/>
                                </a:xfrm>
                                <a:prstGeom prst="triangle">
                                  <a:avLst/>
                                </a:prstGeom>
                                <a:solidFill>
                                  <a:srgbClr val="006D9E"/>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159F52" id="MMCPrism" o:spid="_x0000_s1026" style="position:absolute;margin-left:-18.65pt;margin-top:0;width:615.2pt;height:788.15pt;z-index:-251649024;mso-position-horizontal-relative:page;mso-position-vertical-relative:page;mso-width-relative:margin;mso-height-relative:margin" coordsize="116846,14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" o:allowincell="f">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MMCPrismCoverAnchorTriangle1" o:spid="_x0000_s1027" type="#_x0000_t5" style="position:absolute;width:34321;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" filled="f" fillcolor="#4f81bd [3204]" stroked="f" strokecolor="#243f60 [1604]" strokeweight="2pt"/>
                      <v:shape id="MMCPrismCoverAnchorTriangle2" o:spid="_x0000_s1028" type="#_x0000_t5" style="position:absolute;top:119900;width:34321;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" filled="f" fillcolor="#4f81bd [3204]" stroked="f" strokecolor="#243f60 [1604]" strokeweight="2pt"/>
                      <v:shape id="MMCPrismCoverAnchorTriangle3" o:spid="_x0000_s1029" type="#_x0000_t5" style="position:absolute;left:82238;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" filled="f" fillcolor="#4f81bd [3204]" stroked="f" strokecolor="#243f60 [1604]" strokeweight="2pt"/>
                      <v:shape id="MMCPrismCoverAnchorTriangle4" o:spid="_x0000_s1030" type="#_x0000_t5" style="position:absolute;left:82238;top:119900;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" filled="f" fillcolor="#4f81bd [3204]" stroked="f" strokecolor="#243f60 [1604]" strokeweight="2pt"/>
                      <v:shape id="MMCPrismTriangle1" o:spid="_x0000_s1031" type="#_x0000_t5" style="position:absolute;left:82524;top:119900;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" fillcolor="#a6e2ef" stroked="f" strokecolor="#243f60 [1604]" strokeweight="2pt"/>
                      <v:shape id="MMCPrismTriangle2" o:spid="_x0000_s1032" type="#_x0000_t5" style="position:absolute;left:65379;top:90068;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" fillcolor="#006d9e" stroked="f" strokecolor="#243f60 [1604]" strokeweight="2pt"/>
                      <v:shape id="MMCPrismTriangle3" o:spid="_x0000_s1033" type="#_x0000_t5" style="position:absolute;left:82524;top:60178;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" fillcolor="#a6e2ef" stroked="f" strokecolor="#243f60 [1604]" strokeweight="2pt"/>
                      <v:shape id="MMCPrismTriangle4" o:spid="_x0000_s1034" type="#_x0000_t5" style="position:absolute;left:65379;top:60178;width:34322;height:2984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" fillcolor="#d9d9d9" stroked="f" strokecolor="#243f60 [1604]" strokeweight="2pt"/>
                      <v:shape id="MMCPrismTriangle5" o:spid="_x0000_s1035" type="#_x0000_t5" style="position:absolute;left:82524;top:514;width:34322;height:2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" fillcolor="#006d9e" stroked="f" strokecolor="#243f60 [1604]" strokeweight="2pt"/>
                      <w10:wrap anchorx="page" anchory="page"/>
                    </v:group>
                  </w:pict>
                </mc:Fallback>
              </mc:AlternateContent>
            </w:r>
            <w:r w:rsidR="00CB2730">
              <w:rPr>
                <w:noProof/>
                <w:lang w:eastAsia="en-AU"/>
              </w:rPr>
              <w:t xml:space="preserve"> </w:t>
            </w:r>
            <w:r>
              <w:rPr>
                <w:noProof/>
                <w:lang w:eastAsia="en-AU"/>
              </w:rPr>
              <w:t>Health Wealth Career</w:t>
            </w:r>
            <w:bookmarkEnd w:id="0"/>
          </w:p>
          <w:p w:rsidR="00BF3B60" w:rsidRDefault="003950E6" w:rsidP="00685334">
            <w:pPr>
              <w:pStyle w:val="ReportTitle"/>
            </w:pPr>
            <w:r>
              <w:br w:type="page"/>
            </w:r>
            <w:bookmarkStart w:id="1" w:name="ReportTitle"/>
          </w:p>
          <w:p w:rsidR="00BF3B60" w:rsidRDefault="00BF3B60" w:rsidP="00685334">
            <w:pPr>
              <w:pStyle w:val="ReportTitle"/>
            </w:pPr>
            <w:r w:rsidRPr="005651C7">
              <w:rPr>
                <w:caps w:val="0"/>
                <w:sz w:val="32"/>
                <w:szCs w:val="32"/>
              </w:rPr>
              <w:t>DEPARTMENT OF FINANCE</w:t>
            </w:r>
          </w:p>
          <w:p w:rsidR="00BF3B60" w:rsidRPr="00BF3B60" w:rsidRDefault="00BF3B60" w:rsidP="00685334">
            <w:pPr>
              <w:pStyle w:val="ReportTitle"/>
              <w:rPr>
                <w:sz w:val="24"/>
                <w:szCs w:val="24"/>
              </w:rPr>
            </w:pPr>
          </w:p>
          <w:p w:rsidR="003950E6" w:rsidRPr="00CB2730" w:rsidRDefault="009273FB" w:rsidP="00685334">
            <w:pPr>
              <w:pStyle w:val="ReportTitle"/>
              <w:rPr>
                <w:sz w:val="48"/>
              </w:rPr>
            </w:pPr>
            <w:r w:rsidRPr="00CB2730">
              <w:rPr>
                <w:sz w:val="48"/>
              </w:rPr>
              <w:t xml:space="preserve">PSS </w:t>
            </w:r>
            <w:r w:rsidR="00A0506E" w:rsidRPr="00CB2730">
              <w:rPr>
                <w:sz w:val="48"/>
              </w:rPr>
              <w:t>and CSS</w:t>
            </w:r>
            <w:r w:rsidR="00CB2730" w:rsidRPr="00CB2730">
              <w:rPr>
                <w:sz w:val="48"/>
              </w:rPr>
              <w:br/>
            </w:r>
            <w:bookmarkStart w:id="2" w:name="_GoBack"/>
            <w:r w:rsidR="00BF3B60" w:rsidRPr="00CB2730">
              <w:rPr>
                <w:sz w:val="48"/>
              </w:rPr>
              <w:t xml:space="preserve">Long Term Cost Report </w:t>
            </w:r>
            <w:r w:rsidR="00357513" w:rsidRPr="00CB2730">
              <w:rPr>
                <w:sz w:val="48"/>
              </w:rPr>
              <w:t>2017</w:t>
            </w:r>
            <w:bookmarkEnd w:id="1"/>
            <w:bookmarkEnd w:id="2"/>
          </w:p>
          <w:p w:rsidR="00BF3B60" w:rsidRPr="00BF3B60" w:rsidRDefault="00BF3B60">
            <w:pPr>
              <w:pStyle w:val="ClientName"/>
              <w:rPr>
                <w:sz w:val="24"/>
                <w:szCs w:val="24"/>
              </w:rPr>
            </w:pPr>
            <w:bookmarkStart w:id="3" w:name="ReportSubTitle"/>
          </w:p>
          <w:p w:rsidR="003950E6" w:rsidRPr="00CB2730" w:rsidRDefault="00BF3B60">
            <w:pPr>
              <w:pStyle w:val="ClientName"/>
              <w:rPr>
                <w:sz w:val="28"/>
              </w:rPr>
            </w:pPr>
            <w:r w:rsidRPr="00CB2730">
              <w:rPr>
                <w:sz w:val="28"/>
              </w:rPr>
              <w:t xml:space="preserve">A report on the long term </w:t>
            </w:r>
            <w:r w:rsidR="00CB2730" w:rsidRPr="00CB2730">
              <w:rPr>
                <w:sz w:val="28"/>
              </w:rPr>
              <w:t>C</w:t>
            </w:r>
            <w:r w:rsidRPr="00CB2730">
              <w:rPr>
                <w:sz w:val="28"/>
              </w:rPr>
              <w:t xml:space="preserve">ost of the </w:t>
            </w:r>
            <w:r w:rsidR="00CB2730">
              <w:rPr>
                <w:sz w:val="28"/>
              </w:rPr>
              <w:br/>
            </w:r>
            <w:r w:rsidR="00A0506E" w:rsidRPr="00CB2730">
              <w:rPr>
                <w:sz w:val="28"/>
              </w:rPr>
              <w:t>Public Sector Superannuation Scheme</w:t>
            </w:r>
            <w:r w:rsidR="00CB2730" w:rsidRPr="00CB2730">
              <w:rPr>
                <w:sz w:val="28"/>
              </w:rPr>
              <w:t xml:space="preserve"> </w:t>
            </w:r>
            <w:r w:rsidR="00A0506E" w:rsidRPr="00CB2730">
              <w:rPr>
                <w:sz w:val="28"/>
              </w:rPr>
              <w:t xml:space="preserve">and the </w:t>
            </w:r>
            <w:r w:rsidR="00854B9C" w:rsidRPr="00CB2730">
              <w:rPr>
                <w:sz w:val="28"/>
              </w:rPr>
              <w:t>C</w:t>
            </w:r>
            <w:r w:rsidR="009273FB" w:rsidRPr="00CB2730">
              <w:rPr>
                <w:sz w:val="28"/>
              </w:rPr>
              <w:t>ommonwealth Superannu</w:t>
            </w:r>
            <w:r w:rsidR="00A0506E" w:rsidRPr="00CB2730">
              <w:rPr>
                <w:sz w:val="28"/>
              </w:rPr>
              <w:t>a</w:t>
            </w:r>
            <w:r w:rsidR="009273FB" w:rsidRPr="00CB2730">
              <w:rPr>
                <w:sz w:val="28"/>
              </w:rPr>
              <w:t>tion Scheme</w:t>
            </w:r>
            <w:bookmarkEnd w:id="3"/>
          </w:p>
          <w:p w:rsidR="0065380F" w:rsidRDefault="0065380F" w:rsidP="0065380F">
            <w:pPr>
              <w:pStyle w:val="ClientName"/>
              <w:rPr>
                <w:b/>
                <w:sz w:val="28"/>
                <w:szCs w:val="28"/>
              </w:rPr>
            </w:pPr>
            <w:bookmarkStart w:id="4" w:name="ClientName"/>
            <w:bookmarkEnd w:id="4"/>
          </w:p>
          <w:p w:rsidR="00BF3B60" w:rsidRDefault="00BF3B60" w:rsidP="00BF3B60">
            <w:pPr>
              <w:pStyle w:val="ClientName"/>
              <w:rPr>
                <w:b/>
                <w:sz w:val="28"/>
                <w:szCs w:val="28"/>
              </w:rPr>
            </w:pPr>
          </w:p>
          <w:p w:rsidR="00E35BA2" w:rsidRDefault="00E35BA2" w:rsidP="00BF3B60">
            <w:pPr>
              <w:pStyle w:val="ClientName"/>
              <w:rPr>
                <w:b/>
                <w:sz w:val="28"/>
                <w:szCs w:val="28"/>
              </w:rPr>
            </w:pPr>
          </w:p>
          <w:p w:rsidR="00BF3B60" w:rsidRDefault="00BF3B60" w:rsidP="00BF3B60">
            <w:pPr>
              <w:pStyle w:val="ClientName"/>
              <w:rPr>
                <w:b/>
                <w:sz w:val="28"/>
                <w:szCs w:val="28"/>
              </w:rPr>
            </w:pPr>
            <w:r w:rsidRPr="00BF3B60">
              <w:rPr>
                <w:b/>
                <w:sz w:val="28"/>
                <w:szCs w:val="28"/>
              </w:rPr>
              <w:t>Prepared by Mercer Consulting (Australia) Pty Ltd</w:t>
            </w:r>
            <w:r>
              <w:rPr>
                <w:b/>
                <w:sz w:val="28"/>
                <w:szCs w:val="28"/>
              </w:rPr>
              <w:t xml:space="preserve"> </w:t>
            </w:r>
            <w:r w:rsidRPr="00BF3B60">
              <w:rPr>
                <w:b/>
                <w:sz w:val="28"/>
                <w:szCs w:val="28"/>
              </w:rPr>
              <w:t>using data as at 30 June</w:t>
            </w:r>
            <w:r w:rsidRPr="005F06F8">
              <w:rPr>
                <w:b/>
                <w:sz w:val="28"/>
                <w:szCs w:val="28"/>
              </w:rPr>
              <w:t xml:space="preserve"> </w:t>
            </w:r>
            <w:r w:rsidR="00357513">
              <w:rPr>
                <w:b/>
                <w:sz w:val="28"/>
                <w:szCs w:val="28"/>
              </w:rPr>
              <w:t>2017</w:t>
            </w:r>
          </w:p>
          <w:p w:rsidR="00BF3B60" w:rsidRDefault="00BF3B60" w:rsidP="00272FD9">
            <w:pPr>
              <w:pStyle w:val="ReportSubtitle"/>
              <w:rPr>
                <w:b w:val="0"/>
                <w:caps/>
                <w:color w:val="00A8C8"/>
                <w:spacing w:val="40"/>
                <w:sz w:val="36"/>
              </w:rPr>
            </w:pPr>
          </w:p>
          <w:p w:rsidR="00441147" w:rsidRPr="00441147" w:rsidRDefault="00ED5C25" w:rsidP="008304B9">
            <w:pPr>
              <w:pStyle w:val="ReportSubtitle"/>
            </w:pPr>
            <w:r>
              <w:rPr>
                <w:b w:val="0"/>
                <w:caps/>
                <w:color w:val="00A8C8"/>
                <w:spacing w:val="40"/>
                <w:sz w:val="36"/>
              </w:rPr>
              <w:t>25 JUNE 2018</w:t>
            </w:r>
          </w:p>
        </w:tc>
      </w:tr>
    </w:tbl>
    <w:p w:rsidR="003950E6" w:rsidRDefault="003950E6" w:rsidP="00240871">
      <w:pPr>
        <w:sectPr w:rsidR="003950E6" w:rsidSect="00BF3B60">
          <w:headerReference w:type="even" r:id="rId9"/>
          <w:headerReference w:type="default" r:id="rId10"/>
          <w:footerReference w:type="even" r:id="rId11"/>
          <w:footerReference w:type="default" r:id="rId12"/>
          <w:headerReference w:type="first" r:id="rId13"/>
          <w:footerReference w:type="first" r:id="rId14"/>
          <w:pgSz w:w="11906" w:h="16838"/>
          <w:pgMar w:top="1474" w:right="1077" w:bottom="1043" w:left="1077" w:header="0" w:footer="0" w:gutter="0"/>
          <w:cols w:space="720"/>
          <w:titlePg/>
          <w:docGrid w:linePitch="299"/>
        </w:sectPr>
      </w:pPr>
      <w:bookmarkStart w:id="10" w:name="Prism"/>
      <w:bookmarkEnd w:id="10"/>
    </w:p>
    <w:p w:rsidR="009D3CDB" w:rsidRDefault="00541404" w:rsidP="00541404">
      <w:pPr>
        <w:pStyle w:val="TOCHeading"/>
        <w:spacing w:after="400"/>
        <w:rPr>
          <w:noProof/>
        </w:rPr>
      </w:pPr>
      <w:bookmarkStart w:id="11" w:name="MMC_Contents"/>
      <w:r>
        <w:lastRenderedPageBreak/>
        <w:t>Contents</w:t>
      </w:r>
      <w:bookmarkEnd w:id="11"/>
      <w:r>
        <w:t xml:space="preserve"> </w:t>
      </w:r>
      <w:bookmarkStart w:id="12" w:name="TOC_Here"/>
      <w:bookmarkEnd w:id="12"/>
      <w:r>
        <w:fldChar w:fldCharType="begin"/>
      </w:r>
      <w:r>
        <w:instrText xml:space="preserve"> TOC \o "1-2" \t "Appendix Heading 1,9" \* MERGEFORMAT  \* MERGEFORMAT  \* MERGEFORMAT </w:instrText>
      </w:r>
      <w:r>
        <w:fldChar w:fldCharType="separate"/>
      </w:r>
    </w:p>
    <w:p w:rsidR="009D3CDB" w:rsidRDefault="009D3CDB">
      <w:pPr>
        <w:pStyle w:val="TOC1"/>
        <w:rPr>
          <w:rFonts w:asciiTheme="minorHAnsi" w:eastAsiaTheme="minorEastAsia" w:hAnsiTheme="minorHAnsi" w:cstheme="minorBidi"/>
          <w:color w:val="auto"/>
          <w:szCs w:val="22"/>
          <w:lang w:eastAsia="en-AU"/>
        </w:rPr>
      </w:pPr>
      <w:r>
        <w:t>Executive Summary</w:t>
      </w:r>
      <w:r>
        <w:tab/>
      </w:r>
      <w:r>
        <w:fldChar w:fldCharType="begin"/>
      </w:r>
      <w:r>
        <w:instrText xml:space="preserve"> PAGEREF _Toc517706060 \h </w:instrText>
      </w:r>
      <w:r>
        <w:fldChar w:fldCharType="separate"/>
      </w:r>
      <w:r w:rsidR="006A1477">
        <w:t>1</w:t>
      </w:r>
      <w:r>
        <w:fldChar w:fldCharType="end"/>
      </w:r>
    </w:p>
    <w:p w:rsidR="009D3CDB" w:rsidRDefault="009D3CDB">
      <w:pPr>
        <w:pStyle w:val="TOC1"/>
        <w:rPr>
          <w:rFonts w:asciiTheme="minorHAnsi" w:eastAsiaTheme="minorEastAsia" w:hAnsiTheme="minorHAnsi" w:cstheme="minorBidi"/>
          <w:color w:val="auto"/>
          <w:szCs w:val="22"/>
          <w:lang w:eastAsia="en-AU"/>
        </w:rPr>
      </w:pPr>
      <w:r>
        <w:t>Scheme Information</w:t>
      </w:r>
      <w:r>
        <w:tab/>
      </w:r>
      <w:r>
        <w:fldChar w:fldCharType="begin"/>
      </w:r>
      <w:r>
        <w:instrText xml:space="preserve"> PAGEREF _Toc517706061 \h </w:instrText>
      </w:r>
      <w:r>
        <w:fldChar w:fldCharType="separate"/>
      </w:r>
      <w:r w:rsidR="006A1477">
        <w:t>4</w:t>
      </w:r>
      <w:r>
        <w:fldChar w:fldCharType="end"/>
      </w:r>
    </w:p>
    <w:p w:rsidR="009D3CDB" w:rsidRDefault="009D3CDB">
      <w:pPr>
        <w:pStyle w:val="TOC1"/>
        <w:rPr>
          <w:rFonts w:asciiTheme="minorHAnsi" w:eastAsiaTheme="minorEastAsia" w:hAnsiTheme="minorHAnsi" w:cstheme="minorBidi"/>
          <w:color w:val="auto"/>
          <w:szCs w:val="22"/>
          <w:lang w:eastAsia="en-AU"/>
        </w:rPr>
      </w:pPr>
      <w:r>
        <w:t>Membership and Data</w:t>
      </w:r>
      <w:r>
        <w:tab/>
      </w:r>
      <w:r>
        <w:fldChar w:fldCharType="begin"/>
      </w:r>
      <w:r>
        <w:instrText xml:space="preserve"> PAGEREF _Toc517706062 \h </w:instrText>
      </w:r>
      <w:r>
        <w:fldChar w:fldCharType="separate"/>
      </w:r>
      <w:r w:rsidR="006A1477">
        <w:t>9</w:t>
      </w:r>
      <w:r>
        <w:fldChar w:fldCharType="end"/>
      </w:r>
    </w:p>
    <w:p w:rsidR="009D3CDB" w:rsidRDefault="009D3CDB">
      <w:pPr>
        <w:pStyle w:val="TOC1"/>
        <w:rPr>
          <w:rFonts w:asciiTheme="minorHAnsi" w:eastAsiaTheme="minorEastAsia" w:hAnsiTheme="minorHAnsi" w:cstheme="minorBidi"/>
          <w:color w:val="auto"/>
          <w:szCs w:val="22"/>
          <w:lang w:eastAsia="en-AU"/>
        </w:rPr>
      </w:pPr>
      <w:r>
        <w:t>Assumptions</w:t>
      </w:r>
      <w:r>
        <w:tab/>
      </w:r>
      <w:r>
        <w:fldChar w:fldCharType="begin"/>
      </w:r>
      <w:r>
        <w:instrText xml:space="preserve"> PAGEREF _Toc517706063 \h </w:instrText>
      </w:r>
      <w:r>
        <w:fldChar w:fldCharType="separate"/>
      </w:r>
      <w:r w:rsidR="006A1477">
        <w:t>11</w:t>
      </w:r>
      <w:r>
        <w:fldChar w:fldCharType="end"/>
      </w:r>
    </w:p>
    <w:p w:rsidR="009D3CDB" w:rsidRDefault="009D3CDB">
      <w:pPr>
        <w:pStyle w:val="TOC1"/>
        <w:rPr>
          <w:rFonts w:asciiTheme="minorHAnsi" w:eastAsiaTheme="minorEastAsia" w:hAnsiTheme="minorHAnsi" w:cstheme="minorBidi"/>
          <w:color w:val="auto"/>
          <w:szCs w:val="22"/>
          <w:lang w:eastAsia="en-AU"/>
        </w:rPr>
      </w:pPr>
      <w:r>
        <w:t>Unfunded Liability</w:t>
      </w:r>
      <w:r>
        <w:tab/>
      </w:r>
      <w:r>
        <w:fldChar w:fldCharType="begin"/>
      </w:r>
      <w:r>
        <w:instrText xml:space="preserve"> PAGEREF _Toc517706064 \h </w:instrText>
      </w:r>
      <w:r>
        <w:fldChar w:fldCharType="separate"/>
      </w:r>
      <w:r w:rsidR="006A1477">
        <w:t>19</w:t>
      </w:r>
      <w:r>
        <w:fldChar w:fldCharType="end"/>
      </w:r>
    </w:p>
    <w:p w:rsidR="009D3CDB" w:rsidRDefault="009D3CDB">
      <w:pPr>
        <w:pStyle w:val="TOC1"/>
        <w:rPr>
          <w:rFonts w:asciiTheme="minorHAnsi" w:eastAsiaTheme="minorEastAsia" w:hAnsiTheme="minorHAnsi" w:cstheme="minorBidi"/>
          <w:color w:val="auto"/>
          <w:szCs w:val="22"/>
          <w:lang w:eastAsia="en-AU"/>
        </w:rPr>
      </w:pPr>
      <w:r>
        <w:t>Projected Outlays</w:t>
      </w:r>
      <w:r>
        <w:tab/>
      </w:r>
      <w:r>
        <w:fldChar w:fldCharType="begin"/>
      </w:r>
      <w:r>
        <w:instrText xml:space="preserve"> PAGEREF _Toc517706065 \h </w:instrText>
      </w:r>
      <w:r>
        <w:fldChar w:fldCharType="separate"/>
      </w:r>
      <w:r w:rsidR="006A1477">
        <w:t>22</w:t>
      </w:r>
      <w:r>
        <w:fldChar w:fldCharType="end"/>
      </w:r>
    </w:p>
    <w:p w:rsidR="009D3CDB" w:rsidRDefault="009D3CDB">
      <w:pPr>
        <w:pStyle w:val="TOC1"/>
        <w:rPr>
          <w:rFonts w:asciiTheme="minorHAnsi" w:eastAsiaTheme="minorEastAsia" w:hAnsiTheme="minorHAnsi" w:cstheme="minorBidi"/>
          <w:color w:val="auto"/>
          <w:szCs w:val="22"/>
          <w:lang w:eastAsia="en-AU"/>
        </w:rPr>
      </w:pPr>
      <w:r>
        <w:t>Notional Employer Contribution Rates</w:t>
      </w:r>
      <w:r>
        <w:tab/>
      </w:r>
      <w:r>
        <w:fldChar w:fldCharType="begin"/>
      </w:r>
      <w:r>
        <w:instrText xml:space="preserve"> PAGEREF _Toc517706066 \h </w:instrText>
      </w:r>
      <w:r>
        <w:fldChar w:fldCharType="separate"/>
      </w:r>
      <w:r w:rsidR="006A1477">
        <w:t>24</w:t>
      </w:r>
      <w:r>
        <w:fldChar w:fldCharType="end"/>
      </w:r>
    </w:p>
    <w:p w:rsidR="009D3CDB" w:rsidRDefault="009D3CDB">
      <w:pPr>
        <w:pStyle w:val="TOC1"/>
        <w:rPr>
          <w:rFonts w:asciiTheme="minorHAnsi" w:eastAsiaTheme="minorEastAsia" w:hAnsiTheme="minorHAnsi" w:cstheme="minorBidi"/>
          <w:color w:val="auto"/>
          <w:szCs w:val="22"/>
          <w:lang w:eastAsia="en-AU"/>
        </w:rPr>
      </w:pPr>
      <w:r>
        <w:t>Sensitivity Analysis</w:t>
      </w:r>
      <w:r>
        <w:tab/>
      </w:r>
      <w:r>
        <w:fldChar w:fldCharType="begin"/>
      </w:r>
      <w:r>
        <w:instrText xml:space="preserve"> PAGEREF _Toc517706067 \h </w:instrText>
      </w:r>
      <w:r>
        <w:fldChar w:fldCharType="separate"/>
      </w:r>
      <w:r w:rsidR="006A1477">
        <w:t>26</w:t>
      </w:r>
      <w:r>
        <w:fldChar w:fldCharType="end"/>
      </w:r>
    </w:p>
    <w:p w:rsidR="009D3CDB" w:rsidRDefault="009D3CDB">
      <w:pPr>
        <w:pStyle w:val="TOC1"/>
        <w:rPr>
          <w:rFonts w:asciiTheme="minorHAnsi" w:eastAsiaTheme="minorEastAsia" w:hAnsiTheme="minorHAnsi" w:cstheme="minorBidi"/>
          <w:color w:val="auto"/>
          <w:szCs w:val="22"/>
          <w:lang w:eastAsia="en-AU"/>
        </w:rPr>
      </w:pPr>
      <w:r>
        <w:t>Actuary’s Certification</w:t>
      </w:r>
      <w:r>
        <w:tab/>
      </w:r>
      <w:r>
        <w:fldChar w:fldCharType="begin"/>
      </w:r>
      <w:r>
        <w:instrText xml:space="preserve"> PAGEREF _Toc517706068 \h </w:instrText>
      </w:r>
      <w:r>
        <w:fldChar w:fldCharType="separate"/>
      </w:r>
      <w:r w:rsidR="006A1477">
        <w:t>30</w:t>
      </w:r>
      <w:r>
        <w:fldChar w:fldCharType="end"/>
      </w:r>
    </w:p>
    <w:p w:rsidR="009D3CDB" w:rsidRDefault="009D3CDB">
      <w:pPr>
        <w:pStyle w:val="TOC9"/>
        <w:rPr>
          <w:rFonts w:asciiTheme="minorHAnsi" w:eastAsiaTheme="minorEastAsia" w:hAnsiTheme="minorHAnsi" w:cstheme="minorBidi"/>
          <w:color w:val="auto"/>
          <w:szCs w:val="22"/>
          <w:lang w:eastAsia="en-AU"/>
        </w:rPr>
      </w:pPr>
      <w:r>
        <w:t>Summary of Benefits</w:t>
      </w:r>
      <w:r>
        <w:tab/>
      </w:r>
      <w:r>
        <w:fldChar w:fldCharType="begin"/>
      </w:r>
      <w:r>
        <w:instrText xml:space="preserve"> PAGEREF _Toc517706069 \h </w:instrText>
      </w:r>
      <w:r>
        <w:fldChar w:fldCharType="separate"/>
      </w:r>
      <w:r w:rsidR="006A1477">
        <w:t>32</w:t>
      </w:r>
      <w:r>
        <w:fldChar w:fldCharType="end"/>
      </w:r>
    </w:p>
    <w:p w:rsidR="009D3CDB" w:rsidRDefault="009D3CDB">
      <w:pPr>
        <w:pStyle w:val="TOC9"/>
        <w:rPr>
          <w:rFonts w:asciiTheme="minorHAnsi" w:eastAsiaTheme="minorEastAsia" w:hAnsiTheme="minorHAnsi" w:cstheme="minorBidi"/>
          <w:color w:val="auto"/>
          <w:szCs w:val="22"/>
          <w:lang w:eastAsia="en-AU"/>
        </w:rPr>
      </w:pPr>
      <w:r>
        <w:t>Details of Membership Data</w:t>
      </w:r>
      <w:r>
        <w:tab/>
      </w:r>
      <w:r>
        <w:fldChar w:fldCharType="begin"/>
      </w:r>
      <w:r>
        <w:instrText xml:space="preserve"> PAGEREF _Toc517706070 \h </w:instrText>
      </w:r>
      <w:r>
        <w:fldChar w:fldCharType="separate"/>
      </w:r>
      <w:r w:rsidR="006A1477">
        <w:t>40</w:t>
      </w:r>
      <w:r>
        <w:fldChar w:fldCharType="end"/>
      </w:r>
    </w:p>
    <w:p w:rsidR="009D3CDB" w:rsidRDefault="009D3CDB">
      <w:pPr>
        <w:pStyle w:val="TOC9"/>
        <w:rPr>
          <w:rFonts w:asciiTheme="minorHAnsi" w:eastAsiaTheme="minorEastAsia" w:hAnsiTheme="minorHAnsi" w:cstheme="minorBidi"/>
          <w:color w:val="auto"/>
          <w:szCs w:val="22"/>
          <w:lang w:eastAsia="en-AU"/>
        </w:rPr>
      </w:pPr>
      <w:r>
        <w:t>Details of Actuarial Assumptions</w:t>
      </w:r>
      <w:r>
        <w:tab/>
      </w:r>
      <w:r>
        <w:fldChar w:fldCharType="begin"/>
      </w:r>
      <w:r>
        <w:instrText xml:space="preserve"> PAGEREF _Toc517706071 \h </w:instrText>
      </w:r>
      <w:r>
        <w:fldChar w:fldCharType="separate"/>
      </w:r>
      <w:r w:rsidR="006A1477">
        <w:t>45</w:t>
      </w:r>
      <w:r>
        <w:fldChar w:fldCharType="end"/>
      </w:r>
    </w:p>
    <w:p w:rsidR="009D3CDB" w:rsidRDefault="009D3CDB">
      <w:pPr>
        <w:pStyle w:val="TOC9"/>
        <w:rPr>
          <w:rFonts w:asciiTheme="minorHAnsi" w:eastAsiaTheme="minorEastAsia" w:hAnsiTheme="minorHAnsi" w:cstheme="minorBidi"/>
          <w:color w:val="auto"/>
          <w:szCs w:val="22"/>
          <w:lang w:eastAsia="en-AU"/>
        </w:rPr>
      </w:pPr>
      <w:r>
        <w:t>Details of Projected Results</w:t>
      </w:r>
      <w:r>
        <w:tab/>
      </w:r>
      <w:r>
        <w:fldChar w:fldCharType="begin"/>
      </w:r>
      <w:r>
        <w:instrText xml:space="preserve"> PAGEREF _Toc517706072 \h </w:instrText>
      </w:r>
      <w:r>
        <w:fldChar w:fldCharType="separate"/>
      </w:r>
      <w:r w:rsidR="006A1477">
        <w:t>52</w:t>
      </w:r>
      <w:r>
        <w:fldChar w:fldCharType="end"/>
      </w:r>
    </w:p>
    <w:p w:rsidR="00541404" w:rsidRDefault="00541404" w:rsidP="00541404">
      <w:pPr>
        <w:pStyle w:val="TOCHeading"/>
        <w:spacing w:after="400"/>
        <w:sectPr w:rsidR="00541404" w:rsidSect="004F24A4">
          <w:headerReference w:type="even" r:id="rId15"/>
          <w:headerReference w:type="default" r:id="rId16"/>
          <w:footerReference w:type="default" r:id="rId17"/>
          <w:headerReference w:type="first" r:id="rId18"/>
          <w:footerReference w:type="first" r:id="rId19"/>
          <w:pgSz w:w="11906" w:h="16838" w:code="9"/>
          <w:pgMar w:top="2268" w:right="1077" w:bottom="1814" w:left="1077" w:header="624" w:footer="760" w:gutter="0"/>
          <w:pgNumType w:fmt="lowerRoman" w:start="1"/>
          <w:cols w:space="720"/>
          <w:docGrid w:linePitch="299"/>
        </w:sectPr>
      </w:pPr>
      <w:r>
        <w:fldChar w:fldCharType="end"/>
      </w:r>
    </w:p>
    <w:p w:rsidR="003950E6" w:rsidRDefault="003950E6" w:rsidP="0003651C">
      <w:pPr>
        <w:pStyle w:val="SectionStart"/>
        <w:pBdr>
          <w:bottom w:val="single" w:sz="12" w:space="1" w:color="auto"/>
        </w:pBdr>
        <w:spacing w:before="0" w:after="380"/>
      </w:pPr>
    </w:p>
    <w:p w:rsidR="00BF3B60" w:rsidRPr="006A7D44" w:rsidRDefault="00BF3B60" w:rsidP="00240871">
      <w:pPr>
        <w:pStyle w:val="Heading1"/>
        <w:numPr>
          <w:ilvl w:val="0"/>
          <w:numId w:val="13"/>
        </w:numPr>
        <w:spacing w:after="0"/>
      </w:pPr>
      <w:bookmarkStart w:id="13" w:name="_Toc325023257"/>
      <w:bookmarkStart w:id="14" w:name="_Toc423600575"/>
      <w:bookmarkStart w:id="15" w:name="_Toc493666042"/>
      <w:bookmarkStart w:id="16" w:name="_Toc508267337"/>
      <w:bookmarkStart w:id="17" w:name="_Toc511385927"/>
      <w:bookmarkStart w:id="18" w:name="_Toc517706060"/>
      <w:r w:rsidRPr="00FB7916">
        <w:t>Executive Summary</w:t>
      </w:r>
      <w:bookmarkEnd w:id="13"/>
      <w:bookmarkEnd w:id="14"/>
      <w:bookmarkEnd w:id="15"/>
      <w:bookmarkEnd w:id="16"/>
      <w:bookmarkEnd w:id="17"/>
      <w:bookmarkEnd w:id="18"/>
    </w:p>
    <w:p w:rsidR="00854B9C" w:rsidRDefault="00854B9C" w:rsidP="00240871"/>
    <w:p w:rsidR="00BF3B60" w:rsidRDefault="00BF3B60" w:rsidP="00240871">
      <w:r w:rsidRPr="00CC38D3">
        <w:t xml:space="preserve">We are pleased to present this report on the actuarial investigation of the long term costs of the </w:t>
      </w:r>
      <w:r w:rsidR="003437B2">
        <w:t xml:space="preserve">Public Sector Superannuation Scheme (PSS) and the </w:t>
      </w:r>
      <w:r w:rsidR="00854B9C">
        <w:t>Commonwealth Superannuation Scheme (CSS)</w:t>
      </w:r>
      <w:r>
        <w:t xml:space="preserve">, </w:t>
      </w:r>
      <w:r w:rsidRPr="00CC38D3">
        <w:t>prepared a</w:t>
      </w:r>
      <w:r>
        <w:t>t the request of the Department </w:t>
      </w:r>
      <w:r w:rsidRPr="00CC38D3">
        <w:t xml:space="preserve">of </w:t>
      </w:r>
      <w:r w:rsidRPr="00932D30">
        <w:t>Finance.  This</w:t>
      </w:r>
      <w:r w:rsidRPr="00CC38D3">
        <w:t xml:space="preserve"> </w:t>
      </w:r>
      <w:r>
        <w:t>report</w:t>
      </w:r>
      <w:r w:rsidRPr="00CC38D3">
        <w:t xml:space="preserve"> has been carried out based on membership data as at 30 June </w:t>
      </w:r>
      <w:r w:rsidR="00357513">
        <w:t>2017</w:t>
      </w:r>
      <w:r w:rsidRPr="00CC38D3">
        <w:t>.</w:t>
      </w:r>
    </w:p>
    <w:p w:rsidR="00B52DBD" w:rsidRPr="00240871" w:rsidRDefault="00B52DBD" w:rsidP="00854B9C"/>
    <w:p w:rsidR="00BF3B60" w:rsidRPr="00331A3B" w:rsidRDefault="00BF3B60" w:rsidP="00300059">
      <w:pPr>
        <w:tabs>
          <w:tab w:val="left" w:pos="6055"/>
        </w:tabs>
        <w:rPr>
          <w:caps/>
          <w:color w:val="002C77"/>
          <w:spacing w:val="40"/>
        </w:rPr>
      </w:pPr>
      <w:bookmarkStart w:id="19" w:name="_Toc508267338"/>
      <w:r w:rsidRPr="00331A3B">
        <w:rPr>
          <w:caps/>
          <w:color w:val="002C77"/>
          <w:spacing w:val="40"/>
        </w:rPr>
        <w:t>Previous Long Term Cost Report</w:t>
      </w:r>
      <w:bookmarkEnd w:id="19"/>
      <w:r w:rsidR="00300059">
        <w:rPr>
          <w:caps/>
          <w:color w:val="002C77"/>
          <w:spacing w:val="40"/>
        </w:rPr>
        <w:tab/>
      </w:r>
    </w:p>
    <w:p w:rsidR="00240871" w:rsidRPr="00240871" w:rsidRDefault="00240871" w:rsidP="00240871"/>
    <w:p w:rsidR="00BF3B60" w:rsidRPr="00FB7916" w:rsidRDefault="00BF3B60" w:rsidP="00240871">
      <w:r w:rsidRPr="00E65459">
        <w:t xml:space="preserve">The previous actuarial investigation into the long term costs of the </w:t>
      </w:r>
      <w:r w:rsidR="00A0506E">
        <w:t>P</w:t>
      </w:r>
      <w:r w:rsidR="00854B9C">
        <w:t xml:space="preserve">SS and </w:t>
      </w:r>
      <w:r w:rsidR="00A0506E">
        <w:t>C</w:t>
      </w:r>
      <w:r w:rsidR="00854B9C">
        <w:t xml:space="preserve">SS </w:t>
      </w:r>
      <w:r w:rsidRPr="00E65459">
        <w:t>w</w:t>
      </w:r>
      <w:r w:rsidRPr="00FB7916">
        <w:t xml:space="preserve">as </w:t>
      </w:r>
      <w:r w:rsidRPr="00E65459">
        <w:t xml:space="preserve">undertaken by </w:t>
      </w:r>
      <w:r w:rsidRPr="00C52CCA">
        <w:t xml:space="preserve">Mercer Consulting (Australia) Pty Limited, </w:t>
      </w:r>
      <w:r w:rsidRPr="00E65459">
        <w:t>based on data as at 30 June </w:t>
      </w:r>
      <w:r w:rsidR="00357513">
        <w:t>2014</w:t>
      </w:r>
      <w:r w:rsidRPr="00E65459">
        <w:t>.  The outcomes of th</w:t>
      </w:r>
      <w:r w:rsidR="00854B9C">
        <w:t>at</w:t>
      </w:r>
      <w:r w:rsidRPr="00E65459">
        <w:t xml:space="preserve"> investigation are outlined in </w:t>
      </w:r>
      <w:r w:rsidR="00776BF7">
        <w:t xml:space="preserve">our report entitled </w:t>
      </w:r>
      <w:r w:rsidRPr="00FB7916">
        <w:rPr>
          <w:i/>
        </w:rPr>
        <w:t>P</w:t>
      </w:r>
      <w:r w:rsidR="00854B9C">
        <w:rPr>
          <w:i/>
        </w:rPr>
        <w:t xml:space="preserve">SS and CSS </w:t>
      </w:r>
      <w:r>
        <w:rPr>
          <w:i/>
        </w:rPr>
        <w:t xml:space="preserve">Long Term Cost Report </w:t>
      </w:r>
      <w:r w:rsidR="00357513">
        <w:rPr>
          <w:i/>
        </w:rPr>
        <w:t>2014</w:t>
      </w:r>
      <w:r w:rsidR="00854B9C" w:rsidRPr="00854B9C">
        <w:t>, dated 25 June 2015</w:t>
      </w:r>
      <w:r w:rsidR="00776BF7">
        <w:t xml:space="preserve"> (2014 LTCR)</w:t>
      </w:r>
      <w:r w:rsidRPr="00854B9C">
        <w:t>.</w:t>
      </w:r>
    </w:p>
    <w:p w:rsidR="00854B9C" w:rsidRPr="00240871" w:rsidRDefault="00854B9C" w:rsidP="00854B9C"/>
    <w:p w:rsidR="00BF3B60" w:rsidRPr="00331A3B" w:rsidRDefault="00BF3B60" w:rsidP="00331A3B">
      <w:pPr>
        <w:rPr>
          <w:caps/>
          <w:color w:val="002C77"/>
          <w:spacing w:val="40"/>
        </w:rPr>
      </w:pPr>
      <w:bookmarkStart w:id="20" w:name="_Toc508267339"/>
      <w:r w:rsidRPr="00331A3B">
        <w:rPr>
          <w:caps/>
          <w:color w:val="002C77"/>
          <w:spacing w:val="40"/>
        </w:rPr>
        <w:t>Purpose of the Report</w:t>
      </w:r>
      <w:bookmarkEnd w:id="20"/>
    </w:p>
    <w:p w:rsidR="00240871" w:rsidRDefault="00240871" w:rsidP="00240871">
      <w:bookmarkStart w:id="21" w:name="_Toc325023258"/>
    </w:p>
    <w:p w:rsidR="00BF3B60" w:rsidRPr="00FB7916" w:rsidRDefault="008E7A61" w:rsidP="00240871">
      <w:pPr>
        <w:rPr>
          <w:b/>
        </w:rPr>
      </w:pPr>
      <w:r>
        <w:t xml:space="preserve">This report </w:t>
      </w:r>
      <w:r w:rsidRPr="0037059C">
        <w:t>estimate</w:t>
      </w:r>
      <w:r>
        <w:t>s</w:t>
      </w:r>
      <w:r w:rsidRPr="0037059C">
        <w:t xml:space="preserve"> the long term cost of providing superannuation benefits to members of the </w:t>
      </w:r>
      <w:r>
        <w:t xml:space="preserve">PSS and CSS and monitors progress of the </w:t>
      </w:r>
      <w:r w:rsidRPr="000141EB">
        <w:t xml:space="preserve">unfunded </w:t>
      </w:r>
      <w:r>
        <w:t xml:space="preserve">defined benefit liability. </w:t>
      </w:r>
      <w:r w:rsidR="00BF3B60" w:rsidRPr="0037059C">
        <w:t>The scheme costs have been estimated in three ways:</w:t>
      </w:r>
      <w:bookmarkEnd w:id="21"/>
    </w:p>
    <w:p w:rsidR="00BF3B60" w:rsidRPr="007C4CB6" w:rsidRDefault="007C4CB6" w:rsidP="00240871">
      <w:pPr>
        <w:pStyle w:val="ListBullet"/>
      </w:pPr>
      <w:r>
        <w:t>unfunded</w:t>
      </w:r>
      <w:r w:rsidR="00BF3B60" w:rsidRPr="007C4CB6">
        <w:t xml:space="preserve"> liability as at 30 June </w:t>
      </w:r>
      <w:r w:rsidR="00357513" w:rsidRPr="007C4CB6">
        <w:t>2017</w:t>
      </w:r>
      <w:r w:rsidR="00BF3B60" w:rsidRPr="007C4CB6">
        <w:t>;</w:t>
      </w:r>
    </w:p>
    <w:p w:rsidR="00BF3B60" w:rsidRDefault="00BF3B60" w:rsidP="00240871">
      <w:pPr>
        <w:pStyle w:val="ListBullet"/>
      </w:pPr>
      <w:r>
        <w:t xml:space="preserve">projected </w:t>
      </w:r>
      <w:r w:rsidR="00893CDF">
        <w:t xml:space="preserve">net </w:t>
      </w:r>
      <w:r w:rsidR="00654F47">
        <w:t xml:space="preserve">annual </w:t>
      </w:r>
      <w:r>
        <w:t>o</w:t>
      </w:r>
      <w:r w:rsidRPr="008879AA">
        <w:t>utlays; and</w:t>
      </w:r>
    </w:p>
    <w:p w:rsidR="00BF3B60" w:rsidRDefault="00BF3B60" w:rsidP="00240871">
      <w:pPr>
        <w:pStyle w:val="ListBullet"/>
      </w:pPr>
      <w:r>
        <w:t>the n</w:t>
      </w:r>
      <w:r w:rsidRPr="008879AA">
        <w:t>oti</w:t>
      </w:r>
      <w:r>
        <w:t>onal employer contribution rate</w:t>
      </w:r>
      <w:r w:rsidR="008148AE">
        <w:t>s</w:t>
      </w:r>
      <w:r>
        <w:t>.</w:t>
      </w:r>
    </w:p>
    <w:p w:rsidR="00893CDF" w:rsidRPr="00240871" w:rsidRDefault="00893CDF" w:rsidP="00854B9C"/>
    <w:p w:rsidR="00BF3B60" w:rsidRPr="00331A3B" w:rsidRDefault="007C4CB6" w:rsidP="00331A3B">
      <w:pPr>
        <w:rPr>
          <w:caps/>
          <w:color w:val="002C77"/>
          <w:spacing w:val="40"/>
        </w:rPr>
      </w:pPr>
      <w:bookmarkStart w:id="22" w:name="_Toc508267340"/>
      <w:r w:rsidRPr="00331A3B">
        <w:rPr>
          <w:caps/>
          <w:color w:val="002C77"/>
          <w:spacing w:val="40"/>
        </w:rPr>
        <w:t>Unfunded</w:t>
      </w:r>
      <w:r w:rsidR="00BF3B60" w:rsidRPr="00331A3B">
        <w:rPr>
          <w:caps/>
          <w:color w:val="002C77"/>
          <w:spacing w:val="40"/>
        </w:rPr>
        <w:t xml:space="preserve"> Liabilit</w:t>
      </w:r>
      <w:r w:rsidR="009E12D6">
        <w:rPr>
          <w:caps/>
          <w:color w:val="002C77"/>
          <w:spacing w:val="40"/>
        </w:rPr>
        <w:t>y</w:t>
      </w:r>
      <w:bookmarkEnd w:id="22"/>
    </w:p>
    <w:p w:rsidR="00BF3B60" w:rsidRDefault="00BF3B60" w:rsidP="00240871"/>
    <w:p w:rsidR="00EA0BB9" w:rsidRDefault="007C4CB6" w:rsidP="00EA0BB9">
      <w:r>
        <w:t xml:space="preserve">The unfunded liability </w:t>
      </w:r>
      <w:r w:rsidRPr="006B0EDF">
        <w:t xml:space="preserve">represents an estimate of the </w:t>
      </w:r>
      <w:r>
        <w:t xml:space="preserve">present value of the superannuation entitlements in respect of service already rendered, less the value of </w:t>
      </w:r>
      <w:r w:rsidR="008D5666">
        <w:t xml:space="preserve">assets held by the </w:t>
      </w:r>
      <w:r>
        <w:t>scheme</w:t>
      </w:r>
      <w:r w:rsidR="008D5666">
        <w:t>s</w:t>
      </w:r>
      <w:r>
        <w:t>.</w:t>
      </w:r>
      <w:r>
        <w:rPr>
          <w:spacing w:val="-3"/>
        </w:rPr>
        <w:t xml:space="preserve"> </w:t>
      </w:r>
      <w:r w:rsidR="00EA0BB9">
        <w:t xml:space="preserve">The unfunded liability relates to all employers in the schemes, including entities which are no longer part of the Australian Government (e.g. </w:t>
      </w:r>
      <w:r w:rsidR="00B7219E">
        <w:t xml:space="preserve">the </w:t>
      </w:r>
      <w:r w:rsidR="00EA0BB9">
        <w:t>ACT and NT Governments</w:t>
      </w:r>
      <w:r w:rsidR="00B7219E">
        <w:t xml:space="preserve"> in respect of certain long serving employees</w:t>
      </w:r>
      <w:r w:rsidR="00EA0BB9">
        <w:t>).</w:t>
      </w:r>
    </w:p>
    <w:p w:rsidR="007C4CB6" w:rsidRDefault="007C4CB6" w:rsidP="007C4CB6"/>
    <w:p w:rsidR="007C4CB6" w:rsidRDefault="007C4CB6" w:rsidP="007C4CB6">
      <w:r>
        <w:t xml:space="preserve">The total unfunded liability of the PSS and CSS at 30 June 2017 </w:t>
      </w:r>
      <w:r w:rsidRPr="00671F5D">
        <w:t>w</w:t>
      </w:r>
      <w:r>
        <w:t xml:space="preserve">as </w:t>
      </w:r>
      <w:r w:rsidRPr="00671F5D">
        <w:t>$</w:t>
      </w:r>
      <w:r w:rsidR="00B40676">
        <w:t>13</w:t>
      </w:r>
      <w:r w:rsidR="004A10CC">
        <w:t>7</w:t>
      </w:r>
      <w:r w:rsidR="00B40676">
        <w:t>.8</w:t>
      </w:r>
      <w:r>
        <w:t xml:space="preserve"> billion</w:t>
      </w:r>
      <w:r w:rsidRPr="00671F5D">
        <w:t>.</w:t>
      </w:r>
      <w:r w:rsidR="00D33BB5">
        <w:t xml:space="preserve"> </w:t>
      </w:r>
      <w:r>
        <w:t xml:space="preserve">This compares </w:t>
      </w:r>
      <w:r w:rsidRPr="009E7E43">
        <w:t xml:space="preserve">with </w:t>
      </w:r>
      <w:r w:rsidR="003437B2">
        <w:t xml:space="preserve">the </w:t>
      </w:r>
      <w:r w:rsidR="002135B0">
        <w:t xml:space="preserve">unfunded liability </w:t>
      </w:r>
      <w:r w:rsidRPr="009E7E43">
        <w:t>calculated as at 30 June 2014 (the effective date of the previous report) of $</w:t>
      </w:r>
      <w:r w:rsidR="002135B0">
        <w:t>109.8 billion</w:t>
      </w:r>
      <w:r w:rsidRPr="009E7E43">
        <w:t>.</w:t>
      </w:r>
    </w:p>
    <w:p w:rsidR="008549C8" w:rsidRDefault="008549C8" w:rsidP="007C4CB6"/>
    <w:p w:rsidR="007C4CB6" w:rsidRDefault="007C4CB6" w:rsidP="007C4CB6">
      <w:r w:rsidRPr="00671F5D">
        <w:t xml:space="preserve">The </w:t>
      </w:r>
      <w:r w:rsidR="002135B0">
        <w:t xml:space="preserve">unfunded liability </w:t>
      </w:r>
      <w:r>
        <w:t xml:space="preserve">was expected to increase during the </w:t>
      </w:r>
      <w:r w:rsidR="00060643">
        <w:t>investigation</w:t>
      </w:r>
      <w:r>
        <w:t xml:space="preserve"> period as </w:t>
      </w:r>
      <w:r w:rsidR="008D5666">
        <w:t>further</w:t>
      </w:r>
      <w:r>
        <w:t xml:space="preserve"> benefit accruals and </w:t>
      </w:r>
      <w:r w:rsidRPr="00671F5D">
        <w:t>notional interest on accrued liabilities</w:t>
      </w:r>
      <w:r>
        <w:t xml:space="preserve"> were expected to </w:t>
      </w:r>
      <w:r w:rsidR="008D5666">
        <w:t xml:space="preserve">more than outweigh the reduction in liabilities </w:t>
      </w:r>
      <w:r w:rsidR="00805D60">
        <w:t>as a result of</w:t>
      </w:r>
      <w:r w:rsidR="008549C8">
        <w:t xml:space="preserve"> </w:t>
      </w:r>
      <w:r>
        <w:t>benefit payments during the period.</w:t>
      </w:r>
      <w:r w:rsidR="00B7219E">
        <w:t xml:space="preserve"> The unfunded liability has also increased significantly as a result of the </w:t>
      </w:r>
      <w:r w:rsidR="0081311D">
        <w:t>reduction in</w:t>
      </w:r>
      <w:r w:rsidR="00B7219E">
        <w:t xml:space="preserve"> the discount rate.</w:t>
      </w:r>
    </w:p>
    <w:p w:rsidR="00E03F8B" w:rsidRDefault="002135B0">
      <w:r w:rsidRPr="00B40676">
        <w:lastRenderedPageBreak/>
        <w:t>The 2014 LTCR projected that the unfunded liability would be $121.9 billion as at 30 June 2017, $</w:t>
      </w:r>
      <w:r w:rsidR="00B40676" w:rsidRPr="00B40676">
        <w:t>1</w:t>
      </w:r>
      <w:r w:rsidR="002D08D8">
        <w:t>5</w:t>
      </w:r>
      <w:r w:rsidR="00B40676" w:rsidRPr="00B40676">
        <w:t xml:space="preserve">.9 billion </w:t>
      </w:r>
      <w:r w:rsidR="002D08D8">
        <w:t>less</w:t>
      </w:r>
      <w:r w:rsidRPr="00B40676">
        <w:t xml:space="preserve"> than the current</w:t>
      </w:r>
      <w:r w:rsidRPr="00FD7816">
        <w:t xml:space="preserve"> estimate</w:t>
      </w:r>
      <w:r>
        <w:t>.</w:t>
      </w:r>
      <w:r w:rsidR="008549C8">
        <w:t xml:space="preserve"> </w:t>
      </w:r>
      <w:r>
        <w:t xml:space="preserve">The factors leading to the </w:t>
      </w:r>
      <w:r w:rsidR="00955BD9">
        <w:t xml:space="preserve">difference in the </w:t>
      </w:r>
      <w:r>
        <w:t xml:space="preserve">previously projected unfunded liability </w:t>
      </w:r>
      <w:r w:rsidR="00E03F8B" w:rsidRPr="0058458C">
        <w:t xml:space="preserve">are </w:t>
      </w:r>
      <w:r w:rsidR="006F6B5D">
        <w:t>quantified</w:t>
      </w:r>
      <w:r w:rsidR="00E03F8B" w:rsidRPr="0058458C">
        <w:t xml:space="preserve"> in the </w:t>
      </w:r>
      <w:r w:rsidR="002109ED">
        <w:t>following</w:t>
      </w:r>
      <w:r w:rsidR="00F37090" w:rsidRPr="00F37090">
        <w:t xml:space="preserve"> </w:t>
      </w:r>
      <w:r w:rsidR="00F37090">
        <w:t>chart</w:t>
      </w:r>
      <w:r w:rsidR="00E03F8B" w:rsidRPr="0058458C">
        <w:t>:</w:t>
      </w:r>
    </w:p>
    <w:p w:rsidR="00DD3670" w:rsidRDefault="00DD3670" w:rsidP="00DD3670"/>
    <w:p w:rsidR="00150787" w:rsidRDefault="00150787" w:rsidP="00DD3670">
      <w:r>
        <w:rPr>
          <w:noProof/>
          <w:lang w:eastAsia="en-AU"/>
        </w:rPr>
        <w:drawing>
          <wp:inline distT="0" distB="0" distL="0" distR="0" wp14:anchorId="1B4A8D5B" wp14:editId="161D929C">
            <wp:extent cx="5760000" cy="2855433"/>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0" cy="2855433"/>
                    </a:xfrm>
                    <a:prstGeom prst="rect">
                      <a:avLst/>
                    </a:prstGeom>
                    <a:noFill/>
                  </pic:spPr>
                </pic:pic>
              </a:graphicData>
            </a:graphic>
          </wp:inline>
        </w:drawing>
      </w:r>
    </w:p>
    <w:p w:rsidR="008D5666" w:rsidRDefault="008D5666" w:rsidP="00E03F8B"/>
    <w:p w:rsidR="008549C8" w:rsidRDefault="00B7219E" w:rsidP="00E03F8B">
      <w:r>
        <w:t>As previously noted, t</w:t>
      </w:r>
      <w:r w:rsidR="004D178B">
        <w:t>he most significant item is the reduction in the discount rate from 6% per annum to 5% per annum.</w:t>
      </w:r>
    </w:p>
    <w:p w:rsidR="008549C8" w:rsidRDefault="008549C8" w:rsidP="00E03F8B"/>
    <w:p w:rsidR="00E03F8B" w:rsidRDefault="00E03F8B" w:rsidP="00E03F8B">
      <w:r>
        <w:t xml:space="preserve">Further details are provided in Section </w:t>
      </w:r>
      <w:r w:rsidR="00331428">
        <w:t>5</w:t>
      </w:r>
      <w:r>
        <w:t>.</w:t>
      </w:r>
    </w:p>
    <w:p w:rsidR="0003651C" w:rsidRPr="00240871" w:rsidRDefault="0003651C" w:rsidP="0003651C"/>
    <w:p w:rsidR="0003651C" w:rsidRPr="00331A3B" w:rsidRDefault="0003651C" w:rsidP="00331A3B">
      <w:pPr>
        <w:rPr>
          <w:caps/>
          <w:color w:val="002C77"/>
          <w:spacing w:val="40"/>
        </w:rPr>
      </w:pPr>
      <w:bookmarkStart w:id="23" w:name="_Toc508267341"/>
      <w:r w:rsidRPr="00331A3B">
        <w:rPr>
          <w:caps/>
          <w:color w:val="002C77"/>
          <w:spacing w:val="40"/>
        </w:rPr>
        <w:t>Projected Outlays</w:t>
      </w:r>
      <w:bookmarkEnd w:id="23"/>
    </w:p>
    <w:p w:rsidR="0003651C" w:rsidRDefault="0003651C" w:rsidP="00240871"/>
    <w:p w:rsidR="008549C8" w:rsidRDefault="008549C8" w:rsidP="008549C8">
      <w:r>
        <w:t xml:space="preserve">The annual projected outlays represent the future annual </w:t>
      </w:r>
      <w:r w:rsidR="00B7219E">
        <w:t xml:space="preserve">cash </w:t>
      </w:r>
      <w:r>
        <w:t>cost of PSS and CSS benefit</w:t>
      </w:r>
      <w:r w:rsidR="005C7E28">
        <w:t xml:space="preserve"> payments</w:t>
      </w:r>
      <w:r>
        <w:t xml:space="preserve"> to current and past employees and their dependants.</w:t>
      </w:r>
    </w:p>
    <w:p w:rsidR="008549C8" w:rsidRDefault="008549C8" w:rsidP="008549C8"/>
    <w:p w:rsidR="00446932" w:rsidRDefault="00446932" w:rsidP="00446932">
      <w:r>
        <w:t>Projected outlays are calculated as:</w:t>
      </w:r>
    </w:p>
    <w:p w:rsidR="00446932" w:rsidRPr="007A728D" w:rsidRDefault="00446932" w:rsidP="00446932">
      <w:pPr>
        <w:pStyle w:val="ListBullet"/>
      </w:pPr>
      <w:r>
        <w:t>p</w:t>
      </w:r>
      <w:r w:rsidRPr="007A728D">
        <w:t>roductivity superannuation</w:t>
      </w:r>
      <w:r>
        <w:t xml:space="preserve"> </w:t>
      </w:r>
      <w:r w:rsidRPr="007A728D">
        <w:t>contributions paid by employers to the PSS and CSS; plus</w:t>
      </w:r>
    </w:p>
    <w:p w:rsidR="00446932" w:rsidRDefault="00446932" w:rsidP="00446932">
      <w:pPr>
        <w:pStyle w:val="ListBullet"/>
      </w:pPr>
      <w:r w:rsidRPr="00FB2C86">
        <w:t>b</w:t>
      </w:r>
      <w:r w:rsidRPr="00F76729">
        <w:t>enefit payments made from</w:t>
      </w:r>
      <w:r w:rsidRPr="00FB2C86">
        <w:t xml:space="preserve"> the </w:t>
      </w:r>
      <w:r>
        <w:t>Australian Government’s Consolidated Revenue Fund (CRF); less</w:t>
      </w:r>
    </w:p>
    <w:p w:rsidR="00446932" w:rsidRDefault="00446932" w:rsidP="00446932">
      <w:pPr>
        <w:pStyle w:val="ListBullet"/>
      </w:pPr>
      <w:r>
        <w:t xml:space="preserve">transfers of scheme assets </w:t>
      </w:r>
      <w:r w:rsidR="00B7219E">
        <w:t xml:space="preserve">in respect of an individual member </w:t>
      </w:r>
      <w:r>
        <w:t xml:space="preserve">to the CRF </w:t>
      </w:r>
      <w:r w:rsidR="00B7219E">
        <w:t xml:space="preserve">at the time that </w:t>
      </w:r>
      <w:r>
        <w:t xml:space="preserve">benefits </w:t>
      </w:r>
      <w:r w:rsidR="00B7219E">
        <w:t xml:space="preserve">first </w:t>
      </w:r>
      <w:r>
        <w:t>become payable.</w:t>
      </w:r>
    </w:p>
    <w:p w:rsidR="00A01CFA" w:rsidRDefault="00A01CFA" w:rsidP="00446932"/>
    <w:p w:rsidR="00A01CFA" w:rsidRPr="00EA3C33" w:rsidRDefault="00A01CFA" w:rsidP="00A01CFA">
      <w:r>
        <w:t xml:space="preserve">Note that no allowance </w:t>
      </w:r>
      <w:r w:rsidR="00B7219E">
        <w:t xml:space="preserve">has been </w:t>
      </w:r>
      <w:r>
        <w:t xml:space="preserve">made </w:t>
      </w:r>
      <w:r w:rsidR="00B7219E">
        <w:t xml:space="preserve">in this report </w:t>
      </w:r>
      <w:r>
        <w:t xml:space="preserve">for </w:t>
      </w:r>
      <w:r w:rsidR="00B7219E">
        <w:t xml:space="preserve">the </w:t>
      </w:r>
      <w:r>
        <w:t>reimbursement of the CRF for benefit payments made in respect of service with an employer which is no longer part of the Australian Government (e.g. ACT and NT Governments).</w:t>
      </w:r>
      <w:r w:rsidR="00B7219E">
        <w:t xml:space="preserve"> The Australian Government has arrangements in place to be reimbursed directly by those employers.</w:t>
      </w:r>
    </w:p>
    <w:p w:rsidR="00A01CFA" w:rsidRDefault="00A01CFA" w:rsidP="00446932"/>
    <w:p w:rsidR="00EF0022" w:rsidRDefault="00E03F8B" w:rsidP="00EF0022">
      <w:r w:rsidRPr="00E06A53">
        <w:t>The projected outlays are expected to reduce as a percentage of projected</w:t>
      </w:r>
      <w:r w:rsidRPr="00E03F8B">
        <w:t xml:space="preserve"> Gross Domestic Product (GDP) </w:t>
      </w:r>
      <w:r w:rsidR="00EF0022" w:rsidRPr="00D54AF4">
        <w:t xml:space="preserve">from </w:t>
      </w:r>
      <w:r w:rsidR="00A86D36">
        <w:t>0.30</w:t>
      </w:r>
      <w:r w:rsidR="00EF0022" w:rsidRPr="00D54AF4">
        <w:t>% in the year ending 30 June 2018 to 0.07% in the year ending 30 June 2057.</w:t>
      </w:r>
    </w:p>
    <w:p w:rsidR="00E03F8B" w:rsidRDefault="00E03F8B" w:rsidP="00E03F8B">
      <w:r w:rsidRPr="00231EC9">
        <w:lastRenderedPageBreak/>
        <w:t>Further</w:t>
      </w:r>
      <w:r w:rsidRPr="00E03F8B">
        <w:t xml:space="preserve"> detail regarding the projected outlays is contained in Section </w:t>
      </w:r>
      <w:r w:rsidR="00331428">
        <w:t>6</w:t>
      </w:r>
      <w:r w:rsidRPr="00E03F8B">
        <w:t>.</w:t>
      </w:r>
    </w:p>
    <w:p w:rsidR="008549C8" w:rsidRPr="00E03F8B" w:rsidRDefault="008549C8" w:rsidP="00E03F8B"/>
    <w:p w:rsidR="00BF3B60" w:rsidRPr="00331A3B" w:rsidRDefault="00BF3B60" w:rsidP="00331A3B">
      <w:pPr>
        <w:rPr>
          <w:caps/>
          <w:color w:val="002C77"/>
          <w:spacing w:val="40"/>
        </w:rPr>
      </w:pPr>
      <w:bookmarkStart w:id="24" w:name="_Toc508267342"/>
      <w:r w:rsidRPr="00331A3B">
        <w:rPr>
          <w:caps/>
          <w:color w:val="002C77"/>
          <w:spacing w:val="40"/>
        </w:rPr>
        <w:t>Notional Employer Contribution Rate</w:t>
      </w:r>
      <w:bookmarkEnd w:id="24"/>
      <w:r w:rsidR="008148AE">
        <w:rPr>
          <w:caps/>
          <w:color w:val="002C77"/>
          <w:spacing w:val="40"/>
        </w:rPr>
        <w:t>s</w:t>
      </w:r>
    </w:p>
    <w:p w:rsidR="00240871" w:rsidRDefault="00240871" w:rsidP="00240871"/>
    <w:p w:rsidR="00FA3204" w:rsidRDefault="00FA3204" w:rsidP="00FA3204">
      <w:r w:rsidRPr="000256F7">
        <w:t xml:space="preserve">The </w:t>
      </w:r>
      <w:r>
        <w:t>n</w:t>
      </w:r>
      <w:r w:rsidRPr="000256F7">
        <w:t xml:space="preserve">otional </w:t>
      </w:r>
      <w:r>
        <w:t>e</w:t>
      </w:r>
      <w:r w:rsidRPr="000256F7">
        <w:t>m</w:t>
      </w:r>
      <w:r>
        <w:t>ployer contribution rate</w:t>
      </w:r>
      <w:r w:rsidR="008148AE">
        <w:t>s</w:t>
      </w:r>
      <w:r>
        <w:t xml:space="preserve"> (NECR</w:t>
      </w:r>
      <w:r w:rsidRPr="000256F7">
        <w:t>) represent the estimated contribution rate</w:t>
      </w:r>
      <w:r>
        <w:t>s</w:t>
      </w:r>
      <w:r w:rsidRPr="000256F7">
        <w:t xml:space="preserve"> </w:t>
      </w:r>
      <w:r w:rsidR="00D86A83">
        <w:t xml:space="preserve">as a percentage of salary </w:t>
      </w:r>
      <w:r w:rsidRPr="000256F7">
        <w:t>that would be required to f</w:t>
      </w:r>
      <w:r>
        <w:t xml:space="preserve">inance </w:t>
      </w:r>
      <w:r w:rsidRPr="000256F7">
        <w:t xml:space="preserve">the benefits accruing to </w:t>
      </w:r>
      <w:r w:rsidRPr="0074083A">
        <w:t>contributors</w:t>
      </w:r>
      <w:r w:rsidRPr="000256F7">
        <w:t xml:space="preserve"> over the next three years</w:t>
      </w:r>
      <w:r>
        <w:t xml:space="preserve"> </w:t>
      </w:r>
      <w:r>
        <w:rPr>
          <w:lang w:eastAsia="en-AU"/>
        </w:rPr>
        <w:t>(from 1 July 2017 to 30 June 2020)</w:t>
      </w:r>
      <w:r w:rsidRPr="000256F7">
        <w:t>. That is, if the scheme</w:t>
      </w:r>
      <w:r w:rsidR="008148AE">
        <w:t>s were</w:t>
      </w:r>
      <w:r w:rsidR="008549C8">
        <w:t xml:space="preserve"> </w:t>
      </w:r>
      <w:r w:rsidRPr="000256F7">
        <w:t xml:space="preserve">fully funded at the valuation date and contributions were made </w:t>
      </w:r>
      <w:r w:rsidR="00D86A83">
        <w:t xml:space="preserve">to the schemes </w:t>
      </w:r>
      <w:r w:rsidRPr="000256F7">
        <w:t>at the NECR</w:t>
      </w:r>
      <w:r>
        <w:t>s</w:t>
      </w:r>
      <w:r w:rsidRPr="000256F7">
        <w:t xml:space="preserve">, the </w:t>
      </w:r>
      <w:r w:rsidR="00D86A83">
        <w:t>schemes</w:t>
      </w:r>
      <w:r w:rsidRPr="000256F7">
        <w:t xml:space="preserve"> would be expected to </w:t>
      </w:r>
      <w:r>
        <w:t xml:space="preserve">remain </w:t>
      </w:r>
      <w:r w:rsidRPr="000256F7">
        <w:t>fully funded at the end of the period.</w:t>
      </w:r>
    </w:p>
    <w:p w:rsidR="00FA3204" w:rsidRDefault="00FA3204" w:rsidP="00FA3204"/>
    <w:p w:rsidR="00FA3204" w:rsidRDefault="00FA3204" w:rsidP="00FA3204">
      <w:pPr>
        <w:rPr>
          <w:lang w:eastAsia="en-AU"/>
        </w:rPr>
      </w:pPr>
      <w:r w:rsidRPr="006E283A">
        <w:rPr>
          <w:lang w:eastAsia="en-AU"/>
        </w:rPr>
        <w:t>The NECR is determined using long term assumptions as th</w:t>
      </w:r>
      <w:r w:rsidR="008148AE">
        <w:rPr>
          <w:lang w:eastAsia="en-AU"/>
        </w:rPr>
        <w:t>e</w:t>
      </w:r>
      <w:r w:rsidRPr="006E283A">
        <w:rPr>
          <w:lang w:eastAsia="en-AU"/>
        </w:rPr>
        <w:t xml:space="preserve"> rate</w:t>
      </w:r>
      <w:r w:rsidR="008148AE">
        <w:rPr>
          <w:lang w:eastAsia="en-AU"/>
        </w:rPr>
        <w:t>s are</w:t>
      </w:r>
      <w:r w:rsidR="008549C8">
        <w:rPr>
          <w:lang w:eastAsia="en-AU"/>
        </w:rPr>
        <w:t xml:space="preserve"> </w:t>
      </w:r>
      <w:r w:rsidRPr="006E283A">
        <w:rPr>
          <w:lang w:eastAsia="en-AU"/>
        </w:rPr>
        <w:t>notional in nature</w:t>
      </w:r>
      <w:r>
        <w:rPr>
          <w:lang w:eastAsia="en-AU"/>
        </w:rPr>
        <w:t xml:space="preserve">. </w:t>
      </w:r>
      <w:r>
        <w:t xml:space="preserve">Only the productivity contribution component of the NECR is actually paid by the employers to the PSS and CSS to be invested as scheme assets by the </w:t>
      </w:r>
      <w:r w:rsidR="005424BA">
        <w:t>t</w:t>
      </w:r>
      <w:r>
        <w:t>rustee.</w:t>
      </w:r>
    </w:p>
    <w:p w:rsidR="00FA3204" w:rsidRDefault="00FA3204" w:rsidP="00240871"/>
    <w:p w:rsidR="00E53D14" w:rsidRDefault="00E53D14" w:rsidP="00E53D14">
      <w:r>
        <w:t>The NECRs for the two schemes (including allowance for contributions towards the productivity superannuation benefit) are:</w:t>
      </w:r>
    </w:p>
    <w:p w:rsidR="00FA3204" w:rsidRDefault="00FA3204" w:rsidP="00FA3204"/>
    <w:tbl>
      <w:tblPr>
        <w:tblW w:w="5742"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914"/>
        <w:gridCol w:w="1914"/>
        <w:gridCol w:w="1914"/>
      </w:tblGrid>
      <w:tr w:rsidR="000C466A" w:rsidRPr="009E0575" w:rsidTr="000C466A">
        <w:trPr>
          <w:cantSplit/>
          <w:tblHeader/>
        </w:trPr>
        <w:tc>
          <w:tcPr>
            <w:tcW w:w="5742" w:type="dxa"/>
            <w:gridSpan w:val="3"/>
            <w:shd w:val="clear" w:color="auto" w:fill="00A8C8"/>
          </w:tcPr>
          <w:p w:rsidR="000C466A" w:rsidRPr="009E0575" w:rsidRDefault="000C466A" w:rsidP="000C466A">
            <w:pPr>
              <w:pStyle w:val="TableHeadingText"/>
              <w:jc w:val="center"/>
              <w:rPr>
                <w:caps w:val="0"/>
              </w:rPr>
            </w:pPr>
            <w:r w:rsidRPr="009E0575">
              <w:rPr>
                <w:caps w:val="0"/>
              </w:rPr>
              <w:t>N</w:t>
            </w:r>
            <w:r>
              <w:rPr>
                <w:caps w:val="0"/>
              </w:rPr>
              <w:t xml:space="preserve">ECR </w:t>
            </w:r>
            <w:r w:rsidRPr="009E0575">
              <w:rPr>
                <w:caps w:val="0"/>
              </w:rPr>
              <w:t>(% of</w:t>
            </w:r>
            <w:r>
              <w:rPr>
                <w:caps w:val="0"/>
              </w:rPr>
              <w:t xml:space="preserve"> </w:t>
            </w:r>
            <w:r w:rsidRPr="009E0575">
              <w:rPr>
                <w:caps w:val="0"/>
              </w:rPr>
              <w:t>Superannuation Salaries)</w:t>
            </w:r>
          </w:p>
        </w:tc>
      </w:tr>
      <w:tr w:rsidR="000C466A" w:rsidRPr="009E0575" w:rsidTr="00467D38">
        <w:trPr>
          <w:cantSplit/>
          <w:tblHeader/>
        </w:trPr>
        <w:tc>
          <w:tcPr>
            <w:tcW w:w="1914" w:type="dxa"/>
            <w:shd w:val="clear" w:color="auto" w:fill="00A8C8"/>
          </w:tcPr>
          <w:p w:rsidR="000C466A" w:rsidRPr="009E0575" w:rsidRDefault="000C466A" w:rsidP="0092257F">
            <w:pPr>
              <w:pStyle w:val="TableHeadingText"/>
              <w:jc w:val="right"/>
              <w:rPr>
                <w:caps w:val="0"/>
              </w:rPr>
            </w:pPr>
            <w:r w:rsidRPr="009E0575">
              <w:rPr>
                <w:caps w:val="0"/>
              </w:rPr>
              <w:t>PSS</w:t>
            </w:r>
          </w:p>
        </w:tc>
        <w:tc>
          <w:tcPr>
            <w:tcW w:w="1914" w:type="dxa"/>
            <w:shd w:val="clear" w:color="auto" w:fill="00A8C8"/>
          </w:tcPr>
          <w:p w:rsidR="000C466A" w:rsidRPr="009E0575" w:rsidRDefault="000C466A" w:rsidP="0092257F">
            <w:pPr>
              <w:pStyle w:val="TableHeadingText"/>
              <w:jc w:val="right"/>
              <w:rPr>
                <w:caps w:val="0"/>
              </w:rPr>
            </w:pPr>
            <w:r w:rsidRPr="009E0575">
              <w:rPr>
                <w:caps w:val="0"/>
              </w:rPr>
              <w:t>CSS</w:t>
            </w:r>
          </w:p>
        </w:tc>
        <w:tc>
          <w:tcPr>
            <w:tcW w:w="1914" w:type="dxa"/>
            <w:shd w:val="clear" w:color="auto" w:fill="00A8C8"/>
          </w:tcPr>
          <w:p w:rsidR="000C466A" w:rsidRPr="009E0575" w:rsidRDefault="000C466A" w:rsidP="0092257F">
            <w:pPr>
              <w:pStyle w:val="TableHeadingText"/>
              <w:jc w:val="right"/>
              <w:rPr>
                <w:caps w:val="0"/>
              </w:rPr>
            </w:pPr>
            <w:r w:rsidRPr="009E0575">
              <w:rPr>
                <w:caps w:val="0"/>
              </w:rPr>
              <w:t>Combined</w:t>
            </w:r>
          </w:p>
        </w:tc>
      </w:tr>
      <w:tr w:rsidR="000C466A" w:rsidRPr="008F6510" w:rsidTr="00467D38">
        <w:trPr>
          <w:cantSplit/>
        </w:trPr>
        <w:tc>
          <w:tcPr>
            <w:tcW w:w="1914" w:type="dxa"/>
            <w:shd w:val="clear" w:color="auto" w:fill="F2F2F2"/>
          </w:tcPr>
          <w:p w:rsidR="000C466A" w:rsidRPr="009E0575" w:rsidRDefault="000C466A" w:rsidP="0092257F">
            <w:pPr>
              <w:pStyle w:val="TableText"/>
              <w:jc w:val="right"/>
            </w:pPr>
            <w:r w:rsidRPr="009E0575">
              <w:t>28.7</w:t>
            </w:r>
          </w:p>
        </w:tc>
        <w:tc>
          <w:tcPr>
            <w:tcW w:w="1914" w:type="dxa"/>
            <w:shd w:val="clear" w:color="auto" w:fill="F2F2F2"/>
          </w:tcPr>
          <w:p w:rsidR="000C466A" w:rsidRPr="009E0575" w:rsidRDefault="000C466A" w:rsidP="0092257F">
            <w:pPr>
              <w:pStyle w:val="TableText"/>
              <w:jc w:val="right"/>
            </w:pPr>
            <w:r w:rsidRPr="009E0575">
              <w:t>20.3</w:t>
            </w:r>
          </w:p>
        </w:tc>
        <w:tc>
          <w:tcPr>
            <w:tcW w:w="1914" w:type="dxa"/>
            <w:shd w:val="clear" w:color="auto" w:fill="F2F2F2"/>
          </w:tcPr>
          <w:p w:rsidR="000C466A" w:rsidRPr="009E0575" w:rsidRDefault="000C466A" w:rsidP="0092257F">
            <w:pPr>
              <w:pStyle w:val="TableText"/>
              <w:jc w:val="right"/>
            </w:pPr>
            <w:r w:rsidRPr="009E0575">
              <w:t>28.0</w:t>
            </w:r>
          </w:p>
        </w:tc>
      </w:tr>
    </w:tbl>
    <w:p w:rsidR="00FA3204" w:rsidRDefault="00FA3204" w:rsidP="00E53D14"/>
    <w:p w:rsidR="00BF3B60" w:rsidRDefault="00BF3B60" w:rsidP="00240871">
      <w:r>
        <w:t xml:space="preserve">Further details are provided in Section </w:t>
      </w:r>
      <w:r w:rsidR="00331428">
        <w:t>7</w:t>
      </w:r>
      <w:r>
        <w:t>.</w:t>
      </w:r>
    </w:p>
    <w:p w:rsidR="00BF3B60" w:rsidRDefault="00BF3B60" w:rsidP="00BF3B60">
      <w:pPr>
        <w:pStyle w:val="SectionStart"/>
        <w:pBdr>
          <w:bottom w:val="single" w:sz="12" w:space="1" w:color="auto"/>
        </w:pBdr>
        <w:spacing w:before="0" w:after="380"/>
      </w:pPr>
      <w:bookmarkStart w:id="25" w:name="_Toc210727685"/>
    </w:p>
    <w:p w:rsidR="00BF3B60" w:rsidRDefault="00BF3B60" w:rsidP="00240871">
      <w:pPr>
        <w:pStyle w:val="Heading1"/>
        <w:numPr>
          <w:ilvl w:val="0"/>
          <w:numId w:val="13"/>
        </w:numPr>
        <w:spacing w:after="240"/>
      </w:pPr>
      <w:bookmarkStart w:id="26" w:name="_Toc325023259"/>
      <w:bookmarkStart w:id="27" w:name="_Toc423600576"/>
      <w:bookmarkStart w:id="28" w:name="_Toc493666043"/>
      <w:bookmarkStart w:id="29" w:name="_Toc508267343"/>
      <w:bookmarkStart w:id="30" w:name="_Toc511315164"/>
      <w:bookmarkStart w:id="31" w:name="_Toc511313518"/>
      <w:bookmarkStart w:id="32" w:name="_Toc511385928"/>
      <w:bookmarkStart w:id="33" w:name="_Toc517706061"/>
      <w:r>
        <w:t>Scheme Information</w:t>
      </w:r>
      <w:bookmarkEnd w:id="26"/>
      <w:bookmarkEnd w:id="27"/>
      <w:bookmarkEnd w:id="28"/>
      <w:bookmarkEnd w:id="29"/>
      <w:bookmarkEnd w:id="30"/>
      <w:bookmarkEnd w:id="31"/>
      <w:bookmarkEnd w:id="32"/>
      <w:bookmarkEnd w:id="33"/>
    </w:p>
    <w:bookmarkEnd w:id="25"/>
    <w:p w:rsidR="00034F57" w:rsidRPr="00034F57" w:rsidRDefault="00034F57" w:rsidP="00034F57">
      <w:r w:rsidRPr="00034F57">
        <w:t>The C</w:t>
      </w:r>
      <w:r w:rsidR="00E63F46">
        <w:t>ommonwealth Superannuation Scheme (C</w:t>
      </w:r>
      <w:r w:rsidRPr="00034F57">
        <w:t>SS</w:t>
      </w:r>
      <w:r w:rsidR="00E63F46">
        <w:t>)</w:t>
      </w:r>
      <w:r w:rsidRPr="00034F57">
        <w:t xml:space="preserve"> was </w:t>
      </w:r>
      <w:r w:rsidR="00E63F46">
        <w:t xml:space="preserve">established </w:t>
      </w:r>
      <w:r w:rsidRPr="00034F57">
        <w:t>on 1 July 1976</w:t>
      </w:r>
      <w:r w:rsidR="00E63F46">
        <w:t xml:space="preserve"> by the Superannuation Act 1976 (</w:t>
      </w:r>
      <w:r w:rsidRPr="00034F57">
        <w:t>as amended</w:t>
      </w:r>
      <w:r w:rsidR="004953F4">
        <w:t>)</w:t>
      </w:r>
      <w:r w:rsidRPr="00034F57">
        <w:t xml:space="preserve">. The CSS </w:t>
      </w:r>
      <w:r w:rsidR="00E63F46">
        <w:t>w</w:t>
      </w:r>
      <w:r w:rsidRPr="00034F57">
        <w:t xml:space="preserve">as closed to new members </w:t>
      </w:r>
      <w:r w:rsidR="00E63F46">
        <w:t xml:space="preserve">from </w:t>
      </w:r>
      <w:r w:rsidRPr="00034F57">
        <w:t>1</w:t>
      </w:r>
      <w:r w:rsidR="004953F4">
        <w:t> </w:t>
      </w:r>
      <w:r w:rsidRPr="00034F57">
        <w:t>July</w:t>
      </w:r>
      <w:r w:rsidR="00E63F46">
        <w:t> </w:t>
      </w:r>
      <w:r w:rsidRPr="00034F57">
        <w:t xml:space="preserve">1990. All CSS contributors at 1 July 1990 were given the option of transferring </w:t>
      </w:r>
      <w:r w:rsidR="00E63F46">
        <w:t>to the Public Sector Superannuation Scheme (PSS)</w:t>
      </w:r>
      <w:r w:rsidRPr="00034F57">
        <w:t xml:space="preserve">. A further option to transfer to the PSS was provided </w:t>
      </w:r>
      <w:r w:rsidR="00E63F46" w:rsidRPr="00034F57">
        <w:t xml:space="preserve">for a limited period of time </w:t>
      </w:r>
      <w:r w:rsidRPr="00034F57">
        <w:t>in 1996.</w:t>
      </w:r>
      <w:r w:rsidR="00E63F46">
        <w:t xml:space="preserve"> </w:t>
      </w:r>
      <w:r w:rsidRPr="00034F57">
        <w:t xml:space="preserve">The current membership of the CSS </w:t>
      </w:r>
      <w:r w:rsidR="00E63F46">
        <w:t xml:space="preserve">consists of </w:t>
      </w:r>
      <w:r w:rsidR="000832F2">
        <w:t>current and former</w:t>
      </w:r>
      <w:r w:rsidR="00776BF7">
        <w:t xml:space="preserve"> employees of the </w:t>
      </w:r>
      <w:r w:rsidRPr="00034F57">
        <w:t>Australian Government</w:t>
      </w:r>
      <w:r w:rsidR="008549C8">
        <w:t>,</w:t>
      </w:r>
      <w:r w:rsidR="00BB7F77">
        <w:t xml:space="preserve"> or participating employer</w:t>
      </w:r>
      <w:r w:rsidR="00776BF7">
        <w:t>s</w:t>
      </w:r>
      <w:r w:rsidR="008549C8">
        <w:t xml:space="preserve">, </w:t>
      </w:r>
      <w:r w:rsidRPr="00034F57">
        <w:t>who were members on 30</w:t>
      </w:r>
      <w:r w:rsidR="004953F4">
        <w:t> </w:t>
      </w:r>
      <w:r w:rsidRPr="00034F57">
        <w:t>June</w:t>
      </w:r>
      <w:r w:rsidR="004953F4">
        <w:t> </w:t>
      </w:r>
      <w:r w:rsidRPr="00034F57">
        <w:t xml:space="preserve">1990 and who have not </w:t>
      </w:r>
      <w:r w:rsidR="00E63F46">
        <w:t xml:space="preserve">elected to </w:t>
      </w:r>
      <w:r w:rsidRPr="00034F57">
        <w:t>transfer to the PSS.</w:t>
      </w:r>
    </w:p>
    <w:p w:rsidR="00034F57" w:rsidRPr="00034F57" w:rsidRDefault="00034F57" w:rsidP="00034F57"/>
    <w:p w:rsidR="00034F57" w:rsidRPr="00034F57" w:rsidRDefault="00034F57" w:rsidP="00034F57">
      <w:r w:rsidRPr="00034F57">
        <w:t>Prior to July 1976</w:t>
      </w:r>
      <w:r w:rsidR="00C441A2">
        <w:t>,</w:t>
      </w:r>
      <w:r w:rsidRPr="00034F57">
        <w:t xml:space="preserve"> superannuation </w:t>
      </w:r>
      <w:r w:rsidR="000832F2">
        <w:t>for</w:t>
      </w:r>
      <w:r w:rsidRPr="00034F57">
        <w:t xml:space="preserve"> Australian Government public servants was covered by the Superannuation Act 1922</w:t>
      </w:r>
      <w:r w:rsidR="003D5478">
        <w:t xml:space="preserve"> (the 1922 Scheme)</w:t>
      </w:r>
      <w:r w:rsidRPr="00034F57">
        <w:t>.</w:t>
      </w:r>
      <w:r w:rsidR="003D5478">
        <w:t xml:space="preserve"> S</w:t>
      </w:r>
      <w:r w:rsidRPr="00034F57">
        <w:t>ome pensioners remain entitled to benefits under th</w:t>
      </w:r>
      <w:r w:rsidR="003D5478">
        <w:t>e</w:t>
      </w:r>
      <w:r w:rsidRPr="00034F57">
        <w:t xml:space="preserve"> </w:t>
      </w:r>
      <w:r w:rsidR="003D5478">
        <w:t xml:space="preserve">1922 Scheme </w:t>
      </w:r>
      <w:r w:rsidRPr="00034F57">
        <w:t xml:space="preserve">and the liabilities in respect of these </w:t>
      </w:r>
      <w:r w:rsidR="00E63F46">
        <w:t xml:space="preserve">payments </w:t>
      </w:r>
      <w:r w:rsidRPr="00034F57">
        <w:t xml:space="preserve">are included in </w:t>
      </w:r>
      <w:r w:rsidR="00FB0F81">
        <w:t xml:space="preserve">results for </w:t>
      </w:r>
      <w:r w:rsidRPr="00034F57">
        <w:t>the CSS.</w:t>
      </w:r>
    </w:p>
    <w:p w:rsidR="00BF3B60" w:rsidRDefault="00BF3B60" w:rsidP="00034F57"/>
    <w:p w:rsidR="00C441A2" w:rsidRPr="00034F57" w:rsidRDefault="00C441A2" w:rsidP="00C441A2">
      <w:r w:rsidRPr="00034F57">
        <w:t>The PSS was established on 1 July 1990</w:t>
      </w:r>
      <w:r w:rsidR="00E63F46">
        <w:t xml:space="preserve"> by the </w:t>
      </w:r>
      <w:r w:rsidRPr="00034F57">
        <w:t xml:space="preserve">Superannuation Act 1990 </w:t>
      </w:r>
      <w:r>
        <w:t>(as amended)</w:t>
      </w:r>
      <w:r w:rsidR="00E63F46">
        <w:t xml:space="preserve">. Its operations are also governed by </w:t>
      </w:r>
      <w:r w:rsidRPr="00034F57">
        <w:t xml:space="preserve">a Trust Deed </w:t>
      </w:r>
      <w:r>
        <w:t>dated 21 June 1990 (as amended)</w:t>
      </w:r>
      <w:r w:rsidRPr="00034F57">
        <w:t xml:space="preserve">. The PSS was closed to new members from 1 July 2005. Employees of </w:t>
      </w:r>
      <w:r w:rsidR="00BB7F77">
        <w:t xml:space="preserve">the </w:t>
      </w:r>
      <w:r w:rsidRPr="00034F57">
        <w:t>Australian Government</w:t>
      </w:r>
      <w:r w:rsidR="00BB7F77">
        <w:t xml:space="preserve"> or other participating employers </w:t>
      </w:r>
      <w:r w:rsidR="00776BF7">
        <w:t xml:space="preserve">who commenced service </w:t>
      </w:r>
      <w:r w:rsidRPr="00034F57">
        <w:t>prior to 1</w:t>
      </w:r>
      <w:r>
        <w:t> </w:t>
      </w:r>
      <w:r w:rsidRPr="00034F57">
        <w:t>July</w:t>
      </w:r>
      <w:r>
        <w:t> </w:t>
      </w:r>
      <w:r w:rsidRPr="00034F57">
        <w:t>2005 were eligible for membership of the PSS.</w:t>
      </w:r>
    </w:p>
    <w:p w:rsidR="00C441A2" w:rsidRPr="00034F57" w:rsidRDefault="00C441A2" w:rsidP="00C441A2"/>
    <w:p w:rsidR="00C441A2" w:rsidRPr="00034F57" w:rsidRDefault="00C441A2" w:rsidP="00C441A2">
      <w:r w:rsidRPr="00034F57">
        <w:t>Most employees of Australian Government agencies who commence employment on or after 1</w:t>
      </w:r>
      <w:r>
        <w:t> </w:t>
      </w:r>
      <w:r w:rsidRPr="00034F57">
        <w:t>July</w:t>
      </w:r>
      <w:r>
        <w:t> </w:t>
      </w:r>
      <w:r w:rsidRPr="00034F57">
        <w:t>2005 are eligible to join the Public Sector Superannuation Accumulation Plan (PSSap).</w:t>
      </w:r>
      <w:r w:rsidR="00776BF7">
        <w:t xml:space="preserve"> PSSap is </w:t>
      </w:r>
      <w:r w:rsidR="00460956">
        <w:t xml:space="preserve">an accumulation </w:t>
      </w:r>
      <w:r w:rsidR="007A728D">
        <w:t xml:space="preserve">plan and </w:t>
      </w:r>
      <w:r w:rsidR="00460956">
        <w:t xml:space="preserve">is </w:t>
      </w:r>
      <w:r w:rsidR="00776BF7">
        <w:t>not considered further in this report.</w:t>
      </w:r>
    </w:p>
    <w:p w:rsidR="00C441A2" w:rsidRDefault="00C441A2" w:rsidP="00034F57"/>
    <w:p w:rsidR="006E7E91" w:rsidRPr="004D578C" w:rsidRDefault="004D578C" w:rsidP="006E7E91">
      <w:r w:rsidRPr="00467D38">
        <w:rPr>
          <w:caps/>
          <w:color w:val="002C77"/>
          <w:spacing w:val="40"/>
        </w:rPr>
        <w:t xml:space="preserve">Goverance </w:t>
      </w:r>
      <w:r w:rsidR="000C466A" w:rsidRPr="00467D38">
        <w:rPr>
          <w:caps/>
          <w:color w:val="002C77"/>
          <w:spacing w:val="40"/>
        </w:rPr>
        <w:t>And</w:t>
      </w:r>
      <w:r w:rsidRPr="00467D38">
        <w:rPr>
          <w:caps/>
          <w:color w:val="002C77"/>
          <w:spacing w:val="40"/>
        </w:rPr>
        <w:t xml:space="preserve"> </w:t>
      </w:r>
      <w:r w:rsidR="006E7E91" w:rsidRPr="00467D38">
        <w:rPr>
          <w:caps/>
          <w:color w:val="002C77"/>
          <w:spacing w:val="40"/>
        </w:rPr>
        <w:t>Operations</w:t>
      </w:r>
    </w:p>
    <w:p w:rsidR="004A25AC" w:rsidRDefault="004A25AC" w:rsidP="00034F57"/>
    <w:p w:rsidR="004D578C" w:rsidRDefault="004D578C" w:rsidP="004D578C">
      <w:r>
        <w:t>T</w:t>
      </w:r>
      <w:r w:rsidRPr="00190D77">
        <w:t>he Australian Prudential Regulation Authority (APRA)</w:t>
      </w:r>
      <w:r>
        <w:t xml:space="preserve"> is responsible for the</w:t>
      </w:r>
      <w:r w:rsidRPr="00190D77">
        <w:t xml:space="preserve"> licens</w:t>
      </w:r>
      <w:r>
        <w:t xml:space="preserve">ing </w:t>
      </w:r>
      <w:r w:rsidRPr="00190D77">
        <w:t>and</w:t>
      </w:r>
      <w:r>
        <w:t xml:space="preserve"> </w:t>
      </w:r>
      <w:r w:rsidRPr="00190D77">
        <w:t>supervis</w:t>
      </w:r>
      <w:r>
        <w:t xml:space="preserve">ion of </w:t>
      </w:r>
      <w:r w:rsidRPr="00190D77">
        <w:t>regulated superannuation schemes.</w:t>
      </w:r>
    </w:p>
    <w:p w:rsidR="004D578C" w:rsidRDefault="004D578C" w:rsidP="004D578C"/>
    <w:p w:rsidR="008549C8" w:rsidRDefault="004D578C" w:rsidP="00190D77">
      <w:r w:rsidRPr="00F8248C">
        <w:t xml:space="preserve">The PSS and CSS are regulated superannuation funds, complying with the Superannuation Industry (Supervision) Act 1993 </w:t>
      </w:r>
      <w:r>
        <w:t xml:space="preserve">(SIS Act). The SIS Act </w:t>
      </w:r>
      <w:r w:rsidRPr="00F8248C">
        <w:t>governs the superannuation industry and provides the framework within which superannuation schemes operate</w:t>
      </w:r>
      <w:r w:rsidR="008549C8">
        <w:t>.</w:t>
      </w:r>
    </w:p>
    <w:p w:rsidR="008549C8" w:rsidRDefault="008549C8" w:rsidP="00190D77"/>
    <w:p w:rsidR="00637B4D" w:rsidRDefault="0081311D" w:rsidP="00692EE8">
      <w:pPr>
        <w:rPr>
          <w:szCs w:val="22"/>
        </w:rPr>
      </w:pPr>
      <w:r>
        <w:t xml:space="preserve">APRA </w:t>
      </w:r>
      <w:r w:rsidR="00692EE8">
        <w:t>Prudential Standard SPS 160 does not apply to either the PSS or the CSS</w:t>
      </w:r>
      <w:r>
        <w:t>, as specified in SPS 160</w:t>
      </w:r>
      <w:r w:rsidR="00692EE8">
        <w:rPr>
          <w:szCs w:val="22"/>
        </w:rPr>
        <w:t>.</w:t>
      </w:r>
    </w:p>
    <w:p w:rsidR="00637B4D" w:rsidRDefault="00637B4D">
      <w:pPr>
        <w:spacing w:line="240" w:lineRule="auto"/>
        <w:rPr>
          <w:szCs w:val="22"/>
        </w:rPr>
      </w:pPr>
      <w:r>
        <w:rPr>
          <w:szCs w:val="22"/>
        </w:rPr>
        <w:br w:type="page"/>
      </w:r>
    </w:p>
    <w:p w:rsidR="00190D77" w:rsidRDefault="008549C8" w:rsidP="00190D77">
      <w:r>
        <w:lastRenderedPageBreak/>
        <w:t>T</w:t>
      </w:r>
      <w:r w:rsidR="00CE5A60">
        <w:t xml:space="preserve">he </w:t>
      </w:r>
      <w:r w:rsidR="00CE5A60" w:rsidRPr="00CE5A60">
        <w:t xml:space="preserve">Commonwealth Superannuation Corporation </w:t>
      </w:r>
      <w:r w:rsidR="00CE5A60">
        <w:t>(</w:t>
      </w:r>
      <w:r w:rsidR="00F8248C">
        <w:t>CSC</w:t>
      </w:r>
      <w:r w:rsidR="00CE5A60">
        <w:t>),</w:t>
      </w:r>
      <w:r w:rsidR="00F8248C">
        <w:t xml:space="preserve"> a corporate Commonwealth entity</w:t>
      </w:r>
      <w:r w:rsidR="00CE5A60">
        <w:t xml:space="preserve"> </w:t>
      </w:r>
      <w:r w:rsidR="00F8248C">
        <w:t>established on 1 July 2011</w:t>
      </w:r>
      <w:r w:rsidR="00CE5A60">
        <w:t xml:space="preserve">, is </w:t>
      </w:r>
      <w:r w:rsidR="00190D77">
        <w:t>the trustee of the schemes</w:t>
      </w:r>
      <w:r w:rsidR="00F8248C">
        <w:t>. CSC is responsible for</w:t>
      </w:r>
      <w:r w:rsidR="00190D77">
        <w:t>:</w:t>
      </w:r>
    </w:p>
    <w:p w:rsidR="00190D77" w:rsidRDefault="00190D77" w:rsidP="00190D77">
      <w:pPr>
        <w:pStyle w:val="ListBullet"/>
      </w:pPr>
      <w:r>
        <w:t xml:space="preserve">providing administration services for the </w:t>
      </w:r>
      <w:r w:rsidR="00F8248C" w:rsidRPr="00F8248C">
        <w:t>schemes</w:t>
      </w:r>
      <w:r>
        <w:t>,</w:t>
      </w:r>
      <w:r w:rsidR="00F8248C" w:rsidRPr="00F8248C">
        <w:t xml:space="preserve"> </w:t>
      </w:r>
      <w:r>
        <w:t>including payment to beneficiaries when eligible in accordance with scheme rules;</w:t>
      </w:r>
    </w:p>
    <w:p w:rsidR="00F8248C" w:rsidRDefault="00F8248C" w:rsidP="00F8248C">
      <w:pPr>
        <w:pStyle w:val="ListBullet"/>
      </w:pPr>
      <w:r w:rsidRPr="00F8248C">
        <w:t>manag</w:t>
      </w:r>
      <w:r w:rsidR="00190D77">
        <w:t xml:space="preserve">ement and </w:t>
      </w:r>
      <w:r w:rsidRPr="00F8248C">
        <w:t>invest</w:t>
      </w:r>
      <w:r w:rsidR="00190D77">
        <w:t>ment</w:t>
      </w:r>
      <w:r w:rsidRPr="00F8248C">
        <w:t xml:space="preserve"> </w:t>
      </w:r>
      <w:r w:rsidR="00190D77">
        <w:t xml:space="preserve">of </w:t>
      </w:r>
      <w:r w:rsidRPr="00F8248C">
        <w:t xml:space="preserve">the </w:t>
      </w:r>
      <w:r w:rsidR="00190D77">
        <w:t>scheme’s assets;</w:t>
      </w:r>
    </w:p>
    <w:p w:rsidR="00190D77" w:rsidRPr="00F8248C" w:rsidRDefault="00190D77" w:rsidP="00F8248C">
      <w:pPr>
        <w:pStyle w:val="ListBullet"/>
      </w:pPr>
      <w:r>
        <w:t>compliance with relevant law and other applicable regulations.</w:t>
      </w:r>
    </w:p>
    <w:p w:rsidR="00F8248C" w:rsidRDefault="00F8248C" w:rsidP="00034F57"/>
    <w:p w:rsidR="00190D77" w:rsidRDefault="00190D77" w:rsidP="00034F57">
      <w:r>
        <w:t>CSC is supported by a custodian and other specialist service provide</w:t>
      </w:r>
      <w:r w:rsidR="0081311D">
        <w:t>r</w:t>
      </w:r>
      <w:r>
        <w:t>s.</w:t>
      </w:r>
    </w:p>
    <w:p w:rsidR="00C441A2" w:rsidRPr="00034F57" w:rsidRDefault="00C441A2" w:rsidP="00034F57"/>
    <w:p w:rsidR="00034F57" w:rsidRPr="00331A3B" w:rsidRDefault="00034F57" w:rsidP="00331A3B">
      <w:pPr>
        <w:rPr>
          <w:caps/>
          <w:color w:val="002C77"/>
          <w:spacing w:val="40"/>
        </w:rPr>
      </w:pPr>
      <w:bookmarkStart w:id="34" w:name="_Toc508267344"/>
      <w:r w:rsidRPr="00331A3B">
        <w:rPr>
          <w:caps/>
          <w:color w:val="002C77"/>
          <w:spacing w:val="40"/>
        </w:rPr>
        <w:t>Benefits</w:t>
      </w:r>
      <w:bookmarkEnd w:id="34"/>
    </w:p>
    <w:p w:rsidR="00676991" w:rsidRDefault="00676991" w:rsidP="00034F57"/>
    <w:p w:rsidR="00034F57" w:rsidRDefault="00034F57" w:rsidP="00034F57">
      <w:r w:rsidRPr="00034F57">
        <w:t xml:space="preserve">The </w:t>
      </w:r>
      <w:r w:rsidR="00C0333F">
        <w:t>P</w:t>
      </w:r>
      <w:r w:rsidR="003E3AB5">
        <w:t xml:space="preserve">SS </w:t>
      </w:r>
      <w:r w:rsidR="004953F4">
        <w:t xml:space="preserve">is a </w:t>
      </w:r>
      <w:r w:rsidRPr="00034F57">
        <w:t>defined benefit scheme</w:t>
      </w:r>
      <w:r w:rsidR="00CD2387">
        <w:t xml:space="preserve"> –</w:t>
      </w:r>
      <w:r w:rsidR="0081311D">
        <w:t xml:space="preserve"> </w:t>
      </w:r>
      <w:r w:rsidR="00CD2387">
        <w:t xml:space="preserve">benefits are </w:t>
      </w:r>
      <w:r w:rsidR="005C7E28">
        <w:t xml:space="preserve">generally </w:t>
      </w:r>
      <w:r w:rsidR="00CD2387">
        <w:t>linked to final average salary</w:t>
      </w:r>
      <w:r w:rsidRPr="00034F57">
        <w:t>.</w:t>
      </w:r>
      <w:r w:rsidR="004953F4">
        <w:t xml:space="preserve"> </w:t>
      </w:r>
      <w:r w:rsidR="004953F4" w:rsidRPr="00034F57">
        <w:t xml:space="preserve">The </w:t>
      </w:r>
      <w:r w:rsidR="004953F4">
        <w:t>CSS is a hybrid accumulation-</w:t>
      </w:r>
      <w:r w:rsidR="004953F4" w:rsidRPr="00034F57">
        <w:t>defined benefit scheme</w:t>
      </w:r>
      <w:r w:rsidR="00CD2387">
        <w:t xml:space="preserve"> – some benefits are linked to final salary and other benefits are based on </w:t>
      </w:r>
      <w:r w:rsidR="00190D77">
        <w:t>an</w:t>
      </w:r>
      <w:r w:rsidR="00CD2387">
        <w:t xml:space="preserve"> accumulation of contributions</w:t>
      </w:r>
      <w:r w:rsidR="0081311D">
        <w:t xml:space="preserve"> with investment earnings</w:t>
      </w:r>
      <w:r w:rsidR="004953F4" w:rsidRPr="00034F57">
        <w:t>.</w:t>
      </w:r>
    </w:p>
    <w:p w:rsidR="003101DF" w:rsidRPr="00034F57" w:rsidRDefault="003101DF" w:rsidP="00034F57"/>
    <w:p w:rsidR="00C441A2" w:rsidRDefault="00C546DD" w:rsidP="00034F57">
      <w:r>
        <w:t>B</w:t>
      </w:r>
      <w:r w:rsidR="00C441A2">
        <w:t xml:space="preserve">enefits payable from the CSS </w:t>
      </w:r>
      <w:r>
        <w:t xml:space="preserve">include </w:t>
      </w:r>
      <w:r w:rsidR="00C441A2">
        <w:t xml:space="preserve">a lifetime </w:t>
      </w:r>
      <w:r w:rsidR="00CD2387">
        <w:t xml:space="preserve">CPI </w:t>
      </w:r>
      <w:r w:rsidR="00C441A2" w:rsidRPr="00034F57">
        <w:t>indexed pension</w:t>
      </w:r>
      <w:r w:rsidR="00C441A2">
        <w:t>, a</w:t>
      </w:r>
      <w:r w:rsidR="00CD2387">
        <w:t>nd the option between a</w:t>
      </w:r>
      <w:r w:rsidR="00C441A2">
        <w:t xml:space="preserve"> lifetime non-indexed pension and a lump sum. The main retirement benefit is </w:t>
      </w:r>
      <w:r w:rsidR="00486F49">
        <w:t>an</w:t>
      </w:r>
      <w:r w:rsidR="00C441A2">
        <w:t xml:space="preserve"> </w:t>
      </w:r>
      <w:r w:rsidR="00C441A2" w:rsidRPr="00034F57">
        <w:t xml:space="preserve">employer-financed </w:t>
      </w:r>
      <w:r w:rsidR="00CD2387">
        <w:t xml:space="preserve">CPI </w:t>
      </w:r>
      <w:r w:rsidR="00C441A2" w:rsidRPr="00034F57">
        <w:t xml:space="preserve">indexed pension </w:t>
      </w:r>
      <w:r w:rsidR="00C441A2">
        <w:t>which is calculated by a set formula based on a member’s length of contributory service, age and final salary.</w:t>
      </w:r>
      <w:r>
        <w:t xml:space="preserve"> Members</w:t>
      </w:r>
      <w:r w:rsidR="0081311D">
        <w:t>’</w:t>
      </w:r>
      <w:r>
        <w:t xml:space="preserve"> basic contributions and employer productivity contributions, </w:t>
      </w:r>
      <w:r w:rsidR="00B009FB">
        <w:t>together with investment earnings</w:t>
      </w:r>
      <w:r>
        <w:t xml:space="preserve">, can be taken as a lump sum or an additional non-indexed lifetime pension. The non-indexed pension is calculated by </w:t>
      </w:r>
      <w:r w:rsidR="00CD2387">
        <w:t>converting accumulated contributions using age-based conversion factors</w:t>
      </w:r>
      <w:r>
        <w:t>.</w:t>
      </w:r>
    </w:p>
    <w:p w:rsidR="00034F57" w:rsidRPr="00034F57" w:rsidRDefault="00034F57" w:rsidP="00034F57"/>
    <w:p w:rsidR="00190D77" w:rsidRPr="00034F57" w:rsidRDefault="00B009FB" w:rsidP="00190D77">
      <w:r>
        <w:t>T</w:t>
      </w:r>
      <w:r w:rsidR="00034F57" w:rsidRPr="00034F57">
        <w:t xml:space="preserve">he primary benefit </w:t>
      </w:r>
      <w:r>
        <w:t xml:space="preserve">from the PSS </w:t>
      </w:r>
      <w:r w:rsidR="00034F57" w:rsidRPr="00034F57">
        <w:t xml:space="preserve">is expressed as a lump sum </w:t>
      </w:r>
      <w:r w:rsidR="00C441A2">
        <w:t xml:space="preserve">and is calculated </w:t>
      </w:r>
      <w:r w:rsidR="00034F57" w:rsidRPr="00034F57">
        <w:t xml:space="preserve">based on </w:t>
      </w:r>
      <w:r w:rsidR="00C441A2">
        <w:t>the member’s length of contributory service, their rate of member contributions and final average salary (average of a member’s superannuation salary on their last three birthdays)</w:t>
      </w:r>
      <w:r w:rsidR="00034F57" w:rsidRPr="00034F57">
        <w:t xml:space="preserve">. </w:t>
      </w:r>
      <w:r w:rsidR="00C546DD">
        <w:t>Generally</w:t>
      </w:r>
      <w:r>
        <w:t>,</w:t>
      </w:r>
      <w:r w:rsidR="00C546DD">
        <w:t xml:space="preserve"> members can convert 50% or more of their lump sum to a </w:t>
      </w:r>
      <w:r w:rsidR="00C441A2">
        <w:t xml:space="preserve">lifetime </w:t>
      </w:r>
      <w:r w:rsidR="00CD2387">
        <w:t xml:space="preserve">CPI </w:t>
      </w:r>
      <w:r w:rsidR="00034F57" w:rsidRPr="00034F57">
        <w:t>indexed pension.</w:t>
      </w:r>
      <w:r w:rsidR="003101DF">
        <w:t xml:space="preserve"> </w:t>
      </w:r>
      <w:r w:rsidR="00190D77">
        <w:t>The indexed pension is calculated by converting the lump sum benefit using age-based conversion factors.</w:t>
      </w:r>
    </w:p>
    <w:p w:rsidR="00034F57" w:rsidRDefault="00034F57" w:rsidP="00034F57"/>
    <w:p w:rsidR="003E1E4E" w:rsidRDefault="00CD2387" w:rsidP="00034F57">
      <w:r>
        <w:t>B</w:t>
      </w:r>
      <w:r w:rsidR="003E1E4E">
        <w:t xml:space="preserve">enefits may also be payable to </w:t>
      </w:r>
      <w:r>
        <w:t>a</w:t>
      </w:r>
      <w:r w:rsidR="003E1E4E">
        <w:t xml:space="preserve"> surviving eligible spouse and children on the death of a member or pensioner.</w:t>
      </w:r>
    </w:p>
    <w:p w:rsidR="004D134A" w:rsidRPr="00034F57" w:rsidRDefault="004D134A" w:rsidP="00034F57"/>
    <w:p w:rsidR="00034F57" w:rsidRPr="00034F57" w:rsidRDefault="00034F57" w:rsidP="00034F57">
      <w:r w:rsidRPr="00034F57">
        <w:t>Further details of the benefits are set out in Appendix A.</w:t>
      </w:r>
    </w:p>
    <w:p w:rsidR="003101DF" w:rsidRDefault="003101DF" w:rsidP="00676991"/>
    <w:p w:rsidR="00637B4D" w:rsidRDefault="00637B4D">
      <w:pPr>
        <w:spacing w:line="240" w:lineRule="auto"/>
        <w:rPr>
          <w:caps/>
          <w:color w:val="002C77"/>
          <w:spacing w:val="40"/>
        </w:rPr>
      </w:pPr>
      <w:r>
        <w:rPr>
          <w:caps/>
          <w:color w:val="002C77"/>
          <w:spacing w:val="40"/>
        </w:rPr>
        <w:br w:type="page"/>
      </w:r>
    </w:p>
    <w:p w:rsidR="003101DF" w:rsidRPr="00331A3B" w:rsidRDefault="00B7219E" w:rsidP="003101DF">
      <w:pPr>
        <w:rPr>
          <w:caps/>
          <w:color w:val="002C77"/>
          <w:spacing w:val="40"/>
        </w:rPr>
      </w:pPr>
      <w:r>
        <w:rPr>
          <w:caps/>
          <w:color w:val="002C77"/>
          <w:spacing w:val="40"/>
        </w:rPr>
        <w:lastRenderedPageBreak/>
        <w:t xml:space="preserve">funding and </w:t>
      </w:r>
      <w:r w:rsidR="003101DF">
        <w:rPr>
          <w:caps/>
          <w:color w:val="002C77"/>
          <w:spacing w:val="40"/>
        </w:rPr>
        <w:t>Scheme Assets</w:t>
      </w:r>
    </w:p>
    <w:p w:rsidR="003101DF" w:rsidRDefault="003101DF" w:rsidP="00676991"/>
    <w:p w:rsidR="00676991" w:rsidRDefault="003D6047" w:rsidP="00676991">
      <w:r w:rsidRPr="00676991">
        <w:t xml:space="preserve">The </w:t>
      </w:r>
      <w:r>
        <w:t>PSS and CSS are partially</w:t>
      </w:r>
      <w:r w:rsidRPr="00676991">
        <w:t xml:space="preserve"> funded to the extent </w:t>
      </w:r>
      <w:r>
        <w:t>that m</w:t>
      </w:r>
      <w:r w:rsidR="00676991" w:rsidRPr="00676991">
        <w:t>ember and employer productivity superannua</w:t>
      </w:r>
      <w:r w:rsidR="00E21C7B">
        <w:t xml:space="preserve">tion contributions </w:t>
      </w:r>
      <w:r>
        <w:t xml:space="preserve">are </w:t>
      </w:r>
      <w:r w:rsidR="00E21C7B">
        <w:t xml:space="preserve">paid </w:t>
      </w:r>
      <w:r>
        <w:t>and</w:t>
      </w:r>
      <w:r w:rsidR="00676991" w:rsidRPr="00676991">
        <w:t xml:space="preserve"> invested by the trustee.</w:t>
      </w:r>
    </w:p>
    <w:p w:rsidR="00676991" w:rsidRDefault="00676991" w:rsidP="00676991"/>
    <w:p w:rsidR="00EA0BB9" w:rsidRPr="00EA3C33" w:rsidRDefault="00EA0BB9" w:rsidP="00EA0BB9">
      <w:r>
        <w:t>In general, when a member becomes entitled to a benefit</w:t>
      </w:r>
      <w:r w:rsidRPr="004C573D">
        <w:t xml:space="preserve">, </w:t>
      </w:r>
      <w:r w:rsidRPr="00D93001">
        <w:t xml:space="preserve">the </w:t>
      </w:r>
      <w:r w:rsidR="00D93001">
        <w:t>amounts held in the PSS or CSS for the member</w:t>
      </w:r>
      <w:r>
        <w:t xml:space="preserve"> (i.e. funded member and productivity contributions, plus </w:t>
      </w:r>
      <w:r w:rsidR="0081311D">
        <w:t>investment earnings</w:t>
      </w:r>
      <w:r>
        <w:t>) are transferred to the Australian Government’s Consolidated Revenue Fund (CRF) and the payment is made from the CRF.</w:t>
      </w:r>
    </w:p>
    <w:p w:rsidR="00B7219E" w:rsidRDefault="00B7219E" w:rsidP="00B7219E"/>
    <w:p w:rsidR="00B7219E" w:rsidRDefault="00B7219E" w:rsidP="00B7219E">
      <w:r>
        <w:t>Arrangements exist for the direct reimbursement of the CRF for benefit payments made in respect of service with an employer which is no longer part of the Australian Government (e.g. ACT and NT Governments).</w:t>
      </w:r>
    </w:p>
    <w:p w:rsidR="00B7219E" w:rsidRDefault="00B7219E" w:rsidP="00B7219E"/>
    <w:p w:rsidR="00B7219E" w:rsidRDefault="00B7219E" w:rsidP="00B7219E">
      <w:r>
        <w:t>The assets of the Australian Government’s Future Fund are ultimately intended to contribute towards the financing of the unfunded superannuation liabilities in the PSS and CSS, as well as other unfunded schemes. However, since these assets are not held by the schemes, no allowance has been made for the Future Fund in the results contained in this report.</w:t>
      </w:r>
    </w:p>
    <w:p w:rsidR="00B7219E" w:rsidRDefault="00B7219E" w:rsidP="00676991"/>
    <w:p w:rsidR="00676991" w:rsidRPr="00676991" w:rsidRDefault="00345256" w:rsidP="00676991">
      <w:r w:rsidRPr="001454AE">
        <w:t xml:space="preserve">The change in </w:t>
      </w:r>
      <w:r w:rsidR="009E3425">
        <w:t xml:space="preserve">the </w:t>
      </w:r>
      <w:r w:rsidR="00410867" w:rsidRPr="001454AE">
        <w:t xml:space="preserve">net </w:t>
      </w:r>
      <w:r w:rsidRPr="001454AE">
        <w:t>assets</w:t>
      </w:r>
      <w:r w:rsidR="009E3425">
        <w:t xml:space="preserve"> of each scheme</w:t>
      </w:r>
      <w:r w:rsidR="003101DF">
        <w:t xml:space="preserve"> </w:t>
      </w:r>
      <w:r w:rsidRPr="001454AE">
        <w:t>is</w:t>
      </w:r>
      <w:r w:rsidR="000E5764">
        <w:t xml:space="preserve"> summarised below</w:t>
      </w:r>
      <w:r w:rsidR="00676991" w:rsidRPr="001454AE">
        <w:t>:</w:t>
      </w:r>
    </w:p>
    <w:p w:rsidR="00676991" w:rsidRPr="00F37090" w:rsidRDefault="00676991" w:rsidP="00F37090">
      <w:pPr>
        <w:spacing w:line="240" w:lineRule="auto"/>
        <w:rPr>
          <w:sz w:val="16"/>
          <w:szCs w:val="16"/>
        </w:rPr>
      </w:pPr>
    </w:p>
    <w:tbl>
      <w:tblPr>
        <w:tblW w:w="9197"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4750"/>
        <w:gridCol w:w="1482"/>
        <w:gridCol w:w="1482"/>
        <w:gridCol w:w="1483"/>
      </w:tblGrid>
      <w:tr w:rsidR="00DD3670" w:rsidRPr="00DD3670" w:rsidTr="00DD3670">
        <w:trPr>
          <w:cantSplit/>
          <w:tblHeader/>
        </w:trPr>
        <w:tc>
          <w:tcPr>
            <w:tcW w:w="4750" w:type="dxa"/>
            <w:shd w:val="clear" w:color="auto" w:fill="00A8C8"/>
          </w:tcPr>
          <w:p w:rsidR="002F4F41" w:rsidRPr="00DD3670" w:rsidRDefault="002F4F41" w:rsidP="00DD3670">
            <w:pPr>
              <w:pStyle w:val="TableHeadingText"/>
              <w:rPr>
                <w:caps w:val="0"/>
              </w:rPr>
            </w:pPr>
            <w:r w:rsidRPr="00DD3670">
              <w:rPr>
                <w:caps w:val="0"/>
              </w:rPr>
              <w:t>($ billion)</w:t>
            </w:r>
          </w:p>
        </w:tc>
        <w:tc>
          <w:tcPr>
            <w:tcW w:w="1482" w:type="dxa"/>
            <w:shd w:val="clear" w:color="auto" w:fill="00A8C8"/>
          </w:tcPr>
          <w:p w:rsidR="002F4F41" w:rsidRPr="00DD3670" w:rsidRDefault="002F4F41" w:rsidP="00DD3670">
            <w:pPr>
              <w:pStyle w:val="TableHeadingText"/>
              <w:jc w:val="right"/>
              <w:rPr>
                <w:caps w:val="0"/>
              </w:rPr>
            </w:pPr>
            <w:r w:rsidRPr="00DD3670">
              <w:rPr>
                <w:caps w:val="0"/>
              </w:rPr>
              <w:t>PSS</w:t>
            </w:r>
          </w:p>
        </w:tc>
        <w:tc>
          <w:tcPr>
            <w:tcW w:w="1482" w:type="dxa"/>
            <w:shd w:val="clear" w:color="auto" w:fill="00A8C8"/>
          </w:tcPr>
          <w:p w:rsidR="002F4F41" w:rsidRPr="00DD3670" w:rsidRDefault="002F4F41" w:rsidP="00DD3670">
            <w:pPr>
              <w:pStyle w:val="TableHeadingText"/>
              <w:jc w:val="right"/>
              <w:rPr>
                <w:caps w:val="0"/>
              </w:rPr>
            </w:pPr>
            <w:r w:rsidRPr="00DD3670">
              <w:rPr>
                <w:caps w:val="0"/>
              </w:rPr>
              <w:t>CSS</w:t>
            </w:r>
          </w:p>
        </w:tc>
        <w:tc>
          <w:tcPr>
            <w:tcW w:w="1483" w:type="dxa"/>
            <w:shd w:val="clear" w:color="auto" w:fill="00A8C8"/>
          </w:tcPr>
          <w:p w:rsidR="002F4F41" w:rsidRPr="00DD3670" w:rsidRDefault="002F4F41" w:rsidP="00DD3670">
            <w:pPr>
              <w:pStyle w:val="TableHeadingText"/>
              <w:jc w:val="right"/>
              <w:rPr>
                <w:caps w:val="0"/>
              </w:rPr>
            </w:pPr>
            <w:r w:rsidRPr="00DD3670">
              <w:rPr>
                <w:caps w:val="0"/>
              </w:rPr>
              <w:t>Combined</w:t>
            </w:r>
          </w:p>
        </w:tc>
      </w:tr>
      <w:tr w:rsidR="002F4F41" w:rsidRPr="00DD3670" w:rsidTr="00DD3670">
        <w:trPr>
          <w:cantSplit/>
        </w:trPr>
        <w:tc>
          <w:tcPr>
            <w:tcW w:w="4750" w:type="dxa"/>
            <w:shd w:val="clear" w:color="auto" w:fill="F2F2F2"/>
          </w:tcPr>
          <w:p w:rsidR="002F4F41" w:rsidRPr="00DD3670" w:rsidRDefault="002F4F41" w:rsidP="00DD3670">
            <w:pPr>
              <w:pStyle w:val="TableText"/>
              <w:rPr>
                <w:b/>
              </w:rPr>
            </w:pPr>
            <w:r w:rsidRPr="00DD3670">
              <w:rPr>
                <w:b/>
              </w:rPr>
              <w:t>Net Assets at 30 June 2014</w:t>
            </w:r>
          </w:p>
        </w:tc>
        <w:tc>
          <w:tcPr>
            <w:tcW w:w="1482" w:type="dxa"/>
            <w:shd w:val="clear" w:color="auto" w:fill="F2F2F2"/>
          </w:tcPr>
          <w:p w:rsidR="002F4F41" w:rsidRPr="00DD3670" w:rsidRDefault="002F4F41" w:rsidP="00DD3670">
            <w:pPr>
              <w:pStyle w:val="TableText"/>
              <w:jc w:val="right"/>
              <w:rPr>
                <w:b/>
              </w:rPr>
            </w:pPr>
            <w:r w:rsidRPr="00DD3670">
              <w:rPr>
                <w:b/>
              </w:rPr>
              <w:t>16.6</w:t>
            </w:r>
          </w:p>
        </w:tc>
        <w:tc>
          <w:tcPr>
            <w:tcW w:w="1482" w:type="dxa"/>
            <w:shd w:val="clear" w:color="auto" w:fill="F2F2F2"/>
          </w:tcPr>
          <w:p w:rsidR="002F4F41" w:rsidRPr="00DD3670" w:rsidRDefault="00F731F4" w:rsidP="00DD3670">
            <w:pPr>
              <w:pStyle w:val="TableText"/>
              <w:jc w:val="right"/>
              <w:rPr>
                <w:b/>
              </w:rPr>
            </w:pPr>
            <w:r w:rsidRPr="00DD3670">
              <w:rPr>
                <w:b/>
              </w:rPr>
              <w:t>4.0</w:t>
            </w:r>
          </w:p>
        </w:tc>
        <w:tc>
          <w:tcPr>
            <w:tcW w:w="1483" w:type="dxa"/>
            <w:shd w:val="clear" w:color="auto" w:fill="F2F2F2"/>
          </w:tcPr>
          <w:p w:rsidR="002F4F41" w:rsidRPr="00DD3670" w:rsidRDefault="00F731F4" w:rsidP="00DD3670">
            <w:pPr>
              <w:pStyle w:val="TableText"/>
              <w:jc w:val="right"/>
              <w:rPr>
                <w:b/>
              </w:rPr>
            </w:pPr>
            <w:r w:rsidRPr="00DD3670">
              <w:rPr>
                <w:b/>
              </w:rPr>
              <w:t>20.6</w:t>
            </w:r>
          </w:p>
        </w:tc>
      </w:tr>
      <w:tr w:rsidR="002F4F41" w:rsidRPr="00DD3670" w:rsidTr="00DD3670">
        <w:trPr>
          <w:cantSplit/>
        </w:trPr>
        <w:tc>
          <w:tcPr>
            <w:tcW w:w="4750" w:type="dxa"/>
            <w:shd w:val="clear" w:color="auto" w:fill="F2F2F2"/>
          </w:tcPr>
          <w:p w:rsidR="002F4F41" w:rsidRPr="00DD3670" w:rsidRDefault="002F4F41" w:rsidP="00DD3670">
            <w:pPr>
              <w:pStyle w:val="TableText"/>
            </w:pPr>
            <w:r w:rsidRPr="00DD3670">
              <w:t>Investment revenue</w:t>
            </w:r>
          </w:p>
        </w:tc>
        <w:tc>
          <w:tcPr>
            <w:tcW w:w="1482" w:type="dxa"/>
            <w:shd w:val="clear" w:color="auto" w:fill="F2F2F2"/>
          </w:tcPr>
          <w:p w:rsidR="002F4F41" w:rsidRPr="00DD3670" w:rsidRDefault="005A5B64" w:rsidP="00DD3670">
            <w:pPr>
              <w:pStyle w:val="TableText"/>
              <w:jc w:val="right"/>
            </w:pPr>
            <w:r w:rsidRPr="00DD3670">
              <w:t>+4.0</w:t>
            </w:r>
          </w:p>
        </w:tc>
        <w:tc>
          <w:tcPr>
            <w:tcW w:w="1482" w:type="dxa"/>
            <w:shd w:val="clear" w:color="auto" w:fill="F2F2F2"/>
          </w:tcPr>
          <w:p w:rsidR="002F4F41" w:rsidRPr="00DD3670" w:rsidRDefault="00F731F4" w:rsidP="00DD3670">
            <w:pPr>
              <w:pStyle w:val="TableText"/>
              <w:jc w:val="right"/>
            </w:pPr>
            <w:r w:rsidRPr="00DD3670">
              <w:t>+0.8</w:t>
            </w:r>
          </w:p>
        </w:tc>
        <w:tc>
          <w:tcPr>
            <w:tcW w:w="1483" w:type="dxa"/>
            <w:shd w:val="clear" w:color="auto" w:fill="F2F2F2"/>
          </w:tcPr>
          <w:p w:rsidR="002F4F41" w:rsidRPr="00DD3670" w:rsidRDefault="00F731F4" w:rsidP="00DD3670">
            <w:pPr>
              <w:pStyle w:val="TableText"/>
              <w:jc w:val="right"/>
            </w:pPr>
            <w:r w:rsidRPr="00DD3670">
              <w:t>+4.8</w:t>
            </w:r>
          </w:p>
        </w:tc>
      </w:tr>
      <w:tr w:rsidR="002F4F41" w:rsidRPr="00DD3670" w:rsidTr="00DD3670">
        <w:trPr>
          <w:cantSplit/>
        </w:trPr>
        <w:tc>
          <w:tcPr>
            <w:tcW w:w="4750" w:type="dxa"/>
            <w:shd w:val="clear" w:color="auto" w:fill="F2F2F2"/>
          </w:tcPr>
          <w:p w:rsidR="002F4F41" w:rsidRPr="00DD3670" w:rsidRDefault="002F4F41" w:rsidP="00DD3670">
            <w:pPr>
              <w:pStyle w:val="TableText"/>
            </w:pPr>
            <w:r w:rsidRPr="00DD3670">
              <w:t>Member contributions</w:t>
            </w:r>
          </w:p>
        </w:tc>
        <w:tc>
          <w:tcPr>
            <w:tcW w:w="1482" w:type="dxa"/>
            <w:shd w:val="clear" w:color="auto" w:fill="F2F2F2"/>
          </w:tcPr>
          <w:p w:rsidR="002F4F41" w:rsidRPr="00DD3670" w:rsidRDefault="005A5B64" w:rsidP="00DD3670">
            <w:pPr>
              <w:pStyle w:val="TableText"/>
              <w:jc w:val="right"/>
            </w:pPr>
            <w:r w:rsidRPr="00DD3670">
              <w:t>+1.</w:t>
            </w:r>
            <w:r w:rsidR="00F731F4" w:rsidRPr="00DD3670">
              <w:t>7</w:t>
            </w:r>
          </w:p>
        </w:tc>
        <w:tc>
          <w:tcPr>
            <w:tcW w:w="1482" w:type="dxa"/>
            <w:shd w:val="clear" w:color="auto" w:fill="F2F2F2"/>
          </w:tcPr>
          <w:p w:rsidR="002F4F41" w:rsidRPr="00DD3670" w:rsidRDefault="00F731F4" w:rsidP="00DD3670">
            <w:pPr>
              <w:pStyle w:val="TableText"/>
              <w:jc w:val="right"/>
            </w:pPr>
            <w:r w:rsidRPr="00DD3670">
              <w:t>+0.2</w:t>
            </w:r>
          </w:p>
        </w:tc>
        <w:tc>
          <w:tcPr>
            <w:tcW w:w="1483" w:type="dxa"/>
            <w:shd w:val="clear" w:color="auto" w:fill="F2F2F2"/>
          </w:tcPr>
          <w:p w:rsidR="002F4F41" w:rsidRPr="00DD3670" w:rsidRDefault="00F731F4" w:rsidP="00DD3670">
            <w:pPr>
              <w:pStyle w:val="TableText"/>
              <w:jc w:val="right"/>
            </w:pPr>
            <w:r w:rsidRPr="00DD3670">
              <w:t>+1.9</w:t>
            </w:r>
          </w:p>
        </w:tc>
      </w:tr>
      <w:tr w:rsidR="002F4F41" w:rsidRPr="00DD3670" w:rsidTr="00DD3670">
        <w:trPr>
          <w:cantSplit/>
        </w:trPr>
        <w:tc>
          <w:tcPr>
            <w:tcW w:w="4750" w:type="dxa"/>
            <w:shd w:val="clear" w:color="auto" w:fill="F2F2F2"/>
          </w:tcPr>
          <w:p w:rsidR="002F4F41" w:rsidRPr="00DD3670" w:rsidRDefault="002F4F41" w:rsidP="00DD3670">
            <w:pPr>
              <w:pStyle w:val="TableText"/>
            </w:pPr>
            <w:r w:rsidRPr="00DD3670">
              <w:t>Employer productivity contributions</w:t>
            </w:r>
          </w:p>
        </w:tc>
        <w:tc>
          <w:tcPr>
            <w:tcW w:w="1482" w:type="dxa"/>
            <w:shd w:val="clear" w:color="auto" w:fill="F2F2F2"/>
          </w:tcPr>
          <w:p w:rsidR="002F4F41" w:rsidRPr="00DD3670" w:rsidRDefault="005A5B64" w:rsidP="00DD3670">
            <w:pPr>
              <w:pStyle w:val="TableText"/>
              <w:jc w:val="right"/>
            </w:pPr>
            <w:r w:rsidRPr="00DD3670">
              <w:t>+0.6</w:t>
            </w:r>
          </w:p>
        </w:tc>
        <w:tc>
          <w:tcPr>
            <w:tcW w:w="1482" w:type="dxa"/>
            <w:shd w:val="clear" w:color="auto" w:fill="F2F2F2"/>
          </w:tcPr>
          <w:p w:rsidR="002F4F41" w:rsidRPr="00DD3670" w:rsidRDefault="00F731F4" w:rsidP="00DD3670">
            <w:pPr>
              <w:pStyle w:val="TableText"/>
              <w:jc w:val="right"/>
            </w:pPr>
            <w:r w:rsidRPr="00DD3670">
              <w:t>+0.1</w:t>
            </w:r>
          </w:p>
        </w:tc>
        <w:tc>
          <w:tcPr>
            <w:tcW w:w="1483" w:type="dxa"/>
            <w:shd w:val="clear" w:color="auto" w:fill="F2F2F2"/>
          </w:tcPr>
          <w:p w:rsidR="002F4F41" w:rsidRPr="00DD3670" w:rsidRDefault="00F731F4" w:rsidP="00DD3670">
            <w:pPr>
              <w:pStyle w:val="TableText"/>
              <w:jc w:val="right"/>
            </w:pPr>
            <w:r w:rsidRPr="00DD3670">
              <w:t>+0.7</w:t>
            </w:r>
          </w:p>
        </w:tc>
      </w:tr>
      <w:tr w:rsidR="002F4F41" w:rsidRPr="00DD3670" w:rsidTr="00DD3670">
        <w:trPr>
          <w:cantSplit/>
        </w:trPr>
        <w:tc>
          <w:tcPr>
            <w:tcW w:w="4750" w:type="dxa"/>
            <w:shd w:val="clear" w:color="auto" w:fill="F2F2F2"/>
          </w:tcPr>
          <w:p w:rsidR="002F4F41" w:rsidRPr="00DD3670" w:rsidRDefault="002F4F41" w:rsidP="00DD3670">
            <w:pPr>
              <w:pStyle w:val="TableText"/>
            </w:pPr>
            <w:r w:rsidRPr="00DD3670">
              <w:t>Net appropriation from C</w:t>
            </w:r>
            <w:r w:rsidR="0018604B">
              <w:t>onsolidated Revenue Fund</w:t>
            </w:r>
          </w:p>
        </w:tc>
        <w:tc>
          <w:tcPr>
            <w:tcW w:w="1482" w:type="dxa"/>
            <w:shd w:val="clear" w:color="auto" w:fill="F2F2F2"/>
          </w:tcPr>
          <w:p w:rsidR="002F4F41" w:rsidRPr="00DD3670" w:rsidRDefault="005A5B64" w:rsidP="00DD3670">
            <w:pPr>
              <w:pStyle w:val="TableText"/>
              <w:jc w:val="right"/>
            </w:pPr>
            <w:r w:rsidRPr="00DD3670">
              <w:t>+1.7</w:t>
            </w:r>
          </w:p>
        </w:tc>
        <w:tc>
          <w:tcPr>
            <w:tcW w:w="1482" w:type="dxa"/>
            <w:shd w:val="clear" w:color="auto" w:fill="F2F2F2"/>
          </w:tcPr>
          <w:p w:rsidR="002F4F41" w:rsidRPr="00DD3670" w:rsidRDefault="00F731F4" w:rsidP="00DD3670">
            <w:pPr>
              <w:pStyle w:val="TableText"/>
              <w:jc w:val="right"/>
            </w:pPr>
            <w:r w:rsidRPr="00DD3670">
              <w:t>+11.0</w:t>
            </w:r>
          </w:p>
        </w:tc>
        <w:tc>
          <w:tcPr>
            <w:tcW w:w="1483" w:type="dxa"/>
            <w:shd w:val="clear" w:color="auto" w:fill="F2F2F2"/>
          </w:tcPr>
          <w:p w:rsidR="002F4F41" w:rsidRPr="00DD3670" w:rsidRDefault="00F731F4" w:rsidP="00DD3670">
            <w:pPr>
              <w:pStyle w:val="TableText"/>
              <w:jc w:val="right"/>
            </w:pPr>
            <w:r w:rsidRPr="00DD3670">
              <w:t>+12.7</w:t>
            </w:r>
          </w:p>
        </w:tc>
      </w:tr>
      <w:tr w:rsidR="002F4F41" w:rsidRPr="00DD3670" w:rsidTr="00DD3670">
        <w:trPr>
          <w:cantSplit/>
        </w:trPr>
        <w:tc>
          <w:tcPr>
            <w:tcW w:w="4750" w:type="dxa"/>
            <w:shd w:val="clear" w:color="auto" w:fill="F2F2F2"/>
          </w:tcPr>
          <w:p w:rsidR="002F4F41" w:rsidRPr="00DD3670" w:rsidRDefault="002F4F41" w:rsidP="00DD3670">
            <w:pPr>
              <w:pStyle w:val="TableText"/>
            </w:pPr>
            <w:r w:rsidRPr="00DD3670">
              <w:t>Benefits paid</w:t>
            </w:r>
          </w:p>
        </w:tc>
        <w:tc>
          <w:tcPr>
            <w:tcW w:w="1482" w:type="dxa"/>
            <w:shd w:val="clear" w:color="auto" w:fill="F2F2F2"/>
          </w:tcPr>
          <w:p w:rsidR="002F4F41" w:rsidRPr="00DD3670" w:rsidRDefault="005A5B64" w:rsidP="00DD3670">
            <w:pPr>
              <w:pStyle w:val="TableText"/>
              <w:jc w:val="right"/>
            </w:pPr>
            <w:r w:rsidRPr="00DD3670">
              <w:t>-5.4</w:t>
            </w:r>
          </w:p>
        </w:tc>
        <w:tc>
          <w:tcPr>
            <w:tcW w:w="1482" w:type="dxa"/>
            <w:shd w:val="clear" w:color="auto" w:fill="F2F2F2"/>
          </w:tcPr>
          <w:p w:rsidR="002F4F41" w:rsidRPr="00DD3670" w:rsidRDefault="00F731F4" w:rsidP="00DD3670">
            <w:pPr>
              <w:pStyle w:val="TableText"/>
              <w:jc w:val="right"/>
            </w:pPr>
            <w:r w:rsidRPr="00DD3670">
              <w:t>-13.1</w:t>
            </w:r>
          </w:p>
        </w:tc>
        <w:tc>
          <w:tcPr>
            <w:tcW w:w="1483" w:type="dxa"/>
            <w:shd w:val="clear" w:color="auto" w:fill="F2F2F2"/>
          </w:tcPr>
          <w:p w:rsidR="002F4F41" w:rsidRPr="00DD3670" w:rsidRDefault="00F731F4" w:rsidP="00DD3670">
            <w:pPr>
              <w:pStyle w:val="TableText"/>
              <w:jc w:val="right"/>
            </w:pPr>
            <w:r w:rsidRPr="00DD3670">
              <w:t>-18.5</w:t>
            </w:r>
          </w:p>
        </w:tc>
      </w:tr>
      <w:tr w:rsidR="002F4F41" w:rsidRPr="00DD3670" w:rsidTr="00DD3670">
        <w:trPr>
          <w:cantSplit/>
        </w:trPr>
        <w:tc>
          <w:tcPr>
            <w:tcW w:w="4750" w:type="dxa"/>
            <w:shd w:val="clear" w:color="auto" w:fill="F2F2F2"/>
          </w:tcPr>
          <w:p w:rsidR="002F4F41" w:rsidRPr="00DD3670" w:rsidRDefault="002F4F41" w:rsidP="00DD3670">
            <w:pPr>
              <w:pStyle w:val="TableText"/>
            </w:pPr>
            <w:r w:rsidRPr="00DD3670">
              <w:t>Income tax</w:t>
            </w:r>
          </w:p>
        </w:tc>
        <w:tc>
          <w:tcPr>
            <w:tcW w:w="1482" w:type="dxa"/>
            <w:shd w:val="clear" w:color="auto" w:fill="F2F2F2"/>
          </w:tcPr>
          <w:p w:rsidR="002F4F41" w:rsidRPr="00DD3670" w:rsidRDefault="005A5B64" w:rsidP="00DD3670">
            <w:pPr>
              <w:pStyle w:val="TableText"/>
              <w:jc w:val="right"/>
            </w:pPr>
            <w:r w:rsidRPr="00DD3670">
              <w:t>-0.1</w:t>
            </w:r>
          </w:p>
        </w:tc>
        <w:tc>
          <w:tcPr>
            <w:tcW w:w="1482" w:type="dxa"/>
            <w:shd w:val="clear" w:color="auto" w:fill="F2F2F2"/>
          </w:tcPr>
          <w:p w:rsidR="002F4F41" w:rsidRPr="00DD3670" w:rsidRDefault="00F731F4" w:rsidP="00DD3670">
            <w:pPr>
              <w:pStyle w:val="TableText"/>
              <w:jc w:val="right"/>
            </w:pPr>
            <w:r w:rsidRPr="00DD3670">
              <w:t>-</w:t>
            </w:r>
          </w:p>
        </w:tc>
        <w:tc>
          <w:tcPr>
            <w:tcW w:w="1483" w:type="dxa"/>
            <w:shd w:val="clear" w:color="auto" w:fill="F2F2F2"/>
          </w:tcPr>
          <w:p w:rsidR="002F4F41" w:rsidRPr="00DD3670" w:rsidRDefault="00F731F4" w:rsidP="00DD3670">
            <w:pPr>
              <w:pStyle w:val="TableText"/>
              <w:jc w:val="right"/>
            </w:pPr>
            <w:r w:rsidRPr="00DD3670">
              <w:t>-0.1</w:t>
            </w:r>
          </w:p>
        </w:tc>
      </w:tr>
      <w:tr w:rsidR="002F4F41" w:rsidRPr="00DD3670" w:rsidTr="00DD3670">
        <w:trPr>
          <w:cantSplit/>
        </w:trPr>
        <w:tc>
          <w:tcPr>
            <w:tcW w:w="4750" w:type="dxa"/>
            <w:shd w:val="clear" w:color="auto" w:fill="F2F2F2"/>
          </w:tcPr>
          <w:p w:rsidR="002F4F41" w:rsidRPr="00DD3670" w:rsidRDefault="002F4F41" w:rsidP="00DD3670">
            <w:pPr>
              <w:pStyle w:val="TableText"/>
              <w:rPr>
                <w:b/>
              </w:rPr>
            </w:pPr>
            <w:r w:rsidRPr="00DD3670">
              <w:rPr>
                <w:b/>
              </w:rPr>
              <w:t>Net Assets at 30 June 2017</w:t>
            </w:r>
          </w:p>
        </w:tc>
        <w:tc>
          <w:tcPr>
            <w:tcW w:w="1482" w:type="dxa"/>
            <w:shd w:val="clear" w:color="auto" w:fill="F2F2F2"/>
          </w:tcPr>
          <w:p w:rsidR="002F4F41" w:rsidRPr="00DD3670" w:rsidRDefault="002F4F41" w:rsidP="00DD3670">
            <w:pPr>
              <w:pStyle w:val="TableText"/>
              <w:jc w:val="right"/>
              <w:rPr>
                <w:b/>
              </w:rPr>
            </w:pPr>
            <w:r w:rsidRPr="00DD3670">
              <w:rPr>
                <w:b/>
              </w:rPr>
              <w:t>19.1</w:t>
            </w:r>
          </w:p>
        </w:tc>
        <w:tc>
          <w:tcPr>
            <w:tcW w:w="1482" w:type="dxa"/>
            <w:shd w:val="clear" w:color="auto" w:fill="F2F2F2"/>
          </w:tcPr>
          <w:p w:rsidR="002F4F41" w:rsidRPr="00DD3670" w:rsidRDefault="00F731F4" w:rsidP="00DD3670">
            <w:pPr>
              <w:pStyle w:val="TableText"/>
              <w:jc w:val="right"/>
              <w:rPr>
                <w:b/>
              </w:rPr>
            </w:pPr>
            <w:r w:rsidRPr="00DD3670">
              <w:rPr>
                <w:b/>
              </w:rPr>
              <w:t>3.0</w:t>
            </w:r>
          </w:p>
        </w:tc>
        <w:tc>
          <w:tcPr>
            <w:tcW w:w="1483" w:type="dxa"/>
            <w:shd w:val="clear" w:color="auto" w:fill="F2F2F2"/>
          </w:tcPr>
          <w:p w:rsidR="002F4F41" w:rsidRPr="00DD3670" w:rsidRDefault="00F731F4" w:rsidP="00DD3670">
            <w:pPr>
              <w:pStyle w:val="TableText"/>
              <w:jc w:val="right"/>
              <w:rPr>
                <w:b/>
              </w:rPr>
            </w:pPr>
            <w:r w:rsidRPr="00DD3670">
              <w:rPr>
                <w:b/>
              </w:rPr>
              <w:t>22.1</w:t>
            </w:r>
          </w:p>
        </w:tc>
      </w:tr>
    </w:tbl>
    <w:p w:rsidR="008754B0" w:rsidRPr="000832F2" w:rsidRDefault="008754B0" w:rsidP="008754B0">
      <w:pPr>
        <w:rPr>
          <w:sz w:val="16"/>
          <w:szCs w:val="16"/>
        </w:rPr>
      </w:pPr>
      <w:r w:rsidRPr="000832F2">
        <w:rPr>
          <w:sz w:val="16"/>
          <w:szCs w:val="16"/>
        </w:rPr>
        <w:t xml:space="preserve">Source: </w:t>
      </w:r>
      <w:r>
        <w:rPr>
          <w:sz w:val="16"/>
          <w:szCs w:val="16"/>
        </w:rPr>
        <w:t>Audited f</w:t>
      </w:r>
      <w:r w:rsidRPr="000832F2">
        <w:rPr>
          <w:sz w:val="16"/>
          <w:szCs w:val="16"/>
        </w:rPr>
        <w:t>inancial statements</w:t>
      </w:r>
      <w:r>
        <w:rPr>
          <w:sz w:val="16"/>
          <w:szCs w:val="16"/>
        </w:rPr>
        <w:t xml:space="preserve"> for the years ended 30 June 2015, 30 June 2016 and 30 June 2017.</w:t>
      </w:r>
    </w:p>
    <w:p w:rsidR="009E3425" w:rsidRPr="00676991" w:rsidRDefault="009E3425" w:rsidP="00676991"/>
    <w:p w:rsidR="00676991" w:rsidRPr="008754B0" w:rsidRDefault="00182DA8" w:rsidP="00676991">
      <w:r>
        <w:t>The u</w:t>
      </w:r>
      <w:r w:rsidR="00676991" w:rsidRPr="00676991">
        <w:t xml:space="preserve">nfunded </w:t>
      </w:r>
      <w:r>
        <w:t>l</w:t>
      </w:r>
      <w:r w:rsidR="00676991" w:rsidRPr="00676991">
        <w:t>iability is that portion of</w:t>
      </w:r>
      <w:r w:rsidR="008754B0">
        <w:t xml:space="preserve"> the </w:t>
      </w:r>
      <w:r w:rsidR="00676991" w:rsidRPr="00676991">
        <w:t>total superannuation liability in excess of the assets held in the schemes</w:t>
      </w:r>
      <w:r w:rsidR="00676991" w:rsidRPr="008754B0">
        <w:t>.</w:t>
      </w:r>
    </w:p>
    <w:p w:rsidR="001454AE" w:rsidRPr="00676991" w:rsidRDefault="001454AE" w:rsidP="00676991"/>
    <w:p w:rsidR="00637B4D" w:rsidRDefault="00637B4D">
      <w:pPr>
        <w:spacing w:line="240" w:lineRule="auto"/>
        <w:rPr>
          <w:caps/>
          <w:color w:val="002C77"/>
          <w:spacing w:val="40"/>
        </w:rPr>
      </w:pPr>
      <w:bookmarkStart w:id="35" w:name="_Toc508267346"/>
      <w:r>
        <w:rPr>
          <w:caps/>
          <w:color w:val="002C77"/>
          <w:spacing w:val="40"/>
        </w:rPr>
        <w:br w:type="page"/>
      </w:r>
    </w:p>
    <w:p w:rsidR="00676991" w:rsidRPr="00331A3B" w:rsidRDefault="00676991" w:rsidP="00331A3B">
      <w:pPr>
        <w:rPr>
          <w:caps/>
          <w:color w:val="002C77"/>
          <w:spacing w:val="40"/>
        </w:rPr>
      </w:pPr>
      <w:r w:rsidRPr="00331A3B">
        <w:rPr>
          <w:caps/>
          <w:color w:val="002C77"/>
          <w:spacing w:val="40"/>
        </w:rPr>
        <w:lastRenderedPageBreak/>
        <w:t>Investment and Earning Rate Policy</w:t>
      </w:r>
      <w:bookmarkEnd w:id="35"/>
    </w:p>
    <w:p w:rsidR="00676991" w:rsidRDefault="00676991" w:rsidP="00410867"/>
    <w:p w:rsidR="0041261D" w:rsidRPr="00676991" w:rsidRDefault="0041261D" w:rsidP="0041261D">
      <w:r w:rsidRPr="00676991">
        <w:t>For PSS co</w:t>
      </w:r>
      <w:r w:rsidRPr="008E0164">
        <w:t xml:space="preserve">ntributors, the </w:t>
      </w:r>
      <w:r w:rsidR="00925451">
        <w:t>primary</w:t>
      </w:r>
      <w:r w:rsidRPr="008E0164">
        <w:t xml:space="preserve"> benefit is a defined benefit </w:t>
      </w:r>
      <w:r w:rsidR="0084206F">
        <w:t xml:space="preserve">based on service and </w:t>
      </w:r>
      <w:r w:rsidR="004D134A">
        <w:t xml:space="preserve">final average </w:t>
      </w:r>
      <w:r w:rsidR="0084206F">
        <w:t xml:space="preserve">salary. It does not depend on investment </w:t>
      </w:r>
      <w:r w:rsidR="00925451">
        <w:t>earnings</w:t>
      </w:r>
      <w:r w:rsidR="0084206F">
        <w:t xml:space="preserve">. </w:t>
      </w:r>
      <w:r w:rsidRPr="00676991">
        <w:t xml:space="preserve">Member contributions and </w:t>
      </w:r>
      <w:r>
        <w:t xml:space="preserve">employer </w:t>
      </w:r>
      <w:r w:rsidRPr="00676991">
        <w:t xml:space="preserve">productivity contributions, accumulated with investment </w:t>
      </w:r>
      <w:r w:rsidR="00443E70">
        <w:t>earnings</w:t>
      </w:r>
      <w:r w:rsidRPr="00676991">
        <w:t xml:space="preserve">, are paid from the PSS into the </w:t>
      </w:r>
      <w:r w:rsidR="0084206F" w:rsidRPr="008E0164">
        <w:t>CRF</w:t>
      </w:r>
      <w:r w:rsidR="00443E70">
        <w:t xml:space="preserve"> </w:t>
      </w:r>
      <w:r w:rsidR="004D134A">
        <w:t xml:space="preserve">at the time that a benefit first becomes payable to a member </w:t>
      </w:r>
      <w:r w:rsidR="00443E70">
        <w:t xml:space="preserve">and </w:t>
      </w:r>
      <w:r w:rsidR="00443E70" w:rsidRPr="00676991">
        <w:t xml:space="preserve">offset the cost of </w:t>
      </w:r>
      <w:r w:rsidR="00443E70">
        <w:t xml:space="preserve">the </w:t>
      </w:r>
      <w:r w:rsidR="00181203">
        <w:t xml:space="preserve">overall </w:t>
      </w:r>
      <w:r w:rsidR="00443E70">
        <w:t xml:space="preserve">defined </w:t>
      </w:r>
      <w:r w:rsidR="00443E70" w:rsidRPr="00676991">
        <w:t>benefit</w:t>
      </w:r>
      <w:r w:rsidR="00443E70">
        <w:t>.</w:t>
      </w:r>
      <w:r w:rsidR="0084206F">
        <w:t xml:space="preserve"> </w:t>
      </w:r>
      <w:r w:rsidRPr="00676991">
        <w:t xml:space="preserve">Hence, positive investment returns reduce the cost of the scheme to the </w:t>
      </w:r>
      <w:r>
        <w:t xml:space="preserve">Australian </w:t>
      </w:r>
      <w:r w:rsidRPr="00676991">
        <w:t>Government.</w:t>
      </w:r>
    </w:p>
    <w:p w:rsidR="0041261D" w:rsidRDefault="0041261D" w:rsidP="0041261D"/>
    <w:p w:rsidR="0068327A" w:rsidRDefault="0041261D" w:rsidP="0041261D">
      <w:r w:rsidRPr="00676991">
        <w:t>For preserved PSS members</w:t>
      </w:r>
      <w:r w:rsidR="008754B0">
        <w:t xml:space="preserve"> and </w:t>
      </w:r>
      <w:r w:rsidRPr="00676991">
        <w:t xml:space="preserve">CSS </w:t>
      </w:r>
      <w:r>
        <w:t xml:space="preserve">contributors </w:t>
      </w:r>
      <w:r w:rsidR="008754B0">
        <w:t xml:space="preserve">and </w:t>
      </w:r>
      <w:r>
        <w:t xml:space="preserve">deferred </w:t>
      </w:r>
      <w:r w:rsidRPr="00676991">
        <w:t xml:space="preserve">members, the member and </w:t>
      </w:r>
      <w:r w:rsidR="00925451">
        <w:t xml:space="preserve">employer </w:t>
      </w:r>
      <w:r w:rsidRPr="00676991">
        <w:t xml:space="preserve">productivity </w:t>
      </w:r>
      <w:r w:rsidR="00925451">
        <w:t xml:space="preserve">contributions </w:t>
      </w:r>
      <w:r w:rsidRPr="00676991">
        <w:t xml:space="preserve">are accumulated with investment </w:t>
      </w:r>
      <w:r w:rsidR="00925451">
        <w:t>earnings</w:t>
      </w:r>
      <w:r w:rsidRPr="00676991">
        <w:t xml:space="preserve"> to </w:t>
      </w:r>
      <w:r w:rsidR="00925451">
        <w:t>form</w:t>
      </w:r>
      <w:r w:rsidRPr="00676991">
        <w:t xml:space="preserve"> part of the eventual benefits. Hence, positive investment returns for these members increase their benefit</w:t>
      </w:r>
      <w:r w:rsidR="00181203">
        <w:t xml:space="preserve"> entitlements</w:t>
      </w:r>
      <w:r w:rsidR="00EA000C">
        <w:t xml:space="preserve"> and the</w:t>
      </w:r>
      <w:r w:rsidR="0081311D">
        <w:t xml:space="preserve"> </w:t>
      </w:r>
      <w:r w:rsidR="0068327A">
        <w:t xml:space="preserve">higher benefit entitlement when converted to pension form will lead to an increase in the cost to the Australian Government of providing the benefits for these members.  </w:t>
      </w:r>
    </w:p>
    <w:p w:rsidR="0068327A" w:rsidRDefault="0068327A" w:rsidP="0041261D"/>
    <w:p w:rsidR="0041261D" w:rsidRPr="00676991" w:rsidRDefault="0068327A" w:rsidP="0041261D">
      <w:r>
        <w:t xml:space="preserve">This arises </w:t>
      </w:r>
      <w:r w:rsidR="00EA000C">
        <w:t>because</w:t>
      </w:r>
      <w:r>
        <w:t xml:space="preserve"> the </w:t>
      </w:r>
      <w:r w:rsidR="0041261D" w:rsidRPr="0048056B">
        <w:t xml:space="preserve">accumulated contributions </w:t>
      </w:r>
      <w:r w:rsidR="0041261D" w:rsidRPr="002D1E36">
        <w:t xml:space="preserve">paid </w:t>
      </w:r>
      <w:r w:rsidR="00181203" w:rsidRPr="002D1E36">
        <w:t xml:space="preserve">from the scheme </w:t>
      </w:r>
      <w:r w:rsidR="0041261D" w:rsidRPr="002D1E36">
        <w:t xml:space="preserve">into the CRF </w:t>
      </w:r>
      <w:r w:rsidR="004D134A" w:rsidRPr="002D1E36">
        <w:t xml:space="preserve">at the time that a benefit first becomes payable </w:t>
      </w:r>
      <w:r w:rsidRPr="009A5F2C">
        <w:t>are lower than the expected value of the</w:t>
      </w:r>
      <w:r w:rsidR="0041261D" w:rsidRPr="0048056B">
        <w:t xml:space="preserve"> benefit payments </w:t>
      </w:r>
      <w:r w:rsidRPr="009A5F2C">
        <w:t>to be made</w:t>
      </w:r>
      <w:r w:rsidR="0041261D" w:rsidRPr="0048056B">
        <w:t>.</w:t>
      </w:r>
      <w:r w:rsidR="0041261D" w:rsidRPr="002D1E36">
        <w:t xml:space="preserve"> </w:t>
      </w:r>
      <w:r w:rsidR="000E5764" w:rsidRPr="002D1E36">
        <w:t>P</w:t>
      </w:r>
      <w:r w:rsidR="0041261D" w:rsidRPr="002D1E36">
        <w:t xml:space="preserve">ositive investment returns </w:t>
      </w:r>
      <w:r w:rsidRPr="002D1E36">
        <w:t>therefore</w:t>
      </w:r>
      <w:r>
        <w:t xml:space="preserve"> </w:t>
      </w:r>
      <w:r w:rsidR="000E5764">
        <w:t>generally</w:t>
      </w:r>
      <w:r w:rsidR="0041261D">
        <w:t xml:space="preserve"> increase the cost to the Australian Government of providing </w:t>
      </w:r>
      <w:r w:rsidR="000E5764">
        <w:t xml:space="preserve">the </w:t>
      </w:r>
      <w:r w:rsidR="0041261D">
        <w:t>benefits for these members.</w:t>
      </w:r>
    </w:p>
    <w:p w:rsidR="0041261D" w:rsidRDefault="0041261D" w:rsidP="00410867"/>
    <w:p w:rsidR="00EA0BB9" w:rsidRDefault="005B70A8" w:rsidP="00410867">
      <w:r>
        <w:t>The s</w:t>
      </w:r>
      <w:r w:rsidR="003B1B42">
        <w:t>chemes</w:t>
      </w:r>
      <w:r>
        <w:t>’</w:t>
      </w:r>
      <w:r w:rsidR="003B1B42">
        <w:t xml:space="preserve"> assets are jointly invested </w:t>
      </w:r>
      <w:r w:rsidR="003B1B42" w:rsidRPr="00410867">
        <w:t>in one pooled</w:t>
      </w:r>
      <w:r w:rsidR="003B1B42">
        <w:t xml:space="preserve"> </w:t>
      </w:r>
      <w:r w:rsidR="003B1B42" w:rsidRPr="00410867">
        <w:t xml:space="preserve">investment trust, </w:t>
      </w:r>
      <w:r w:rsidR="003B1B42">
        <w:t xml:space="preserve">with </w:t>
      </w:r>
      <w:r w:rsidR="003B1B42" w:rsidRPr="00410867">
        <w:t>professional</w:t>
      </w:r>
      <w:r w:rsidR="003B1B42">
        <w:t xml:space="preserve"> </w:t>
      </w:r>
      <w:r w:rsidR="003B1B42" w:rsidRPr="00410867">
        <w:t>external investment manage</w:t>
      </w:r>
      <w:r w:rsidR="003B1B42">
        <w:t xml:space="preserve">rs responsible for the management of the </w:t>
      </w:r>
      <w:r w:rsidR="003B1B42" w:rsidRPr="00410867">
        <w:t>investments.</w:t>
      </w:r>
      <w:r w:rsidR="003B1B42">
        <w:t xml:space="preserve"> </w:t>
      </w:r>
      <w:r w:rsidR="00181203">
        <w:t>The trustee</w:t>
      </w:r>
      <w:r w:rsidR="00BA5BCE">
        <w:t>’s</w:t>
      </w:r>
      <w:r w:rsidR="00181203">
        <w:t xml:space="preserve"> investment objective </w:t>
      </w:r>
      <w:r w:rsidR="00BA5BCE">
        <w:t>is to outperform</w:t>
      </w:r>
      <w:r w:rsidR="003B1B42">
        <w:t xml:space="preserve"> </w:t>
      </w:r>
      <w:r w:rsidR="00181203">
        <w:t xml:space="preserve">the </w:t>
      </w:r>
      <w:r w:rsidR="00BB7F77">
        <w:t>Consumer Price Index (</w:t>
      </w:r>
      <w:r w:rsidR="00181203">
        <w:t>CPI</w:t>
      </w:r>
      <w:r w:rsidR="00BB7F77">
        <w:t>)</w:t>
      </w:r>
      <w:r w:rsidR="00181203">
        <w:t xml:space="preserve"> by 3.5% per annum over 10 years.</w:t>
      </w:r>
      <w:r w:rsidR="003B1B42">
        <w:t xml:space="preserve"> To achieve this objective, a target asset allocation and asset allocation ranges are set</w:t>
      </w:r>
      <w:r w:rsidR="000B22E0">
        <w:t xml:space="preserve">. </w:t>
      </w:r>
    </w:p>
    <w:p w:rsidR="00EA0BB9" w:rsidRDefault="00EA0BB9">
      <w:pPr>
        <w:spacing w:line="240" w:lineRule="auto"/>
      </w:pPr>
    </w:p>
    <w:p w:rsidR="00181203" w:rsidRDefault="000B22E0" w:rsidP="00410867">
      <w:r>
        <w:t>The current allocation is</w:t>
      </w:r>
      <w:r w:rsidR="00BB7F77">
        <w:t>:</w:t>
      </w:r>
    </w:p>
    <w:p w:rsidR="00925451" w:rsidRPr="00F37090" w:rsidRDefault="00925451" w:rsidP="00F37090">
      <w:pPr>
        <w:spacing w:line="240" w:lineRule="auto"/>
        <w:rPr>
          <w:sz w:val="16"/>
          <w:szCs w:val="16"/>
        </w:rPr>
      </w:pPr>
    </w:p>
    <w:tbl>
      <w:tblPr>
        <w:tblW w:w="6876"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3474"/>
        <w:gridCol w:w="567"/>
        <w:gridCol w:w="2835"/>
      </w:tblGrid>
      <w:tr w:rsidR="00BB7F77" w:rsidRPr="00DD3670" w:rsidTr="008754B0">
        <w:trPr>
          <w:cantSplit/>
          <w:tblHeader/>
        </w:trPr>
        <w:tc>
          <w:tcPr>
            <w:tcW w:w="3474" w:type="dxa"/>
            <w:shd w:val="clear" w:color="auto" w:fill="00A8C8"/>
          </w:tcPr>
          <w:p w:rsidR="00BB7F77" w:rsidRPr="00DD3670" w:rsidRDefault="00BB7F77" w:rsidP="00B42A4D">
            <w:pPr>
              <w:pStyle w:val="TableHeadingText"/>
              <w:rPr>
                <w:caps w:val="0"/>
              </w:rPr>
            </w:pPr>
            <w:r>
              <w:rPr>
                <w:caps w:val="0"/>
              </w:rPr>
              <w:t>Default Fund</w:t>
            </w:r>
            <w:r>
              <w:rPr>
                <w:caps w:val="0"/>
              </w:rPr>
              <w:br/>
              <w:t>Investment Option</w:t>
            </w:r>
          </w:p>
        </w:tc>
        <w:tc>
          <w:tcPr>
            <w:tcW w:w="3402" w:type="dxa"/>
            <w:gridSpan w:val="2"/>
            <w:tcBorders>
              <w:bottom w:val="single" w:sz="8" w:space="0" w:color="FFFFFF"/>
            </w:tcBorders>
            <w:shd w:val="clear" w:color="auto" w:fill="00A8C8"/>
          </w:tcPr>
          <w:p w:rsidR="00BB7F77" w:rsidRPr="00DD3670" w:rsidRDefault="00BB7F77" w:rsidP="002A4B46">
            <w:pPr>
              <w:pStyle w:val="TableHeadingText"/>
              <w:rPr>
                <w:caps w:val="0"/>
              </w:rPr>
            </w:pPr>
            <w:r>
              <w:rPr>
                <w:caps w:val="0"/>
              </w:rPr>
              <w:t>Target Asset Allocation (Range)</w:t>
            </w:r>
          </w:p>
        </w:tc>
      </w:tr>
      <w:tr w:rsidR="00BB7F77" w:rsidRPr="00DD3670" w:rsidTr="008754B0">
        <w:trPr>
          <w:cantSplit/>
        </w:trPr>
        <w:tc>
          <w:tcPr>
            <w:tcW w:w="3474" w:type="dxa"/>
            <w:shd w:val="clear" w:color="auto" w:fill="F2F2F2"/>
          </w:tcPr>
          <w:p w:rsidR="00BB7F77" w:rsidRPr="00DD3670" w:rsidRDefault="00BB7F77" w:rsidP="00B42A4D">
            <w:pPr>
              <w:pStyle w:val="TableText"/>
            </w:pPr>
            <w:r>
              <w:t>Equities</w:t>
            </w:r>
          </w:p>
        </w:tc>
        <w:tc>
          <w:tcPr>
            <w:tcW w:w="567" w:type="dxa"/>
            <w:tcBorders>
              <w:top w:val="single" w:sz="8" w:space="0" w:color="FFFFFF"/>
              <w:bottom w:val="single" w:sz="8" w:space="0" w:color="FFFFFF"/>
              <w:right w:val="nil"/>
            </w:tcBorders>
            <w:shd w:val="clear" w:color="auto" w:fill="F2F2F2"/>
          </w:tcPr>
          <w:p w:rsidR="002A5BD6" w:rsidRDefault="002A5BD6" w:rsidP="00A6528C">
            <w:pPr>
              <w:pStyle w:val="TableText"/>
            </w:pPr>
            <w:r>
              <w:t>45%</w:t>
            </w:r>
          </w:p>
        </w:tc>
        <w:tc>
          <w:tcPr>
            <w:tcW w:w="2835" w:type="dxa"/>
            <w:tcBorders>
              <w:top w:val="single" w:sz="8" w:space="0" w:color="FFFFFF"/>
              <w:left w:val="nil"/>
              <w:bottom w:val="single" w:sz="8" w:space="0" w:color="FFFFFF"/>
            </w:tcBorders>
            <w:shd w:val="clear" w:color="auto" w:fill="F2F2F2"/>
          </w:tcPr>
          <w:p w:rsidR="00BB7F77" w:rsidRPr="00DD3670" w:rsidRDefault="00BB7F77" w:rsidP="002A4B46">
            <w:pPr>
              <w:pStyle w:val="TableText"/>
            </w:pPr>
            <w:r>
              <w:t>(</w:t>
            </w:r>
            <w:r w:rsidR="00E33232">
              <w:t>15</w:t>
            </w:r>
            <w:r>
              <w:t>-</w:t>
            </w:r>
            <w:r w:rsidR="00E33232">
              <w:t>75</w:t>
            </w:r>
            <w:r>
              <w:t>%)</w:t>
            </w:r>
          </w:p>
        </w:tc>
      </w:tr>
      <w:tr w:rsidR="00BB7F77" w:rsidRPr="00DD3670" w:rsidTr="008754B0">
        <w:trPr>
          <w:cantSplit/>
        </w:trPr>
        <w:tc>
          <w:tcPr>
            <w:tcW w:w="3474" w:type="dxa"/>
            <w:shd w:val="clear" w:color="auto" w:fill="F2F2F2"/>
          </w:tcPr>
          <w:p w:rsidR="00BB7F77" w:rsidRPr="00DD3670" w:rsidRDefault="00BB7F77" w:rsidP="00B42A4D">
            <w:pPr>
              <w:pStyle w:val="TableText"/>
            </w:pPr>
            <w:r>
              <w:t>Property</w:t>
            </w:r>
          </w:p>
        </w:tc>
        <w:tc>
          <w:tcPr>
            <w:tcW w:w="567" w:type="dxa"/>
            <w:tcBorders>
              <w:top w:val="single" w:sz="8" w:space="0" w:color="FFFFFF"/>
              <w:bottom w:val="single" w:sz="8" w:space="0" w:color="FFFFFF"/>
              <w:right w:val="nil"/>
            </w:tcBorders>
            <w:shd w:val="clear" w:color="auto" w:fill="F2F2F2"/>
          </w:tcPr>
          <w:p w:rsidR="002A5BD6" w:rsidRDefault="002A5BD6" w:rsidP="00A6528C">
            <w:pPr>
              <w:pStyle w:val="TableText"/>
            </w:pPr>
            <w:r>
              <w:t>10%</w:t>
            </w:r>
          </w:p>
        </w:tc>
        <w:tc>
          <w:tcPr>
            <w:tcW w:w="2835" w:type="dxa"/>
            <w:tcBorders>
              <w:top w:val="single" w:sz="8" w:space="0" w:color="FFFFFF"/>
              <w:left w:val="nil"/>
              <w:bottom w:val="single" w:sz="8" w:space="0" w:color="FFFFFF"/>
            </w:tcBorders>
            <w:shd w:val="clear" w:color="auto" w:fill="F2F2F2"/>
          </w:tcPr>
          <w:p w:rsidR="00BB7F77" w:rsidRPr="00DD3670" w:rsidRDefault="00BB7F77" w:rsidP="002A4B46">
            <w:pPr>
              <w:pStyle w:val="TableText"/>
            </w:pPr>
            <w:r>
              <w:t>(</w:t>
            </w:r>
            <w:r w:rsidR="00E33232">
              <w:t>5</w:t>
            </w:r>
            <w:r>
              <w:t>-</w:t>
            </w:r>
            <w:r w:rsidR="00E33232">
              <w:t>25</w:t>
            </w:r>
            <w:r>
              <w:t>%)</w:t>
            </w:r>
          </w:p>
        </w:tc>
      </w:tr>
      <w:tr w:rsidR="00BB7F77" w:rsidRPr="00DD3670" w:rsidTr="008754B0">
        <w:trPr>
          <w:cantSplit/>
        </w:trPr>
        <w:tc>
          <w:tcPr>
            <w:tcW w:w="3474" w:type="dxa"/>
            <w:shd w:val="clear" w:color="auto" w:fill="F2F2F2"/>
          </w:tcPr>
          <w:p w:rsidR="00BB7F77" w:rsidRPr="00DD3670" w:rsidRDefault="00BB7F77" w:rsidP="00B42A4D">
            <w:pPr>
              <w:pStyle w:val="TableText"/>
            </w:pPr>
            <w:r>
              <w:t>Infrastructure</w:t>
            </w:r>
          </w:p>
        </w:tc>
        <w:tc>
          <w:tcPr>
            <w:tcW w:w="567" w:type="dxa"/>
            <w:tcBorders>
              <w:top w:val="single" w:sz="8" w:space="0" w:color="FFFFFF"/>
              <w:bottom w:val="single" w:sz="8" w:space="0" w:color="FFFFFF"/>
              <w:right w:val="nil"/>
            </w:tcBorders>
            <w:shd w:val="clear" w:color="auto" w:fill="F2F2F2"/>
          </w:tcPr>
          <w:p w:rsidR="002A5BD6" w:rsidRDefault="002A5BD6" w:rsidP="00A6528C">
            <w:pPr>
              <w:pStyle w:val="TableText"/>
            </w:pPr>
            <w:r>
              <w:t>1%</w:t>
            </w:r>
          </w:p>
        </w:tc>
        <w:tc>
          <w:tcPr>
            <w:tcW w:w="2835" w:type="dxa"/>
            <w:tcBorders>
              <w:top w:val="single" w:sz="8" w:space="0" w:color="FFFFFF"/>
              <w:left w:val="nil"/>
              <w:bottom w:val="single" w:sz="8" w:space="0" w:color="FFFFFF"/>
            </w:tcBorders>
            <w:shd w:val="clear" w:color="auto" w:fill="F2F2F2"/>
          </w:tcPr>
          <w:p w:rsidR="00BB7F77" w:rsidRPr="00DD3670" w:rsidRDefault="00BB7F77" w:rsidP="002A4B46">
            <w:pPr>
              <w:pStyle w:val="TableText"/>
            </w:pPr>
            <w:r>
              <w:t>(0-</w:t>
            </w:r>
            <w:r w:rsidR="00E33232">
              <w:t>20</w:t>
            </w:r>
            <w:r>
              <w:t>%)</w:t>
            </w:r>
          </w:p>
        </w:tc>
      </w:tr>
      <w:tr w:rsidR="00BB7F77" w:rsidRPr="00DD3670" w:rsidTr="008754B0">
        <w:trPr>
          <w:cantSplit/>
        </w:trPr>
        <w:tc>
          <w:tcPr>
            <w:tcW w:w="3474" w:type="dxa"/>
            <w:shd w:val="clear" w:color="auto" w:fill="F2F2F2"/>
          </w:tcPr>
          <w:p w:rsidR="00BB7F77" w:rsidRPr="00DD3670" w:rsidRDefault="00BB7F77" w:rsidP="00B42A4D">
            <w:pPr>
              <w:pStyle w:val="TableText"/>
            </w:pPr>
            <w:r>
              <w:t>Alternatives</w:t>
            </w:r>
          </w:p>
        </w:tc>
        <w:tc>
          <w:tcPr>
            <w:tcW w:w="567" w:type="dxa"/>
            <w:tcBorders>
              <w:top w:val="single" w:sz="8" w:space="0" w:color="FFFFFF"/>
              <w:bottom w:val="single" w:sz="8" w:space="0" w:color="FFFFFF"/>
              <w:right w:val="nil"/>
            </w:tcBorders>
            <w:shd w:val="clear" w:color="auto" w:fill="F2F2F2"/>
          </w:tcPr>
          <w:p w:rsidR="002A5BD6" w:rsidRDefault="002A5BD6" w:rsidP="00A6528C">
            <w:pPr>
              <w:pStyle w:val="TableText"/>
            </w:pPr>
            <w:r>
              <w:t>15%</w:t>
            </w:r>
          </w:p>
        </w:tc>
        <w:tc>
          <w:tcPr>
            <w:tcW w:w="2835" w:type="dxa"/>
            <w:tcBorders>
              <w:top w:val="single" w:sz="8" w:space="0" w:color="FFFFFF"/>
              <w:left w:val="nil"/>
              <w:bottom w:val="single" w:sz="8" w:space="0" w:color="FFFFFF"/>
            </w:tcBorders>
            <w:shd w:val="clear" w:color="auto" w:fill="F2F2F2"/>
          </w:tcPr>
          <w:p w:rsidR="00BB7F77" w:rsidRPr="00DD3670" w:rsidRDefault="00BB7F77" w:rsidP="002A4B46">
            <w:pPr>
              <w:pStyle w:val="TableText"/>
            </w:pPr>
            <w:r>
              <w:t>(0-</w:t>
            </w:r>
            <w:r w:rsidR="00E33232">
              <w:t>30</w:t>
            </w:r>
            <w:r>
              <w:t>%)</w:t>
            </w:r>
          </w:p>
        </w:tc>
      </w:tr>
      <w:tr w:rsidR="00BB7F77" w:rsidRPr="00DD3670" w:rsidTr="008754B0">
        <w:trPr>
          <w:cantSplit/>
        </w:trPr>
        <w:tc>
          <w:tcPr>
            <w:tcW w:w="3474" w:type="dxa"/>
            <w:shd w:val="clear" w:color="auto" w:fill="F2F2F2"/>
          </w:tcPr>
          <w:p w:rsidR="00BB7F77" w:rsidRPr="00DD3670" w:rsidRDefault="00BB7F77" w:rsidP="00B42A4D">
            <w:pPr>
              <w:pStyle w:val="TableText"/>
            </w:pPr>
            <w:r>
              <w:t>Fixed Interest</w:t>
            </w:r>
          </w:p>
        </w:tc>
        <w:tc>
          <w:tcPr>
            <w:tcW w:w="567" w:type="dxa"/>
            <w:tcBorders>
              <w:top w:val="single" w:sz="8" w:space="0" w:color="FFFFFF"/>
              <w:bottom w:val="single" w:sz="8" w:space="0" w:color="FFFFFF"/>
              <w:right w:val="nil"/>
            </w:tcBorders>
            <w:shd w:val="clear" w:color="auto" w:fill="F2F2F2"/>
          </w:tcPr>
          <w:p w:rsidR="002A5BD6" w:rsidRDefault="002A5BD6" w:rsidP="00A6528C">
            <w:pPr>
              <w:pStyle w:val="TableText"/>
            </w:pPr>
            <w:r>
              <w:t>14%</w:t>
            </w:r>
          </w:p>
        </w:tc>
        <w:tc>
          <w:tcPr>
            <w:tcW w:w="2835" w:type="dxa"/>
            <w:tcBorders>
              <w:top w:val="single" w:sz="8" w:space="0" w:color="FFFFFF"/>
              <w:left w:val="nil"/>
              <w:bottom w:val="single" w:sz="8" w:space="0" w:color="FFFFFF"/>
            </w:tcBorders>
            <w:shd w:val="clear" w:color="auto" w:fill="F2F2F2"/>
          </w:tcPr>
          <w:p w:rsidR="00BB7F77" w:rsidRPr="00DD3670" w:rsidRDefault="00BB7F77" w:rsidP="002A4B46">
            <w:pPr>
              <w:pStyle w:val="TableText"/>
            </w:pPr>
            <w:r>
              <w:t>(0-</w:t>
            </w:r>
            <w:r w:rsidR="00E33232">
              <w:t>65</w:t>
            </w:r>
            <w:r>
              <w:t>%)</w:t>
            </w:r>
          </w:p>
        </w:tc>
      </w:tr>
      <w:tr w:rsidR="00BB7F77" w:rsidRPr="00DD3670" w:rsidTr="008754B0">
        <w:trPr>
          <w:cantSplit/>
        </w:trPr>
        <w:tc>
          <w:tcPr>
            <w:tcW w:w="3474" w:type="dxa"/>
            <w:shd w:val="clear" w:color="auto" w:fill="F2F2F2"/>
          </w:tcPr>
          <w:p w:rsidR="00BB7F77" w:rsidRPr="00DD3670" w:rsidRDefault="00BB7F77" w:rsidP="00B42A4D">
            <w:pPr>
              <w:pStyle w:val="TableText"/>
            </w:pPr>
            <w:r>
              <w:t>Cash</w:t>
            </w:r>
          </w:p>
        </w:tc>
        <w:tc>
          <w:tcPr>
            <w:tcW w:w="567" w:type="dxa"/>
            <w:tcBorders>
              <w:top w:val="single" w:sz="8" w:space="0" w:color="FFFFFF"/>
              <w:bottom w:val="nil"/>
              <w:right w:val="nil"/>
            </w:tcBorders>
            <w:shd w:val="clear" w:color="auto" w:fill="F2F2F2"/>
          </w:tcPr>
          <w:p w:rsidR="002A5BD6" w:rsidRDefault="002A5BD6" w:rsidP="002A5BD6">
            <w:pPr>
              <w:pStyle w:val="TableText"/>
            </w:pPr>
            <w:r>
              <w:t>15</w:t>
            </w:r>
            <w:r w:rsidR="00A6528C">
              <w:t>%</w:t>
            </w:r>
          </w:p>
        </w:tc>
        <w:tc>
          <w:tcPr>
            <w:tcW w:w="2835" w:type="dxa"/>
            <w:tcBorders>
              <w:top w:val="single" w:sz="8" w:space="0" w:color="FFFFFF"/>
              <w:left w:val="nil"/>
              <w:bottom w:val="nil"/>
            </w:tcBorders>
            <w:shd w:val="clear" w:color="auto" w:fill="F2F2F2"/>
          </w:tcPr>
          <w:p w:rsidR="00BB7F77" w:rsidRPr="00DD3670" w:rsidRDefault="00BB7F77" w:rsidP="002A4B46">
            <w:pPr>
              <w:pStyle w:val="TableText"/>
            </w:pPr>
            <w:r>
              <w:t>(0-</w:t>
            </w:r>
            <w:r w:rsidR="00E33232">
              <w:t>65</w:t>
            </w:r>
            <w:r>
              <w:t>%)</w:t>
            </w:r>
          </w:p>
        </w:tc>
      </w:tr>
    </w:tbl>
    <w:p w:rsidR="000832F2" w:rsidRPr="000832F2" w:rsidRDefault="000832F2" w:rsidP="000832F2">
      <w:pPr>
        <w:rPr>
          <w:sz w:val="16"/>
          <w:szCs w:val="16"/>
        </w:rPr>
      </w:pPr>
      <w:r w:rsidRPr="000832F2">
        <w:rPr>
          <w:sz w:val="16"/>
          <w:szCs w:val="16"/>
        </w:rPr>
        <w:t xml:space="preserve">Source: </w:t>
      </w:r>
      <w:r w:rsidR="00536849">
        <w:rPr>
          <w:sz w:val="16"/>
          <w:szCs w:val="16"/>
        </w:rPr>
        <w:t xml:space="preserve">Product Disclosure Statements </w:t>
      </w:r>
      <w:r w:rsidR="00B7219E">
        <w:rPr>
          <w:sz w:val="16"/>
          <w:szCs w:val="16"/>
        </w:rPr>
        <w:t xml:space="preserve">of CSS and PSS </w:t>
      </w:r>
      <w:r w:rsidR="00536849">
        <w:rPr>
          <w:sz w:val="16"/>
          <w:szCs w:val="16"/>
        </w:rPr>
        <w:t>issued 27 September 2017</w:t>
      </w:r>
      <w:r>
        <w:rPr>
          <w:sz w:val="16"/>
          <w:szCs w:val="16"/>
        </w:rPr>
        <w:t>.</w:t>
      </w:r>
    </w:p>
    <w:p w:rsidR="009E3425" w:rsidRDefault="009E3425" w:rsidP="00676991"/>
    <w:p w:rsidR="00676991" w:rsidRPr="00676991" w:rsidRDefault="00676991" w:rsidP="00676991">
      <w:r w:rsidRPr="00676991">
        <w:t xml:space="preserve">We </w:t>
      </w:r>
      <w:r w:rsidR="000B22E0">
        <w:t xml:space="preserve">consider the </w:t>
      </w:r>
      <w:r w:rsidRPr="00676991">
        <w:t xml:space="preserve">trustee’s </w:t>
      </w:r>
      <w:r w:rsidR="00F1082A">
        <w:t xml:space="preserve">current target </w:t>
      </w:r>
      <w:r w:rsidR="0081311D">
        <w:t xml:space="preserve">asset </w:t>
      </w:r>
      <w:r w:rsidR="00F1082A">
        <w:t>allocation</w:t>
      </w:r>
      <w:r w:rsidRPr="00676991">
        <w:t xml:space="preserve"> </w:t>
      </w:r>
      <w:r w:rsidR="000B22E0">
        <w:t xml:space="preserve">to be </w:t>
      </w:r>
      <w:r w:rsidRPr="00676991">
        <w:t>suitable, taking into account the largely unfunded nature of the schemes’ liabilities and the Government’s method of funding outlays from the CRF.</w:t>
      </w:r>
    </w:p>
    <w:p w:rsidR="00676991" w:rsidRPr="00676991" w:rsidRDefault="00676991" w:rsidP="00676991"/>
    <w:p w:rsidR="00637B4D" w:rsidRDefault="00637B4D">
      <w:pPr>
        <w:spacing w:line="240" w:lineRule="auto"/>
      </w:pPr>
      <w:r>
        <w:br w:type="page"/>
      </w:r>
    </w:p>
    <w:p w:rsidR="00EF0022" w:rsidRDefault="00676991" w:rsidP="00676991">
      <w:r w:rsidRPr="00676991">
        <w:lastRenderedPageBreak/>
        <w:t xml:space="preserve">The earning rate applied to members’ </w:t>
      </w:r>
      <w:r w:rsidR="00B7219E">
        <w:t>benefits</w:t>
      </w:r>
      <w:r w:rsidR="00B7219E" w:rsidRPr="00676991">
        <w:t xml:space="preserve"> </w:t>
      </w:r>
      <w:r w:rsidRPr="00676991">
        <w:t>is effectively the actual rate of investment return. The policy is documented and included on the trustee’s website. We consider the trustee’s earning rate policy to be suitable.</w:t>
      </w:r>
    </w:p>
    <w:p w:rsidR="00EF0022" w:rsidRDefault="00EF0022" w:rsidP="00676991"/>
    <w:p w:rsidR="00676991" w:rsidRPr="00676991" w:rsidRDefault="000B22E0" w:rsidP="00676991">
      <w:r>
        <w:t>E</w:t>
      </w:r>
      <w:r w:rsidR="00911888">
        <w:t xml:space="preserve">arning rates over the three years </w:t>
      </w:r>
      <w:r>
        <w:t xml:space="preserve">to 30 June 2017 </w:t>
      </w:r>
      <w:r w:rsidR="00911888">
        <w:t xml:space="preserve">are shown </w:t>
      </w:r>
      <w:r>
        <w:t>in the table below:</w:t>
      </w:r>
    </w:p>
    <w:p w:rsidR="00911888" w:rsidRPr="00F37090" w:rsidRDefault="00911888" w:rsidP="00F37090">
      <w:pPr>
        <w:spacing w:line="240" w:lineRule="auto"/>
        <w:rPr>
          <w:sz w:val="16"/>
          <w:szCs w:val="16"/>
        </w:rPr>
      </w:pPr>
    </w:p>
    <w:tbl>
      <w:tblPr>
        <w:tblW w:w="6876"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3474"/>
        <w:gridCol w:w="1701"/>
        <w:gridCol w:w="1701"/>
      </w:tblGrid>
      <w:tr w:rsidR="00911888" w:rsidRPr="00DD3670" w:rsidTr="00911888">
        <w:trPr>
          <w:cantSplit/>
          <w:tblHeader/>
        </w:trPr>
        <w:tc>
          <w:tcPr>
            <w:tcW w:w="3474" w:type="dxa"/>
            <w:shd w:val="clear" w:color="auto" w:fill="00A8C8"/>
          </w:tcPr>
          <w:p w:rsidR="00911888" w:rsidRPr="00DD3670" w:rsidRDefault="00911888" w:rsidP="00911888">
            <w:pPr>
              <w:pStyle w:val="TableHeadingText"/>
              <w:rPr>
                <w:caps w:val="0"/>
              </w:rPr>
            </w:pPr>
            <w:r>
              <w:rPr>
                <w:caps w:val="0"/>
              </w:rPr>
              <w:t xml:space="preserve">Default Fund Return </w:t>
            </w:r>
            <w:r>
              <w:rPr>
                <w:caps w:val="0"/>
              </w:rPr>
              <w:br/>
              <w:t>for Financial Year</w:t>
            </w:r>
          </w:p>
        </w:tc>
        <w:tc>
          <w:tcPr>
            <w:tcW w:w="1701" w:type="dxa"/>
            <w:shd w:val="clear" w:color="auto" w:fill="00A8C8"/>
          </w:tcPr>
          <w:p w:rsidR="00911888" w:rsidRPr="00DD3670" w:rsidRDefault="00911888" w:rsidP="00B42A4D">
            <w:pPr>
              <w:pStyle w:val="TableHeadingText"/>
              <w:jc w:val="right"/>
              <w:rPr>
                <w:caps w:val="0"/>
              </w:rPr>
            </w:pPr>
            <w:r w:rsidRPr="00DD3670">
              <w:rPr>
                <w:caps w:val="0"/>
              </w:rPr>
              <w:t>PSS</w:t>
            </w:r>
          </w:p>
        </w:tc>
        <w:tc>
          <w:tcPr>
            <w:tcW w:w="1701" w:type="dxa"/>
            <w:shd w:val="clear" w:color="auto" w:fill="00A8C8"/>
          </w:tcPr>
          <w:p w:rsidR="00911888" w:rsidRPr="00DD3670" w:rsidRDefault="00911888" w:rsidP="00B42A4D">
            <w:pPr>
              <w:pStyle w:val="TableHeadingText"/>
              <w:jc w:val="right"/>
              <w:rPr>
                <w:caps w:val="0"/>
              </w:rPr>
            </w:pPr>
            <w:r w:rsidRPr="00DD3670">
              <w:rPr>
                <w:caps w:val="0"/>
              </w:rPr>
              <w:t>CSS</w:t>
            </w:r>
          </w:p>
        </w:tc>
      </w:tr>
      <w:tr w:rsidR="00911888" w:rsidRPr="00DD3670" w:rsidTr="00911888">
        <w:trPr>
          <w:cantSplit/>
        </w:trPr>
        <w:tc>
          <w:tcPr>
            <w:tcW w:w="3474" w:type="dxa"/>
            <w:shd w:val="clear" w:color="auto" w:fill="F2F2F2"/>
          </w:tcPr>
          <w:p w:rsidR="00911888" w:rsidRPr="00DD3670" w:rsidRDefault="00911888" w:rsidP="00911888">
            <w:pPr>
              <w:pStyle w:val="TableText"/>
            </w:pPr>
            <w:r>
              <w:t>2014-15</w:t>
            </w:r>
          </w:p>
        </w:tc>
        <w:tc>
          <w:tcPr>
            <w:tcW w:w="1701" w:type="dxa"/>
            <w:shd w:val="clear" w:color="auto" w:fill="F2F2F2"/>
          </w:tcPr>
          <w:p w:rsidR="00911888" w:rsidRPr="00DD3670" w:rsidRDefault="00911888" w:rsidP="00B42A4D">
            <w:pPr>
              <w:pStyle w:val="TableText"/>
              <w:jc w:val="right"/>
            </w:pPr>
            <w:r>
              <w:t>12.1</w:t>
            </w:r>
            <w:r w:rsidR="000B22E0">
              <w:t>%</w:t>
            </w:r>
          </w:p>
        </w:tc>
        <w:tc>
          <w:tcPr>
            <w:tcW w:w="1701" w:type="dxa"/>
            <w:shd w:val="clear" w:color="auto" w:fill="F2F2F2"/>
          </w:tcPr>
          <w:p w:rsidR="00911888" w:rsidRPr="00DD3670" w:rsidRDefault="00911888" w:rsidP="00B42A4D">
            <w:pPr>
              <w:pStyle w:val="TableText"/>
              <w:jc w:val="right"/>
            </w:pPr>
            <w:r>
              <w:t>12.2</w:t>
            </w:r>
            <w:r w:rsidR="000B22E0">
              <w:t>%</w:t>
            </w:r>
          </w:p>
        </w:tc>
      </w:tr>
      <w:tr w:rsidR="00911888" w:rsidRPr="00DD3670" w:rsidTr="00911888">
        <w:trPr>
          <w:cantSplit/>
        </w:trPr>
        <w:tc>
          <w:tcPr>
            <w:tcW w:w="3474" w:type="dxa"/>
            <w:shd w:val="clear" w:color="auto" w:fill="F2F2F2"/>
          </w:tcPr>
          <w:p w:rsidR="00911888" w:rsidRPr="00DD3670" w:rsidRDefault="00911888" w:rsidP="00911888">
            <w:pPr>
              <w:pStyle w:val="TableText"/>
            </w:pPr>
            <w:r>
              <w:t>2015-16</w:t>
            </w:r>
          </w:p>
        </w:tc>
        <w:tc>
          <w:tcPr>
            <w:tcW w:w="1701" w:type="dxa"/>
            <w:shd w:val="clear" w:color="auto" w:fill="F2F2F2"/>
          </w:tcPr>
          <w:p w:rsidR="00911888" w:rsidRPr="00DD3670" w:rsidRDefault="00911888" w:rsidP="00B42A4D">
            <w:pPr>
              <w:pStyle w:val="TableText"/>
              <w:jc w:val="right"/>
            </w:pPr>
            <w:r>
              <w:t>1.7</w:t>
            </w:r>
            <w:r w:rsidR="000B22E0">
              <w:t>%</w:t>
            </w:r>
          </w:p>
        </w:tc>
        <w:tc>
          <w:tcPr>
            <w:tcW w:w="1701" w:type="dxa"/>
            <w:shd w:val="clear" w:color="auto" w:fill="F2F2F2"/>
          </w:tcPr>
          <w:p w:rsidR="00911888" w:rsidRPr="00DD3670" w:rsidRDefault="00911888" w:rsidP="00B42A4D">
            <w:pPr>
              <w:pStyle w:val="TableText"/>
              <w:jc w:val="right"/>
            </w:pPr>
            <w:r>
              <w:t>1.9</w:t>
            </w:r>
            <w:r w:rsidR="000B22E0">
              <w:t>%</w:t>
            </w:r>
          </w:p>
        </w:tc>
      </w:tr>
      <w:tr w:rsidR="00911888" w:rsidRPr="00DD3670" w:rsidTr="00911888">
        <w:trPr>
          <w:cantSplit/>
        </w:trPr>
        <w:tc>
          <w:tcPr>
            <w:tcW w:w="3474" w:type="dxa"/>
            <w:shd w:val="clear" w:color="auto" w:fill="F2F2F2"/>
          </w:tcPr>
          <w:p w:rsidR="00911888" w:rsidRPr="00DD3670" w:rsidRDefault="00911888" w:rsidP="00B42A4D">
            <w:pPr>
              <w:pStyle w:val="TableText"/>
            </w:pPr>
            <w:r>
              <w:t>2016-17</w:t>
            </w:r>
          </w:p>
        </w:tc>
        <w:tc>
          <w:tcPr>
            <w:tcW w:w="1701" w:type="dxa"/>
            <w:shd w:val="clear" w:color="auto" w:fill="F2F2F2"/>
          </w:tcPr>
          <w:p w:rsidR="00911888" w:rsidRPr="00DD3670" w:rsidRDefault="00911888" w:rsidP="00B42A4D">
            <w:pPr>
              <w:pStyle w:val="TableText"/>
              <w:jc w:val="right"/>
            </w:pPr>
            <w:r>
              <w:t>9.5</w:t>
            </w:r>
            <w:r w:rsidR="000B22E0">
              <w:t>%</w:t>
            </w:r>
          </w:p>
        </w:tc>
        <w:tc>
          <w:tcPr>
            <w:tcW w:w="1701" w:type="dxa"/>
            <w:shd w:val="clear" w:color="auto" w:fill="F2F2F2"/>
          </w:tcPr>
          <w:p w:rsidR="00911888" w:rsidRPr="00DD3670" w:rsidRDefault="00911888" w:rsidP="00B42A4D">
            <w:pPr>
              <w:pStyle w:val="TableText"/>
              <w:jc w:val="right"/>
            </w:pPr>
            <w:r>
              <w:t>9.6</w:t>
            </w:r>
            <w:r w:rsidR="000B22E0">
              <w:t>%</w:t>
            </w:r>
          </w:p>
        </w:tc>
      </w:tr>
      <w:tr w:rsidR="00911888" w:rsidRPr="00911888" w:rsidTr="00911888">
        <w:trPr>
          <w:cantSplit/>
        </w:trPr>
        <w:tc>
          <w:tcPr>
            <w:tcW w:w="3474" w:type="dxa"/>
            <w:shd w:val="clear" w:color="auto" w:fill="F2F2F2"/>
          </w:tcPr>
          <w:p w:rsidR="00911888" w:rsidRPr="00911888" w:rsidRDefault="00911888" w:rsidP="00B42A4D">
            <w:pPr>
              <w:pStyle w:val="TableText"/>
              <w:rPr>
                <w:b/>
              </w:rPr>
            </w:pPr>
            <w:r w:rsidRPr="00911888">
              <w:rPr>
                <w:b/>
              </w:rPr>
              <w:t>3 year average (p</w:t>
            </w:r>
            <w:r w:rsidR="000B22E0">
              <w:rPr>
                <w:b/>
              </w:rPr>
              <w:t xml:space="preserve">er </w:t>
            </w:r>
            <w:r w:rsidRPr="00911888">
              <w:rPr>
                <w:b/>
              </w:rPr>
              <w:t>a</w:t>
            </w:r>
            <w:r w:rsidR="000B22E0">
              <w:rPr>
                <w:b/>
              </w:rPr>
              <w:t>nnum</w:t>
            </w:r>
            <w:r w:rsidRPr="00911888">
              <w:rPr>
                <w:b/>
              </w:rPr>
              <w:t>)</w:t>
            </w:r>
          </w:p>
        </w:tc>
        <w:tc>
          <w:tcPr>
            <w:tcW w:w="1701" w:type="dxa"/>
            <w:shd w:val="clear" w:color="auto" w:fill="F2F2F2"/>
          </w:tcPr>
          <w:p w:rsidR="00911888" w:rsidRPr="00911888" w:rsidRDefault="00911888" w:rsidP="00B42A4D">
            <w:pPr>
              <w:pStyle w:val="TableText"/>
              <w:jc w:val="right"/>
              <w:rPr>
                <w:b/>
              </w:rPr>
            </w:pPr>
            <w:r w:rsidRPr="00911888">
              <w:rPr>
                <w:b/>
              </w:rPr>
              <w:t>7.7</w:t>
            </w:r>
            <w:r w:rsidR="000B22E0">
              <w:rPr>
                <w:b/>
              </w:rPr>
              <w:t>%</w:t>
            </w:r>
          </w:p>
        </w:tc>
        <w:tc>
          <w:tcPr>
            <w:tcW w:w="1701" w:type="dxa"/>
            <w:shd w:val="clear" w:color="auto" w:fill="F2F2F2"/>
          </w:tcPr>
          <w:p w:rsidR="00911888" w:rsidRPr="00911888" w:rsidRDefault="00911888" w:rsidP="00B42A4D">
            <w:pPr>
              <w:pStyle w:val="TableText"/>
              <w:jc w:val="right"/>
              <w:rPr>
                <w:b/>
              </w:rPr>
            </w:pPr>
            <w:r w:rsidRPr="00911888">
              <w:rPr>
                <w:b/>
              </w:rPr>
              <w:t>7.8</w:t>
            </w:r>
            <w:r w:rsidR="000B22E0">
              <w:rPr>
                <w:b/>
              </w:rPr>
              <w:t>%</w:t>
            </w:r>
          </w:p>
        </w:tc>
      </w:tr>
    </w:tbl>
    <w:p w:rsidR="00536849" w:rsidRPr="000832F2" w:rsidRDefault="00536849" w:rsidP="00536849">
      <w:pPr>
        <w:rPr>
          <w:sz w:val="16"/>
          <w:szCs w:val="16"/>
        </w:rPr>
      </w:pPr>
      <w:r w:rsidRPr="000832F2">
        <w:rPr>
          <w:sz w:val="16"/>
          <w:szCs w:val="16"/>
        </w:rPr>
        <w:t xml:space="preserve">Source: </w:t>
      </w:r>
      <w:r w:rsidR="00527E3A">
        <w:rPr>
          <w:sz w:val="16"/>
          <w:szCs w:val="16"/>
        </w:rPr>
        <w:t xml:space="preserve">Annual Reports </w:t>
      </w:r>
      <w:r w:rsidR="007268C7">
        <w:rPr>
          <w:sz w:val="16"/>
          <w:szCs w:val="16"/>
        </w:rPr>
        <w:t xml:space="preserve">2014-15, 2015-16 and </w:t>
      </w:r>
      <w:r w:rsidR="00527E3A">
        <w:rPr>
          <w:sz w:val="16"/>
          <w:szCs w:val="16"/>
        </w:rPr>
        <w:t>2016-17</w:t>
      </w:r>
      <w:r>
        <w:rPr>
          <w:sz w:val="16"/>
          <w:szCs w:val="16"/>
        </w:rPr>
        <w:t>.</w:t>
      </w:r>
    </w:p>
    <w:p w:rsidR="008754B0" w:rsidRDefault="008754B0" w:rsidP="008754B0">
      <w:bookmarkStart w:id="36" w:name="_Toc508267347"/>
    </w:p>
    <w:p w:rsidR="00676991" w:rsidRPr="00331A3B" w:rsidRDefault="00676991" w:rsidP="00331A3B">
      <w:pPr>
        <w:rPr>
          <w:caps/>
          <w:color w:val="002C77"/>
          <w:spacing w:val="40"/>
        </w:rPr>
      </w:pPr>
      <w:r w:rsidRPr="00331A3B">
        <w:rPr>
          <w:caps/>
          <w:color w:val="002C77"/>
          <w:spacing w:val="40"/>
        </w:rPr>
        <w:t xml:space="preserve">Insurance </w:t>
      </w:r>
      <w:r w:rsidR="00F1082A">
        <w:rPr>
          <w:caps/>
          <w:color w:val="002C77"/>
          <w:spacing w:val="40"/>
        </w:rPr>
        <w:t>Arrangements</w:t>
      </w:r>
      <w:bookmarkEnd w:id="36"/>
    </w:p>
    <w:p w:rsidR="00676991" w:rsidRPr="00676991" w:rsidRDefault="00676991" w:rsidP="00676991"/>
    <w:p w:rsidR="00676991" w:rsidRPr="00676991" w:rsidRDefault="00676991" w:rsidP="00676991">
      <w:r w:rsidRPr="00676991">
        <w:t xml:space="preserve">Standard death and invalidity benefits in the </w:t>
      </w:r>
      <w:r w:rsidR="00C0333F">
        <w:t>PSS and CSS</w:t>
      </w:r>
      <w:r w:rsidRPr="00676991">
        <w:t xml:space="preserve"> are self-insured. We consider this to be appropriate, given the unfunded nature of the schemes, the credit rating of the Australian Government, the ability to spread any risk over a sizeable population</w:t>
      </w:r>
      <w:r w:rsidR="007808DA">
        <w:t>, and that benefits are generally paid as a pension so that payments are spread over many years</w:t>
      </w:r>
      <w:r w:rsidRPr="00676991">
        <w:t>.</w:t>
      </w:r>
    </w:p>
    <w:p w:rsidR="00676991" w:rsidRPr="00676991" w:rsidRDefault="00676991" w:rsidP="00676991"/>
    <w:p w:rsidR="00676991" w:rsidRDefault="00676991" w:rsidP="00676991">
      <w:r w:rsidRPr="00676991">
        <w:t>PSS contributors have the option of taking out additional death and invalidity cover. This additional benefit is covered by an insurance policy held b</w:t>
      </w:r>
      <w:r w:rsidR="00617A89">
        <w:t xml:space="preserve">etween </w:t>
      </w:r>
      <w:r w:rsidR="005424BA">
        <w:t>the trustee</w:t>
      </w:r>
      <w:r w:rsidR="00F77317">
        <w:t xml:space="preserve"> and </w:t>
      </w:r>
      <w:r w:rsidR="00F731F4">
        <w:t>an external commercial insurer</w:t>
      </w:r>
      <w:r w:rsidR="00F77317">
        <w:t xml:space="preserve">. </w:t>
      </w:r>
      <w:r w:rsidR="00CC1176">
        <w:t xml:space="preserve">The cost of the insurance premiums is shared between the member and employer. </w:t>
      </w:r>
    </w:p>
    <w:p w:rsidR="00F37090" w:rsidRPr="00676991" w:rsidRDefault="00F37090" w:rsidP="00676991"/>
    <w:p w:rsidR="00676991" w:rsidRPr="00331A3B" w:rsidRDefault="00676991" w:rsidP="00331A3B">
      <w:pPr>
        <w:rPr>
          <w:caps/>
          <w:color w:val="002C77"/>
          <w:spacing w:val="40"/>
        </w:rPr>
      </w:pPr>
      <w:bookmarkStart w:id="37" w:name="_Toc508267348"/>
      <w:r w:rsidRPr="00331A3B">
        <w:rPr>
          <w:caps/>
          <w:color w:val="002C77"/>
          <w:spacing w:val="40"/>
        </w:rPr>
        <w:t>Changes to Benefits Since 2014</w:t>
      </w:r>
      <w:bookmarkEnd w:id="37"/>
    </w:p>
    <w:p w:rsidR="00676991" w:rsidRPr="00676991" w:rsidRDefault="00676991" w:rsidP="00676991"/>
    <w:p w:rsidR="00676991" w:rsidRPr="00676991" w:rsidRDefault="00676991" w:rsidP="00676991">
      <w:r w:rsidRPr="00676991">
        <w:t xml:space="preserve">There have been no material changes to the benefits provided by the </w:t>
      </w:r>
      <w:r w:rsidR="00C0333F">
        <w:t>PSS and CSS</w:t>
      </w:r>
      <w:r w:rsidRPr="00676991">
        <w:t xml:space="preserve"> since the previous </w:t>
      </w:r>
      <w:r>
        <w:t>long term cost report</w:t>
      </w:r>
      <w:r w:rsidRPr="00676991">
        <w:t xml:space="preserve"> as at 30 June 201</w:t>
      </w:r>
      <w:r>
        <w:t>4</w:t>
      </w:r>
      <w:r w:rsidRPr="00676991">
        <w:t>.</w:t>
      </w:r>
    </w:p>
    <w:p w:rsidR="00BF3B60" w:rsidRDefault="00BF3B60" w:rsidP="00240871"/>
    <w:p w:rsidR="00BF3B60" w:rsidRDefault="00BF3B60" w:rsidP="00BF3B60">
      <w:pPr>
        <w:pStyle w:val="SectionStart"/>
        <w:pBdr>
          <w:bottom w:val="single" w:sz="12" w:space="1" w:color="auto"/>
        </w:pBdr>
        <w:spacing w:before="0" w:after="380"/>
      </w:pPr>
    </w:p>
    <w:p w:rsidR="00BF3B60" w:rsidRDefault="00BF3B60" w:rsidP="00240871">
      <w:pPr>
        <w:pStyle w:val="Heading1"/>
        <w:numPr>
          <w:ilvl w:val="0"/>
          <w:numId w:val="13"/>
        </w:numPr>
        <w:spacing w:after="240"/>
      </w:pPr>
      <w:bookmarkStart w:id="38" w:name="_Toc325023260"/>
      <w:bookmarkStart w:id="39" w:name="_Toc493666044"/>
      <w:bookmarkStart w:id="40" w:name="_Toc508267349"/>
      <w:bookmarkStart w:id="41" w:name="_Toc511315165"/>
      <w:bookmarkStart w:id="42" w:name="_Toc511313519"/>
      <w:bookmarkStart w:id="43" w:name="_Toc511385929"/>
      <w:bookmarkStart w:id="44" w:name="_Toc517706062"/>
      <w:r>
        <w:t>Membership and Data</w:t>
      </w:r>
      <w:bookmarkEnd w:id="38"/>
      <w:bookmarkEnd w:id="39"/>
      <w:bookmarkEnd w:id="40"/>
      <w:bookmarkEnd w:id="41"/>
      <w:bookmarkEnd w:id="42"/>
      <w:bookmarkEnd w:id="43"/>
      <w:bookmarkEnd w:id="44"/>
    </w:p>
    <w:p w:rsidR="00C250FF" w:rsidRDefault="00676991" w:rsidP="00676991">
      <w:r w:rsidRPr="00676991">
        <w:t xml:space="preserve">Data relating to the membership of the </w:t>
      </w:r>
      <w:r w:rsidR="00C0333F">
        <w:t>PSS and CSS</w:t>
      </w:r>
      <w:r w:rsidRPr="00676991">
        <w:t xml:space="preserve"> was provided </w:t>
      </w:r>
      <w:r w:rsidR="007808DA">
        <w:t xml:space="preserve">to us </w:t>
      </w:r>
      <w:r w:rsidRPr="00676991">
        <w:t xml:space="preserve">by </w:t>
      </w:r>
      <w:r w:rsidR="00E21C7B">
        <w:t>the Commonwealth Superannuation Corporation (CSC)</w:t>
      </w:r>
      <w:r w:rsidRPr="00676991">
        <w:t>, the schemes’ administrator</w:t>
      </w:r>
      <w:r w:rsidR="00F359CE">
        <w:t xml:space="preserve"> and trustee</w:t>
      </w:r>
      <w:r w:rsidRPr="00676991">
        <w:t>.</w:t>
      </w:r>
      <w:r w:rsidR="00C17ED5">
        <w:t xml:space="preserve"> </w:t>
      </w:r>
      <w:r w:rsidR="00C17ED5">
        <w:rPr>
          <w:szCs w:val="22"/>
        </w:rPr>
        <w:t>M</w:t>
      </w:r>
      <w:r w:rsidR="00624984">
        <w:rPr>
          <w:szCs w:val="22"/>
        </w:rPr>
        <w:t>embership is grouped into three broad categories:</w:t>
      </w:r>
    </w:p>
    <w:p w:rsidR="00624984" w:rsidRDefault="00624984" w:rsidP="00624984">
      <w:pPr>
        <w:rPr>
          <w:szCs w:val="22"/>
        </w:rPr>
      </w:pPr>
    </w:p>
    <w:tbl>
      <w:tblPr>
        <w:tblW w:w="9193"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3064"/>
        <w:gridCol w:w="3064"/>
        <w:gridCol w:w="3065"/>
      </w:tblGrid>
      <w:tr w:rsidR="00624984" w:rsidRPr="008B6F35" w:rsidTr="00582E2E">
        <w:trPr>
          <w:cantSplit/>
          <w:tblHeader/>
        </w:trPr>
        <w:tc>
          <w:tcPr>
            <w:tcW w:w="3064" w:type="dxa"/>
            <w:shd w:val="clear" w:color="auto" w:fill="00A8C8"/>
            <w:noWrap/>
            <w:hideMark/>
          </w:tcPr>
          <w:p w:rsidR="00624984" w:rsidRPr="008B6F35" w:rsidRDefault="00624984" w:rsidP="00582E2E">
            <w:pPr>
              <w:pStyle w:val="TableHeadingText"/>
              <w:jc w:val="center"/>
              <w:rPr>
                <w:caps w:val="0"/>
              </w:rPr>
            </w:pPr>
            <w:r>
              <w:rPr>
                <w:caps w:val="0"/>
              </w:rPr>
              <w:t>Contributors</w:t>
            </w:r>
          </w:p>
        </w:tc>
        <w:tc>
          <w:tcPr>
            <w:tcW w:w="3064" w:type="dxa"/>
            <w:shd w:val="clear" w:color="auto" w:fill="00A8C8"/>
          </w:tcPr>
          <w:p w:rsidR="00624984" w:rsidRPr="008B6F35" w:rsidRDefault="00624984" w:rsidP="00582E2E">
            <w:pPr>
              <w:pStyle w:val="TableHeadingText"/>
              <w:jc w:val="center"/>
              <w:rPr>
                <w:caps w:val="0"/>
              </w:rPr>
            </w:pPr>
            <w:r>
              <w:rPr>
                <w:caps w:val="0"/>
              </w:rPr>
              <w:t>Deferred/Preserved</w:t>
            </w:r>
          </w:p>
        </w:tc>
        <w:tc>
          <w:tcPr>
            <w:tcW w:w="3065" w:type="dxa"/>
            <w:shd w:val="clear" w:color="auto" w:fill="00A8C8"/>
          </w:tcPr>
          <w:p w:rsidR="00624984" w:rsidRPr="008B6F35" w:rsidRDefault="00624984" w:rsidP="00582E2E">
            <w:pPr>
              <w:pStyle w:val="TableHeadingText"/>
              <w:jc w:val="center"/>
              <w:rPr>
                <w:caps w:val="0"/>
              </w:rPr>
            </w:pPr>
            <w:r>
              <w:rPr>
                <w:caps w:val="0"/>
              </w:rPr>
              <w:t>Pensioners</w:t>
            </w:r>
          </w:p>
        </w:tc>
      </w:tr>
      <w:tr w:rsidR="00624984" w:rsidRPr="008B6F35" w:rsidTr="00582E2E">
        <w:trPr>
          <w:cantSplit/>
        </w:trPr>
        <w:tc>
          <w:tcPr>
            <w:tcW w:w="3064" w:type="dxa"/>
            <w:shd w:val="clear" w:color="auto" w:fill="F2F2F2"/>
            <w:noWrap/>
          </w:tcPr>
          <w:p w:rsidR="00624984" w:rsidRPr="008B6F35" w:rsidRDefault="00624984" w:rsidP="000C466A">
            <w:pPr>
              <w:pStyle w:val="TableText"/>
              <w:jc w:val="center"/>
            </w:pPr>
            <w:r>
              <w:t xml:space="preserve">Currently employed by a participating scheme employer and </w:t>
            </w:r>
            <w:r w:rsidR="000C466A">
              <w:t>a member of</w:t>
            </w:r>
            <w:r>
              <w:t xml:space="preserve"> the scheme. </w:t>
            </w:r>
          </w:p>
        </w:tc>
        <w:tc>
          <w:tcPr>
            <w:tcW w:w="3064" w:type="dxa"/>
            <w:shd w:val="clear" w:color="auto" w:fill="F2F2F2"/>
          </w:tcPr>
          <w:p w:rsidR="00624984" w:rsidRPr="00C705E1" w:rsidRDefault="00624984" w:rsidP="00582E2E">
            <w:pPr>
              <w:pStyle w:val="TableText"/>
              <w:jc w:val="center"/>
            </w:pPr>
            <w:r>
              <w:t>No longer employed by a participating employer but maintain</w:t>
            </w:r>
            <w:r w:rsidR="00B7219E">
              <w:t>s</w:t>
            </w:r>
            <w:r>
              <w:t xml:space="preserve"> an account within the scheme. Can generally recommence contributions if re-employed by </w:t>
            </w:r>
            <w:r w:rsidR="00B7219E">
              <w:t xml:space="preserve">a </w:t>
            </w:r>
            <w:r>
              <w:t>participating employer.</w:t>
            </w:r>
          </w:p>
        </w:tc>
        <w:tc>
          <w:tcPr>
            <w:tcW w:w="3065" w:type="dxa"/>
            <w:shd w:val="clear" w:color="auto" w:fill="F2F2F2"/>
          </w:tcPr>
          <w:p w:rsidR="00624984" w:rsidRPr="00C705E1" w:rsidRDefault="00B7219E" w:rsidP="00582E2E">
            <w:pPr>
              <w:pStyle w:val="TableText"/>
              <w:jc w:val="center"/>
            </w:pPr>
            <w:r>
              <w:t>Members in receipt of a pension benefit</w:t>
            </w:r>
            <w:r w:rsidR="00624984">
              <w:t>. Includes dependant pensioners who are the eligible spouses and/or children of deceased members</w:t>
            </w:r>
            <w:r w:rsidR="00692EE8">
              <w:t xml:space="preserve"> or pensioners</w:t>
            </w:r>
            <w:r w:rsidR="00624984">
              <w:t>.</w:t>
            </w:r>
          </w:p>
        </w:tc>
      </w:tr>
    </w:tbl>
    <w:p w:rsidR="00EA0BB9" w:rsidRDefault="00EA0BB9" w:rsidP="00EA0BB9"/>
    <w:p w:rsidR="00676991" w:rsidRPr="00676991" w:rsidRDefault="00624984" w:rsidP="00676991">
      <w:r>
        <w:t>Detailed m</w:t>
      </w:r>
      <w:r w:rsidR="00C250FF">
        <w:t>embership d</w:t>
      </w:r>
      <w:r w:rsidR="00676991" w:rsidRPr="00676991">
        <w:t xml:space="preserve">ata </w:t>
      </w:r>
      <w:r w:rsidR="00C250FF">
        <w:t xml:space="preserve">provided for the purposes of this investigation </w:t>
      </w:r>
      <w:r w:rsidR="00676991" w:rsidRPr="00676991">
        <w:t>include</w:t>
      </w:r>
      <w:r w:rsidR="00C250FF">
        <w:t>d</w:t>
      </w:r>
      <w:r w:rsidR="00676991" w:rsidRPr="00676991">
        <w:t>:</w:t>
      </w:r>
    </w:p>
    <w:p w:rsidR="00676991" w:rsidRPr="00676991" w:rsidRDefault="00624984" w:rsidP="00676991">
      <w:pPr>
        <w:pStyle w:val="ListBullet"/>
      </w:pPr>
      <w:r>
        <w:t>benefit entitlements for</w:t>
      </w:r>
      <w:r w:rsidR="00676991" w:rsidRPr="00676991">
        <w:t xml:space="preserve"> </w:t>
      </w:r>
      <w:r w:rsidR="00F359CE">
        <w:t xml:space="preserve">all </w:t>
      </w:r>
      <w:r w:rsidR="00676991" w:rsidRPr="00676991">
        <w:t>contributor</w:t>
      </w:r>
      <w:r w:rsidR="00C250FF">
        <w:t>s</w:t>
      </w:r>
      <w:r w:rsidR="00676991" w:rsidRPr="00676991">
        <w:t xml:space="preserve">, </w:t>
      </w:r>
      <w:r w:rsidR="00E21C7B">
        <w:t>deferred/</w:t>
      </w:r>
      <w:r w:rsidR="00676991" w:rsidRPr="00676991">
        <w:t xml:space="preserve">preserved </w:t>
      </w:r>
      <w:r w:rsidR="00107A20">
        <w:t>members</w:t>
      </w:r>
      <w:r w:rsidR="00C250FF">
        <w:t xml:space="preserve"> and pensioners </w:t>
      </w:r>
      <w:r w:rsidR="00676991" w:rsidRPr="00676991">
        <w:t xml:space="preserve">of the </w:t>
      </w:r>
      <w:r w:rsidR="00C0333F">
        <w:t>PSS and CSS</w:t>
      </w:r>
      <w:r w:rsidR="00676991" w:rsidRPr="00676991">
        <w:t xml:space="preserve"> as at</w:t>
      </w:r>
      <w:r w:rsidR="00E21C7B">
        <w:t xml:space="preserve"> </w:t>
      </w:r>
      <w:r w:rsidR="00676991" w:rsidRPr="00676991">
        <w:t>30 June 201</w:t>
      </w:r>
      <w:r w:rsidR="00E21C7B">
        <w:t>7</w:t>
      </w:r>
      <w:r w:rsidR="00676991" w:rsidRPr="00676991">
        <w:t>; and</w:t>
      </w:r>
    </w:p>
    <w:p w:rsidR="00676991" w:rsidRPr="00676991" w:rsidRDefault="00676991" w:rsidP="00676991">
      <w:pPr>
        <w:pStyle w:val="ListBullet"/>
      </w:pPr>
      <w:r w:rsidRPr="00676991">
        <w:t>contributor</w:t>
      </w:r>
      <w:r w:rsidR="00C250FF">
        <w:t xml:space="preserve"> </w:t>
      </w:r>
      <w:r w:rsidRPr="00676991">
        <w:t xml:space="preserve">and </w:t>
      </w:r>
      <w:r w:rsidR="00617A89">
        <w:t>deferred/</w:t>
      </w:r>
      <w:r w:rsidRPr="00676991">
        <w:t xml:space="preserve">preserved </w:t>
      </w:r>
      <w:r w:rsidR="00107A20">
        <w:t>member</w:t>
      </w:r>
      <w:r w:rsidR="00F359CE">
        <w:t xml:space="preserve"> exits</w:t>
      </w:r>
      <w:r w:rsidR="00617A89">
        <w:t xml:space="preserve"> </w:t>
      </w:r>
      <w:r w:rsidRPr="00676991">
        <w:t xml:space="preserve">from the </w:t>
      </w:r>
      <w:r w:rsidR="00C0333F">
        <w:t>PSS and CSS</w:t>
      </w:r>
      <w:r w:rsidRPr="00676991">
        <w:t xml:space="preserve"> during the three year period from 1 July 201</w:t>
      </w:r>
      <w:r w:rsidR="00E21C7B">
        <w:t>4</w:t>
      </w:r>
      <w:r w:rsidRPr="00676991">
        <w:t xml:space="preserve"> to 30 June 201</w:t>
      </w:r>
      <w:r w:rsidR="00E21C7B">
        <w:t>7</w:t>
      </w:r>
      <w:r w:rsidRPr="00676991">
        <w:t>.</w:t>
      </w:r>
    </w:p>
    <w:p w:rsidR="00676991" w:rsidRDefault="00676991" w:rsidP="00676991"/>
    <w:p w:rsidR="00C250FF" w:rsidRDefault="00C250FF" w:rsidP="00C250FF">
      <w:r>
        <w:t xml:space="preserve">Following a family </w:t>
      </w:r>
      <w:r w:rsidR="00624984">
        <w:t>l</w:t>
      </w:r>
      <w:r w:rsidR="00AC1DE4">
        <w:t>a</w:t>
      </w:r>
      <w:r w:rsidR="007808DA">
        <w:t>w</w:t>
      </w:r>
      <w:r>
        <w:t xml:space="preserve"> split, an associate record may be established for the former spouse. For the purposes of this investigation, associate records are </w:t>
      </w:r>
      <w:r w:rsidR="00EA000C">
        <w:t xml:space="preserve">classified </w:t>
      </w:r>
      <w:r>
        <w:t xml:space="preserve">as deferred/preserved members if the entitlement is yet to be paid or </w:t>
      </w:r>
      <w:r w:rsidRPr="0048056B">
        <w:t>as depend</w:t>
      </w:r>
      <w:r w:rsidR="0081311D">
        <w:t>a</w:t>
      </w:r>
      <w:r w:rsidRPr="0048056B">
        <w:t xml:space="preserve">nt pensioners if a pension </w:t>
      </w:r>
      <w:r w:rsidR="00F359CE" w:rsidRPr="0048056B">
        <w:t>is being paid</w:t>
      </w:r>
      <w:r w:rsidRPr="0048056B">
        <w:t>.</w:t>
      </w:r>
    </w:p>
    <w:p w:rsidR="00C250FF" w:rsidRDefault="00C250FF" w:rsidP="00676991"/>
    <w:p w:rsidR="00E21C7B" w:rsidRDefault="00676991" w:rsidP="00676991">
      <w:pPr>
        <w:rPr>
          <w:szCs w:val="22"/>
        </w:rPr>
      </w:pPr>
      <w:r w:rsidRPr="00676991">
        <w:t xml:space="preserve">A range of validity data checks </w:t>
      </w:r>
      <w:r w:rsidR="00E21C7B">
        <w:t xml:space="preserve">is </w:t>
      </w:r>
      <w:r w:rsidRPr="00676991">
        <w:t xml:space="preserve">conducted by </w:t>
      </w:r>
      <w:r w:rsidR="00E21C7B">
        <w:t xml:space="preserve">CSC </w:t>
      </w:r>
      <w:r w:rsidRPr="00676991">
        <w:t xml:space="preserve">prior to the data being provided to Mercer. </w:t>
      </w:r>
      <w:r w:rsidR="00E21C7B">
        <w:t xml:space="preserve">Mercer has </w:t>
      </w:r>
      <w:r w:rsidR="00E21C7B" w:rsidRPr="008A40CF">
        <w:t>reviewed the</w:t>
      </w:r>
      <w:r w:rsidR="00E21C7B">
        <w:t xml:space="preserve"> </w:t>
      </w:r>
      <w:r w:rsidR="00E21C7B" w:rsidRPr="008A40CF">
        <w:t xml:space="preserve">data for internal consistency and </w:t>
      </w:r>
      <w:r w:rsidR="00625E56">
        <w:t xml:space="preserve">has </w:t>
      </w:r>
      <w:r w:rsidR="00BF1B51">
        <w:t>conducted a range of</w:t>
      </w:r>
      <w:r w:rsidR="00625E56">
        <w:t xml:space="preserve"> general</w:t>
      </w:r>
      <w:r w:rsidR="00BF1B51">
        <w:t xml:space="preserve"> reasonableness checks, including member movements, changes in salary and account balances, benefit payments and accruals</w:t>
      </w:r>
      <w:r w:rsidR="00625E56">
        <w:t>, but has not verified or audited any of the information provided.</w:t>
      </w:r>
      <w:r w:rsidR="00EA0BB9">
        <w:t xml:space="preserve"> </w:t>
      </w:r>
      <w:r w:rsidR="00E21C7B">
        <w:t xml:space="preserve">However, we are satisfied that the data is sufficiently accurate for the stated purpose. </w:t>
      </w:r>
      <w:r w:rsidR="00B7371D">
        <w:t xml:space="preserve">The schemes’ administrator and trustee </w:t>
      </w:r>
      <w:r w:rsidR="00E21C7B" w:rsidRPr="00B7371D">
        <w:t>are</w:t>
      </w:r>
      <w:r w:rsidR="00E21C7B" w:rsidRPr="00B7371D">
        <w:rPr>
          <w:szCs w:val="22"/>
        </w:rPr>
        <w:t xml:space="preserve"> ultimately responsible for the validity, accuracy and comprehensiveness of this informa</w:t>
      </w:r>
      <w:r w:rsidR="00E21C7B">
        <w:rPr>
          <w:szCs w:val="22"/>
        </w:rPr>
        <w:t>tion.</w:t>
      </w:r>
    </w:p>
    <w:p w:rsidR="00676991" w:rsidRDefault="00676991" w:rsidP="00676991"/>
    <w:p w:rsidR="00EF0022" w:rsidRDefault="00EF0022">
      <w:pPr>
        <w:spacing w:line="240" w:lineRule="auto"/>
      </w:pPr>
      <w:r>
        <w:br w:type="page"/>
      </w:r>
    </w:p>
    <w:p w:rsidR="00E2094E" w:rsidRPr="00676991" w:rsidRDefault="00E2094E" w:rsidP="00E2094E">
      <w:r w:rsidRPr="00676991">
        <w:lastRenderedPageBreak/>
        <w:t>The membership as at 30 June 201</w:t>
      </w:r>
      <w:r>
        <w:t>7 is summarised below</w:t>
      </w:r>
      <w:r w:rsidRPr="00676991">
        <w:t>:</w:t>
      </w:r>
    </w:p>
    <w:p w:rsidR="00E2094E" w:rsidRDefault="00E2094E" w:rsidP="00E2094E"/>
    <w:tbl>
      <w:tblPr>
        <w:tblStyle w:val="TableGrid"/>
        <w:tblW w:w="0" w:type="auto"/>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84"/>
        <w:gridCol w:w="1134"/>
        <w:gridCol w:w="1417"/>
        <w:gridCol w:w="1417"/>
        <w:gridCol w:w="1418"/>
        <w:gridCol w:w="1323"/>
        <w:gridCol w:w="1323"/>
        <w:gridCol w:w="1323"/>
      </w:tblGrid>
      <w:tr w:rsidR="00E2094E" w:rsidRPr="00E3054F" w:rsidTr="00EC0997">
        <w:trPr>
          <w:cantSplit/>
          <w:trHeight w:val="323"/>
          <w:tblHeader/>
        </w:trPr>
        <w:tc>
          <w:tcPr>
            <w:tcW w:w="1418" w:type="dxa"/>
            <w:gridSpan w:val="2"/>
            <w:vMerge w:val="restart"/>
            <w:shd w:val="clear" w:color="auto" w:fill="00A8C8"/>
            <w:vAlign w:val="center"/>
          </w:tcPr>
          <w:p w:rsidR="00E2094E" w:rsidRPr="00E3054F" w:rsidRDefault="00E2094E" w:rsidP="00EC0997">
            <w:pPr>
              <w:pStyle w:val="TableHeadingText"/>
              <w:rPr>
                <w:caps w:val="0"/>
              </w:rPr>
            </w:pPr>
            <w:r>
              <w:rPr>
                <w:caps w:val="0"/>
              </w:rPr>
              <w:t xml:space="preserve">As at </w:t>
            </w:r>
            <w:r>
              <w:rPr>
                <w:caps w:val="0"/>
              </w:rPr>
              <w:br/>
              <w:t>30/06/17</w:t>
            </w:r>
          </w:p>
        </w:tc>
        <w:tc>
          <w:tcPr>
            <w:tcW w:w="4252" w:type="dxa"/>
            <w:gridSpan w:val="3"/>
            <w:shd w:val="clear" w:color="auto" w:fill="00A8C8"/>
            <w:vAlign w:val="center"/>
          </w:tcPr>
          <w:p w:rsidR="00E2094E" w:rsidRPr="00E3054F" w:rsidRDefault="00E2094E" w:rsidP="00EC0997">
            <w:pPr>
              <w:pStyle w:val="TableHeadingText"/>
              <w:jc w:val="center"/>
              <w:rPr>
                <w:caps w:val="0"/>
              </w:rPr>
            </w:pPr>
            <w:r>
              <w:rPr>
                <w:caps w:val="0"/>
              </w:rPr>
              <w:t>Headcount</w:t>
            </w:r>
          </w:p>
        </w:tc>
        <w:tc>
          <w:tcPr>
            <w:tcW w:w="1323" w:type="dxa"/>
            <w:vMerge w:val="restart"/>
            <w:shd w:val="clear" w:color="auto" w:fill="00A8C8"/>
            <w:vAlign w:val="center"/>
          </w:tcPr>
          <w:p w:rsidR="00E2094E" w:rsidRPr="00E3054F" w:rsidRDefault="00E2094E" w:rsidP="00EC0997">
            <w:pPr>
              <w:pStyle w:val="TableHeadingText"/>
              <w:jc w:val="center"/>
              <w:rPr>
                <w:caps w:val="0"/>
              </w:rPr>
            </w:pPr>
            <w:r>
              <w:rPr>
                <w:caps w:val="0"/>
              </w:rPr>
              <w:t>Average Age</w:t>
            </w:r>
          </w:p>
        </w:tc>
        <w:tc>
          <w:tcPr>
            <w:tcW w:w="1323" w:type="dxa"/>
            <w:vMerge w:val="restart"/>
            <w:shd w:val="clear" w:color="auto" w:fill="00A8C8"/>
            <w:vAlign w:val="center"/>
          </w:tcPr>
          <w:p w:rsidR="00E2094E" w:rsidRPr="00E3054F" w:rsidRDefault="00E2094E" w:rsidP="00EC0997">
            <w:pPr>
              <w:pStyle w:val="TableHeadingText"/>
              <w:jc w:val="center"/>
              <w:rPr>
                <w:caps w:val="0"/>
              </w:rPr>
            </w:pPr>
            <w:r>
              <w:rPr>
                <w:caps w:val="0"/>
              </w:rPr>
              <w:t>Average Service</w:t>
            </w:r>
          </w:p>
        </w:tc>
        <w:tc>
          <w:tcPr>
            <w:tcW w:w="1323" w:type="dxa"/>
            <w:vMerge w:val="restart"/>
            <w:shd w:val="clear" w:color="auto" w:fill="00A8C8"/>
            <w:vAlign w:val="center"/>
          </w:tcPr>
          <w:p w:rsidR="00E2094E" w:rsidRPr="00E3054F" w:rsidRDefault="00E2094E" w:rsidP="00EC0997">
            <w:pPr>
              <w:pStyle w:val="TableHeadingText"/>
              <w:jc w:val="center"/>
              <w:rPr>
                <w:caps w:val="0"/>
              </w:rPr>
            </w:pPr>
            <w:r>
              <w:rPr>
                <w:caps w:val="0"/>
              </w:rPr>
              <w:t>Average Annual Salary</w:t>
            </w:r>
          </w:p>
        </w:tc>
      </w:tr>
      <w:tr w:rsidR="00E2094E" w:rsidRPr="00E3054F" w:rsidTr="00EC0997">
        <w:trPr>
          <w:cantSplit/>
          <w:trHeight w:val="322"/>
          <w:tblHeader/>
        </w:trPr>
        <w:tc>
          <w:tcPr>
            <w:tcW w:w="1418" w:type="dxa"/>
            <w:gridSpan w:val="2"/>
            <w:vMerge/>
            <w:shd w:val="clear" w:color="auto" w:fill="00A8C8"/>
          </w:tcPr>
          <w:p w:rsidR="00E2094E" w:rsidRDefault="00E2094E" w:rsidP="00EC0997">
            <w:pPr>
              <w:pStyle w:val="TableHeadingText"/>
              <w:rPr>
                <w:caps w:val="0"/>
              </w:rPr>
            </w:pPr>
          </w:p>
        </w:tc>
        <w:tc>
          <w:tcPr>
            <w:tcW w:w="1417" w:type="dxa"/>
            <w:shd w:val="clear" w:color="auto" w:fill="00A8C8"/>
            <w:vAlign w:val="center"/>
          </w:tcPr>
          <w:p w:rsidR="00E2094E" w:rsidRPr="00E3054F" w:rsidRDefault="00E2094E" w:rsidP="00EC0997">
            <w:pPr>
              <w:pStyle w:val="TableHeadingText"/>
              <w:jc w:val="center"/>
              <w:rPr>
                <w:caps w:val="0"/>
              </w:rPr>
            </w:pPr>
            <w:r>
              <w:rPr>
                <w:caps w:val="0"/>
              </w:rPr>
              <w:t>Males</w:t>
            </w:r>
          </w:p>
        </w:tc>
        <w:tc>
          <w:tcPr>
            <w:tcW w:w="1417" w:type="dxa"/>
            <w:shd w:val="clear" w:color="auto" w:fill="00A8C8"/>
            <w:vAlign w:val="center"/>
          </w:tcPr>
          <w:p w:rsidR="00E2094E" w:rsidRPr="00E3054F" w:rsidRDefault="00E2094E" w:rsidP="00EC0997">
            <w:pPr>
              <w:pStyle w:val="TableHeadingText"/>
              <w:jc w:val="center"/>
              <w:rPr>
                <w:caps w:val="0"/>
              </w:rPr>
            </w:pPr>
            <w:r>
              <w:rPr>
                <w:caps w:val="0"/>
              </w:rPr>
              <w:t>Females</w:t>
            </w:r>
          </w:p>
        </w:tc>
        <w:tc>
          <w:tcPr>
            <w:tcW w:w="1418" w:type="dxa"/>
            <w:shd w:val="clear" w:color="auto" w:fill="00A8C8"/>
            <w:vAlign w:val="center"/>
          </w:tcPr>
          <w:p w:rsidR="00E2094E" w:rsidRPr="00E3054F" w:rsidRDefault="00E2094E" w:rsidP="00EC0997">
            <w:pPr>
              <w:pStyle w:val="TableHeadingText"/>
              <w:jc w:val="center"/>
              <w:rPr>
                <w:caps w:val="0"/>
              </w:rPr>
            </w:pPr>
            <w:r>
              <w:rPr>
                <w:caps w:val="0"/>
              </w:rPr>
              <w:t>Total</w:t>
            </w:r>
          </w:p>
        </w:tc>
        <w:tc>
          <w:tcPr>
            <w:tcW w:w="1323" w:type="dxa"/>
            <w:vMerge/>
            <w:shd w:val="clear" w:color="auto" w:fill="00A8C8"/>
            <w:vAlign w:val="center"/>
          </w:tcPr>
          <w:p w:rsidR="00E2094E" w:rsidRPr="00E3054F" w:rsidRDefault="00E2094E" w:rsidP="00EC0997">
            <w:pPr>
              <w:pStyle w:val="TableHeadingText"/>
              <w:jc w:val="center"/>
              <w:rPr>
                <w:caps w:val="0"/>
              </w:rPr>
            </w:pPr>
          </w:p>
        </w:tc>
        <w:tc>
          <w:tcPr>
            <w:tcW w:w="1323" w:type="dxa"/>
            <w:vMerge/>
            <w:shd w:val="clear" w:color="auto" w:fill="00A8C8"/>
            <w:vAlign w:val="center"/>
          </w:tcPr>
          <w:p w:rsidR="00E2094E" w:rsidRPr="00E3054F" w:rsidRDefault="00E2094E" w:rsidP="00EC0997">
            <w:pPr>
              <w:pStyle w:val="TableHeadingText"/>
              <w:jc w:val="center"/>
              <w:rPr>
                <w:caps w:val="0"/>
              </w:rPr>
            </w:pPr>
          </w:p>
        </w:tc>
        <w:tc>
          <w:tcPr>
            <w:tcW w:w="1323" w:type="dxa"/>
            <w:vMerge/>
            <w:shd w:val="clear" w:color="auto" w:fill="00A8C8"/>
            <w:vAlign w:val="center"/>
          </w:tcPr>
          <w:p w:rsidR="00E2094E" w:rsidRPr="00E3054F" w:rsidRDefault="00E2094E" w:rsidP="00EC0997">
            <w:pPr>
              <w:pStyle w:val="TableHeadingText"/>
              <w:jc w:val="center"/>
              <w:rPr>
                <w:caps w:val="0"/>
              </w:rPr>
            </w:pPr>
          </w:p>
        </w:tc>
      </w:tr>
      <w:tr w:rsidR="00E2094E" w:rsidRPr="00E3054F" w:rsidTr="00EC0997">
        <w:trPr>
          <w:cantSplit/>
        </w:trPr>
        <w:tc>
          <w:tcPr>
            <w:tcW w:w="9639" w:type="dxa"/>
            <w:gridSpan w:val="8"/>
            <w:shd w:val="clear" w:color="auto" w:fill="F2F2F2"/>
          </w:tcPr>
          <w:p w:rsidR="00E2094E" w:rsidRPr="00E3054F" w:rsidRDefault="00E2094E" w:rsidP="00EC0997">
            <w:pPr>
              <w:pStyle w:val="TableText"/>
            </w:pPr>
            <w:r>
              <w:t>Contributors</w:t>
            </w:r>
          </w:p>
        </w:tc>
      </w:tr>
      <w:tr w:rsidR="00E2094E" w:rsidRPr="00E3054F" w:rsidTr="00EC0997">
        <w:trPr>
          <w:cantSplit/>
        </w:trPr>
        <w:tc>
          <w:tcPr>
            <w:tcW w:w="284" w:type="dxa"/>
            <w:shd w:val="clear" w:color="auto" w:fill="F2F2F2"/>
          </w:tcPr>
          <w:p w:rsidR="00E2094E" w:rsidRPr="00E3054F" w:rsidRDefault="00E2094E" w:rsidP="00EC0997">
            <w:pPr>
              <w:pStyle w:val="TableText"/>
            </w:pPr>
          </w:p>
        </w:tc>
        <w:tc>
          <w:tcPr>
            <w:tcW w:w="1134" w:type="dxa"/>
            <w:shd w:val="clear" w:color="auto" w:fill="F2F2F2"/>
          </w:tcPr>
          <w:p w:rsidR="00E2094E" w:rsidRPr="00E3054F" w:rsidRDefault="00E2094E" w:rsidP="00EC0997">
            <w:pPr>
              <w:pStyle w:val="TableText"/>
            </w:pPr>
            <w:r>
              <w:t>CSS</w:t>
            </w:r>
          </w:p>
        </w:tc>
        <w:tc>
          <w:tcPr>
            <w:tcW w:w="1417" w:type="dxa"/>
            <w:shd w:val="clear" w:color="auto" w:fill="F2F2F2"/>
          </w:tcPr>
          <w:p w:rsidR="00E2094E" w:rsidRPr="00E3054F" w:rsidRDefault="00E2094E" w:rsidP="00EC0997">
            <w:pPr>
              <w:pStyle w:val="TableText"/>
              <w:jc w:val="center"/>
            </w:pPr>
            <w:r>
              <w:t>3,655</w:t>
            </w:r>
          </w:p>
        </w:tc>
        <w:tc>
          <w:tcPr>
            <w:tcW w:w="1417" w:type="dxa"/>
            <w:shd w:val="clear" w:color="auto" w:fill="F2F2F2"/>
          </w:tcPr>
          <w:p w:rsidR="00E2094E" w:rsidRPr="00E3054F" w:rsidRDefault="00E2094E" w:rsidP="00EC0997">
            <w:pPr>
              <w:pStyle w:val="TableText"/>
              <w:jc w:val="center"/>
            </w:pPr>
            <w:r>
              <w:t>2,132</w:t>
            </w:r>
          </w:p>
        </w:tc>
        <w:tc>
          <w:tcPr>
            <w:tcW w:w="1418" w:type="dxa"/>
            <w:shd w:val="clear" w:color="auto" w:fill="F2F2F2"/>
          </w:tcPr>
          <w:p w:rsidR="00E2094E" w:rsidRPr="00E3054F" w:rsidRDefault="00E2094E" w:rsidP="00EC0997">
            <w:pPr>
              <w:pStyle w:val="TableText"/>
              <w:jc w:val="center"/>
            </w:pPr>
            <w:r>
              <w:t>5,787</w:t>
            </w:r>
          </w:p>
        </w:tc>
        <w:tc>
          <w:tcPr>
            <w:tcW w:w="1323" w:type="dxa"/>
            <w:shd w:val="clear" w:color="auto" w:fill="F2F2F2"/>
          </w:tcPr>
          <w:p w:rsidR="00E2094E" w:rsidRPr="00E3054F" w:rsidRDefault="00E2094E" w:rsidP="00EC0997">
            <w:pPr>
              <w:pStyle w:val="TableText"/>
              <w:jc w:val="center"/>
            </w:pPr>
            <w:r>
              <w:t>55.7</w:t>
            </w:r>
          </w:p>
        </w:tc>
        <w:tc>
          <w:tcPr>
            <w:tcW w:w="1323" w:type="dxa"/>
            <w:shd w:val="clear" w:color="auto" w:fill="F2F2F2"/>
          </w:tcPr>
          <w:p w:rsidR="00E2094E" w:rsidRPr="00E3054F" w:rsidRDefault="00E2094E" w:rsidP="00EC0997">
            <w:pPr>
              <w:pStyle w:val="TableText"/>
              <w:jc w:val="center"/>
            </w:pPr>
            <w:r>
              <w:t>30.5</w:t>
            </w:r>
          </w:p>
        </w:tc>
        <w:tc>
          <w:tcPr>
            <w:tcW w:w="1323" w:type="dxa"/>
            <w:shd w:val="clear" w:color="auto" w:fill="F2F2F2"/>
          </w:tcPr>
          <w:p w:rsidR="00E2094E" w:rsidRPr="00E3054F" w:rsidRDefault="00394AD2" w:rsidP="00EC0997">
            <w:pPr>
              <w:pStyle w:val="TableText"/>
              <w:jc w:val="center"/>
            </w:pPr>
            <w:r>
              <w:t>$</w:t>
            </w:r>
            <w:r w:rsidR="00E2094E">
              <w:t>120,192</w:t>
            </w:r>
          </w:p>
        </w:tc>
      </w:tr>
      <w:tr w:rsidR="00E2094E" w:rsidRPr="00E3054F" w:rsidTr="00EC0997">
        <w:trPr>
          <w:cantSplit/>
        </w:trPr>
        <w:tc>
          <w:tcPr>
            <w:tcW w:w="284" w:type="dxa"/>
            <w:shd w:val="clear" w:color="auto" w:fill="F2F2F2"/>
          </w:tcPr>
          <w:p w:rsidR="00E2094E" w:rsidRPr="00E3054F" w:rsidRDefault="00E2094E" w:rsidP="00EC0997">
            <w:pPr>
              <w:pStyle w:val="TableText"/>
            </w:pPr>
          </w:p>
        </w:tc>
        <w:tc>
          <w:tcPr>
            <w:tcW w:w="1134" w:type="dxa"/>
            <w:shd w:val="clear" w:color="auto" w:fill="F2F2F2"/>
          </w:tcPr>
          <w:p w:rsidR="00E2094E" w:rsidRPr="00E3054F" w:rsidRDefault="00E2094E" w:rsidP="00EC0997">
            <w:pPr>
              <w:pStyle w:val="TableText"/>
            </w:pPr>
            <w:r>
              <w:t>PSS</w:t>
            </w:r>
          </w:p>
        </w:tc>
        <w:tc>
          <w:tcPr>
            <w:tcW w:w="1417" w:type="dxa"/>
            <w:shd w:val="clear" w:color="auto" w:fill="F2F2F2"/>
          </w:tcPr>
          <w:p w:rsidR="00E2094E" w:rsidRPr="00E3054F" w:rsidRDefault="00E2094E" w:rsidP="00EC0997">
            <w:pPr>
              <w:pStyle w:val="TableText"/>
              <w:jc w:val="center"/>
            </w:pPr>
            <w:r>
              <w:t>32,770</w:t>
            </w:r>
          </w:p>
        </w:tc>
        <w:tc>
          <w:tcPr>
            <w:tcW w:w="1417" w:type="dxa"/>
            <w:shd w:val="clear" w:color="auto" w:fill="F2F2F2"/>
          </w:tcPr>
          <w:p w:rsidR="00E2094E" w:rsidRPr="00E3054F" w:rsidRDefault="00E2094E" w:rsidP="00EC0997">
            <w:pPr>
              <w:pStyle w:val="TableText"/>
              <w:jc w:val="center"/>
            </w:pPr>
            <w:r>
              <w:t>46,141</w:t>
            </w:r>
          </w:p>
        </w:tc>
        <w:tc>
          <w:tcPr>
            <w:tcW w:w="1418" w:type="dxa"/>
            <w:shd w:val="clear" w:color="auto" w:fill="F2F2F2"/>
          </w:tcPr>
          <w:p w:rsidR="00E2094E" w:rsidRPr="00E3054F" w:rsidRDefault="00E2094E" w:rsidP="00EC0997">
            <w:pPr>
              <w:pStyle w:val="TableText"/>
              <w:jc w:val="center"/>
            </w:pPr>
            <w:r>
              <w:t>78,911</w:t>
            </w:r>
          </w:p>
        </w:tc>
        <w:tc>
          <w:tcPr>
            <w:tcW w:w="1323" w:type="dxa"/>
            <w:shd w:val="clear" w:color="auto" w:fill="F2F2F2"/>
          </w:tcPr>
          <w:p w:rsidR="00E2094E" w:rsidRPr="00E3054F" w:rsidRDefault="00E2094E" w:rsidP="00EC0997">
            <w:pPr>
              <w:pStyle w:val="TableText"/>
              <w:jc w:val="center"/>
            </w:pPr>
            <w:r>
              <w:t>49.3</w:t>
            </w:r>
          </w:p>
        </w:tc>
        <w:tc>
          <w:tcPr>
            <w:tcW w:w="1323" w:type="dxa"/>
            <w:shd w:val="clear" w:color="auto" w:fill="F2F2F2"/>
          </w:tcPr>
          <w:p w:rsidR="00E2094E" w:rsidRPr="00E3054F" w:rsidRDefault="00E2094E" w:rsidP="00EC0997">
            <w:pPr>
              <w:pStyle w:val="TableText"/>
              <w:jc w:val="center"/>
            </w:pPr>
            <w:r>
              <w:t>17.6</w:t>
            </w:r>
          </w:p>
        </w:tc>
        <w:tc>
          <w:tcPr>
            <w:tcW w:w="1323" w:type="dxa"/>
            <w:shd w:val="clear" w:color="auto" w:fill="F2F2F2"/>
          </w:tcPr>
          <w:p w:rsidR="00E2094E" w:rsidRPr="00E3054F" w:rsidRDefault="00394AD2" w:rsidP="00EC0997">
            <w:pPr>
              <w:pStyle w:val="TableText"/>
              <w:jc w:val="center"/>
            </w:pPr>
            <w:r>
              <w:t>$</w:t>
            </w:r>
            <w:r w:rsidR="00E2094E">
              <w:t>101,296</w:t>
            </w:r>
          </w:p>
        </w:tc>
      </w:tr>
      <w:tr w:rsidR="00941AD1" w:rsidRPr="003A6A90" w:rsidTr="00EC0997">
        <w:trPr>
          <w:cantSplit/>
        </w:trPr>
        <w:tc>
          <w:tcPr>
            <w:tcW w:w="1418" w:type="dxa"/>
            <w:gridSpan w:val="2"/>
            <w:shd w:val="clear" w:color="auto" w:fill="F2F2F2"/>
          </w:tcPr>
          <w:p w:rsidR="00941AD1" w:rsidRPr="003A6A90" w:rsidRDefault="00941AD1" w:rsidP="00EC0997">
            <w:pPr>
              <w:pStyle w:val="TableText"/>
              <w:rPr>
                <w:b/>
              </w:rPr>
            </w:pPr>
            <w:r>
              <w:rPr>
                <w:b/>
              </w:rPr>
              <w:t>T</w:t>
            </w:r>
            <w:r w:rsidRPr="003A6A90">
              <w:rPr>
                <w:b/>
              </w:rPr>
              <w:t>otal</w:t>
            </w:r>
          </w:p>
        </w:tc>
        <w:tc>
          <w:tcPr>
            <w:tcW w:w="1417" w:type="dxa"/>
            <w:shd w:val="clear" w:color="auto" w:fill="F2F2F2"/>
          </w:tcPr>
          <w:p w:rsidR="00941AD1" w:rsidRPr="003A6A90" w:rsidRDefault="00941AD1" w:rsidP="00EC0997">
            <w:pPr>
              <w:pStyle w:val="TableText"/>
              <w:jc w:val="center"/>
              <w:rPr>
                <w:b/>
              </w:rPr>
            </w:pPr>
            <w:r w:rsidRPr="003A6A90">
              <w:rPr>
                <w:b/>
              </w:rPr>
              <w:t>36,425</w:t>
            </w:r>
          </w:p>
        </w:tc>
        <w:tc>
          <w:tcPr>
            <w:tcW w:w="1417" w:type="dxa"/>
            <w:shd w:val="clear" w:color="auto" w:fill="F2F2F2"/>
          </w:tcPr>
          <w:p w:rsidR="00941AD1" w:rsidRPr="003A6A90" w:rsidRDefault="00941AD1" w:rsidP="00EC0997">
            <w:pPr>
              <w:pStyle w:val="TableText"/>
              <w:jc w:val="center"/>
              <w:rPr>
                <w:b/>
              </w:rPr>
            </w:pPr>
            <w:r w:rsidRPr="003A6A90">
              <w:rPr>
                <w:b/>
              </w:rPr>
              <w:t>48,273</w:t>
            </w:r>
          </w:p>
        </w:tc>
        <w:tc>
          <w:tcPr>
            <w:tcW w:w="1418" w:type="dxa"/>
            <w:shd w:val="clear" w:color="auto" w:fill="F2F2F2"/>
          </w:tcPr>
          <w:p w:rsidR="00941AD1" w:rsidRPr="003A6A90" w:rsidRDefault="00941AD1" w:rsidP="00EC0997">
            <w:pPr>
              <w:pStyle w:val="TableText"/>
              <w:jc w:val="center"/>
              <w:rPr>
                <w:b/>
              </w:rPr>
            </w:pPr>
            <w:r w:rsidRPr="003A6A90">
              <w:rPr>
                <w:b/>
              </w:rPr>
              <w:t>84,698</w:t>
            </w:r>
          </w:p>
        </w:tc>
        <w:tc>
          <w:tcPr>
            <w:tcW w:w="1323" w:type="dxa"/>
            <w:shd w:val="clear" w:color="auto" w:fill="F2F2F2"/>
          </w:tcPr>
          <w:p w:rsidR="00941AD1" w:rsidRPr="003A6A90" w:rsidRDefault="00941AD1" w:rsidP="00EC0997">
            <w:pPr>
              <w:pStyle w:val="TableText"/>
              <w:jc w:val="center"/>
              <w:rPr>
                <w:b/>
              </w:rPr>
            </w:pPr>
            <w:r w:rsidRPr="003A6A90">
              <w:rPr>
                <w:b/>
              </w:rPr>
              <w:t>49.7</w:t>
            </w:r>
          </w:p>
        </w:tc>
        <w:tc>
          <w:tcPr>
            <w:tcW w:w="1323" w:type="dxa"/>
            <w:shd w:val="clear" w:color="auto" w:fill="F2F2F2"/>
          </w:tcPr>
          <w:p w:rsidR="00941AD1" w:rsidRPr="003A6A90" w:rsidRDefault="00941AD1" w:rsidP="00EC0997">
            <w:pPr>
              <w:pStyle w:val="TableText"/>
              <w:jc w:val="center"/>
              <w:rPr>
                <w:b/>
              </w:rPr>
            </w:pPr>
            <w:r w:rsidRPr="003A6A90">
              <w:rPr>
                <w:b/>
              </w:rPr>
              <w:t>18.5</w:t>
            </w:r>
          </w:p>
        </w:tc>
        <w:tc>
          <w:tcPr>
            <w:tcW w:w="1323" w:type="dxa"/>
            <w:shd w:val="clear" w:color="auto" w:fill="F2F2F2"/>
          </w:tcPr>
          <w:p w:rsidR="00941AD1" w:rsidRPr="003A6A90" w:rsidRDefault="00394AD2" w:rsidP="00EC0997">
            <w:pPr>
              <w:pStyle w:val="TableText"/>
              <w:jc w:val="center"/>
              <w:rPr>
                <w:b/>
              </w:rPr>
            </w:pPr>
            <w:r>
              <w:rPr>
                <w:b/>
              </w:rPr>
              <w:t>$</w:t>
            </w:r>
            <w:r w:rsidR="00941AD1" w:rsidRPr="003A6A90">
              <w:rPr>
                <w:b/>
              </w:rPr>
              <w:t>102,587</w:t>
            </w:r>
          </w:p>
        </w:tc>
      </w:tr>
      <w:tr w:rsidR="00E2094E" w:rsidRPr="00E3054F" w:rsidTr="00EC0997">
        <w:trPr>
          <w:cantSplit/>
        </w:trPr>
        <w:tc>
          <w:tcPr>
            <w:tcW w:w="9639" w:type="dxa"/>
            <w:gridSpan w:val="8"/>
            <w:shd w:val="clear" w:color="auto" w:fill="F2F2F2"/>
          </w:tcPr>
          <w:p w:rsidR="00E2094E" w:rsidRPr="00E3054F" w:rsidRDefault="00E2094E" w:rsidP="00EC0997">
            <w:pPr>
              <w:pStyle w:val="TableText"/>
            </w:pPr>
            <w:r>
              <w:t>Deferred/Preserved</w:t>
            </w:r>
          </w:p>
        </w:tc>
      </w:tr>
      <w:tr w:rsidR="00E2094E" w:rsidRPr="00E3054F" w:rsidTr="00EC0997">
        <w:trPr>
          <w:cantSplit/>
        </w:trPr>
        <w:tc>
          <w:tcPr>
            <w:tcW w:w="284" w:type="dxa"/>
            <w:shd w:val="clear" w:color="auto" w:fill="F2F2F2"/>
          </w:tcPr>
          <w:p w:rsidR="00E2094E" w:rsidRPr="00E3054F" w:rsidRDefault="00E2094E" w:rsidP="00EC0997">
            <w:pPr>
              <w:pStyle w:val="TableText"/>
            </w:pPr>
          </w:p>
        </w:tc>
        <w:tc>
          <w:tcPr>
            <w:tcW w:w="1134" w:type="dxa"/>
            <w:shd w:val="clear" w:color="auto" w:fill="F2F2F2"/>
          </w:tcPr>
          <w:p w:rsidR="00E2094E" w:rsidRPr="00E3054F" w:rsidRDefault="00E2094E" w:rsidP="00EC0997">
            <w:pPr>
              <w:pStyle w:val="TableText"/>
            </w:pPr>
            <w:r>
              <w:t>CSS</w:t>
            </w:r>
          </w:p>
        </w:tc>
        <w:tc>
          <w:tcPr>
            <w:tcW w:w="1417" w:type="dxa"/>
            <w:shd w:val="clear" w:color="auto" w:fill="F2F2F2"/>
          </w:tcPr>
          <w:p w:rsidR="00E2094E" w:rsidRPr="00E3054F" w:rsidRDefault="00E2094E" w:rsidP="00EC0997">
            <w:pPr>
              <w:pStyle w:val="TableText"/>
              <w:jc w:val="center"/>
            </w:pPr>
            <w:r>
              <w:t>3,053</w:t>
            </w:r>
          </w:p>
        </w:tc>
        <w:tc>
          <w:tcPr>
            <w:tcW w:w="1417" w:type="dxa"/>
            <w:shd w:val="clear" w:color="auto" w:fill="F2F2F2"/>
          </w:tcPr>
          <w:p w:rsidR="00E2094E" w:rsidRPr="00E3054F" w:rsidRDefault="00E2094E" w:rsidP="00EC0997">
            <w:pPr>
              <w:pStyle w:val="TableText"/>
              <w:jc w:val="center"/>
            </w:pPr>
            <w:r>
              <w:t>1,783</w:t>
            </w:r>
          </w:p>
        </w:tc>
        <w:tc>
          <w:tcPr>
            <w:tcW w:w="1418" w:type="dxa"/>
            <w:shd w:val="clear" w:color="auto" w:fill="F2F2F2"/>
          </w:tcPr>
          <w:p w:rsidR="00E2094E" w:rsidRPr="00E3054F" w:rsidRDefault="00E2094E" w:rsidP="00EC0997">
            <w:pPr>
              <w:pStyle w:val="TableText"/>
              <w:jc w:val="center"/>
            </w:pPr>
            <w:r>
              <w:t>4,836</w:t>
            </w:r>
          </w:p>
        </w:tc>
        <w:tc>
          <w:tcPr>
            <w:tcW w:w="1323" w:type="dxa"/>
            <w:shd w:val="clear" w:color="auto" w:fill="F2F2F2"/>
          </w:tcPr>
          <w:p w:rsidR="00E2094E" w:rsidRPr="00E3054F" w:rsidRDefault="00E2094E" w:rsidP="00EC0997">
            <w:pPr>
              <w:pStyle w:val="TableText"/>
              <w:jc w:val="center"/>
            </w:pPr>
            <w:r>
              <w:t>55.8</w:t>
            </w:r>
          </w:p>
        </w:tc>
        <w:tc>
          <w:tcPr>
            <w:tcW w:w="1323" w:type="dxa"/>
            <w:shd w:val="clear" w:color="auto" w:fill="F2F2F2"/>
          </w:tcPr>
          <w:p w:rsidR="00E2094E" w:rsidRPr="00E3054F" w:rsidRDefault="00E2094E" w:rsidP="00EC0997">
            <w:pPr>
              <w:pStyle w:val="TableText"/>
              <w:jc w:val="center"/>
            </w:pPr>
            <w:r>
              <w:t>14.3</w:t>
            </w:r>
          </w:p>
        </w:tc>
        <w:tc>
          <w:tcPr>
            <w:tcW w:w="1323" w:type="dxa"/>
            <w:shd w:val="clear" w:color="auto" w:fill="F2F2F2"/>
          </w:tcPr>
          <w:p w:rsidR="00E2094E" w:rsidRPr="00E3054F" w:rsidRDefault="00E2094E" w:rsidP="00EC0997">
            <w:pPr>
              <w:pStyle w:val="TableText"/>
              <w:jc w:val="center"/>
            </w:pPr>
            <w:r>
              <w:t>-</w:t>
            </w:r>
          </w:p>
        </w:tc>
      </w:tr>
      <w:tr w:rsidR="00E2094E" w:rsidRPr="00E3054F" w:rsidTr="00EC0997">
        <w:trPr>
          <w:cantSplit/>
        </w:trPr>
        <w:tc>
          <w:tcPr>
            <w:tcW w:w="284" w:type="dxa"/>
            <w:shd w:val="clear" w:color="auto" w:fill="F2F2F2"/>
          </w:tcPr>
          <w:p w:rsidR="00E2094E" w:rsidRPr="00E3054F" w:rsidRDefault="00E2094E" w:rsidP="00EC0997">
            <w:pPr>
              <w:pStyle w:val="TableText"/>
            </w:pPr>
          </w:p>
        </w:tc>
        <w:tc>
          <w:tcPr>
            <w:tcW w:w="1134" w:type="dxa"/>
            <w:shd w:val="clear" w:color="auto" w:fill="F2F2F2"/>
          </w:tcPr>
          <w:p w:rsidR="00E2094E" w:rsidRPr="00E3054F" w:rsidRDefault="00E2094E" w:rsidP="00EC0997">
            <w:pPr>
              <w:pStyle w:val="TableText"/>
            </w:pPr>
            <w:r>
              <w:t>PSS</w:t>
            </w:r>
          </w:p>
        </w:tc>
        <w:tc>
          <w:tcPr>
            <w:tcW w:w="1417" w:type="dxa"/>
            <w:shd w:val="clear" w:color="auto" w:fill="F2F2F2"/>
          </w:tcPr>
          <w:p w:rsidR="00E2094E" w:rsidRPr="00E3054F" w:rsidRDefault="00E2094E" w:rsidP="00EC0997">
            <w:pPr>
              <w:pStyle w:val="TableText"/>
              <w:jc w:val="center"/>
            </w:pPr>
            <w:r>
              <w:t>39,918</w:t>
            </w:r>
          </w:p>
        </w:tc>
        <w:tc>
          <w:tcPr>
            <w:tcW w:w="1417" w:type="dxa"/>
            <w:shd w:val="clear" w:color="auto" w:fill="F2F2F2"/>
          </w:tcPr>
          <w:p w:rsidR="00E2094E" w:rsidRPr="00E3054F" w:rsidRDefault="00E2094E" w:rsidP="00EC0997">
            <w:pPr>
              <w:pStyle w:val="TableText"/>
              <w:jc w:val="center"/>
            </w:pPr>
            <w:r>
              <w:t>60,511</w:t>
            </w:r>
          </w:p>
        </w:tc>
        <w:tc>
          <w:tcPr>
            <w:tcW w:w="1418" w:type="dxa"/>
            <w:shd w:val="clear" w:color="auto" w:fill="F2F2F2"/>
          </w:tcPr>
          <w:p w:rsidR="00E2094E" w:rsidRPr="00E3054F" w:rsidRDefault="00E2094E" w:rsidP="00EC0997">
            <w:pPr>
              <w:pStyle w:val="TableText"/>
              <w:jc w:val="center"/>
            </w:pPr>
            <w:r>
              <w:t>100,429</w:t>
            </w:r>
          </w:p>
        </w:tc>
        <w:tc>
          <w:tcPr>
            <w:tcW w:w="1323" w:type="dxa"/>
            <w:shd w:val="clear" w:color="auto" w:fill="F2F2F2"/>
          </w:tcPr>
          <w:p w:rsidR="00E2094E" w:rsidRPr="00E3054F" w:rsidRDefault="00E2094E" w:rsidP="00EC0997">
            <w:pPr>
              <w:pStyle w:val="TableText"/>
              <w:jc w:val="center"/>
            </w:pPr>
            <w:r>
              <w:t>48.8</w:t>
            </w:r>
          </w:p>
        </w:tc>
        <w:tc>
          <w:tcPr>
            <w:tcW w:w="1323" w:type="dxa"/>
            <w:shd w:val="clear" w:color="auto" w:fill="F2F2F2"/>
          </w:tcPr>
          <w:p w:rsidR="00E2094E" w:rsidRPr="00E3054F" w:rsidRDefault="00E2094E" w:rsidP="00EC0997">
            <w:pPr>
              <w:pStyle w:val="TableText"/>
              <w:jc w:val="center"/>
            </w:pPr>
            <w:r>
              <w:t>5.6</w:t>
            </w:r>
          </w:p>
        </w:tc>
        <w:tc>
          <w:tcPr>
            <w:tcW w:w="1323" w:type="dxa"/>
            <w:shd w:val="clear" w:color="auto" w:fill="F2F2F2"/>
          </w:tcPr>
          <w:p w:rsidR="00E2094E" w:rsidRPr="00E3054F" w:rsidRDefault="00E2094E" w:rsidP="00EC0997">
            <w:pPr>
              <w:pStyle w:val="TableText"/>
              <w:jc w:val="center"/>
            </w:pPr>
            <w:r>
              <w:t>-</w:t>
            </w:r>
          </w:p>
        </w:tc>
      </w:tr>
      <w:tr w:rsidR="00941AD1" w:rsidRPr="003A6A90" w:rsidTr="00EC0997">
        <w:trPr>
          <w:cantSplit/>
        </w:trPr>
        <w:tc>
          <w:tcPr>
            <w:tcW w:w="1418" w:type="dxa"/>
            <w:gridSpan w:val="2"/>
            <w:shd w:val="clear" w:color="auto" w:fill="F2F2F2"/>
          </w:tcPr>
          <w:p w:rsidR="00941AD1" w:rsidRPr="003A6A90" w:rsidRDefault="00941AD1" w:rsidP="00EC0997">
            <w:pPr>
              <w:pStyle w:val="TableText"/>
              <w:rPr>
                <w:b/>
              </w:rPr>
            </w:pPr>
            <w:r>
              <w:rPr>
                <w:b/>
              </w:rPr>
              <w:t>T</w:t>
            </w:r>
            <w:r w:rsidRPr="003A6A90">
              <w:rPr>
                <w:b/>
              </w:rPr>
              <w:t>otal</w:t>
            </w:r>
          </w:p>
        </w:tc>
        <w:tc>
          <w:tcPr>
            <w:tcW w:w="1417" w:type="dxa"/>
            <w:shd w:val="clear" w:color="auto" w:fill="F2F2F2"/>
          </w:tcPr>
          <w:p w:rsidR="00941AD1" w:rsidRPr="003A6A90" w:rsidRDefault="00941AD1" w:rsidP="00EC0997">
            <w:pPr>
              <w:pStyle w:val="TableText"/>
              <w:jc w:val="center"/>
              <w:rPr>
                <w:b/>
              </w:rPr>
            </w:pPr>
            <w:r>
              <w:rPr>
                <w:b/>
              </w:rPr>
              <w:t>42,971</w:t>
            </w:r>
          </w:p>
        </w:tc>
        <w:tc>
          <w:tcPr>
            <w:tcW w:w="1417" w:type="dxa"/>
            <w:shd w:val="clear" w:color="auto" w:fill="F2F2F2"/>
          </w:tcPr>
          <w:p w:rsidR="00941AD1" w:rsidRPr="003A6A90" w:rsidRDefault="00941AD1" w:rsidP="00EC0997">
            <w:pPr>
              <w:pStyle w:val="TableText"/>
              <w:jc w:val="center"/>
              <w:rPr>
                <w:b/>
              </w:rPr>
            </w:pPr>
            <w:r>
              <w:rPr>
                <w:b/>
              </w:rPr>
              <w:t>62,294</w:t>
            </w:r>
          </w:p>
        </w:tc>
        <w:tc>
          <w:tcPr>
            <w:tcW w:w="1418" w:type="dxa"/>
            <w:shd w:val="clear" w:color="auto" w:fill="F2F2F2"/>
          </w:tcPr>
          <w:p w:rsidR="00941AD1" w:rsidRPr="003A6A90" w:rsidRDefault="00941AD1" w:rsidP="00EC0997">
            <w:pPr>
              <w:pStyle w:val="TableText"/>
              <w:jc w:val="center"/>
              <w:rPr>
                <w:b/>
              </w:rPr>
            </w:pPr>
            <w:r>
              <w:rPr>
                <w:b/>
              </w:rPr>
              <w:t>105,265</w:t>
            </w:r>
          </w:p>
        </w:tc>
        <w:tc>
          <w:tcPr>
            <w:tcW w:w="1323" w:type="dxa"/>
            <w:shd w:val="clear" w:color="auto" w:fill="F2F2F2"/>
          </w:tcPr>
          <w:p w:rsidR="00941AD1" w:rsidRPr="003A6A90" w:rsidRDefault="00941AD1" w:rsidP="00EC0997">
            <w:pPr>
              <w:pStyle w:val="TableText"/>
              <w:jc w:val="center"/>
              <w:rPr>
                <w:b/>
              </w:rPr>
            </w:pPr>
            <w:r>
              <w:rPr>
                <w:b/>
              </w:rPr>
              <w:t>49.1</w:t>
            </w:r>
          </w:p>
        </w:tc>
        <w:tc>
          <w:tcPr>
            <w:tcW w:w="1323" w:type="dxa"/>
            <w:shd w:val="clear" w:color="auto" w:fill="F2F2F2"/>
          </w:tcPr>
          <w:p w:rsidR="00941AD1" w:rsidRPr="003A6A90" w:rsidRDefault="00941AD1" w:rsidP="00EC0997">
            <w:pPr>
              <w:pStyle w:val="TableText"/>
              <w:jc w:val="center"/>
              <w:rPr>
                <w:b/>
              </w:rPr>
            </w:pPr>
            <w:r>
              <w:rPr>
                <w:b/>
              </w:rPr>
              <w:t>6.0</w:t>
            </w:r>
          </w:p>
        </w:tc>
        <w:tc>
          <w:tcPr>
            <w:tcW w:w="1323" w:type="dxa"/>
            <w:shd w:val="clear" w:color="auto" w:fill="F2F2F2"/>
          </w:tcPr>
          <w:p w:rsidR="00941AD1" w:rsidRPr="003A6A90" w:rsidRDefault="00941AD1" w:rsidP="00EC0997">
            <w:pPr>
              <w:pStyle w:val="TableText"/>
              <w:jc w:val="center"/>
              <w:rPr>
                <w:b/>
              </w:rPr>
            </w:pPr>
            <w:r>
              <w:rPr>
                <w:b/>
              </w:rPr>
              <w:t>-</w:t>
            </w:r>
          </w:p>
        </w:tc>
      </w:tr>
    </w:tbl>
    <w:p w:rsidR="007C48BF" w:rsidRDefault="007C48BF">
      <w:pPr>
        <w:spacing w:line="240" w:lineRule="auto"/>
      </w:pPr>
    </w:p>
    <w:tbl>
      <w:tblPr>
        <w:tblStyle w:val="TableGrid"/>
        <w:tblW w:w="9639"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84"/>
        <w:gridCol w:w="2551"/>
        <w:gridCol w:w="1418"/>
        <w:gridCol w:w="1417"/>
        <w:gridCol w:w="1276"/>
        <w:gridCol w:w="1418"/>
        <w:gridCol w:w="1275"/>
      </w:tblGrid>
      <w:tr w:rsidR="00B42A4D" w:rsidRPr="00E3054F" w:rsidTr="00B42A4D">
        <w:trPr>
          <w:cantSplit/>
          <w:trHeight w:val="323"/>
          <w:tblHeader/>
        </w:trPr>
        <w:tc>
          <w:tcPr>
            <w:tcW w:w="2835" w:type="dxa"/>
            <w:gridSpan w:val="2"/>
            <w:vMerge w:val="restart"/>
            <w:shd w:val="clear" w:color="auto" w:fill="00A8C8"/>
            <w:vAlign w:val="center"/>
          </w:tcPr>
          <w:p w:rsidR="00B42A4D" w:rsidRDefault="00B42A4D" w:rsidP="00B42A4D">
            <w:pPr>
              <w:pStyle w:val="TableHeadingText"/>
              <w:rPr>
                <w:caps w:val="0"/>
              </w:rPr>
            </w:pPr>
            <w:r>
              <w:rPr>
                <w:caps w:val="0"/>
              </w:rPr>
              <w:t xml:space="preserve">As at </w:t>
            </w:r>
            <w:r>
              <w:rPr>
                <w:caps w:val="0"/>
              </w:rPr>
              <w:br/>
              <w:t>30/06/17</w:t>
            </w:r>
          </w:p>
        </w:tc>
        <w:tc>
          <w:tcPr>
            <w:tcW w:w="4111" w:type="dxa"/>
            <w:gridSpan w:val="3"/>
            <w:shd w:val="clear" w:color="auto" w:fill="00A8C8"/>
            <w:vAlign w:val="center"/>
          </w:tcPr>
          <w:p w:rsidR="00B42A4D" w:rsidRPr="00E3054F" w:rsidRDefault="00B42A4D" w:rsidP="00EC0997">
            <w:pPr>
              <w:pStyle w:val="TableHeadingText"/>
              <w:jc w:val="center"/>
              <w:rPr>
                <w:caps w:val="0"/>
              </w:rPr>
            </w:pPr>
            <w:r>
              <w:rPr>
                <w:caps w:val="0"/>
              </w:rPr>
              <w:t>Headcount</w:t>
            </w:r>
          </w:p>
        </w:tc>
        <w:tc>
          <w:tcPr>
            <w:tcW w:w="1418" w:type="dxa"/>
            <w:vMerge w:val="restart"/>
            <w:shd w:val="clear" w:color="auto" w:fill="00A8C8"/>
            <w:vAlign w:val="center"/>
          </w:tcPr>
          <w:p w:rsidR="00B42A4D" w:rsidRPr="00E3054F" w:rsidRDefault="00B42A4D" w:rsidP="00EC0997">
            <w:pPr>
              <w:pStyle w:val="TableHeadingText"/>
              <w:jc w:val="center"/>
              <w:rPr>
                <w:caps w:val="0"/>
              </w:rPr>
            </w:pPr>
            <w:r>
              <w:rPr>
                <w:caps w:val="0"/>
              </w:rPr>
              <w:t>Average Age</w:t>
            </w:r>
          </w:p>
        </w:tc>
        <w:tc>
          <w:tcPr>
            <w:tcW w:w="1275" w:type="dxa"/>
            <w:vMerge w:val="restart"/>
            <w:shd w:val="clear" w:color="auto" w:fill="00A8C8"/>
            <w:vAlign w:val="center"/>
          </w:tcPr>
          <w:p w:rsidR="00B42A4D" w:rsidRPr="00E3054F" w:rsidRDefault="00B42A4D" w:rsidP="00EC0997">
            <w:pPr>
              <w:pStyle w:val="TableHeadingText"/>
              <w:jc w:val="center"/>
              <w:rPr>
                <w:caps w:val="0"/>
              </w:rPr>
            </w:pPr>
            <w:r>
              <w:rPr>
                <w:caps w:val="0"/>
              </w:rPr>
              <w:t>Average Annual Pension</w:t>
            </w:r>
          </w:p>
        </w:tc>
      </w:tr>
      <w:tr w:rsidR="00B42A4D" w:rsidRPr="00E3054F" w:rsidTr="00B42A4D">
        <w:trPr>
          <w:cantSplit/>
          <w:trHeight w:val="322"/>
          <w:tblHeader/>
        </w:trPr>
        <w:tc>
          <w:tcPr>
            <w:tcW w:w="2835" w:type="dxa"/>
            <w:gridSpan w:val="2"/>
            <w:vMerge/>
            <w:shd w:val="clear" w:color="auto" w:fill="00A8C8"/>
          </w:tcPr>
          <w:p w:rsidR="00B42A4D" w:rsidRDefault="00B42A4D" w:rsidP="00EC0997">
            <w:pPr>
              <w:pStyle w:val="TableHeadingText"/>
              <w:jc w:val="center"/>
              <w:rPr>
                <w:caps w:val="0"/>
              </w:rPr>
            </w:pPr>
          </w:p>
        </w:tc>
        <w:tc>
          <w:tcPr>
            <w:tcW w:w="1418" w:type="dxa"/>
            <w:shd w:val="clear" w:color="auto" w:fill="00A8C8"/>
            <w:vAlign w:val="center"/>
          </w:tcPr>
          <w:p w:rsidR="00B42A4D" w:rsidRPr="00E3054F" w:rsidRDefault="00B42A4D" w:rsidP="00EC0997">
            <w:pPr>
              <w:pStyle w:val="TableHeadingText"/>
              <w:jc w:val="center"/>
              <w:rPr>
                <w:caps w:val="0"/>
              </w:rPr>
            </w:pPr>
            <w:r>
              <w:rPr>
                <w:caps w:val="0"/>
              </w:rPr>
              <w:t>Males</w:t>
            </w:r>
          </w:p>
        </w:tc>
        <w:tc>
          <w:tcPr>
            <w:tcW w:w="1417" w:type="dxa"/>
            <w:shd w:val="clear" w:color="auto" w:fill="00A8C8"/>
            <w:vAlign w:val="center"/>
          </w:tcPr>
          <w:p w:rsidR="00B42A4D" w:rsidRPr="00E3054F" w:rsidRDefault="00B42A4D" w:rsidP="00EC0997">
            <w:pPr>
              <w:pStyle w:val="TableHeadingText"/>
              <w:jc w:val="center"/>
              <w:rPr>
                <w:caps w:val="0"/>
              </w:rPr>
            </w:pPr>
            <w:r>
              <w:rPr>
                <w:caps w:val="0"/>
              </w:rPr>
              <w:t>Females</w:t>
            </w:r>
          </w:p>
        </w:tc>
        <w:tc>
          <w:tcPr>
            <w:tcW w:w="1276" w:type="dxa"/>
            <w:shd w:val="clear" w:color="auto" w:fill="00A8C8"/>
            <w:vAlign w:val="center"/>
          </w:tcPr>
          <w:p w:rsidR="00B42A4D" w:rsidRPr="00E3054F" w:rsidRDefault="00B42A4D" w:rsidP="00EC0997">
            <w:pPr>
              <w:pStyle w:val="TableHeadingText"/>
              <w:jc w:val="center"/>
              <w:rPr>
                <w:caps w:val="0"/>
              </w:rPr>
            </w:pPr>
            <w:r>
              <w:rPr>
                <w:caps w:val="0"/>
              </w:rPr>
              <w:t>Total</w:t>
            </w:r>
          </w:p>
        </w:tc>
        <w:tc>
          <w:tcPr>
            <w:tcW w:w="1418" w:type="dxa"/>
            <w:vMerge/>
            <w:shd w:val="clear" w:color="auto" w:fill="00A8C8"/>
            <w:vAlign w:val="center"/>
          </w:tcPr>
          <w:p w:rsidR="00B42A4D" w:rsidRPr="00E3054F" w:rsidRDefault="00B42A4D" w:rsidP="00EC0997">
            <w:pPr>
              <w:pStyle w:val="TableHeadingText"/>
              <w:jc w:val="center"/>
              <w:rPr>
                <w:caps w:val="0"/>
              </w:rPr>
            </w:pPr>
          </w:p>
        </w:tc>
        <w:tc>
          <w:tcPr>
            <w:tcW w:w="1275" w:type="dxa"/>
            <w:vMerge/>
            <w:shd w:val="clear" w:color="auto" w:fill="00A8C8"/>
            <w:vAlign w:val="center"/>
          </w:tcPr>
          <w:p w:rsidR="00B42A4D" w:rsidRPr="00E3054F" w:rsidRDefault="00B42A4D" w:rsidP="00EC0997">
            <w:pPr>
              <w:pStyle w:val="TableHeadingText"/>
              <w:jc w:val="center"/>
              <w:rPr>
                <w:caps w:val="0"/>
              </w:rPr>
            </w:pPr>
          </w:p>
        </w:tc>
      </w:tr>
      <w:tr w:rsidR="00B42A4D" w:rsidRPr="00E3054F" w:rsidTr="00B42A4D">
        <w:trPr>
          <w:cantSplit/>
        </w:trPr>
        <w:tc>
          <w:tcPr>
            <w:tcW w:w="2835" w:type="dxa"/>
            <w:gridSpan w:val="2"/>
            <w:shd w:val="clear" w:color="auto" w:fill="F2F2F2"/>
          </w:tcPr>
          <w:p w:rsidR="00B42A4D" w:rsidRPr="00E3054F" w:rsidRDefault="00B42A4D" w:rsidP="00EC0997">
            <w:pPr>
              <w:pStyle w:val="TableText"/>
            </w:pPr>
            <w:r>
              <w:t>Primary Pensioners</w:t>
            </w:r>
          </w:p>
        </w:tc>
        <w:tc>
          <w:tcPr>
            <w:tcW w:w="6804" w:type="dxa"/>
            <w:gridSpan w:val="5"/>
            <w:shd w:val="clear" w:color="auto" w:fill="F2F2F2"/>
          </w:tcPr>
          <w:p w:rsidR="00B42A4D" w:rsidRPr="00E3054F" w:rsidRDefault="00B42A4D" w:rsidP="00EC0997">
            <w:pPr>
              <w:pStyle w:val="TableText"/>
            </w:pPr>
          </w:p>
        </w:tc>
      </w:tr>
      <w:tr w:rsidR="00B42A4D" w:rsidRPr="00B42A4D" w:rsidTr="00B42A4D">
        <w:trPr>
          <w:cantSplit/>
        </w:trPr>
        <w:tc>
          <w:tcPr>
            <w:tcW w:w="284" w:type="dxa"/>
            <w:shd w:val="clear" w:color="auto" w:fill="F2F2F2"/>
          </w:tcPr>
          <w:p w:rsidR="00B42A4D" w:rsidRPr="00E3054F" w:rsidRDefault="00B42A4D" w:rsidP="00EC0997">
            <w:pPr>
              <w:pStyle w:val="TableText"/>
            </w:pPr>
          </w:p>
        </w:tc>
        <w:tc>
          <w:tcPr>
            <w:tcW w:w="2551" w:type="dxa"/>
            <w:shd w:val="clear" w:color="auto" w:fill="F2F2F2"/>
            <w:vAlign w:val="center"/>
          </w:tcPr>
          <w:p w:rsidR="00B42A4D" w:rsidRPr="00B42A4D" w:rsidRDefault="00B42A4D" w:rsidP="00B42A4D">
            <w:pPr>
              <w:pStyle w:val="TableText"/>
            </w:pPr>
            <w:r w:rsidRPr="00B42A4D">
              <w:t>1922</w:t>
            </w:r>
            <w:r w:rsidR="0005535C">
              <w:t xml:space="preserve"> Scheme</w:t>
            </w:r>
          </w:p>
        </w:tc>
        <w:tc>
          <w:tcPr>
            <w:tcW w:w="1418" w:type="dxa"/>
            <w:shd w:val="clear" w:color="auto" w:fill="F2F2F2"/>
          </w:tcPr>
          <w:p w:rsidR="00B42A4D" w:rsidRPr="00B42A4D" w:rsidRDefault="00B42A4D" w:rsidP="00EC0997">
            <w:pPr>
              <w:pStyle w:val="TableText"/>
              <w:jc w:val="center"/>
            </w:pPr>
            <w:r w:rsidRPr="00B42A4D">
              <w:t>404</w:t>
            </w:r>
          </w:p>
        </w:tc>
        <w:tc>
          <w:tcPr>
            <w:tcW w:w="1417" w:type="dxa"/>
            <w:shd w:val="clear" w:color="auto" w:fill="F2F2F2"/>
          </w:tcPr>
          <w:p w:rsidR="00B42A4D" w:rsidRPr="00B42A4D" w:rsidRDefault="00B42A4D" w:rsidP="00EC0997">
            <w:pPr>
              <w:pStyle w:val="TableText"/>
              <w:jc w:val="center"/>
            </w:pPr>
            <w:r w:rsidRPr="00B42A4D">
              <w:t>175</w:t>
            </w:r>
          </w:p>
        </w:tc>
        <w:tc>
          <w:tcPr>
            <w:tcW w:w="1276" w:type="dxa"/>
            <w:shd w:val="clear" w:color="auto" w:fill="F2F2F2"/>
          </w:tcPr>
          <w:p w:rsidR="00B42A4D" w:rsidRPr="00B42A4D" w:rsidRDefault="00B42A4D" w:rsidP="00EC0997">
            <w:pPr>
              <w:pStyle w:val="TableText"/>
              <w:jc w:val="center"/>
            </w:pPr>
            <w:r w:rsidRPr="00B42A4D">
              <w:t>579</w:t>
            </w:r>
          </w:p>
        </w:tc>
        <w:tc>
          <w:tcPr>
            <w:tcW w:w="1418" w:type="dxa"/>
            <w:shd w:val="clear" w:color="auto" w:fill="F2F2F2"/>
          </w:tcPr>
          <w:p w:rsidR="00B42A4D" w:rsidRPr="00B42A4D" w:rsidRDefault="00B42A4D" w:rsidP="00EC0997">
            <w:pPr>
              <w:pStyle w:val="TableText"/>
              <w:jc w:val="center"/>
            </w:pPr>
            <w:r w:rsidRPr="00B42A4D">
              <w:t>80.0</w:t>
            </w:r>
          </w:p>
        </w:tc>
        <w:tc>
          <w:tcPr>
            <w:tcW w:w="1275" w:type="dxa"/>
            <w:shd w:val="clear" w:color="auto" w:fill="F2F2F2"/>
          </w:tcPr>
          <w:p w:rsidR="00B42A4D" w:rsidRPr="00B42A4D" w:rsidRDefault="00394AD2" w:rsidP="00EC0997">
            <w:pPr>
              <w:pStyle w:val="TableText"/>
              <w:jc w:val="center"/>
            </w:pPr>
            <w:r>
              <w:t>$</w:t>
            </w:r>
            <w:r w:rsidR="00B42A4D" w:rsidRPr="00B42A4D">
              <w:t>37,617</w:t>
            </w:r>
          </w:p>
        </w:tc>
      </w:tr>
      <w:tr w:rsidR="00B42A4D" w:rsidRPr="00B42A4D" w:rsidTr="00B42A4D">
        <w:trPr>
          <w:cantSplit/>
        </w:trPr>
        <w:tc>
          <w:tcPr>
            <w:tcW w:w="284" w:type="dxa"/>
            <w:shd w:val="clear" w:color="auto" w:fill="F2F2F2"/>
          </w:tcPr>
          <w:p w:rsidR="00B42A4D" w:rsidRPr="00B42A4D" w:rsidRDefault="00B42A4D" w:rsidP="00EC0997">
            <w:pPr>
              <w:pStyle w:val="TableText"/>
            </w:pPr>
          </w:p>
        </w:tc>
        <w:tc>
          <w:tcPr>
            <w:tcW w:w="2551" w:type="dxa"/>
            <w:shd w:val="clear" w:color="auto" w:fill="F2F2F2"/>
            <w:vAlign w:val="center"/>
          </w:tcPr>
          <w:p w:rsidR="00B42A4D" w:rsidRPr="00B42A4D" w:rsidRDefault="0005535C" w:rsidP="00B42A4D">
            <w:pPr>
              <w:pStyle w:val="TableText"/>
            </w:pPr>
            <w:r>
              <w:t>CSS</w:t>
            </w:r>
          </w:p>
        </w:tc>
        <w:tc>
          <w:tcPr>
            <w:tcW w:w="1418" w:type="dxa"/>
            <w:shd w:val="clear" w:color="auto" w:fill="F2F2F2"/>
          </w:tcPr>
          <w:p w:rsidR="00B42A4D" w:rsidRPr="00B42A4D" w:rsidRDefault="00B42A4D" w:rsidP="00EC0997">
            <w:pPr>
              <w:pStyle w:val="TableText"/>
              <w:jc w:val="center"/>
            </w:pPr>
            <w:r w:rsidRPr="00B42A4D">
              <w:t>58,881</w:t>
            </w:r>
          </w:p>
        </w:tc>
        <w:tc>
          <w:tcPr>
            <w:tcW w:w="1417" w:type="dxa"/>
            <w:shd w:val="clear" w:color="auto" w:fill="F2F2F2"/>
          </w:tcPr>
          <w:p w:rsidR="00B42A4D" w:rsidRPr="00B42A4D" w:rsidRDefault="00B42A4D" w:rsidP="00EC0997">
            <w:pPr>
              <w:pStyle w:val="TableText"/>
              <w:jc w:val="center"/>
            </w:pPr>
            <w:r w:rsidRPr="00B42A4D">
              <w:t>24,382</w:t>
            </w:r>
          </w:p>
        </w:tc>
        <w:tc>
          <w:tcPr>
            <w:tcW w:w="1276" w:type="dxa"/>
            <w:shd w:val="clear" w:color="auto" w:fill="F2F2F2"/>
          </w:tcPr>
          <w:p w:rsidR="00B42A4D" w:rsidRPr="00B42A4D" w:rsidRDefault="00B42A4D" w:rsidP="00EC0997">
            <w:pPr>
              <w:pStyle w:val="TableText"/>
              <w:jc w:val="center"/>
            </w:pPr>
            <w:r w:rsidRPr="00B42A4D">
              <w:t>83,263</w:t>
            </w:r>
          </w:p>
        </w:tc>
        <w:tc>
          <w:tcPr>
            <w:tcW w:w="1418" w:type="dxa"/>
            <w:shd w:val="clear" w:color="auto" w:fill="F2F2F2"/>
          </w:tcPr>
          <w:p w:rsidR="00B42A4D" w:rsidRPr="00B42A4D" w:rsidRDefault="00B42A4D" w:rsidP="00EC0997">
            <w:pPr>
              <w:pStyle w:val="TableText"/>
              <w:jc w:val="center"/>
            </w:pPr>
            <w:r w:rsidRPr="00B42A4D">
              <w:t>72.8</w:t>
            </w:r>
          </w:p>
        </w:tc>
        <w:tc>
          <w:tcPr>
            <w:tcW w:w="1275" w:type="dxa"/>
            <w:shd w:val="clear" w:color="auto" w:fill="F2F2F2"/>
          </w:tcPr>
          <w:p w:rsidR="00B42A4D" w:rsidRPr="00B42A4D" w:rsidRDefault="00394AD2" w:rsidP="00EC0997">
            <w:pPr>
              <w:pStyle w:val="TableText"/>
              <w:jc w:val="center"/>
            </w:pPr>
            <w:r>
              <w:t>$</w:t>
            </w:r>
            <w:r w:rsidR="00B42A4D" w:rsidRPr="00B42A4D">
              <w:t>42,201</w:t>
            </w:r>
          </w:p>
        </w:tc>
      </w:tr>
      <w:tr w:rsidR="00B42A4D" w:rsidRPr="00B42A4D" w:rsidTr="00B42A4D">
        <w:trPr>
          <w:cantSplit/>
        </w:trPr>
        <w:tc>
          <w:tcPr>
            <w:tcW w:w="284" w:type="dxa"/>
            <w:shd w:val="clear" w:color="auto" w:fill="F2F2F2"/>
          </w:tcPr>
          <w:p w:rsidR="00B42A4D" w:rsidRPr="00B42A4D" w:rsidRDefault="00B42A4D" w:rsidP="00EC0997">
            <w:pPr>
              <w:pStyle w:val="TableText"/>
            </w:pPr>
          </w:p>
        </w:tc>
        <w:tc>
          <w:tcPr>
            <w:tcW w:w="2551" w:type="dxa"/>
            <w:shd w:val="clear" w:color="auto" w:fill="F2F2F2"/>
            <w:vAlign w:val="center"/>
          </w:tcPr>
          <w:p w:rsidR="00B42A4D" w:rsidRPr="00B42A4D" w:rsidRDefault="0005535C" w:rsidP="00B42A4D">
            <w:pPr>
              <w:pStyle w:val="TableText"/>
            </w:pPr>
            <w:r>
              <w:t>PSS</w:t>
            </w:r>
          </w:p>
        </w:tc>
        <w:tc>
          <w:tcPr>
            <w:tcW w:w="1418" w:type="dxa"/>
            <w:shd w:val="clear" w:color="auto" w:fill="F2F2F2"/>
          </w:tcPr>
          <w:p w:rsidR="00B42A4D" w:rsidRPr="00B42A4D" w:rsidRDefault="00B42A4D" w:rsidP="00EC0997">
            <w:pPr>
              <w:pStyle w:val="TableText"/>
              <w:jc w:val="center"/>
            </w:pPr>
            <w:r w:rsidRPr="00B42A4D">
              <w:t>21,411</w:t>
            </w:r>
          </w:p>
        </w:tc>
        <w:tc>
          <w:tcPr>
            <w:tcW w:w="1417" w:type="dxa"/>
            <w:shd w:val="clear" w:color="auto" w:fill="F2F2F2"/>
          </w:tcPr>
          <w:p w:rsidR="00B42A4D" w:rsidRPr="00B42A4D" w:rsidRDefault="00B42A4D" w:rsidP="00EC0997">
            <w:pPr>
              <w:pStyle w:val="TableText"/>
              <w:jc w:val="center"/>
            </w:pPr>
            <w:r w:rsidRPr="00B42A4D">
              <w:t>24,780</w:t>
            </w:r>
          </w:p>
        </w:tc>
        <w:tc>
          <w:tcPr>
            <w:tcW w:w="1276" w:type="dxa"/>
            <w:shd w:val="clear" w:color="auto" w:fill="F2F2F2"/>
          </w:tcPr>
          <w:p w:rsidR="00B42A4D" w:rsidRPr="00B42A4D" w:rsidRDefault="00B42A4D" w:rsidP="00EC0997">
            <w:pPr>
              <w:pStyle w:val="TableText"/>
              <w:jc w:val="center"/>
            </w:pPr>
            <w:r w:rsidRPr="00B42A4D">
              <w:t>46,191</w:t>
            </w:r>
          </w:p>
        </w:tc>
        <w:tc>
          <w:tcPr>
            <w:tcW w:w="1418" w:type="dxa"/>
            <w:shd w:val="clear" w:color="auto" w:fill="F2F2F2"/>
          </w:tcPr>
          <w:p w:rsidR="00B42A4D" w:rsidRPr="00B42A4D" w:rsidRDefault="00B42A4D" w:rsidP="00EC0997">
            <w:pPr>
              <w:pStyle w:val="TableText"/>
              <w:jc w:val="center"/>
            </w:pPr>
            <w:r w:rsidRPr="00B42A4D">
              <w:t>63.7</w:t>
            </w:r>
          </w:p>
        </w:tc>
        <w:tc>
          <w:tcPr>
            <w:tcW w:w="1275" w:type="dxa"/>
            <w:shd w:val="clear" w:color="auto" w:fill="F2F2F2"/>
          </w:tcPr>
          <w:p w:rsidR="00B42A4D" w:rsidRPr="00B42A4D" w:rsidRDefault="00394AD2" w:rsidP="00EC0997">
            <w:pPr>
              <w:pStyle w:val="TableText"/>
              <w:jc w:val="center"/>
            </w:pPr>
            <w:r>
              <w:t>$</w:t>
            </w:r>
            <w:r w:rsidR="00B42A4D" w:rsidRPr="00B42A4D">
              <w:t>32,218</w:t>
            </w:r>
          </w:p>
        </w:tc>
      </w:tr>
      <w:tr w:rsidR="00EF0022" w:rsidRPr="00B42A4D" w:rsidTr="00EF0022">
        <w:trPr>
          <w:cantSplit/>
        </w:trPr>
        <w:tc>
          <w:tcPr>
            <w:tcW w:w="2835" w:type="dxa"/>
            <w:gridSpan w:val="2"/>
            <w:shd w:val="clear" w:color="auto" w:fill="F2F2F2"/>
          </w:tcPr>
          <w:p w:rsidR="00EF0022" w:rsidRPr="00B42A4D" w:rsidRDefault="00EF0022" w:rsidP="00B42A4D">
            <w:pPr>
              <w:pStyle w:val="TableText"/>
              <w:rPr>
                <w:b/>
              </w:rPr>
            </w:pPr>
            <w:r>
              <w:rPr>
                <w:b/>
              </w:rPr>
              <w:t>T</w:t>
            </w:r>
            <w:r w:rsidRPr="00B42A4D">
              <w:rPr>
                <w:b/>
              </w:rPr>
              <w:t>otal</w:t>
            </w:r>
          </w:p>
        </w:tc>
        <w:tc>
          <w:tcPr>
            <w:tcW w:w="1418" w:type="dxa"/>
            <w:shd w:val="clear" w:color="auto" w:fill="F2F2F2"/>
          </w:tcPr>
          <w:p w:rsidR="00EF0022" w:rsidRPr="00B42A4D" w:rsidRDefault="00EF0022" w:rsidP="00EC0997">
            <w:pPr>
              <w:pStyle w:val="TableText"/>
              <w:jc w:val="center"/>
              <w:rPr>
                <w:b/>
              </w:rPr>
            </w:pPr>
            <w:r w:rsidRPr="00B42A4D">
              <w:rPr>
                <w:b/>
              </w:rPr>
              <w:t>80,696</w:t>
            </w:r>
          </w:p>
        </w:tc>
        <w:tc>
          <w:tcPr>
            <w:tcW w:w="1417" w:type="dxa"/>
            <w:shd w:val="clear" w:color="auto" w:fill="F2F2F2"/>
          </w:tcPr>
          <w:p w:rsidR="00EF0022" w:rsidRPr="00B42A4D" w:rsidRDefault="00EF0022" w:rsidP="00EC0997">
            <w:pPr>
              <w:pStyle w:val="TableText"/>
              <w:jc w:val="center"/>
              <w:rPr>
                <w:b/>
              </w:rPr>
            </w:pPr>
            <w:r w:rsidRPr="00B42A4D">
              <w:rPr>
                <w:b/>
              </w:rPr>
              <w:t>49,337</w:t>
            </w:r>
          </w:p>
        </w:tc>
        <w:tc>
          <w:tcPr>
            <w:tcW w:w="1276" w:type="dxa"/>
            <w:shd w:val="clear" w:color="auto" w:fill="F2F2F2"/>
          </w:tcPr>
          <w:p w:rsidR="00EF0022" w:rsidRPr="00B42A4D" w:rsidRDefault="00EF0022" w:rsidP="00EC0997">
            <w:pPr>
              <w:pStyle w:val="TableText"/>
              <w:jc w:val="center"/>
              <w:rPr>
                <w:b/>
              </w:rPr>
            </w:pPr>
            <w:r w:rsidRPr="00B42A4D">
              <w:rPr>
                <w:b/>
              </w:rPr>
              <w:t>130,033</w:t>
            </w:r>
          </w:p>
        </w:tc>
        <w:tc>
          <w:tcPr>
            <w:tcW w:w="1418" w:type="dxa"/>
            <w:shd w:val="clear" w:color="auto" w:fill="F2F2F2"/>
          </w:tcPr>
          <w:p w:rsidR="00EF0022" w:rsidRPr="00B42A4D" w:rsidRDefault="00EF0022" w:rsidP="00EC0997">
            <w:pPr>
              <w:pStyle w:val="TableText"/>
              <w:jc w:val="center"/>
              <w:rPr>
                <w:b/>
              </w:rPr>
            </w:pPr>
            <w:r w:rsidRPr="00B42A4D">
              <w:rPr>
                <w:b/>
              </w:rPr>
              <w:t>69.6</w:t>
            </w:r>
          </w:p>
        </w:tc>
        <w:tc>
          <w:tcPr>
            <w:tcW w:w="1275" w:type="dxa"/>
            <w:shd w:val="clear" w:color="auto" w:fill="F2F2F2"/>
          </w:tcPr>
          <w:p w:rsidR="00EF0022" w:rsidRPr="00B42A4D" w:rsidRDefault="00EF0022" w:rsidP="00EC0997">
            <w:pPr>
              <w:pStyle w:val="TableText"/>
              <w:jc w:val="center"/>
              <w:rPr>
                <w:b/>
              </w:rPr>
            </w:pPr>
            <w:r>
              <w:rPr>
                <w:b/>
              </w:rPr>
              <w:t>$</w:t>
            </w:r>
            <w:r w:rsidRPr="00B42A4D">
              <w:rPr>
                <w:b/>
              </w:rPr>
              <w:t>38,634</w:t>
            </w:r>
          </w:p>
        </w:tc>
      </w:tr>
      <w:tr w:rsidR="00B42A4D" w:rsidRPr="00B42A4D" w:rsidTr="00B42A4D">
        <w:trPr>
          <w:cantSplit/>
        </w:trPr>
        <w:tc>
          <w:tcPr>
            <w:tcW w:w="2835" w:type="dxa"/>
            <w:gridSpan w:val="2"/>
            <w:shd w:val="clear" w:color="auto" w:fill="F2F2F2"/>
            <w:vAlign w:val="center"/>
          </w:tcPr>
          <w:p w:rsidR="00B42A4D" w:rsidRPr="00B42A4D" w:rsidRDefault="00B42A4D" w:rsidP="00B42A4D">
            <w:pPr>
              <w:pStyle w:val="TableText"/>
            </w:pPr>
            <w:r w:rsidRPr="00B42A4D">
              <w:t>Dependant Pensioners</w:t>
            </w:r>
          </w:p>
        </w:tc>
        <w:tc>
          <w:tcPr>
            <w:tcW w:w="6804" w:type="dxa"/>
            <w:gridSpan w:val="5"/>
            <w:shd w:val="clear" w:color="auto" w:fill="F2F2F2"/>
          </w:tcPr>
          <w:p w:rsidR="00B42A4D" w:rsidRPr="00B42A4D" w:rsidRDefault="00B42A4D" w:rsidP="00EC0997">
            <w:pPr>
              <w:pStyle w:val="TableText"/>
            </w:pPr>
          </w:p>
        </w:tc>
      </w:tr>
      <w:tr w:rsidR="00B42A4D" w:rsidRPr="00B42A4D" w:rsidTr="00B42A4D">
        <w:trPr>
          <w:cantSplit/>
        </w:trPr>
        <w:tc>
          <w:tcPr>
            <w:tcW w:w="284" w:type="dxa"/>
            <w:shd w:val="clear" w:color="auto" w:fill="F2F2F2"/>
          </w:tcPr>
          <w:p w:rsidR="00B42A4D" w:rsidRPr="00B42A4D" w:rsidRDefault="00B42A4D" w:rsidP="00EC0997">
            <w:pPr>
              <w:pStyle w:val="TableText"/>
            </w:pPr>
          </w:p>
        </w:tc>
        <w:tc>
          <w:tcPr>
            <w:tcW w:w="2551" w:type="dxa"/>
            <w:shd w:val="clear" w:color="auto" w:fill="F2F2F2"/>
            <w:vAlign w:val="center"/>
          </w:tcPr>
          <w:p w:rsidR="00B42A4D" w:rsidRPr="00B42A4D" w:rsidRDefault="00B42A4D" w:rsidP="00B42A4D">
            <w:pPr>
              <w:pStyle w:val="TableText"/>
            </w:pPr>
            <w:r w:rsidRPr="00B42A4D">
              <w:t>1922</w:t>
            </w:r>
            <w:r w:rsidR="005424BA">
              <w:t xml:space="preserve"> Scheme</w:t>
            </w:r>
          </w:p>
        </w:tc>
        <w:tc>
          <w:tcPr>
            <w:tcW w:w="1418" w:type="dxa"/>
            <w:shd w:val="clear" w:color="auto" w:fill="F2F2F2"/>
          </w:tcPr>
          <w:p w:rsidR="00B42A4D" w:rsidRPr="00B42A4D" w:rsidRDefault="00B42A4D" w:rsidP="00EC0997">
            <w:pPr>
              <w:pStyle w:val="TableText"/>
              <w:jc w:val="center"/>
            </w:pPr>
            <w:r w:rsidRPr="00B42A4D">
              <w:t>25</w:t>
            </w:r>
          </w:p>
        </w:tc>
        <w:tc>
          <w:tcPr>
            <w:tcW w:w="1417" w:type="dxa"/>
            <w:shd w:val="clear" w:color="auto" w:fill="F2F2F2"/>
          </w:tcPr>
          <w:p w:rsidR="00B42A4D" w:rsidRPr="00B42A4D" w:rsidRDefault="00B42A4D" w:rsidP="00EC0997">
            <w:pPr>
              <w:pStyle w:val="TableText"/>
              <w:jc w:val="center"/>
            </w:pPr>
            <w:r w:rsidRPr="00B42A4D">
              <w:t>1,961</w:t>
            </w:r>
          </w:p>
        </w:tc>
        <w:tc>
          <w:tcPr>
            <w:tcW w:w="1276" w:type="dxa"/>
            <w:shd w:val="clear" w:color="auto" w:fill="F2F2F2"/>
          </w:tcPr>
          <w:p w:rsidR="00B42A4D" w:rsidRPr="00B42A4D" w:rsidRDefault="00B42A4D" w:rsidP="00EC0997">
            <w:pPr>
              <w:pStyle w:val="TableText"/>
              <w:jc w:val="center"/>
            </w:pPr>
            <w:r w:rsidRPr="00B42A4D">
              <w:t>1,986</w:t>
            </w:r>
          </w:p>
        </w:tc>
        <w:tc>
          <w:tcPr>
            <w:tcW w:w="1418" w:type="dxa"/>
            <w:shd w:val="clear" w:color="auto" w:fill="F2F2F2"/>
          </w:tcPr>
          <w:p w:rsidR="00B42A4D" w:rsidRPr="00B42A4D" w:rsidRDefault="00B42A4D" w:rsidP="00EC0997">
            <w:pPr>
              <w:pStyle w:val="TableText"/>
              <w:jc w:val="center"/>
            </w:pPr>
            <w:r w:rsidRPr="00B42A4D">
              <w:t>86.9</w:t>
            </w:r>
          </w:p>
        </w:tc>
        <w:tc>
          <w:tcPr>
            <w:tcW w:w="1275" w:type="dxa"/>
            <w:shd w:val="clear" w:color="auto" w:fill="F2F2F2"/>
          </w:tcPr>
          <w:p w:rsidR="00B42A4D" w:rsidRPr="00B42A4D" w:rsidRDefault="00394AD2" w:rsidP="00EC0997">
            <w:pPr>
              <w:pStyle w:val="TableText"/>
              <w:jc w:val="center"/>
            </w:pPr>
            <w:r>
              <w:t>$</w:t>
            </w:r>
            <w:r w:rsidR="00B42A4D" w:rsidRPr="00B42A4D">
              <w:t>28,485</w:t>
            </w:r>
          </w:p>
        </w:tc>
      </w:tr>
      <w:tr w:rsidR="00B42A4D" w:rsidRPr="00E3054F" w:rsidTr="00B42A4D">
        <w:trPr>
          <w:cantSplit/>
        </w:trPr>
        <w:tc>
          <w:tcPr>
            <w:tcW w:w="284" w:type="dxa"/>
            <w:shd w:val="clear" w:color="auto" w:fill="F2F2F2"/>
          </w:tcPr>
          <w:p w:rsidR="00B42A4D" w:rsidRPr="00B42A4D" w:rsidRDefault="00B42A4D" w:rsidP="00EC0997">
            <w:pPr>
              <w:pStyle w:val="TableText"/>
            </w:pPr>
          </w:p>
        </w:tc>
        <w:tc>
          <w:tcPr>
            <w:tcW w:w="2551" w:type="dxa"/>
            <w:shd w:val="clear" w:color="auto" w:fill="F2F2F2"/>
            <w:vAlign w:val="center"/>
          </w:tcPr>
          <w:p w:rsidR="00B42A4D" w:rsidRPr="00B42A4D" w:rsidRDefault="005424BA" w:rsidP="00B42A4D">
            <w:pPr>
              <w:pStyle w:val="TableText"/>
            </w:pPr>
            <w:r>
              <w:t>CSS</w:t>
            </w:r>
          </w:p>
        </w:tc>
        <w:tc>
          <w:tcPr>
            <w:tcW w:w="1418" w:type="dxa"/>
            <w:shd w:val="clear" w:color="auto" w:fill="F2F2F2"/>
          </w:tcPr>
          <w:p w:rsidR="00B42A4D" w:rsidRPr="00B42A4D" w:rsidRDefault="00B42A4D" w:rsidP="00EC0997">
            <w:pPr>
              <w:pStyle w:val="TableText"/>
              <w:jc w:val="center"/>
            </w:pPr>
            <w:r w:rsidRPr="00B42A4D">
              <w:t>1,584</w:t>
            </w:r>
          </w:p>
        </w:tc>
        <w:tc>
          <w:tcPr>
            <w:tcW w:w="1417" w:type="dxa"/>
            <w:shd w:val="clear" w:color="auto" w:fill="F2F2F2"/>
          </w:tcPr>
          <w:p w:rsidR="00B42A4D" w:rsidRPr="00B42A4D" w:rsidRDefault="00B42A4D" w:rsidP="00EC0997">
            <w:pPr>
              <w:pStyle w:val="TableText"/>
              <w:jc w:val="center"/>
            </w:pPr>
            <w:r w:rsidRPr="00B42A4D">
              <w:t>22,491</w:t>
            </w:r>
          </w:p>
        </w:tc>
        <w:tc>
          <w:tcPr>
            <w:tcW w:w="1276" w:type="dxa"/>
            <w:shd w:val="clear" w:color="auto" w:fill="F2F2F2"/>
          </w:tcPr>
          <w:p w:rsidR="00B42A4D" w:rsidRPr="00B42A4D" w:rsidRDefault="00B42A4D" w:rsidP="00EC0997">
            <w:pPr>
              <w:pStyle w:val="TableText"/>
              <w:jc w:val="center"/>
            </w:pPr>
            <w:r w:rsidRPr="00B42A4D">
              <w:t>24,075</w:t>
            </w:r>
          </w:p>
        </w:tc>
        <w:tc>
          <w:tcPr>
            <w:tcW w:w="1418" w:type="dxa"/>
            <w:shd w:val="clear" w:color="auto" w:fill="F2F2F2"/>
          </w:tcPr>
          <w:p w:rsidR="00B42A4D" w:rsidRPr="00B42A4D" w:rsidRDefault="00B42A4D" w:rsidP="00EC0997">
            <w:pPr>
              <w:pStyle w:val="TableText"/>
              <w:jc w:val="center"/>
            </w:pPr>
            <w:r w:rsidRPr="00B42A4D">
              <w:t>80.7</w:t>
            </w:r>
          </w:p>
        </w:tc>
        <w:tc>
          <w:tcPr>
            <w:tcW w:w="1275" w:type="dxa"/>
            <w:shd w:val="clear" w:color="auto" w:fill="F2F2F2"/>
          </w:tcPr>
          <w:p w:rsidR="00B42A4D" w:rsidRPr="00B42A4D" w:rsidRDefault="00394AD2" w:rsidP="00EC0997">
            <w:pPr>
              <w:pStyle w:val="TableText"/>
              <w:jc w:val="center"/>
            </w:pPr>
            <w:r>
              <w:t>$</w:t>
            </w:r>
            <w:r w:rsidR="00B42A4D" w:rsidRPr="00B42A4D">
              <w:t>22,836</w:t>
            </w:r>
          </w:p>
        </w:tc>
      </w:tr>
      <w:tr w:rsidR="00B42A4D" w:rsidRPr="00E3054F" w:rsidTr="00B42A4D">
        <w:trPr>
          <w:cantSplit/>
        </w:trPr>
        <w:tc>
          <w:tcPr>
            <w:tcW w:w="284" w:type="dxa"/>
            <w:shd w:val="clear" w:color="auto" w:fill="F2F2F2"/>
          </w:tcPr>
          <w:p w:rsidR="00B42A4D" w:rsidRPr="00E3054F" w:rsidRDefault="00B42A4D" w:rsidP="00EC0997">
            <w:pPr>
              <w:pStyle w:val="TableText"/>
            </w:pPr>
          </w:p>
        </w:tc>
        <w:tc>
          <w:tcPr>
            <w:tcW w:w="2551" w:type="dxa"/>
            <w:shd w:val="clear" w:color="auto" w:fill="F2F2F2"/>
            <w:vAlign w:val="center"/>
          </w:tcPr>
          <w:p w:rsidR="00B42A4D" w:rsidRDefault="005424BA" w:rsidP="00B42A4D">
            <w:pPr>
              <w:pStyle w:val="TableText"/>
            </w:pPr>
            <w:r>
              <w:t>PSS</w:t>
            </w:r>
          </w:p>
        </w:tc>
        <w:tc>
          <w:tcPr>
            <w:tcW w:w="1418" w:type="dxa"/>
            <w:shd w:val="clear" w:color="auto" w:fill="F2F2F2"/>
          </w:tcPr>
          <w:p w:rsidR="00B42A4D" w:rsidRPr="00E3054F" w:rsidRDefault="00B42A4D" w:rsidP="00EC0997">
            <w:pPr>
              <w:pStyle w:val="TableText"/>
              <w:jc w:val="center"/>
            </w:pPr>
            <w:r>
              <w:t>617</w:t>
            </w:r>
          </w:p>
        </w:tc>
        <w:tc>
          <w:tcPr>
            <w:tcW w:w="1417" w:type="dxa"/>
            <w:shd w:val="clear" w:color="auto" w:fill="F2F2F2"/>
          </w:tcPr>
          <w:p w:rsidR="00B42A4D" w:rsidRPr="00E3054F" w:rsidRDefault="00B42A4D" w:rsidP="00EC0997">
            <w:pPr>
              <w:pStyle w:val="TableText"/>
              <w:jc w:val="center"/>
            </w:pPr>
            <w:r>
              <w:t>1,343</w:t>
            </w:r>
          </w:p>
        </w:tc>
        <w:tc>
          <w:tcPr>
            <w:tcW w:w="1276" w:type="dxa"/>
            <w:shd w:val="clear" w:color="auto" w:fill="F2F2F2"/>
          </w:tcPr>
          <w:p w:rsidR="00B42A4D" w:rsidRPr="00E3054F" w:rsidRDefault="00B42A4D" w:rsidP="00EC0997">
            <w:pPr>
              <w:pStyle w:val="TableText"/>
              <w:jc w:val="center"/>
            </w:pPr>
            <w:r>
              <w:t>1,960</w:t>
            </w:r>
          </w:p>
        </w:tc>
        <w:tc>
          <w:tcPr>
            <w:tcW w:w="1418" w:type="dxa"/>
            <w:shd w:val="clear" w:color="auto" w:fill="F2F2F2"/>
          </w:tcPr>
          <w:p w:rsidR="00B42A4D" w:rsidRPr="00E3054F" w:rsidRDefault="00B42A4D" w:rsidP="00EC0997">
            <w:pPr>
              <w:pStyle w:val="TableText"/>
              <w:jc w:val="center"/>
            </w:pPr>
            <w:r>
              <w:t>63.3</w:t>
            </w:r>
          </w:p>
        </w:tc>
        <w:tc>
          <w:tcPr>
            <w:tcW w:w="1275" w:type="dxa"/>
            <w:shd w:val="clear" w:color="auto" w:fill="F2F2F2"/>
          </w:tcPr>
          <w:p w:rsidR="00B42A4D" w:rsidRPr="00E3054F" w:rsidRDefault="00394AD2" w:rsidP="00EC0997">
            <w:pPr>
              <w:pStyle w:val="TableText"/>
              <w:jc w:val="center"/>
            </w:pPr>
            <w:r>
              <w:t>$</w:t>
            </w:r>
            <w:r w:rsidR="00B42A4D">
              <w:t>18,958</w:t>
            </w:r>
          </w:p>
        </w:tc>
      </w:tr>
      <w:tr w:rsidR="00EF0022" w:rsidRPr="003A6A90" w:rsidTr="00EF0022">
        <w:trPr>
          <w:cantSplit/>
        </w:trPr>
        <w:tc>
          <w:tcPr>
            <w:tcW w:w="2835" w:type="dxa"/>
            <w:gridSpan w:val="2"/>
            <w:shd w:val="clear" w:color="auto" w:fill="F2F2F2"/>
          </w:tcPr>
          <w:p w:rsidR="00EF0022" w:rsidRDefault="00EF0022" w:rsidP="00B42A4D">
            <w:pPr>
              <w:pStyle w:val="TableText"/>
              <w:rPr>
                <w:b/>
              </w:rPr>
            </w:pPr>
            <w:r>
              <w:rPr>
                <w:b/>
              </w:rPr>
              <w:t>T</w:t>
            </w:r>
            <w:r w:rsidRPr="003A6A90">
              <w:rPr>
                <w:b/>
              </w:rPr>
              <w:t>otal</w:t>
            </w:r>
          </w:p>
        </w:tc>
        <w:tc>
          <w:tcPr>
            <w:tcW w:w="1418" w:type="dxa"/>
            <w:shd w:val="clear" w:color="auto" w:fill="F2F2F2"/>
          </w:tcPr>
          <w:p w:rsidR="00EF0022" w:rsidRPr="003A6A90" w:rsidRDefault="00EF0022" w:rsidP="00EC0997">
            <w:pPr>
              <w:pStyle w:val="TableText"/>
              <w:jc w:val="center"/>
              <w:rPr>
                <w:b/>
              </w:rPr>
            </w:pPr>
            <w:r>
              <w:rPr>
                <w:b/>
              </w:rPr>
              <w:t>2,226</w:t>
            </w:r>
          </w:p>
        </w:tc>
        <w:tc>
          <w:tcPr>
            <w:tcW w:w="1417" w:type="dxa"/>
            <w:shd w:val="clear" w:color="auto" w:fill="F2F2F2"/>
          </w:tcPr>
          <w:p w:rsidR="00EF0022" w:rsidRPr="003A6A90" w:rsidRDefault="00EF0022" w:rsidP="00EC0997">
            <w:pPr>
              <w:pStyle w:val="TableText"/>
              <w:jc w:val="center"/>
              <w:rPr>
                <w:b/>
              </w:rPr>
            </w:pPr>
            <w:r>
              <w:rPr>
                <w:b/>
              </w:rPr>
              <w:t>25,795</w:t>
            </w:r>
          </w:p>
        </w:tc>
        <w:tc>
          <w:tcPr>
            <w:tcW w:w="1276" w:type="dxa"/>
            <w:shd w:val="clear" w:color="auto" w:fill="F2F2F2"/>
          </w:tcPr>
          <w:p w:rsidR="00EF0022" w:rsidRPr="003A6A90" w:rsidRDefault="00EF0022" w:rsidP="00EC0997">
            <w:pPr>
              <w:pStyle w:val="TableText"/>
              <w:jc w:val="center"/>
              <w:rPr>
                <w:b/>
              </w:rPr>
            </w:pPr>
            <w:r>
              <w:rPr>
                <w:b/>
              </w:rPr>
              <w:t>28,021</w:t>
            </w:r>
          </w:p>
        </w:tc>
        <w:tc>
          <w:tcPr>
            <w:tcW w:w="1418" w:type="dxa"/>
            <w:shd w:val="clear" w:color="auto" w:fill="F2F2F2"/>
          </w:tcPr>
          <w:p w:rsidR="00EF0022" w:rsidRPr="003A6A90" w:rsidRDefault="00EF0022" w:rsidP="00EC0997">
            <w:pPr>
              <w:pStyle w:val="TableText"/>
              <w:jc w:val="center"/>
              <w:rPr>
                <w:b/>
              </w:rPr>
            </w:pPr>
            <w:r>
              <w:rPr>
                <w:b/>
              </w:rPr>
              <w:t>79.9</w:t>
            </w:r>
          </w:p>
        </w:tc>
        <w:tc>
          <w:tcPr>
            <w:tcW w:w="1275" w:type="dxa"/>
            <w:shd w:val="clear" w:color="auto" w:fill="F2F2F2"/>
          </w:tcPr>
          <w:p w:rsidR="00EF0022" w:rsidRPr="003A6A90" w:rsidRDefault="00EF0022" w:rsidP="00EC0997">
            <w:pPr>
              <w:pStyle w:val="TableText"/>
              <w:jc w:val="center"/>
              <w:rPr>
                <w:b/>
              </w:rPr>
            </w:pPr>
            <w:r>
              <w:rPr>
                <w:b/>
              </w:rPr>
              <w:t>$22,966</w:t>
            </w:r>
          </w:p>
        </w:tc>
      </w:tr>
    </w:tbl>
    <w:p w:rsidR="00314AF0" w:rsidRDefault="00314AF0" w:rsidP="00240871"/>
    <w:p w:rsidR="00394AD2" w:rsidRPr="00034F57" w:rsidRDefault="00394AD2" w:rsidP="00394AD2">
      <w:r w:rsidRPr="00034F57">
        <w:t xml:space="preserve">Further detail of the </w:t>
      </w:r>
      <w:r>
        <w:t xml:space="preserve">membership is </w:t>
      </w:r>
      <w:r w:rsidRPr="00034F57">
        <w:t xml:space="preserve">set out in Appendix </w:t>
      </w:r>
      <w:r>
        <w:t>B</w:t>
      </w:r>
      <w:r w:rsidRPr="00034F57">
        <w:t>.</w:t>
      </w:r>
    </w:p>
    <w:p w:rsidR="00394AD2" w:rsidRDefault="00394AD2" w:rsidP="00240871"/>
    <w:p w:rsidR="00EF0022" w:rsidRDefault="00EF0022">
      <w:pPr>
        <w:spacing w:line="240" w:lineRule="auto"/>
      </w:pPr>
      <w:r>
        <w:br w:type="page"/>
      </w:r>
    </w:p>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45" w:name="_Toc210727688"/>
      <w:bookmarkStart w:id="46" w:name="_Toc325023262"/>
      <w:bookmarkStart w:id="47" w:name="_Toc493666046"/>
      <w:bookmarkStart w:id="48" w:name="_Toc508267354"/>
      <w:bookmarkStart w:id="49" w:name="_Toc511315166"/>
      <w:bookmarkStart w:id="50" w:name="_Toc511313520"/>
      <w:bookmarkStart w:id="51" w:name="_Toc511385930"/>
      <w:bookmarkStart w:id="52" w:name="_Toc517706063"/>
      <w:r>
        <w:t>Assumptions</w:t>
      </w:r>
      <w:bookmarkEnd w:id="45"/>
      <w:bookmarkEnd w:id="46"/>
      <w:bookmarkEnd w:id="47"/>
      <w:bookmarkEnd w:id="48"/>
      <w:bookmarkEnd w:id="49"/>
      <w:bookmarkEnd w:id="50"/>
      <w:bookmarkEnd w:id="51"/>
      <w:bookmarkEnd w:id="52"/>
    </w:p>
    <w:p w:rsidR="00676991" w:rsidRPr="00676991" w:rsidRDefault="00676991" w:rsidP="00676991">
      <w:r w:rsidRPr="00676991">
        <w:t xml:space="preserve">In order to value </w:t>
      </w:r>
      <w:r w:rsidR="00692EE8">
        <w:t xml:space="preserve">the </w:t>
      </w:r>
      <w:r w:rsidRPr="00676991">
        <w:t>liabilities, it is necessary to make assumptions regarding the incidence, timing and amount of future benefits. These assumptions fall into two broad categories:</w:t>
      </w:r>
    </w:p>
    <w:p w:rsidR="00676991" w:rsidRPr="00676991" w:rsidRDefault="00676991" w:rsidP="0026079F">
      <w:pPr>
        <w:pStyle w:val="ListBullet"/>
      </w:pPr>
      <w:r w:rsidRPr="00676991">
        <w:t>economic assumptions: relat</w:t>
      </w:r>
      <w:r w:rsidR="00EF0022">
        <w:t>ing</w:t>
      </w:r>
      <w:r w:rsidRPr="00676991">
        <w:t xml:space="preserve"> to the general economic environment and not directly to the membership of the schemes; and</w:t>
      </w:r>
    </w:p>
    <w:p w:rsidR="00676991" w:rsidRPr="00676991" w:rsidRDefault="006D6A4B" w:rsidP="0026079F">
      <w:pPr>
        <w:pStyle w:val="ListBullet"/>
      </w:pPr>
      <w:r>
        <w:t>d</w:t>
      </w:r>
      <w:r w:rsidRPr="00676991">
        <w:t>emographic</w:t>
      </w:r>
      <w:r w:rsidR="00676991" w:rsidRPr="00676991">
        <w:t xml:space="preserve"> assumptions: relat</w:t>
      </w:r>
      <w:r w:rsidR="00EF0022">
        <w:t>ing</w:t>
      </w:r>
      <w:r w:rsidR="00676991" w:rsidRPr="00676991">
        <w:t xml:space="preserve"> to the experience of the membership of the scheme.</w:t>
      </w:r>
    </w:p>
    <w:p w:rsidR="00676991" w:rsidRDefault="00676991" w:rsidP="00182DA8"/>
    <w:p w:rsidR="00182DA8" w:rsidRDefault="00182DA8" w:rsidP="00182DA8">
      <w:r w:rsidRPr="00B36B4C">
        <w:t xml:space="preserve">This section sets out the assumptions </w:t>
      </w:r>
      <w:r w:rsidR="008155E3">
        <w:t>used in this report</w:t>
      </w:r>
      <w:r w:rsidRPr="00B36B4C">
        <w:t xml:space="preserve"> and highlights any changes from those</w:t>
      </w:r>
      <w:r w:rsidR="00490A48">
        <w:t xml:space="preserve"> </w:t>
      </w:r>
      <w:r w:rsidR="008155E3">
        <w:t>used</w:t>
      </w:r>
      <w:r w:rsidR="008155E3" w:rsidRPr="00B36B4C">
        <w:t xml:space="preserve"> </w:t>
      </w:r>
      <w:r w:rsidRPr="00B36B4C">
        <w:t xml:space="preserve">for the </w:t>
      </w:r>
      <w:r>
        <w:t>2014</w:t>
      </w:r>
      <w:r w:rsidRPr="00B36B4C">
        <w:t xml:space="preserve"> </w:t>
      </w:r>
      <w:r w:rsidR="00985D4F">
        <w:t>LTCR</w:t>
      </w:r>
      <w:r w:rsidRPr="00B36B4C">
        <w:t>.</w:t>
      </w:r>
      <w:r w:rsidR="00B42A4D">
        <w:t xml:space="preserve"> </w:t>
      </w:r>
      <w:r w:rsidR="00B42A4D" w:rsidRPr="00B36B4C">
        <w:t xml:space="preserve">The assumptions are </w:t>
      </w:r>
      <w:r w:rsidR="00B42A4D">
        <w:t xml:space="preserve">detailed </w:t>
      </w:r>
      <w:r w:rsidR="00B42A4D" w:rsidRPr="00B36B4C">
        <w:t>in Appendix </w:t>
      </w:r>
      <w:r w:rsidR="00394AD2">
        <w:t>C</w:t>
      </w:r>
      <w:r w:rsidR="00B42A4D" w:rsidRPr="00B36B4C">
        <w:t>.</w:t>
      </w:r>
    </w:p>
    <w:p w:rsidR="00182DA8" w:rsidRDefault="00182DA8" w:rsidP="00182DA8">
      <w:pPr>
        <w:tabs>
          <w:tab w:val="left" w:pos="765"/>
        </w:tabs>
      </w:pPr>
    </w:p>
    <w:p w:rsidR="00EF0022" w:rsidRDefault="00EF0022" w:rsidP="00EF0022">
      <w:r w:rsidRPr="001C227C">
        <w:t>In total</w:t>
      </w:r>
      <w:r>
        <w:t>,</w:t>
      </w:r>
      <w:r w:rsidRPr="001C227C">
        <w:t xml:space="preserve"> the changes in assumptions have resulted in an increase </w:t>
      </w:r>
      <w:r>
        <w:t>to</w:t>
      </w:r>
      <w:r w:rsidRPr="001C227C">
        <w:t xml:space="preserve"> the combined </w:t>
      </w:r>
      <w:r>
        <w:t>u</w:t>
      </w:r>
      <w:r w:rsidRPr="001C227C">
        <w:t xml:space="preserve">nfunded </w:t>
      </w:r>
      <w:r>
        <w:t>l</w:t>
      </w:r>
      <w:r w:rsidRPr="001C227C">
        <w:t xml:space="preserve">iability </w:t>
      </w:r>
      <w:r w:rsidRPr="00EF6DD9">
        <w:t>of $18.3 billion</w:t>
      </w:r>
      <w:r>
        <w:t>,</w:t>
      </w:r>
      <w:r w:rsidRPr="00EF6DD9">
        <w:t xml:space="preserve"> or </w:t>
      </w:r>
      <w:r>
        <w:t>+</w:t>
      </w:r>
      <w:r w:rsidRPr="00EF6DD9">
        <w:t>15.3%</w:t>
      </w:r>
      <w:r>
        <w:t xml:space="preserve">, </w:t>
      </w:r>
      <w:r w:rsidRPr="001C227C">
        <w:t>as at 30 June 201</w:t>
      </w:r>
      <w:r>
        <w:t>7</w:t>
      </w:r>
      <w:r w:rsidRPr="001C227C">
        <w:t>.</w:t>
      </w:r>
    </w:p>
    <w:p w:rsidR="00EF0022" w:rsidRPr="00676991" w:rsidRDefault="00EF0022" w:rsidP="00182DA8">
      <w:pPr>
        <w:tabs>
          <w:tab w:val="left" w:pos="765"/>
        </w:tabs>
      </w:pPr>
    </w:p>
    <w:p w:rsidR="00676991" w:rsidRPr="00331A3B" w:rsidRDefault="00676991" w:rsidP="00331A3B">
      <w:pPr>
        <w:rPr>
          <w:caps/>
          <w:color w:val="002C77"/>
          <w:spacing w:val="40"/>
        </w:rPr>
      </w:pPr>
      <w:bookmarkStart w:id="53" w:name="_Toc508267355"/>
      <w:r w:rsidRPr="00331A3B">
        <w:rPr>
          <w:caps/>
          <w:color w:val="002C77"/>
          <w:spacing w:val="40"/>
        </w:rPr>
        <w:t>Economic Assumptions</w:t>
      </w:r>
      <w:bookmarkEnd w:id="53"/>
    </w:p>
    <w:p w:rsidR="00676991" w:rsidRPr="00676991" w:rsidRDefault="00676991" w:rsidP="00676991"/>
    <w:p w:rsidR="00676991" w:rsidRPr="00676991" w:rsidRDefault="00676991" w:rsidP="00BE0ACB">
      <w:pPr>
        <w:pStyle w:val="Heading3"/>
      </w:pPr>
      <w:r w:rsidRPr="00676991">
        <w:t>Key Economic Assumptions</w:t>
      </w:r>
    </w:p>
    <w:p w:rsidR="00676991" w:rsidRPr="00676991" w:rsidRDefault="00676991" w:rsidP="00676991"/>
    <w:p w:rsidR="00676991" w:rsidRPr="00676991" w:rsidRDefault="00676991" w:rsidP="00676991">
      <w:r w:rsidRPr="00676991">
        <w:t>The key economic assumptions include:</w:t>
      </w:r>
    </w:p>
    <w:p w:rsidR="00676991" w:rsidRPr="00676991" w:rsidRDefault="00676991" w:rsidP="0026079F">
      <w:pPr>
        <w:pStyle w:val="ListBullet"/>
      </w:pPr>
      <w:r w:rsidRPr="00676991">
        <w:t>future increases in the Consumer Price Index (CPI) which links to the level of pension increases;</w:t>
      </w:r>
    </w:p>
    <w:p w:rsidR="00EF6DD9" w:rsidRPr="00676991" w:rsidRDefault="00EF6DD9" w:rsidP="0026079F">
      <w:pPr>
        <w:pStyle w:val="ListBullet"/>
      </w:pPr>
      <w:r w:rsidRPr="00676991">
        <w:t>future increases in salaries (other than those arising from promotions)</w:t>
      </w:r>
      <w:r>
        <w:t>; and</w:t>
      </w:r>
    </w:p>
    <w:p w:rsidR="00676991" w:rsidRPr="00676991" w:rsidRDefault="00676991" w:rsidP="0026079F">
      <w:pPr>
        <w:pStyle w:val="ListBullet"/>
      </w:pPr>
      <w:r w:rsidRPr="00676991">
        <w:t>future rate of investment return / discount rate</w:t>
      </w:r>
      <w:r w:rsidR="00EF6DD9">
        <w:t>.</w:t>
      </w:r>
    </w:p>
    <w:p w:rsidR="00BE0ACB" w:rsidRDefault="00BE0ACB" w:rsidP="00BE0ACB">
      <w:pPr>
        <w:pStyle w:val="ListBullet"/>
        <w:numPr>
          <w:ilvl w:val="0"/>
          <w:numId w:val="0"/>
        </w:numPr>
        <w:spacing w:before="60" w:after="60" w:line="240" w:lineRule="auto"/>
      </w:pPr>
    </w:p>
    <w:p w:rsidR="00676991" w:rsidRPr="00676991" w:rsidRDefault="00676991" w:rsidP="005C7E28">
      <w:pPr>
        <w:tabs>
          <w:tab w:val="left" w:pos="765"/>
        </w:tabs>
      </w:pPr>
      <w:r w:rsidRPr="00676991">
        <w:t xml:space="preserve">The relationships between the assumptions adopted for these factors have a greater bearing on the long term cost estimates of the </w:t>
      </w:r>
      <w:r w:rsidR="00C0333F">
        <w:t>PSS and CSS</w:t>
      </w:r>
      <w:r w:rsidRPr="00676991">
        <w:t xml:space="preserve"> than do the individual assumptions. This is due to the effect of one assumption being used to project the liability into the future (future </w:t>
      </w:r>
      <w:r w:rsidR="00EF0022">
        <w:t xml:space="preserve">pension and </w:t>
      </w:r>
      <w:r w:rsidRPr="00676991">
        <w:t>salary increases) and another assumption being used to discount that liability to current day values (discount rate).</w:t>
      </w:r>
    </w:p>
    <w:p w:rsidR="00676991" w:rsidRDefault="00676991" w:rsidP="005C7E28">
      <w:pPr>
        <w:tabs>
          <w:tab w:val="left" w:pos="765"/>
        </w:tabs>
      </w:pPr>
    </w:p>
    <w:p w:rsidR="005F0EE6" w:rsidRDefault="005F0EE6" w:rsidP="005C7E28">
      <w:pPr>
        <w:tabs>
          <w:tab w:val="left" w:pos="765"/>
        </w:tabs>
      </w:pPr>
      <w:r w:rsidRPr="0073092C">
        <w:t xml:space="preserve">We have not adopted different economic assumptions for the short term and long term as a general principle.  To adopt, for example, short term </w:t>
      </w:r>
      <w:r>
        <w:t>salary increase</w:t>
      </w:r>
      <w:r w:rsidRPr="0073092C">
        <w:t xml:space="preserve"> assumptions would necessitate the use of other short term assumptions (e.g. inflation and investment).  However, as noted above</w:t>
      </w:r>
      <w:r>
        <w:t>,</w:t>
      </w:r>
      <w:r w:rsidRPr="0073092C">
        <w:t xml:space="preserve"> it is the </w:t>
      </w:r>
      <w:r>
        <w:t xml:space="preserve">relationships </w:t>
      </w:r>
      <w:r w:rsidRPr="0073092C">
        <w:t xml:space="preserve">between the assumptions which </w:t>
      </w:r>
      <w:r>
        <w:t>are</w:t>
      </w:r>
      <w:r w:rsidRPr="0073092C">
        <w:t xml:space="preserve"> the key driver</w:t>
      </w:r>
      <w:r>
        <w:t>s</w:t>
      </w:r>
      <w:r w:rsidRPr="0073092C">
        <w:t xml:space="preserve"> to impact results.  Whilst in the short term these rates may vary</w:t>
      </w:r>
      <w:r>
        <w:t>,</w:t>
      </w:r>
      <w:r w:rsidRPr="0073092C">
        <w:t xml:space="preserve"> in the longer term we expect them </w:t>
      </w:r>
      <w:r>
        <w:t xml:space="preserve">and their relationships </w:t>
      </w:r>
      <w:r w:rsidRPr="0073092C">
        <w:t>to be more stable.</w:t>
      </w:r>
    </w:p>
    <w:p w:rsidR="005F0EE6" w:rsidRDefault="005F0EE6" w:rsidP="00676991"/>
    <w:p w:rsidR="00F37090" w:rsidRDefault="00F37090">
      <w:pPr>
        <w:spacing w:line="240" w:lineRule="auto"/>
      </w:pPr>
      <w:r>
        <w:br w:type="page"/>
      </w:r>
    </w:p>
    <w:p w:rsidR="005F0EE6" w:rsidRDefault="005F0EE6" w:rsidP="005F0EE6">
      <w:pPr>
        <w:autoSpaceDE w:val="0"/>
        <w:autoSpaceDN w:val="0"/>
        <w:adjustRightInd w:val="0"/>
        <w:spacing w:line="240" w:lineRule="auto"/>
      </w:pPr>
      <w:r>
        <w:lastRenderedPageBreak/>
        <w:t>Frequent changes in economic assumptions are undesirable since they can overwhelm any examination of the impact of changes in experience or scheme design, and impede the understanding of the long term cost of the schemes.  Changes to economic assumptions are therefore only expected to be made if there is a material shift in the long term expectations for economic conditions.</w:t>
      </w:r>
    </w:p>
    <w:p w:rsidR="005F0EE6" w:rsidRDefault="005F0EE6" w:rsidP="005F0EE6">
      <w:pPr>
        <w:autoSpaceDE w:val="0"/>
        <w:autoSpaceDN w:val="0"/>
        <w:adjustRightInd w:val="0"/>
        <w:spacing w:line="240" w:lineRule="auto"/>
      </w:pPr>
    </w:p>
    <w:p w:rsidR="005F0EE6" w:rsidRDefault="005F0EE6" w:rsidP="005F0EE6">
      <w:pPr>
        <w:autoSpaceDE w:val="0"/>
        <w:autoSpaceDN w:val="0"/>
        <w:adjustRightInd w:val="0"/>
        <w:spacing w:line="240" w:lineRule="auto"/>
      </w:pPr>
      <w:r>
        <w:t>Accordingly the principles applied in setting the assumptions are:</w:t>
      </w:r>
    </w:p>
    <w:p w:rsidR="005F0EE6" w:rsidRDefault="005F0EE6" w:rsidP="005F0EE6">
      <w:pPr>
        <w:autoSpaceDE w:val="0"/>
        <w:autoSpaceDN w:val="0"/>
        <w:adjustRightInd w:val="0"/>
        <w:spacing w:line="240" w:lineRule="auto"/>
      </w:pPr>
    </w:p>
    <w:p w:rsidR="005F0EE6" w:rsidRPr="007E524E" w:rsidRDefault="005F0EE6" w:rsidP="00F37090">
      <w:pPr>
        <w:pStyle w:val="ListParagraph"/>
        <w:numPr>
          <w:ilvl w:val="0"/>
          <w:numId w:val="23"/>
        </w:numPr>
        <w:autoSpaceDE w:val="0"/>
        <w:autoSpaceDN w:val="0"/>
        <w:adjustRightInd w:val="0"/>
        <w:spacing w:after="200" w:line="240" w:lineRule="auto"/>
        <w:ind w:left="426" w:hanging="426"/>
        <w:rPr>
          <w:lang w:val="en-GB"/>
        </w:rPr>
      </w:pPr>
      <w:r w:rsidRPr="007E524E">
        <w:rPr>
          <w:lang w:val="en-GB"/>
        </w:rPr>
        <w:t>They should be based on realistic</w:t>
      </w:r>
      <w:r>
        <w:rPr>
          <w:lang w:val="en-GB"/>
        </w:rPr>
        <w:t xml:space="preserve"> lo</w:t>
      </w:r>
      <w:r w:rsidRPr="007E524E">
        <w:rPr>
          <w:lang w:val="en-GB"/>
        </w:rPr>
        <w:t>ng term future expectations</w:t>
      </w:r>
      <w:r>
        <w:rPr>
          <w:lang w:val="en-GB"/>
        </w:rPr>
        <w:t xml:space="preserve"> over the term of the schemes’ liabilities, based on economic forecasts;</w:t>
      </w:r>
    </w:p>
    <w:p w:rsidR="005F0EE6" w:rsidRPr="007E524E" w:rsidRDefault="005F0EE6" w:rsidP="00F37090">
      <w:pPr>
        <w:pStyle w:val="ListParagraph"/>
        <w:numPr>
          <w:ilvl w:val="0"/>
          <w:numId w:val="23"/>
        </w:numPr>
        <w:autoSpaceDE w:val="0"/>
        <w:autoSpaceDN w:val="0"/>
        <w:adjustRightInd w:val="0"/>
        <w:spacing w:after="200" w:line="240" w:lineRule="auto"/>
        <w:ind w:left="426" w:hanging="426"/>
        <w:rPr>
          <w:lang w:val="en-GB"/>
        </w:rPr>
      </w:pPr>
      <w:r w:rsidRPr="007E524E">
        <w:rPr>
          <w:lang w:val="en-GB"/>
        </w:rPr>
        <w:t>They should be stable over time, only changing when there has been a material change in long term expectations;</w:t>
      </w:r>
      <w:r>
        <w:rPr>
          <w:lang w:val="en-GB"/>
        </w:rPr>
        <w:t xml:space="preserve"> </w:t>
      </w:r>
    </w:p>
    <w:p w:rsidR="005F0EE6" w:rsidRPr="00930AE5" w:rsidRDefault="005F0EE6" w:rsidP="00F37090">
      <w:pPr>
        <w:pStyle w:val="ListParagraph"/>
        <w:numPr>
          <w:ilvl w:val="0"/>
          <w:numId w:val="23"/>
        </w:numPr>
        <w:autoSpaceDE w:val="0"/>
        <w:autoSpaceDN w:val="0"/>
        <w:adjustRightInd w:val="0"/>
        <w:spacing w:after="200" w:line="240" w:lineRule="auto"/>
        <w:ind w:left="426" w:hanging="426"/>
      </w:pPr>
      <w:r w:rsidRPr="00441E70">
        <w:rPr>
          <w:lang w:val="en-GB"/>
        </w:rPr>
        <w:t>They should recognise the interrelationships between the assumptions</w:t>
      </w:r>
      <w:r w:rsidR="0081311D">
        <w:rPr>
          <w:lang w:val="en-GB"/>
        </w:rPr>
        <w:t>; and</w:t>
      </w:r>
    </w:p>
    <w:p w:rsidR="005F0EE6" w:rsidRDefault="005F0EE6" w:rsidP="00F37090">
      <w:pPr>
        <w:pStyle w:val="ListParagraph"/>
        <w:numPr>
          <w:ilvl w:val="0"/>
          <w:numId w:val="23"/>
        </w:numPr>
        <w:autoSpaceDE w:val="0"/>
        <w:autoSpaceDN w:val="0"/>
        <w:adjustRightInd w:val="0"/>
        <w:spacing w:after="200" w:line="240" w:lineRule="auto"/>
        <w:ind w:left="426" w:hanging="426"/>
      </w:pPr>
      <w:r w:rsidRPr="00441E70">
        <w:rPr>
          <w:lang w:val="en-GB"/>
        </w:rPr>
        <w:t xml:space="preserve">Take into account short term considerations </w:t>
      </w:r>
      <w:r w:rsidR="00692EE8">
        <w:rPr>
          <w:lang w:val="en-GB"/>
        </w:rPr>
        <w:t xml:space="preserve">only </w:t>
      </w:r>
      <w:r w:rsidRPr="00441E70">
        <w:rPr>
          <w:lang w:val="en-GB"/>
        </w:rPr>
        <w:t>where there is a compelling reason to do so.</w:t>
      </w:r>
    </w:p>
    <w:p w:rsidR="005F0EE6" w:rsidRDefault="005F0EE6" w:rsidP="00676991"/>
    <w:p w:rsidR="00596814" w:rsidRDefault="00596814" w:rsidP="00596814">
      <w:r>
        <w:t>The key economic assumptions are shown below</w:t>
      </w:r>
      <w:r w:rsidR="008155E3">
        <w:t xml:space="preserve"> together with the</w:t>
      </w:r>
      <w:r w:rsidR="00720979">
        <w:t xml:space="preserve"> </w:t>
      </w:r>
      <w:r w:rsidR="008155E3">
        <w:t>a</w:t>
      </w:r>
      <w:r>
        <w:t xml:space="preserve">ssumptions </w:t>
      </w:r>
      <w:r w:rsidR="008155E3">
        <w:t>from</w:t>
      </w:r>
      <w:r>
        <w:t xml:space="preserve"> </w:t>
      </w:r>
      <w:r w:rsidR="00172C3C">
        <w:t xml:space="preserve">the </w:t>
      </w:r>
      <w:r>
        <w:t>2014 LTCR</w:t>
      </w:r>
      <w:r w:rsidR="00490A48">
        <w:t>:</w:t>
      </w:r>
    </w:p>
    <w:p w:rsidR="00596814" w:rsidRPr="00F37090" w:rsidRDefault="00596814" w:rsidP="00F37090">
      <w:pPr>
        <w:spacing w:line="240" w:lineRule="auto"/>
        <w:rPr>
          <w:sz w:val="16"/>
        </w:rPr>
      </w:pPr>
    </w:p>
    <w:tbl>
      <w:tblPr>
        <w:tblW w:w="9534" w:type="dxa"/>
        <w:tblInd w:w="72"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3013"/>
        <w:gridCol w:w="3260"/>
        <w:gridCol w:w="3261"/>
      </w:tblGrid>
      <w:tr w:rsidR="00172C3C" w:rsidRPr="00172C3C" w:rsidTr="004D6D93">
        <w:trPr>
          <w:cantSplit/>
          <w:tblHeader/>
        </w:trPr>
        <w:tc>
          <w:tcPr>
            <w:tcW w:w="3013" w:type="dxa"/>
            <w:shd w:val="clear" w:color="auto" w:fill="00A8C8"/>
          </w:tcPr>
          <w:p w:rsidR="00596814" w:rsidRPr="00172C3C" w:rsidRDefault="00596814" w:rsidP="00172C3C">
            <w:pPr>
              <w:pStyle w:val="TableHeadingText"/>
              <w:rPr>
                <w:caps w:val="0"/>
              </w:rPr>
            </w:pPr>
          </w:p>
        </w:tc>
        <w:tc>
          <w:tcPr>
            <w:tcW w:w="3260" w:type="dxa"/>
            <w:shd w:val="clear" w:color="auto" w:fill="00A8C8"/>
          </w:tcPr>
          <w:p w:rsidR="00596814" w:rsidRPr="00172C3C" w:rsidRDefault="00596814" w:rsidP="004D6D93">
            <w:pPr>
              <w:pStyle w:val="TableHeadingText"/>
              <w:jc w:val="center"/>
              <w:rPr>
                <w:caps w:val="0"/>
                <w:sz w:val="18"/>
                <w:szCs w:val="18"/>
              </w:rPr>
            </w:pPr>
            <w:r w:rsidRPr="00172C3C">
              <w:rPr>
                <w:caps w:val="0"/>
                <w:sz w:val="18"/>
                <w:szCs w:val="18"/>
              </w:rPr>
              <w:t>Assumption as at 30 June 2017</w:t>
            </w:r>
          </w:p>
        </w:tc>
        <w:tc>
          <w:tcPr>
            <w:tcW w:w="3261" w:type="dxa"/>
            <w:shd w:val="clear" w:color="auto" w:fill="00A8C8"/>
          </w:tcPr>
          <w:p w:rsidR="00596814" w:rsidRPr="00172C3C" w:rsidRDefault="00596814" w:rsidP="006D6A4B">
            <w:pPr>
              <w:pStyle w:val="TableHeadingText"/>
              <w:jc w:val="center"/>
              <w:rPr>
                <w:caps w:val="0"/>
                <w:sz w:val="18"/>
                <w:szCs w:val="18"/>
              </w:rPr>
            </w:pPr>
            <w:r w:rsidRPr="00172C3C">
              <w:rPr>
                <w:caps w:val="0"/>
                <w:sz w:val="18"/>
                <w:szCs w:val="18"/>
              </w:rPr>
              <w:t>Assumption as at 30 June 2014</w:t>
            </w:r>
          </w:p>
        </w:tc>
      </w:tr>
      <w:tr w:rsidR="00EF6DD9" w:rsidRPr="00172C3C" w:rsidTr="004D6D93">
        <w:trPr>
          <w:cantSplit/>
        </w:trPr>
        <w:tc>
          <w:tcPr>
            <w:tcW w:w="3013" w:type="dxa"/>
            <w:shd w:val="clear" w:color="auto" w:fill="F2F2F2"/>
          </w:tcPr>
          <w:p w:rsidR="00EF6DD9" w:rsidRPr="00172C3C" w:rsidRDefault="00EF6DD9" w:rsidP="005167E2">
            <w:pPr>
              <w:pStyle w:val="TableText"/>
            </w:pPr>
            <w:r w:rsidRPr="00172C3C">
              <w:t>CPI increases</w:t>
            </w:r>
          </w:p>
        </w:tc>
        <w:tc>
          <w:tcPr>
            <w:tcW w:w="3260" w:type="dxa"/>
            <w:shd w:val="clear" w:color="auto" w:fill="F2F2F2"/>
          </w:tcPr>
          <w:p w:rsidR="00EF6DD9" w:rsidRPr="00172C3C" w:rsidRDefault="00EF6DD9" w:rsidP="006D6A4B">
            <w:pPr>
              <w:pStyle w:val="TableText"/>
              <w:jc w:val="center"/>
            </w:pPr>
            <w:r w:rsidRPr="00172C3C">
              <w:t>2.5%</w:t>
            </w:r>
            <w:r>
              <w:t xml:space="preserve"> </w:t>
            </w:r>
            <w:r w:rsidRPr="00172C3C">
              <w:t>per annum</w:t>
            </w:r>
          </w:p>
        </w:tc>
        <w:tc>
          <w:tcPr>
            <w:tcW w:w="3261" w:type="dxa"/>
            <w:shd w:val="clear" w:color="auto" w:fill="F2F2F2"/>
          </w:tcPr>
          <w:p w:rsidR="00EF6DD9" w:rsidRPr="00172C3C" w:rsidRDefault="00EF6DD9" w:rsidP="006D6A4B">
            <w:pPr>
              <w:pStyle w:val="TableText"/>
              <w:jc w:val="center"/>
            </w:pPr>
            <w:r w:rsidRPr="00172C3C">
              <w:t>2.5%</w:t>
            </w:r>
            <w:r>
              <w:t xml:space="preserve"> </w:t>
            </w:r>
            <w:r w:rsidRPr="00172C3C">
              <w:t>per annum</w:t>
            </w:r>
          </w:p>
        </w:tc>
      </w:tr>
      <w:tr w:rsidR="00172C3C" w:rsidRPr="00172C3C" w:rsidTr="004D6D93">
        <w:trPr>
          <w:cantSplit/>
        </w:trPr>
        <w:tc>
          <w:tcPr>
            <w:tcW w:w="3013" w:type="dxa"/>
            <w:shd w:val="clear" w:color="auto" w:fill="F2F2F2"/>
          </w:tcPr>
          <w:p w:rsidR="00172C3C" w:rsidRPr="00172C3C" w:rsidRDefault="00172C3C" w:rsidP="00172C3C">
            <w:pPr>
              <w:pStyle w:val="TableText"/>
            </w:pPr>
            <w:r w:rsidRPr="00172C3C">
              <w:t>General salary increases</w:t>
            </w:r>
          </w:p>
        </w:tc>
        <w:tc>
          <w:tcPr>
            <w:tcW w:w="3260" w:type="dxa"/>
            <w:shd w:val="clear" w:color="auto" w:fill="F2F2F2"/>
          </w:tcPr>
          <w:p w:rsidR="00172C3C" w:rsidRPr="00172C3C" w:rsidRDefault="00172C3C" w:rsidP="006D6A4B">
            <w:pPr>
              <w:pStyle w:val="TableText"/>
              <w:jc w:val="center"/>
            </w:pPr>
            <w:r>
              <w:t>3</w:t>
            </w:r>
            <w:r w:rsidRPr="00172C3C">
              <w:t>.</w:t>
            </w:r>
            <w:r>
              <w:t>5</w:t>
            </w:r>
            <w:r w:rsidRPr="00172C3C">
              <w:t>% per annum (nominal)</w:t>
            </w:r>
            <w:r w:rsidRPr="00172C3C">
              <w:br/>
              <w:t>1.</w:t>
            </w:r>
            <w:r>
              <w:t>0</w:t>
            </w:r>
            <w:r w:rsidRPr="00172C3C">
              <w:t>% per annum (real)</w:t>
            </w:r>
          </w:p>
        </w:tc>
        <w:tc>
          <w:tcPr>
            <w:tcW w:w="3261" w:type="dxa"/>
            <w:shd w:val="clear" w:color="auto" w:fill="F2F2F2"/>
          </w:tcPr>
          <w:p w:rsidR="00172C3C" w:rsidRPr="00172C3C" w:rsidRDefault="00172C3C" w:rsidP="006D6A4B">
            <w:pPr>
              <w:pStyle w:val="TableText"/>
              <w:jc w:val="center"/>
            </w:pPr>
            <w:r w:rsidRPr="00172C3C">
              <w:t>4.0% per annum (nominal)</w:t>
            </w:r>
            <w:r w:rsidRPr="00172C3C">
              <w:br/>
              <w:t>1.5% per annum (real)</w:t>
            </w:r>
          </w:p>
        </w:tc>
      </w:tr>
      <w:tr w:rsidR="00EF6DD9" w:rsidRPr="00172C3C" w:rsidTr="004D6D93">
        <w:trPr>
          <w:cantSplit/>
        </w:trPr>
        <w:tc>
          <w:tcPr>
            <w:tcW w:w="3013" w:type="dxa"/>
            <w:shd w:val="clear" w:color="auto" w:fill="F2F2F2"/>
          </w:tcPr>
          <w:p w:rsidR="00EF6DD9" w:rsidRPr="00172C3C" w:rsidRDefault="00EF6DD9" w:rsidP="006D6A4B">
            <w:pPr>
              <w:pStyle w:val="TableText"/>
            </w:pPr>
            <w:r w:rsidRPr="00172C3C">
              <w:t xml:space="preserve">Investment return / discount </w:t>
            </w:r>
            <w:r>
              <w:t>r</w:t>
            </w:r>
            <w:r w:rsidRPr="00172C3C">
              <w:t>ate</w:t>
            </w:r>
          </w:p>
        </w:tc>
        <w:tc>
          <w:tcPr>
            <w:tcW w:w="3260" w:type="dxa"/>
            <w:shd w:val="clear" w:color="auto" w:fill="F2F2F2"/>
          </w:tcPr>
          <w:p w:rsidR="00EF6DD9" w:rsidRPr="00172C3C" w:rsidRDefault="00EF6DD9" w:rsidP="006D6A4B">
            <w:pPr>
              <w:pStyle w:val="TableText"/>
              <w:jc w:val="center"/>
            </w:pPr>
            <w:r>
              <w:t>5</w:t>
            </w:r>
            <w:r w:rsidRPr="00172C3C">
              <w:t>.0% per annum (nominal)</w:t>
            </w:r>
            <w:r w:rsidRPr="00172C3C">
              <w:br/>
            </w:r>
            <w:r>
              <w:t>2</w:t>
            </w:r>
            <w:r w:rsidRPr="00172C3C">
              <w:t>.5% per annum (real)</w:t>
            </w:r>
          </w:p>
        </w:tc>
        <w:tc>
          <w:tcPr>
            <w:tcW w:w="3261" w:type="dxa"/>
            <w:shd w:val="clear" w:color="auto" w:fill="F2F2F2"/>
          </w:tcPr>
          <w:p w:rsidR="00EF6DD9" w:rsidRPr="00172C3C" w:rsidRDefault="00EF6DD9" w:rsidP="006D6A4B">
            <w:pPr>
              <w:pStyle w:val="TableText"/>
              <w:jc w:val="center"/>
            </w:pPr>
            <w:r w:rsidRPr="00172C3C">
              <w:t>6.0% per annum (nominal)</w:t>
            </w:r>
            <w:r w:rsidRPr="00172C3C">
              <w:br/>
              <w:t>3.5% per annum (real)</w:t>
            </w:r>
          </w:p>
        </w:tc>
      </w:tr>
    </w:tbl>
    <w:p w:rsidR="00EF6DD9" w:rsidRDefault="00EF6DD9" w:rsidP="00676991"/>
    <w:p w:rsidR="00EF6DD9" w:rsidRDefault="00EF6DD9" w:rsidP="00676991">
      <w:r>
        <w:t xml:space="preserve">Section </w:t>
      </w:r>
      <w:r w:rsidR="00331428">
        <w:t>8</w:t>
      </w:r>
      <w:r>
        <w:t xml:space="preserve"> provides sensitivity analysis of the results under different individual assumptions.</w:t>
      </w:r>
    </w:p>
    <w:p w:rsidR="00EF6DD9" w:rsidRDefault="00EF6DD9" w:rsidP="00676991"/>
    <w:p w:rsidR="00EF6DD9" w:rsidRPr="00676991" w:rsidRDefault="00EF6DD9" w:rsidP="00EF6DD9">
      <w:pPr>
        <w:pStyle w:val="Heading3"/>
      </w:pPr>
      <w:r>
        <w:t>CPI Increases</w:t>
      </w:r>
    </w:p>
    <w:p w:rsidR="0087786A" w:rsidRPr="00676991" w:rsidRDefault="0087786A" w:rsidP="0087786A"/>
    <w:p w:rsidR="0087786A" w:rsidRPr="00676991" w:rsidRDefault="0087786A" w:rsidP="0087786A">
      <w:r w:rsidRPr="00676991">
        <w:t xml:space="preserve">The </w:t>
      </w:r>
      <w:r>
        <w:t xml:space="preserve">assumed rate of </w:t>
      </w:r>
      <w:r w:rsidRPr="00676991">
        <w:t xml:space="preserve">future increases in the Consumer Price Index (CPI) </w:t>
      </w:r>
      <w:r>
        <w:t>remains at 2.5% per annum. This rate is set based on the following considerations:</w:t>
      </w:r>
    </w:p>
    <w:p w:rsidR="0087786A" w:rsidRPr="0087786A" w:rsidRDefault="0087786A" w:rsidP="00743C53">
      <w:pPr>
        <w:pStyle w:val="ListBullet"/>
        <w:tabs>
          <w:tab w:val="clear" w:pos="360"/>
          <w:tab w:val="num" w:pos="284"/>
        </w:tabs>
        <w:ind w:left="284" w:hanging="284"/>
      </w:pPr>
      <w:r>
        <w:t>T</w:t>
      </w:r>
      <w:r w:rsidRPr="0087786A">
        <w:t>he Reserve Bank target for CPI increase is 2% to 3% per annum on average, over the medium term</w:t>
      </w:r>
      <w:r>
        <w:t>.</w:t>
      </w:r>
    </w:p>
    <w:p w:rsidR="0087786A" w:rsidRPr="0087786A" w:rsidRDefault="0087786A" w:rsidP="00743C53">
      <w:pPr>
        <w:pStyle w:val="ListBullet"/>
        <w:tabs>
          <w:tab w:val="clear" w:pos="360"/>
          <w:tab w:val="num" w:pos="284"/>
        </w:tabs>
        <w:ind w:left="284" w:hanging="284"/>
      </w:pPr>
      <w:r>
        <w:t>T</w:t>
      </w:r>
      <w:r w:rsidRPr="0087786A">
        <w:t>he long term level of inflation projected by the 2015 Intergenerational Report is 2.5% per annum</w:t>
      </w:r>
      <w:r>
        <w:t>.</w:t>
      </w:r>
    </w:p>
    <w:p w:rsidR="0087786A" w:rsidRPr="00676991" w:rsidRDefault="0087786A" w:rsidP="006E008A">
      <w:pPr>
        <w:pStyle w:val="ListBullet"/>
        <w:tabs>
          <w:tab w:val="clear" w:pos="360"/>
          <w:tab w:val="num" w:pos="284"/>
        </w:tabs>
        <w:ind w:left="284" w:hanging="284"/>
      </w:pPr>
      <w:r w:rsidRPr="0087786A">
        <w:t>Mercer’s best estimate of the long term economic outlook for CPI is 2.5% per annum and this is consistent with other market forecasters. It is noted that in the near term the outlook is for inflation below 2.5% per annu</w:t>
      </w:r>
      <w:r>
        <w:t>m.</w:t>
      </w:r>
    </w:p>
    <w:p w:rsidR="00637B4D" w:rsidRDefault="00637B4D">
      <w:pPr>
        <w:spacing w:line="240" w:lineRule="auto"/>
        <w:rPr>
          <w:b/>
          <w:color w:val="006D9E"/>
        </w:rPr>
      </w:pPr>
      <w:r>
        <w:br w:type="page"/>
      </w:r>
    </w:p>
    <w:p w:rsidR="00EF6DD9" w:rsidRPr="00676991" w:rsidRDefault="00EF6DD9" w:rsidP="00EF6DD9">
      <w:pPr>
        <w:pStyle w:val="Heading3"/>
      </w:pPr>
      <w:r>
        <w:lastRenderedPageBreak/>
        <w:t>General Salary Increases</w:t>
      </w:r>
    </w:p>
    <w:p w:rsidR="00EF6DD9" w:rsidRDefault="00EF6DD9" w:rsidP="00676991"/>
    <w:p w:rsidR="0087786A" w:rsidRPr="0087786A" w:rsidRDefault="0087786A" w:rsidP="0087786A">
      <w:r>
        <w:t xml:space="preserve">The assumed rate </w:t>
      </w:r>
      <w:r w:rsidRPr="0087786A">
        <w:t>for long term future general salary increases (i</w:t>
      </w:r>
      <w:r>
        <w:t>.</w:t>
      </w:r>
      <w:r w:rsidRPr="0087786A">
        <w:t>e</w:t>
      </w:r>
      <w:r>
        <w:t>.</w:t>
      </w:r>
      <w:r w:rsidRPr="0087786A">
        <w:t xml:space="preserve"> excluding promotional salary increases)</w:t>
      </w:r>
      <w:r>
        <w:t xml:space="preserve"> is </w:t>
      </w:r>
      <w:r w:rsidRPr="0087786A">
        <w:t xml:space="preserve">3.5% per annum (nominal). This is lower than the previous </w:t>
      </w:r>
      <w:r>
        <w:t>assumption</w:t>
      </w:r>
      <w:r w:rsidRPr="0087786A">
        <w:t xml:space="preserve"> of 4.0% per annum </w:t>
      </w:r>
      <w:r w:rsidR="00FF09AB">
        <w:t xml:space="preserve">(nominal) </w:t>
      </w:r>
      <w:r w:rsidRPr="0087786A">
        <w:t>and is based on the following considerations:</w:t>
      </w:r>
      <w:r w:rsidR="003C17E0">
        <w:br/>
      </w:r>
    </w:p>
    <w:p w:rsidR="0087786A" w:rsidRPr="0087786A" w:rsidRDefault="0087786A" w:rsidP="00490A48">
      <w:pPr>
        <w:pStyle w:val="ListBullet"/>
        <w:tabs>
          <w:tab w:val="clear" w:pos="360"/>
          <w:tab w:val="num" w:pos="284"/>
        </w:tabs>
        <w:ind w:left="284" w:hanging="284"/>
      </w:pPr>
      <w:r w:rsidRPr="0087786A">
        <w:t>The duration of salary linked liabilities is considerably less than</w:t>
      </w:r>
      <w:r w:rsidR="005C7E28">
        <w:t xml:space="preserve"> </w:t>
      </w:r>
      <w:r w:rsidR="005C7E28" w:rsidRPr="0087786A">
        <w:t>liabilities</w:t>
      </w:r>
      <w:r w:rsidRPr="0087786A">
        <w:t xml:space="preserve"> for the schemes as a whole, since salary increases are only relevant to benefits while a member is in active service. Whil</w:t>
      </w:r>
      <w:r>
        <w:t>st</w:t>
      </w:r>
      <w:r w:rsidRPr="0087786A">
        <w:t xml:space="preserve"> the intention </w:t>
      </w:r>
      <w:r>
        <w:t>when setting assumptions for the long term i</w:t>
      </w:r>
      <w:r w:rsidRPr="0087786A">
        <w:t xml:space="preserve">s to </w:t>
      </w:r>
      <w:r>
        <w:t xml:space="preserve">not </w:t>
      </w:r>
      <w:r w:rsidRPr="0087786A">
        <w:t>give too much weight to short term considerations, the shorter term nature of the salary linked liabilities means that short term factors have a greater significance than for the other economic assumptions.</w:t>
      </w:r>
      <w:r w:rsidR="003C17E0">
        <w:br/>
      </w:r>
    </w:p>
    <w:p w:rsidR="0087786A" w:rsidRDefault="0087786A" w:rsidP="00490A48">
      <w:pPr>
        <w:pStyle w:val="ListBullet"/>
        <w:tabs>
          <w:tab w:val="clear" w:pos="360"/>
          <w:tab w:val="num" w:pos="284"/>
        </w:tabs>
        <w:ind w:left="284" w:hanging="284"/>
      </w:pPr>
      <w:r w:rsidRPr="00653581">
        <w:t xml:space="preserve">Wage growth is a function of </w:t>
      </w:r>
      <w:r w:rsidR="002B4074">
        <w:t>spare capacity in the labour market</w:t>
      </w:r>
      <w:r w:rsidRPr="00653581">
        <w:t xml:space="preserve">, productivity growth, and </w:t>
      </w:r>
      <w:r>
        <w:t>inflationary</w:t>
      </w:r>
      <w:r w:rsidR="00AC1DE4">
        <w:t xml:space="preserve"> </w:t>
      </w:r>
      <w:r>
        <w:t>expectations. In this regard</w:t>
      </w:r>
      <w:r w:rsidR="00EF10E6">
        <w:t>,</w:t>
      </w:r>
      <w:r>
        <w:t xml:space="preserve"> the following factors</w:t>
      </w:r>
      <w:r w:rsidR="00EF10E6">
        <w:t xml:space="preserve"> are noted</w:t>
      </w:r>
      <w:r>
        <w:t xml:space="preserve"> over the shorter time frame relevant to the membership of the schemes:</w:t>
      </w:r>
    </w:p>
    <w:p w:rsidR="002B4074" w:rsidRDefault="002B4074" w:rsidP="00F37090">
      <w:pPr>
        <w:pStyle w:val="ListBullet3"/>
        <w:tabs>
          <w:tab w:val="clear" w:pos="1080"/>
          <w:tab w:val="num" w:pos="851"/>
        </w:tabs>
        <w:ind w:left="851" w:hanging="284"/>
      </w:pPr>
      <w:r>
        <w:t>The Australian Government forecasts have spare capacity in the labour market for some time</w:t>
      </w:r>
      <w:r w:rsidR="0081311D">
        <w:t>;</w:t>
      </w:r>
    </w:p>
    <w:p w:rsidR="00EF10E6" w:rsidRDefault="0087786A" w:rsidP="00F37090">
      <w:pPr>
        <w:pStyle w:val="ListBullet3"/>
        <w:tabs>
          <w:tab w:val="clear" w:pos="1080"/>
          <w:tab w:val="num" w:pos="851"/>
        </w:tabs>
        <w:ind w:left="851" w:hanging="284"/>
      </w:pPr>
      <w:r w:rsidRPr="00653581">
        <w:t xml:space="preserve">The RBA expects that </w:t>
      </w:r>
      <w:r>
        <w:t xml:space="preserve">the </w:t>
      </w:r>
      <w:r w:rsidRPr="00653581">
        <w:t>unemployment</w:t>
      </w:r>
      <w:r>
        <w:t xml:space="preserve"> rate will </w:t>
      </w:r>
      <w:r w:rsidR="002B4074">
        <w:t>decrease only gradually</w:t>
      </w:r>
      <w:r>
        <w:t>;</w:t>
      </w:r>
    </w:p>
    <w:p w:rsidR="002B4074" w:rsidRDefault="002B4074" w:rsidP="00F37090">
      <w:pPr>
        <w:pStyle w:val="ListBullet3"/>
        <w:tabs>
          <w:tab w:val="clear" w:pos="1080"/>
          <w:tab w:val="num" w:pos="851"/>
        </w:tabs>
        <w:ind w:left="851" w:hanging="284"/>
      </w:pPr>
      <w:r>
        <w:t>Wage growth has been subdued and may remain subdued for a while</w:t>
      </w:r>
      <w:r w:rsidR="0081311D">
        <w:t>;</w:t>
      </w:r>
    </w:p>
    <w:p w:rsidR="00EF10E6" w:rsidRDefault="0087786A" w:rsidP="00F37090">
      <w:pPr>
        <w:pStyle w:val="ListBullet3"/>
        <w:tabs>
          <w:tab w:val="clear" w:pos="1080"/>
          <w:tab w:val="num" w:pos="851"/>
        </w:tabs>
        <w:ind w:left="851" w:hanging="284"/>
      </w:pPr>
      <w:r w:rsidRPr="00986A2D">
        <w:t xml:space="preserve">Wage growth in US and UK has been subdued notwithstanding that they are near full employment; </w:t>
      </w:r>
    </w:p>
    <w:p w:rsidR="00EF10E6" w:rsidRDefault="0087786A" w:rsidP="00F37090">
      <w:pPr>
        <w:pStyle w:val="ListBullet3"/>
        <w:tabs>
          <w:tab w:val="clear" w:pos="1080"/>
          <w:tab w:val="num" w:pos="851"/>
        </w:tabs>
        <w:ind w:left="851" w:hanging="284"/>
      </w:pPr>
      <w:r w:rsidRPr="00986A2D">
        <w:t>There is evidence that productivity growth has slowed; and</w:t>
      </w:r>
    </w:p>
    <w:p w:rsidR="0087786A" w:rsidRPr="00653581" w:rsidRDefault="0087786A" w:rsidP="00F37090">
      <w:pPr>
        <w:pStyle w:val="ListBullet3"/>
        <w:tabs>
          <w:tab w:val="clear" w:pos="1080"/>
          <w:tab w:val="num" w:pos="851"/>
        </w:tabs>
        <w:ind w:left="851" w:hanging="284"/>
      </w:pPr>
      <w:r w:rsidRPr="00653581">
        <w:t xml:space="preserve">The </w:t>
      </w:r>
      <w:r w:rsidR="00665BE4">
        <w:t>RBA</w:t>
      </w:r>
      <w:r w:rsidRPr="00653581">
        <w:t xml:space="preserve"> target for CPI increases is 2% to 3% pa</w:t>
      </w:r>
      <w:r w:rsidR="00EF10E6">
        <w:t xml:space="preserve">. The assumption adopted for CPI for this investigation is </w:t>
      </w:r>
      <w:r w:rsidRPr="00653581">
        <w:t>2.5% per annum.</w:t>
      </w:r>
      <w:r w:rsidR="003C17E0">
        <w:br/>
      </w:r>
    </w:p>
    <w:p w:rsidR="0087786A" w:rsidRPr="0087786A" w:rsidRDefault="0087786A" w:rsidP="00490A48">
      <w:pPr>
        <w:pStyle w:val="ListBullet"/>
        <w:tabs>
          <w:tab w:val="clear" w:pos="360"/>
          <w:tab w:val="num" w:pos="284"/>
        </w:tabs>
        <w:ind w:left="284" w:hanging="284"/>
      </w:pPr>
      <w:r w:rsidRPr="0087786A">
        <w:t>There has been a continuation of structural change, including:</w:t>
      </w:r>
    </w:p>
    <w:p w:rsidR="0087786A" w:rsidRPr="0087786A" w:rsidRDefault="00665BE4" w:rsidP="00F37090">
      <w:pPr>
        <w:pStyle w:val="ListBullet3"/>
        <w:tabs>
          <w:tab w:val="clear" w:pos="1080"/>
          <w:tab w:val="num" w:pos="851"/>
        </w:tabs>
        <w:ind w:left="851" w:hanging="284"/>
      </w:pPr>
      <w:r>
        <w:t>Globalisation and g</w:t>
      </w:r>
      <w:r w:rsidR="0087786A" w:rsidRPr="0087786A">
        <w:t>reater labour market flexibility;</w:t>
      </w:r>
    </w:p>
    <w:p w:rsidR="0087786A" w:rsidRPr="0087786A" w:rsidRDefault="0087786A" w:rsidP="00F37090">
      <w:pPr>
        <w:pStyle w:val="ListBullet3"/>
        <w:tabs>
          <w:tab w:val="clear" w:pos="1080"/>
          <w:tab w:val="num" w:pos="851"/>
        </w:tabs>
        <w:ind w:left="851" w:hanging="284"/>
      </w:pPr>
      <w:r w:rsidRPr="0087786A">
        <w:t>Decline in unionisation; and</w:t>
      </w:r>
    </w:p>
    <w:p w:rsidR="00EF10E6" w:rsidRDefault="0087786A" w:rsidP="00F37090">
      <w:pPr>
        <w:pStyle w:val="ListBullet3"/>
        <w:tabs>
          <w:tab w:val="clear" w:pos="1080"/>
          <w:tab w:val="num" w:pos="851"/>
        </w:tabs>
        <w:ind w:left="851" w:hanging="284"/>
      </w:pPr>
      <w:r w:rsidRPr="0087786A">
        <w:t>The end of the resources boom and the trend to a more services oriented economy</w:t>
      </w:r>
      <w:r w:rsidR="0081311D">
        <w:t>.</w:t>
      </w:r>
      <w:r w:rsidR="003C17E0">
        <w:br/>
      </w:r>
    </w:p>
    <w:p w:rsidR="0087786A" w:rsidRDefault="0087786A" w:rsidP="0026079F">
      <w:pPr>
        <w:pStyle w:val="ListBullet"/>
      </w:pPr>
      <w:r w:rsidRPr="0087786A">
        <w:t xml:space="preserve">Public sector salary restraint in the short term. </w:t>
      </w:r>
      <w:r w:rsidR="00EF10E6">
        <w:t>I</w:t>
      </w:r>
      <w:r w:rsidRPr="0087786A">
        <w:t>n particular</w:t>
      </w:r>
      <w:r w:rsidR="00EF10E6">
        <w:t>,</w:t>
      </w:r>
      <w:r w:rsidRPr="0087786A">
        <w:t xml:space="preserve"> the current Work</w:t>
      </w:r>
      <w:r w:rsidR="00EF10E6">
        <w:t>p</w:t>
      </w:r>
      <w:r w:rsidRPr="0087786A">
        <w:t xml:space="preserve">lace Bargaining Policy and </w:t>
      </w:r>
      <w:r w:rsidR="00EF10E6">
        <w:t xml:space="preserve">the fact </w:t>
      </w:r>
      <w:r w:rsidRPr="0087786A">
        <w:t xml:space="preserve">that the majority of civilian employees are not subject to signed agreements, and for those that </w:t>
      </w:r>
      <w:r w:rsidR="0081311D">
        <w:t>are</w:t>
      </w:r>
      <w:r w:rsidR="00AC1DE4">
        <w:t>,</w:t>
      </w:r>
      <w:r w:rsidRPr="0087786A">
        <w:t xml:space="preserve"> the agreed increases are on average limited to 2% per annum.</w:t>
      </w:r>
      <w:r w:rsidR="005F0EE6">
        <w:br/>
      </w:r>
    </w:p>
    <w:p w:rsidR="005F0EE6" w:rsidRDefault="005F0EE6" w:rsidP="0026079F">
      <w:pPr>
        <w:pStyle w:val="ListBullet"/>
      </w:pPr>
      <w:r>
        <w:t xml:space="preserve">The relationship between the assumptions is important as noted above.  The reduction in general salary increases narrows the </w:t>
      </w:r>
      <w:r w:rsidR="00692EE8">
        <w:t xml:space="preserve">margin </w:t>
      </w:r>
      <w:r>
        <w:t>above CPI to 1% per annum from 1.5% per annum.  Due to the reasons set out above we believe this is appropriate, in particular, due to the slowing of productivity growth and continuation of structural changes leading to lower ‘real’ salary growth (</w:t>
      </w:r>
      <w:r w:rsidR="005D3544">
        <w:t xml:space="preserve">i.e. </w:t>
      </w:r>
      <w:r>
        <w:t>growth above CPI).  It is also consistent with the expected lowering of the discount rate – see below.</w:t>
      </w:r>
    </w:p>
    <w:p w:rsidR="00EF10E6" w:rsidRDefault="00EF10E6" w:rsidP="00EF10E6"/>
    <w:p w:rsidR="00F37090" w:rsidRDefault="00F37090">
      <w:pPr>
        <w:spacing w:line="240" w:lineRule="auto"/>
        <w:rPr>
          <w:b/>
          <w:color w:val="006D9E"/>
        </w:rPr>
      </w:pPr>
      <w:r>
        <w:br w:type="page"/>
      </w:r>
    </w:p>
    <w:p w:rsidR="00EF6DD9" w:rsidRPr="00676991" w:rsidRDefault="00EF6DD9" w:rsidP="00EF6DD9">
      <w:pPr>
        <w:pStyle w:val="Heading3"/>
      </w:pPr>
      <w:r>
        <w:lastRenderedPageBreak/>
        <w:t>Investment Return / Discount Rate</w:t>
      </w:r>
    </w:p>
    <w:p w:rsidR="00EF6DD9" w:rsidRDefault="00EF6DD9" w:rsidP="00676991"/>
    <w:p w:rsidR="005F0EE6" w:rsidRDefault="00EF10E6" w:rsidP="00EF10E6">
      <w:r w:rsidRPr="000E3149">
        <w:t xml:space="preserve">The discount rate is used to calculate the present value of projected future </w:t>
      </w:r>
      <w:r w:rsidR="008E7A61">
        <w:t xml:space="preserve">benefit payments </w:t>
      </w:r>
      <w:r w:rsidRPr="000E3149">
        <w:t xml:space="preserve">and </w:t>
      </w:r>
      <w:r w:rsidR="000E3149" w:rsidRPr="000E3149">
        <w:t xml:space="preserve">provide a summary </w:t>
      </w:r>
      <w:r w:rsidRPr="000E3149">
        <w:t>measure</w:t>
      </w:r>
      <w:r w:rsidR="008E7A61">
        <w:t xml:space="preserve"> of those cash flows</w:t>
      </w:r>
      <w:r w:rsidR="000E3149" w:rsidRPr="000E3149">
        <w:t>.</w:t>
      </w:r>
      <w:r w:rsidR="00FF09AB">
        <w:t xml:space="preserve"> </w:t>
      </w:r>
      <w:r w:rsidR="000E3149">
        <w:t xml:space="preserve">The unfunded liability </w:t>
      </w:r>
      <w:r w:rsidR="000E3149" w:rsidRPr="006B0EDF">
        <w:t xml:space="preserve">represents the </w:t>
      </w:r>
      <w:r w:rsidR="000E3149">
        <w:t xml:space="preserve">present value of the </w:t>
      </w:r>
      <w:r w:rsidR="003C17E0">
        <w:t>estimated future benefit payments</w:t>
      </w:r>
      <w:r w:rsidR="000E3149">
        <w:t xml:space="preserve"> in respect of service already rendered, less the value of scheme assets</w:t>
      </w:r>
      <w:r w:rsidRPr="000E3149">
        <w:t>. A lower discount rate leads to a higher estimate of the unfunded liability, and vice versa.</w:t>
      </w:r>
    </w:p>
    <w:p w:rsidR="008E0DC7" w:rsidRDefault="008E0DC7" w:rsidP="00EF10E6"/>
    <w:p w:rsidR="00EF10E6" w:rsidRDefault="000E3149" w:rsidP="00EF10E6">
      <w:r w:rsidRPr="000141EB">
        <w:t xml:space="preserve">The present value does not change the ultimate </w:t>
      </w:r>
      <w:r w:rsidR="00FF09AB">
        <w:t xml:space="preserve">benefit </w:t>
      </w:r>
      <w:r>
        <w:t xml:space="preserve">payments but does </w:t>
      </w:r>
      <w:r w:rsidRPr="000141EB">
        <w:t xml:space="preserve">however provide a manageable way to assess and compare </w:t>
      </w:r>
      <w:r w:rsidR="00692D7D">
        <w:t xml:space="preserve">the value of </w:t>
      </w:r>
      <w:r>
        <w:t xml:space="preserve">expected future </w:t>
      </w:r>
      <w:r w:rsidR="00FF09AB">
        <w:t>cash flows</w:t>
      </w:r>
      <w:r w:rsidR="00692D7D">
        <w:t>, expressed in today’s dollars.</w:t>
      </w:r>
    </w:p>
    <w:p w:rsidR="00EF10E6" w:rsidRDefault="00EF10E6" w:rsidP="00EF10E6"/>
    <w:p w:rsidR="00FF09AB" w:rsidRPr="00814698" w:rsidRDefault="00EA000C" w:rsidP="00FF09AB">
      <w:r>
        <w:t>For consistency t</w:t>
      </w:r>
      <w:r w:rsidR="00FF09AB">
        <w:t xml:space="preserve">he discount rate assumption is also used </w:t>
      </w:r>
      <w:r>
        <w:t xml:space="preserve">as the assumption for the rate of investment returns at which </w:t>
      </w:r>
      <w:r w:rsidR="00FF09AB" w:rsidRPr="00523D87">
        <w:t>productivity and member contribution</w:t>
      </w:r>
      <w:r>
        <w:t xml:space="preserve">s are accumulated </w:t>
      </w:r>
      <w:r w:rsidR="00FF09AB">
        <w:t>for the period up</w:t>
      </w:r>
      <w:r w:rsidR="00FF09AB" w:rsidRPr="00523D87">
        <w:t xml:space="preserve"> to </w:t>
      </w:r>
      <w:r w:rsidR="00FF09AB">
        <w:t>a</w:t>
      </w:r>
      <w:r w:rsidR="00FF09AB" w:rsidRPr="00523D87">
        <w:t xml:space="preserve"> member</w:t>
      </w:r>
      <w:r w:rsidR="00FF09AB">
        <w:t>’s</w:t>
      </w:r>
      <w:r w:rsidR="00FF09AB" w:rsidRPr="00523D87">
        <w:t xml:space="preserve"> retir</w:t>
      </w:r>
      <w:r w:rsidR="00FF09AB">
        <w:t>ement or exit</w:t>
      </w:r>
      <w:r w:rsidR="00FF09AB" w:rsidRPr="00523D87">
        <w:t xml:space="preserve">. </w:t>
      </w:r>
    </w:p>
    <w:p w:rsidR="00FF09AB" w:rsidRDefault="00FF09AB" w:rsidP="00EF10E6"/>
    <w:p w:rsidR="00FF09AB" w:rsidRPr="0087786A" w:rsidRDefault="00FF09AB" w:rsidP="00FF09AB">
      <w:r>
        <w:t xml:space="preserve">The assumed investment return / discount rate has been reduced from 6.0% per annum (nominal) for the 2014 LTCR to 5.0% </w:t>
      </w:r>
      <w:r w:rsidRPr="0087786A">
        <w:t xml:space="preserve">per annum (nominal). </w:t>
      </w:r>
      <w:r>
        <w:t>This rate is set based on the following considerations:</w:t>
      </w:r>
      <w:r w:rsidR="003C17E0">
        <w:br/>
      </w:r>
    </w:p>
    <w:p w:rsidR="00692D7D" w:rsidRDefault="000E3149" w:rsidP="0026079F">
      <w:pPr>
        <w:pStyle w:val="ListBullet"/>
      </w:pPr>
      <w:r>
        <w:t xml:space="preserve">The Australian Government does not have an obligation </w:t>
      </w:r>
      <w:r w:rsidRPr="000141EB">
        <w:t xml:space="preserve">to finance </w:t>
      </w:r>
      <w:r w:rsidR="008E7A61" w:rsidRPr="000141EB">
        <w:t xml:space="preserve">immediately </w:t>
      </w:r>
      <w:r w:rsidRPr="000141EB">
        <w:t xml:space="preserve">the unfunded </w:t>
      </w:r>
      <w:r>
        <w:t xml:space="preserve">superannuation </w:t>
      </w:r>
      <w:r w:rsidRPr="000141EB">
        <w:t>liabilit</w:t>
      </w:r>
      <w:r w:rsidR="008E7A61">
        <w:t>y</w:t>
      </w:r>
      <w:r w:rsidR="00692D7D">
        <w:t xml:space="preserve"> of the PSS and CSS</w:t>
      </w:r>
      <w:r>
        <w:t>. F</w:t>
      </w:r>
      <w:r w:rsidRPr="000141EB">
        <w:t xml:space="preserve">inancing is only required </w:t>
      </w:r>
      <w:r w:rsidR="008E7A61">
        <w:t xml:space="preserve">as and </w:t>
      </w:r>
      <w:r w:rsidRPr="000141EB">
        <w:t xml:space="preserve">when benefit entitlements become </w:t>
      </w:r>
      <w:r>
        <w:t>payable</w:t>
      </w:r>
      <w:r w:rsidRPr="000141EB">
        <w:t>.</w:t>
      </w:r>
      <w:r w:rsidR="00692D7D">
        <w:t xml:space="preserve"> As the PSS and CSS are largely unfunded, our view is that the best determinant of the discount rate is the expected return on government bonds over the long term as this would be the cost to the Australian Government were it to fund </w:t>
      </w:r>
      <w:r w:rsidR="003C17E0">
        <w:t>future benefit payments</w:t>
      </w:r>
      <w:r w:rsidR="00692D7D">
        <w:t xml:space="preserve"> via borrowings. This </w:t>
      </w:r>
      <w:r w:rsidR="00C41FDB">
        <w:t xml:space="preserve">contrasts </w:t>
      </w:r>
      <w:r w:rsidR="00692D7D">
        <w:t xml:space="preserve">to </w:t>
      </w:r>
      <w:r w:rsidR="00EF0022">
        <w:t xml:space="preserve">a </w:t>
      </w:r>
      <w:r w:rsidR="00692D7D">
        <w:t xml:space="preserve">funded scheme where </w:t>
      </w:r>
      <w:r w:rsidR="00EF0022">
        <w:t xml:space="preserve">a </w:t>
      </w:r>
      <w:r w:rsidR="00692D7D">
        <w:t xml:space="preserve">discount rate </w:t>
      </w:r>
      <w:r w:rsidR="00EF0022">
        <w:t xml:space="preserve">is </w:t>
      </w:r>
      <w:r w:rsidR="00692D7D">
        <w:t xml:space="preserve">typically based on </w:t>
      </w:r>
      <w:r w:rsidR="00EF0022">
        <w:t xml:space="preserve">an assumption for the </w:t>
      </w:r>
      <w:r w:rsidR="00692D7D">
        <w:t xml:space="preserve">investment </w:t>
      </w:r>
      <w:r w:rsidR="00EF0022">
        <w:t xml:space="preserve">earning rate on </w:t>
      </w:r>
      <w:r w:rsidR="00692D7D">
        <w:t xml:space="preserve">the </w:t>
      </w:r>
      <w:r w:rsidR="00EF0022">
        <w:t xml:space="preserve">scheme’s </w:t>
      </w:r>
      <w:r w:rsidR="00692D7D">
        <w:t>assets</w:t>
      </w:r>
      <w:r w:rsidR="00EF0022">
        <w:t>.</w:t>
      </w:r>
      <w:r w:rsidR="003C17E0">
        <w:br/>
      </w:r>
    </w:p>
    <w:p w:rsidR="00490A48" w:rsidRDefault="00251861" w:rsidP="00490A48">
      <w:pPr>
        <w:pStyle w:val="ListBullet"/>
        <w:tabs>
          <w:tab w:val="clear" w:pos="360"/>
          <w:tab w:val="num" w:pos="284"/>
        </w:tabs>
        <w:ind w:left="284" w:hanging="284"/>
      </w:pPr>
      <w:r w:rsidRPr="00ED7E6D">
        <w:t xml:space="preserve">The discount rate is intended to </w:t>
      </w:r>
      <w:r>
        <w:t xml:space="preserve">reflect </w:t>
      </w:r>
      <w:r w:rsidRPr="00ED7E6D">
        <w:t xml:space="preserve">the expected long-term </w:t>
      </w:r>
      <w:r>
        <w:t>(</w:t>
      </w:r>
      <w:r w:rsidRPr="00ED7E6D">
        <w:t>nominal</w:t>
      </w:r>
      <w:r>
        <w:t>)</w:t>
      </w:r>
      <w:r w:rsidRPr="00ED7E6D">
        <w:t xml:space="preserve"> yield on Australian Government debt </w:t>
      </w:r>
      <w:r>
        <w:t xml:space="preserve">under stable market conditions, determined </w:t>
      </w:r>
      <w:r w:rsidRPr="00ED7E6D">
        <w:t xml:space="preserve">as the expected long-term average increase in the Consumer Price Index plus the expected long-term real yield on Australian Government debt </w:t>
      </w:r>
      <w:r>
        <w:t>(where l</w:t>
      </w:r>
      <w:r w:rsidRPr="00ED7E6D">
        <w:t>ong</w:t>
      </w:r>
      <w:r>
        <w:t>-</w:t>
      </w:r>
      <w:r w:rsidRPr="00ED7E6D">
        <w:t xml:space="preserve">term </w:t>
      </w:r>
      <w:r w:rsidR="003C17E0">
        <w:t>relates</w:t>
      </w:r>
      <w:r w:rsidRPr="00ED7E6D">
        <w:t xml:space="preserve"> to the period over which all unfunded liabilities are expected to be paid</w:t>
      </w:r>
      <w:r>
        <w:t>).</w:t>
      </w:r>
      <w:r w:rsidR="003C17E0">
        <w:br/>
      </w:r>
    </w:p>
    <w:p w:rsidR="005F0EE6" w:rsidRDefault="005F0EE6" w:rsidP="00490A48">
      <w:pPr>
        <w:pStyle w:val="ListBullet"/>
        <w:tabs>
          <w:tab w:val="clear" w:pos="360"/>
          <w:tab w:val="num" w:pos="284"/>
        </w:tabs>
        <w:ind w:left="284" w:hanging="284"/>
      </w:pPr>
      <w:r w:rsidRPr="002B60C3">
        <w:rPr>
          <w:lang w:val="en-GB"/>
        </w:rPr>
        <w:t xml:space="preserve">A useful check on the long term bond yield assumption is provided by considering long term expectations for nominal GDP growth. </w:t>
      </w:r>
      <w:r>
        <w:rPr>
          <w:lang w:val="en-GB"/>
        </w:rPr>
        <w:t xml:space="preserve"> This essentially represents the earnings of the Government and so sets a reasonable limit on the rate that can be paid on any debt (all other things being equal).  </w:t>
      </w:r>
      <w:r w:rsidRPr="002B60C3">
        <w:rPr>
          <w:lang w:val="en-GB"/>
        </w:rPr>
        <w:t xml:space="preserve">At the present time, we consider that a realistic expectation for long term GDP growth is likely to be in the order of 5.25% pa </w:t>
      </w:r>
      <w:r>
        <w:rPr>
          <w:lang w:val="en-GB"/>
        </w:rPr>
        <w:t xml:space="preserve">(see also next section on GDP) </w:t>
      </w:r>
      <w:r w:rsidRPr="002B60C3">
        <w:rPr>
          <w:lang w:val="en-GB"/>
        </w:rPr>
        <w:t xml:space="preserve">on the assumption that long term price inflation averages 2.5% pa. </w:t>
      </w:r>
      <w:r>
        <w:rPr>
          <w:lang w:val="en-GB"/>
        </w:rPr>
        <w:t xml:space="preserve">The return above CPI being generated by </w:t>
      </w:r>
      <w:r w:rsidRPr="002B60C3">
        <w:rPr>
          <w:lang w:val="en-GB"/>
        </w:rPr>
        <w:t>productivity growth and growth in hours worked.</w:t>
      </w:r>
      <w:r>
        <w:rPr>
          <w:lang w:val="en-GB"/>
        </w:rPr>
        <w:br/>
      </w:r>
    </w:p>
    <w:p w:rsidR="00F21D60" w:rsidRDefault="00F21D60" w:rsidP="00490A48">
      <w:pPr>
        <w:pStyle w:val="ListBullet"/>
        <w:tabs>
          <w:tab w:val="clear" w:pos="360"/>
          <w:tab w:val="num" w:pos="284"/>
        </w:tabs>
        <w:ind w:left="284" w:hanging="284"/>
      </w:pPr>
      <w:r>
        <w:t>The bond market has seen a</w:t>
      </w:r>
      <w:r w:rsidR="00480A8B">
        <w:t xml:space="preserve">n unprecedented </w:t>
      </w:r>
      <w:r>
        <w:t>period of historical</w:t>
      </w:r>
      <w:r w:rsidR="00480A8B">
        <w:t>ly</w:t>
      </w:r>
      <w:r>
        <w:t xml:space="preserve"> low</w:t>
      </w:r>
      <w:r w:rsidR="00480A8B">
        <w:t xml:space="preserve"> bond yields</w:t>
      </w:r>
      <w:r>
        <w:t>.</w:t>
      </w:r>
      <w:r w:rsidR="003C17E0">
        <w:br/>
      </w:r>
    </w:p>
    <w:p w:rsidR="00251861" w:rsidRPr="0026079F" w:rsidRDefault="00251861" w:rsidP="00490A48">
      <w:pPr>
        <w:pStyle w:val="ListBullet"/>
        <w:tabs>
          <w:tab w:val="clear" w:pos="360"/>
          <w:tab w:val="num" w:pos="284"/>
        </w:tabs>
        <w:ind w:left="284" w:hanging="284"/>
      </w:pPr>
      <w:r>
        <w:rPr>
          <w:lang w:val="en-GB"/>
        </w:rPr>
        <w:lastRenderedPageBreak/>
        <w:t xml:space="preserve">Long term </w:t>
      </w:r>
      <w:r w:rsidRPr="0026079F">
        <w:t>economic</w:t>
      </w:r>
      <w:r w:rsidRPr="00D3723A">
        <w:rPr>
          <w:lang w:val="en-GB"/>
        </w:rPr>
        <w:t xml:space="preserve"> forecasts for </w:t>
      </w:r>
      <w:r>
        <w:rPr>
          <w:lang w:val="en-GB"/>
        </w:rPr>
        <w:t>yields on long dated</w:t>
      </w:r>
      <w:r w:rsidRPr="00D3723A">
        <w:rPr>
          <w:lang w:val="en-GB"/>
        </w:rPr>
        <w:t xml:space="preserve"> government bond</w:t>
      </w:r>
      <w:r>
        <w:rPr>
          <w:lang w:val="en-GB"/>
        </w:rPr>
        <w:t>s</w:t>
      </w:r>
      <w:r w:rsidRPr="00D3723A">
        <w:rPr>
          <w:lang w:val="en-GB"/>
        </w:rPr>
        <w:t xml:space="preserve"> are </w:t>
      </w:r>
      <w:r>
        <w:rPr>
          <w:lang w:val="en-GB"/>
        </w:rPr>
        <w:t>between 4.6% and 4.8</w:t>
      </w:r>
      <w:r w:rsidRPr="00D3723A">
        <w:rPr>
          <w:lang w:val="en-GB"/>
        </w:rPr>
        <w:t>% per annum</w:t>
      </w:r>
      <w:r>
        <w:rPr>
          <w:lang w:val="en-GB"/>
        </w:rPr>
        <w:t xml:space="preserve">.  The latest long term 10 year government bond yield forecast by both Mercer and </w:t>
      </w:r>
      <w:r w:rsidRPr="0026079F">
        <w:t>Consensus</w:t>
      </w:r>
      <w:r>
        <w:rPr>
          <w:lang w:val="en-GB"/>
        </w:rPr>
        <w:t xml:space="preserve"> economics (a collation of views from 180 economic forecasters in Asia Pacific) is around 4.6% per annum.</w:t>
      </w:r>
      <w:r w:rsidR="003C17E0">
        <w:rPr>
          <w:lang w:val="en-GB"/>
        </w:rPr>
        <w:br/>
      </w:r>
    </w:p>
    <w:p w:rsidR="0026079F" w:rsidRPr="00251861" w:rsidRDefault="0026079F" w:rsidP="00490A48">
      <w:pPr>
        <w:pStyle w:val="ListBullet"/>
        <w:tabs>
          <w:tab w:val="clear" w:pos="360"/>
          <w:tab w:val="num" w:pos="284"/>
        </w:tabs>
        <w:ind w:left="284" w:hanging="284"/>
      </w:pPr>
      <w:r>
        <w:t>A long term assumption for bond yields of 6.0% per annum (nominal) is no longer within the range of reasonable economic forecasts for long term bond yields</w:t>
      </w:r>
      <w:r w:rsidR="005F0EE6">
        <w:t xml:space="preserve"> based on the above</w:t>
      </w:r>
      <w:r>
        <w:t>.</w:t>
      </w:r>
    </w:p>
    <w:p w:rsidR="00814698" w:rsidRPr="005F0EE6" w:rsidRDefault="00814698" w:rsidP="00814698"/>
    <w:p w:rsidR="005F0EE6" w:rsidRPr="005F0EE6" w:rsidRDefault="005F0EE6" w:rsidP="00814698">
      <w:r>
        <w:t>Overall, we believe a long term rate of 5% per annum is appropriate to assume as an investment return / discount rate.</w:t>
      </w:r>
    </w:p>
    <w:p w:rsidR="005F0EE6" w:rsidRPr="005F0EE6" w:rsidRDefault="005F0EE6" w:rsidP="00814698"/>
    <w:p w:rsidR="00EF6DD9" w:rsidRPr="00EF6DD9" w:rsidRDefault="00EF6DD9" w:rsidP="00EF6DD9">
      <w:pPr>
        <w:pStyle w:val="Heading3"/>
      </w:pPr>
      <w:r w:rsidRPr="00EF6DD9">
        <w:t>GDP</w:t>
      </w:r>
    </w:p>
    <w:p w:rsidR="00EF6DD9" w:rsidRPr="00EF6DD9" w:rsidRDefault="00EF6DD9" w:rsidP="00EF6DD9"/>
    <w:p w:rsidR="00D72C77" w:rsidRPr="00EF6DD9" w:rsidRDefault="00D72C77" w:rsidP="00D72C77">
      <w:r>
        <w:t>B</w:t>
      </w:r>
      <w:r w:rsidRPr="005C4B66">
        <w:t xml:space="preserve">ased on </w:t>
      </w:r>
      <w:r w:rsidR="00624984">
        <w:t xml:space="preserve">projections of </w:t>
      </w:r>
      <w:r w:rsidRPr="005C4B66">
        <w:t xml:space="preserve">nominal </w:t>
      </w:r>
      <w:r w:rsidRPr="00EF6DD9">
        <w:t>Gross Domestic Product</w:t>
      </w:r>
      <w:r>
        <w:t xml:space="preserve"> (GDP)</w:t>
      </w:r>
      <w:r w:rsidRPr="005C4B66">
        <w:t xml:space="preserve"> provided by the Department of the Treasury specifically for the purpose of this report</w:t>
      </w:r>
      <w:r>
        <w:t xml:space="preserve">, </w:t>
      </w:r>
      <w:r w:rsidRPr="00C41FDB">
        <w:t>GDP for the 2017/2018 financial year is assumed to be $1.85 trillion</w:t>
      </w:r>
      <w:r>
        <w:t xml:space="preserve">. The assumed average future </w:t>
      </w:r>
      <w:r w:rsidRPr="00EF6DD9">
        <w:t>increase</w:t>
      </w:r>
      <w:r>
        <w:t>s are shown below together with the assumptions from the 2014 LTCR:</w:t>
      </w:r>
    </w:p>
    <w:p w:rsidR="00EF6DD9" w:rsidRDefault="00EF6DD9" w:rsidP="00EF6DD9"/>
    <w:tbl>
      <w:tblPr>
        <w:tblW w:w="9534" w:type="dxa"/>
        <w:tblInd w:w="72"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3013"/>
        <w:gridCol w:w="3372"/>
        <w:gridCol w:w="3149"/>
      </w:tblGrid>
      <w:tr w:rsidR="00EF6DD9" w:rsidRPr="00172C3C" w:rsidTr="005167E2">
        <w:trPr>
          <w:cantSplit/>
          <w:tblHeader/>
        </w:trPr>
        <w:tc>
          <w:tcPr>
            <w:tcW w:w="3013" w:type="dxa"/>
            <w:shd w:val="clear" w:color="auto" w:fill="00A8C8"/>
          </w:tcPr>
          <w:p w:rsidR="00EF6DD9" w:rsidRPr="00172C3C" w:rsidRDefault="00EF6DD9" w:rsidP="005167E2">
            <w:pPr>
              <w:pStyle w:val="TableHeadingText"/>
              <w:rPr>
                <w:caps w:val="0"/>
              </w:rPr>
            </w:pPr>
          </w:p>
        </w:tc>
        <w:tc>
          <w:tcPr>
            <w:tcW w:w="3372" w:type="dxa"/>
            <w:shd w:val="clear" w:color="auto" w:fill="00A8C8"/>
          </w:tcPr>
          <w:p w:rsidR="00EF6DD9" w:rsidRPr="00172C3C" w:rsidRDefault="00EF6DD9" w:rsidP="005167E2">
            <w:pPr>
              <w:pStyle w:val="TableHeadingText"/>
              <w:rPr>
                <w:caps w:val="0"/>
                <w:sz w:val="18"/>
                <w:szCs w:val="18"/>
              </w:rPr>
            </w:pPr>
            <w:r w:rsidRPr="00172C3C">
              <w:rPr>
                <w:caps w:val="0"/>
                <w:sz w:val="18"/>
                <w:szCs w:val="18"/>
              </w:rPr>
              <w:t xml:space="preserve">Assumption as at </w:t>
            </w:r>
            <w:r>
              <w:rPr>
                <w:caps w:val="0"/>
                <w:sz w:val="18"/>
                <w:szCs w:val="18"/>
              </w:rPr>
              <w:br/>
            </w:r>
            <w:r w:rsidRPr="00172C3C">
              <w:rPr>
                <w:caps w:val="0"/>
                <w:sz w:val="18"/>
                <w:szCs w:val="18"/>
              </w:rPr>
              <w:t>30 June 2017</w:t>
            </w:r>
          </w:p>
        </w:tc>
        <w:tc>
          <w:tcPr>
            <w:tcW w:w="3149" w:type="dxa"/>
            <w:shd w:val="clear" w:color="auto" w:fill="00A8C8"/>
          </w:tcPr>
          <w:p w:rsidR="00EF6DD9" w:rsidRPr="00172C3C" w:rsidRDefault="00EF6DD9" w:rsidP="005167E2">
            <w:pPr>
              <w:pStyle w:val="TableHeadingText"/>
              <w:rPr>
                <w:caps w:val="0"/>
                <w:sz w:val="18"/>
                <w:szCs w:val="18"/>
              </w:rPr>
            </w:pPr>
            <w:r w:rsidRPr="00172C3C">
              <w:rPr>
                <w:caps w:val="0"/>
                <w:sz w:val="18"/>
                <w:szCs w:val="18"/>
              </w:rPr>
              <w:t>Assumption as at 30 June 2014</w:t>
            </w:r>
          </w:p>
        </w:tc>
      </w:tr>
      <w:tr w:rsidR="00EF6DD9" w:rsidRPr="00172C3C" w:rsidTr="005167E2">
        <w:trPr>
          <w:cantSplit/>
        </w:trPr>
        <w:tc>
          <w:tcPr>
            <w:tcW w:w="3013" w:type="dxa"/>
            <w:shd w:val="clear" w:color="auto" w:fill="F2F2F2"/>
          </w:tcPr>
          <w:p w:rsidR="00EF6DD9" w:rsidRPr="00172C3C" w:rsidRDefault="00EF6DD9" w:rsidP="003C17E0">
            <w:pPr>
              <w:pStyle w:val="TableText"/>
            </w:pPr>
            <w:r>
              <w:t>GDP Increases</w:t>
            </w:r>
            <w:r w:rsidR="00490A48">
              <w:t>*</w:t>
            </w:r>
          </w:p>
        </w:tc>
        <w:tc>
          <w:tcPr>
            <w:tcW w:w="3372" w:type="dxa"/>
            <w:shd w:val="clear" w:color="auto" w:fill="F2F2F2"/>
          </w:tcPr>
          <w:p w:rsidR="00EF6DD9" w:rsidRPr="00172C3C" w:rsidRDefault="00DB6608" w:rsidP="00DB6608">
            <w:pPr>
              <w:pStyle w:val="TableText"/>
            </w:pPr>
            <w:r>
              <w:t>5.2</w:t>
            </w:r>
            <w:r w:rsidRPr="00172C3C">
              <w:t>% per annum (</w:t>
            </w:r>
            <w:r>
              <w:t>nominal</w:t>
            </w:r>
            <w:r w:rsidRPr="00172C3C">
              <w:t>)</w:t>
            </w:r>
            <w:r>
              <w:br/>
            </w:r>
            <w:r w:rsidR="00EF6DD9">
              <w:t>2.</w:t>
            </w:r>
            <w:r>
              <w:t>7</w:t>
            </w:r>
            <w:r w:rsidR="00EF6DD9" w:rsidRPr="00172C3C">
              <w:t>% per annum (real)</w:t>
            </w:r>
          </w:p>
        </w:tc>
        <w:tc>
          <w:tcPr>
            <w:tcW w:w="3149" w:type="dxa"/>
            <w:shd w:val="clear" w:color="auto" w:fill="F2F2F2"/>
          </w:tcPr>
          <w:p w:rsidR="00EF6DD9" w:rsidRPr="00172C3C" w:rsidRDefault="00DB6608" w:rsidP="005167E2">
            <w:pPr>
              <w:pStyle w:val="TableText"/>
            </w:pPr>
            <w:r>
              <w:t>5.4</w:t>
            </w:r>
            <w:r w:rsidRPr="00172C3C">
              <w:t>% per annum (</w:t>
            </w:r>
            <w:r>
              <w:t>nominal</w:t>
            </w:r>
            <w:r w:rsidRPr="00172C3C">
              <w:t>)</w:t>
            </w:r>
            <w:r>
              <w:br/>
            </w:r>
            <w:r w:rsidR="00EF6DD9">
              <w:t>2.9</w:t>
            </w:r>
            <w:r w:rsidR="00EF6DD9" w:rsidRPr="00172C3C">
              <w:t>% per annum (real)</w:t>
            </w:r>
          </w:p>
        </w:tc>
      </w:tr>
    </w:tbl>
    <w:p w:rsidR="00490A48" w:rsidRPr="00EF6DD9" w:rsidRDefault="00490A48" w:rsidP="00490A48">
      <w:pPr>
        <w:tabs>
          <w:tab w:val="left" w:pos="142"/>
        </w:tabs>
        <w:spacing w:before="120" w:line="240" w:lineRule="auto"/>
        <w:ind w:left="142" w:hanging="142"/>
        <w:rPr>
          <w:sz w:val="16"/>
          <w:szCs w:val="16"/>
        </w:rPr>
      </w:pPr>
      <w:r>
        <w:rPr>
          <w:sz w:val="16"/>
          <w:szCs w:val="16"/>
        </w:rPr>
        <w:t>*</w:t>
      </w:r>
      <w:r>
        <w:rPr>
          <w:sz w:val="16"/>
          <w:szCs w:val="16"/>
        </w:rPr>
        <w:tab/>
        <w:t>A</w:t>
      </w:r>
      <w:r w:rsidRPr="004A25AC">
        <w:rPr>
          <w:sz w:val="16"/>
          <w:szCs w:val="16"/>
        </w:rPr>
        <w:t>verage of the annual rates over the forty year period from the investigation date.</w:t>
      </w:r>
    </w:p>
    <w:p w:rsidR="003C17E0" w:rsidRPr="00EF6DD9" w:rsidRDefault="003C17E0" w:rsidP="00EF6DD9"/>
    <w:p w:rsidR="00EF6DD9" w:rsidRPr="00EF6DD9" w:rsidRDefault="00EF6DD9" w:rsidP="00EF6DD9">
      <w:pPr>
        <w:pStyle w:val="Heading3"/>
      </w:pPr>
      <w:r w:rsidRPr="00EF6DD9">
        <w:t>Taxation</w:t>
      </w:r>
    </w:p>
    <w:p w:rsidR="00EF6DD9" w:rsidRPr="00EF6DD9" w:rsidRDefault="00EF6DD9" w:rsidP="00EF6DD9"/>
    <w:p w:rsidR="00622BD0" w:rsidRPr="00EF6DD9" w:rsidRDefault="00622BD0" w:rsidP="00622BD0">
      <w:r w:rsidRPr="00EF6DD9">
        <w:t xml:space="preserve">Allowance has been made for 15% tax payable </w:t>
      </w:r>
      <w:r w:rsidR="005472C4">
        <w:t xml:space="preserve">by the schemes </w:t>
      </w:r>
      <w:r w:rsidRPr="00EF6DD9">
        <w:t>on employer productivity superannuation contributions.</w:t>
      </w:r>
    </w:p>
    <w:p w:rsidR="00490A48" w:rsidRPr="00EF6DD9" w:rsidRDefault="00490A48" w:rsidP="00EF6DD9"/>
    <w:p w:rsidR="00EF6DD9" w:rsidRPr="00EF6DD9" w:rsidRDefault="00EF6DD9" w:rsidP="00EF6DD9">
      <w:pPr>
        <w:pStyle w:val="Heading3"/>
      </w:pPr>
      <w:r w:rsidRPr="00EF6DD9">
        <w:t>Superannuation Guarantee</w:t>
      </w:r>
    </w:p>
    <w:p w:rsidR="00EF6DD9" w:rsidRPr="00EF6DD9" w:rsidRDefault="00EF6DD9" w:rsidP="00EF6DD9"/>
    <w:p w:rsidR="00EF6DD9" w:rsidRDefault="00627186" w:rsidP="00EF6DD9">
      <w:r>
        <w:t>A</w:t>
      </w:r>
      <w:r w:rsidR="00EF6DD9" w:rsidRPr="00EF6DD9">
        <w:t xml:space="preserve">llowance has been made for increases in the Superannuation Guarantee rate </w:t>
      </w:r>
      <w:r w:rsidR="00A40411">
        <w:t>(currently</w:t>
      </w:r>
      <w:r w:rsidR="00EF6DD9" w:rsidRPr="00EF6DD9">
        <w:t xml:space="preserve"> 9.5% </w:t>
      </w:r>
      <w:r w:rsidR="00A40411">
        <w:t xml:space="preserve">and increasing </w:t>
      </w:r>
      <w:r w:rsidR="00EF6DD9" w:rsidRPr="00EF6DD9">
        <w:t>to 12</w:t>
      </w:r>
      <w:r w:rsidR="00490A48">
        <w:t xml:space="preserve">% </w:t>
      </w:r>
      <w:r w:rsidR="00A40411">
        <w:t>by 1 July 2025)</w:t>
      </w:r>
      <w:r w:rsidR="00EF6DD9" w:rsidRPr="00EF6DD9">
        <w:t>.</w:t>
      </w:r>
    </w:p>
    <w:p w:rsidR="00B21777" w:rsidRPr="00EF6DD9" w:rsidRDefault="00B21777" w:rsidP="00EF6DD9"/>
    <w:p w:rsidR="00F37090" w:rsidRDefault="00F37090">
      <w:pPr>
        <w:spacing w:line="240" w:lineRule="auto"/>
        <w:rPr>
          <w:caps/>
          <w:color w:val="002C77"/>
          <w:spacing w:val="40"/>
        </w:rPr>
      </w:pPr>
      <w:bookmarkStart w:id="54" w:name="_Toc508267356"/>
      <w:r>
        <w:rPr>
          <w:caps/>
          <w:color w:val="002C77"/>
          <w:spacing w:val="40"/>
        </w:rPr>
        <w:br w:type="page"/>
      </w:r>
    </w:p>
    <w:p w:rsidR="00676991" w:rsidRPr="00331A3B" w:rsidRDefault="00676991" w:rsidP="00331A3B">
      <w:pPr>
        <w:rPr>
          <w:caps/>
          <w:color w:val="002C77"/>
          <w:spacing w:val="40"/>
        </w:rPr>
      </w:pPr>
      <w:r w:rsidRPr="00331A3B">
        <w:rPr>
          <w:caps/>
          <w:color w:val="002C77"/>
          <w:spacing w:val="40"/>
        </w:rPr>
        <w:lastRenderedPageBreak/>
        <w:t>Demographic Assumptions</w:t>
      </w:r>
      <w:bookmarkEnd w:id="54"/>
    </w:p>
    <w:p w:rsidR="00676991" w:rsidRDefault="00676991" w:rsidP="00676991"/>
    <w:p w:rsidR="00676991" w:rsidRPr="00676991" w:rsidRDefault="00676991" w:rsidP="00676991">
      <w:r w:rsidRPr="00676991">
        <w:t>The demographic assumptions adopted incorporate the results of a detailed analysis of the membership experience</w:t>
      </w:r>
      <w:r w:rsidR="00A40411">
        <w:t>.</w:t>
      </w:r>
      <w:r w:rsidRPr="00676991">
        <w:t xml:space="preserve"> </w:t>
      </w:r>
      <w:r w:rsidR="00DB6608">
        <w:t>Details of the updated demographic assumptions are set out in Appendix </w:t>
      </w:r>
      <w:r w:rsidR="00394AD2">
        <w:t>C</w:t>
      </w:r>
      <w:r w:rsidR="00DB6608">
        <w:t>.</w:t>
      </w:r>
    </w:p>
    <w:p w:rsidR="00665BE4" w:rsidRPr="00490A48" w:rsidRDefault="00665BE4" w:rsidP="00490A48"/>
    <w:p w:rsidR="00676991" w:rsidRPr="00676991" w:rsidRDefault="00676991" w:rsidP="00BE0ACB">
      <w:pPr>
        <w:pStyle w:val="Heading3"/>
      </w:pPr>
      <w:r w:rsidRPr="00676991">
        <w:t>Promotional Salary Increase</w:t>
      </w:r>
      <w:r w:rsidR="00795377">
        <w:t>s</w:t>
      </w:r>
    </w:p>
    <w:p w:rsidR="00676991" w:rsidRDefault="00676991" w:rsidP="00676991"/>
    <w:p w:rsidR="00B83AAD" w:rsidRDefault="00B83AAD" w:rsidP="00B83AAD">
      <w:r>
        <w:t>Salary increases consist of general salary increases due to salary inflation together with increases due to promotion. General salary increases capture the average salary increase for all government employees, while promotional salary increases capture the increases due to promotion within and between employment bands.</w:t>
      </w:r>
    </w:p>
    <w:p w:rsidR="00B83AAD" w:rsidRPr="00676991" w:rsidRDefault="00B83AAD" w:rsidP="00676991"/>
    <w:p w:rsidR="00676991" w:rsidRPr="00676991" w:rsidRDefault="005472C4" w:rsidP="00F60306">
      <w:r>
        <w:t xml:space="preserve">We have used </w:t>
      </w:r>
      <w:r w:rsidR="005C4190">
        <w:t xml:space="preserve">similar </w:t>
      </w:r>
      <w:r>
        <w:t>a</w:t>
      </w:r>
      <w:r w:rsidR="00172C3C">
        <w:t>ssumptions</w:t>
      </w:r>
      <w:r w:rsidR="00490A48">
        <w:t xml:space="preserve"> </w:t>
      </w:r>
      <w:r w:rsidR="00172C3C">
        <w:t xml:space="preserve">for </w:t>
      </w:r>
      <w:r w:rsidR="00676991" w:rsidRPr="00676991">
        <w:t>promotional salary increase</w:t>
      </w:r>
      <w:r w:rsidR="00172C3C">
        <w:t>s</w:t>
      </w:r>
      <w:r w:rsidR="00676991" w:rsidRPr="00676991">
        <w:t xml:space="preserve"> </w:t>
      </w:r>
      <w:r>
        <w:t xml:space="preserve">as for the 2014 LTCR, but these </w:t>
      </w:r>
      <w:r w:rsidR="006565F8">
        <w:t xml:space="preserve">have been </w:t>
      </w:r>
      <w:r w:rsidR="00676991" w:rsidRPr="00676991">
        <w:t>simplified to be based on age only</w:t>
      </w:r>
      <w:r>
        <w:t>, as we consider this to be more realistic</w:t>
      </w:r>
      <w:r w:rsidR="0037430F">
        <w:t>.</w:t>
      </w:r>
      <w:r w:rsidR="00676991" w:rsidRPr="00676991">
        <w:t xml:space="preserve"> </w:t>
      </w:r>
      <w:r w:rsidR="0037430F">
        <w:t>N</w:t>
      </w:r>
      <w:r w:rsidR="00F60306">
        <w:t xml:space="preserve">o distinction </w:t>
      </w:r>
      <w:r w:rsidR="0037430F">
        <w:t xml:space="preserve">is made </w:t>
      </w:r>
      <w:r w:rsidR="00F60306">
        <w:t>between males and females</w:t>
      </w:r>
      <w:r w:rsidR="0037430F">
        <w:t>,</w:t>
      </w:r>
      <w:r w:rsidR="00F60306">
        <w:t xml:space="preserve"> </w:t>
      </w:r>
      <w:r w:rsidR="00676991" w:rsidRPr="00676991">
        <w:t xml:space="preserve">as </w:t>
      </w:r>
      <w:r w:rsidR="00F60306">
        <w:t xml:space="preserve">was </w:t>
      </w:r>
      <w:r w:rsidR="00676991" w:rsidRPr="00676991">
        <w:t xml:space="preserve">previously </w:t>
      </w:r>
      <w:r>
        <w:t>the case</w:t>
      </w:r>
      <w:r w:rsidR="00676991" w:rsidRPr="00676991">
        <w:t>.</w:t>
      </w:r>
    </w:p>
    <w:p w:rsidR="00676991" w:rsidRDefault="00676991" w:rsidP="00676991"/>
    <w:p w:rsidR="00EE2D91" w:rsidRPr="00676991" w:rsidRDefault="00EE2D91" w:rsidP="00EE2D91">
      <w:pPr>
        <w:pStyle w:val="Heading3"/>
      </w:pPr>
      <w:r w:rsidRPr="00676991">
        <w:t>PSS Member Contribution Rate</w:t>
      </w:r>
    </w:p>
    <w:p w:rsidR="00EE2D91" w:rsidRDefault="00EE2D91" w:rsidP="00EE2D91"/>
    <w:p w:rsidR="00EE2D91" w:rsidRPr="00676991" w:rsidRDefault="005472C4" w:rsidP="00EE2D91">
      <w:r>
        <w:t xml:space="preserve">The age based scale of </w:t>
      </w:r>
      <w:r w:rsidR="00187255">
        <w:t>assumed</w:t>
      </w:r>
      <w:r w:rsidR="00490A48">
        <w:t xml:space="preserve"> </w:t>
      </w:r>
      <w:r w:rsidR="00EE2D91">
        <w:t xml:space="preserve">member contribution rates </w:t>
      </w:r>
      <w:r>
        <w:t>is</w:t>
      </w:r>
      <w:r w:rsidR="00EE2D91">
        <w:t xml:space="preserve"> unchanged</w:t>
      </w:r>
      <w:r w:rsidR="005061F5">
        <w:t xml:space="preserve"> from the 2014 LTCR</w:t>
      </w:r>
      <w:r w:rsidR="00EE2D91">
        <w:t>.</w:t>
      </w:r>
    </w:p>
    <w:p w:rsidR="00EE2D91" w:rsidRPr="00676991" w:rsidRDefault="00EE2D91" w:rsidP="00676991"/>
    <w:p w:rsidR="00676991" w:rsidRPr="00676991" w:rsidRDefault="00676991" w:rsidP="00BE0ACB">
      <w:pPr>
        <w:pStyle w:val="Heading3"/>
      </w:pPr>
      <w:r w:rsidRPr="00676991">
        <w:t>Rate</w:t>
      </w:r>
      <w:r w:rsidR="00F60306">
        <w:t>s</w:t>
      </w:r>
      <w:r w:rsidRPr="00676991">
        <w:t xml:space="preserve"> of </w:t>
      </w:r>
      <w:r w:rsidR="00F60306">
        <w:t xml:space="preserve">Age </w:t>
      </w:r>
      <w:r w:rsidRPr="00676991">
        <w:t>Retirement</w:t>
      </w:r>
    </w:p>
    <w:p w:rsidR="00676991" w:rsidRPr="00676991" w:rsidRDefault="00676991" w:rsidP="00676991"/>
    <w:p w:rsidR="006A48C4" w:rsidRPr="00676991" w:rsidRDefault="006A48C4" w:rsidP="006A48C4">
      <w:r>
        <w:t>A</w:t>
      </w:r>
      <w:r w:rsidR="00676991" w:rsidRPr="00676991">
        <w:t xml:space="preserve">ssumed rates of retirement </w:t>
      </w:r>
      <w:r>
        <w:t>have been simplified to be based on age only. No distinction is made between males and fe</w:t>
      </w:r>
      <w:r w:rsidRPr="00182DA8">
        <w:t>males</w:t>
      </w:r>
      <w:r w:rsidR="00182DA8">
        <w:t>,</w:t>
      </w:r>
      <w:r w:rsidRPr="00182DA8">
        <w:t xml:space="preserve"> or between the </w:t>
      </w:r>
      <w:r w:rsidR="00FB0F81">
        <w:t>PSS</w:t>
      </w:r>
      <w:r w:rsidRPr="00182DA8">
        <w:t xml:space="preserve"> and PSS,</w:t>
      </w:r>
      <w:r>
        <w:t xml:space="preserve"> </w:t>
      </w:r>
      <w:r w:rsidRPr="00676991">
        <w:t xml:space="preserve">as </w:t>
      </w:r>
      <w:r>
        <w:t xml:space="preserve">was </w:t>
      </w:r>
      <w:r w:rsidRPr="00676991">
        <w:t xml:space="preserve">previously assumed </w:t>
      </w:r>
      <w:r>
        <w:t>for the 2014 LTCR</w:t>
      </w:r>
      <w:r w:rsidRPr="00676991">
        <w:t>.</w:t>
      </w:r>
      <w:r>
        <w:t xml:space="preserve"> There is </w:t>
      </w:r>
      <w:r w:rsidR="00243E0A">
        <w:t>little evidence of a</w:t>
      </w:r>
      <w:r w:rsidR="005472C4">
        <w:t>ny</w:t>
      </w:r>
      <w:r>
        <w:t xml:space="preserve"> difference in experience </w:t>
      </w:r>
      <w:r w:rsidR="005472C4">
        <w:t xml:space="preserve">between </w:t>
      </w:r>
      <w:r>
        <w:t>males and females</w:t>
      </w:r>
      <w:r w:rsidR="00841900">
        <w:t>.</w:t>
      </w:r>
    </w:p>
    <w:p w:rsidR="00676991" w:rsidRDefault="00676991" w:rsidP="00676991"/>
    <w:p w:rsidR="00F60306" w:rsidRPr="00676991" w:rsidRDefault="00F60306" w:rsidP="00F60306">
      <w:pPr>
        <w:pStyle w:val="Heading3"/>
      </w:pPr>
      <w:r w:rsidRPr="00676991">
        <w:t>Rate</w:t>
      </w:r>
      <w:r>
        <w:t>s</w:t>
      </w:r>
      <w:r w:rsidRPr="00676991">
        <w:t xml:space="preserve"> of </w:t>
      </w:r>
      <w:r>
        <w:t>Involuntary Retirement (</w:t>
      </w:r>
      <w:r w:rsidRPr="00676991">
        <w:t>Redundancy</w:t>
      </w:r>
      <w:r>
        <w:t>)</w:t>
      </w:r>
    </w:p>
    <w:p w:rsidR="00F60306" w:rsidRPr="00676991" w:rsidRDefault="00F60306" w:rsidP="00F60306"/>
    <w:p w:rsidR="00B8795C" w:rsidRPr="00BA67ED" w:rsidRDefault="00692EE8" w:rsidP="00B8795C">
      <w:r>
        <w:t xml:space="preserve">An assumption is required because benefits </w:t>
      </w:r>
      <w:r w:rsidR="00A12D77">
        <w:t xml:space="preserve">differ and </w:t>
      </w:r>
      <w:r>
        <w:t xml:space="preserve">may be </w:t>
      </w:r>
      <w:r w:rsidR="00A12D77">
        <w:t xml:space="preserve">also </w:t>
      </w:r>
      <w:r>
        <w:t xml:space="preserve">paid immediately </w:t>
      </w:r>
      <w:r w:rsidR="00A12D77">
        <w:t>o</w:t>
      </w:r>
      <w:r>
        <w:t xml:space="preserve">n involuntary retirement. </w:t>
      </w:r>
      <w:r w:rsidR="00243E0A">
        <w:t xml:space="preserve">Although there </w:t>
      </w:r>
      <w:r w:rsidR="00461C98">
        <w:t xml:space="preserve">were </w:t>
      </w:r>
      <w:r w:rsidR="00795377">
        <w:t>considerably</w:t>
      </w:r>
      <w:r w:rsidR="0037430F">
        <w:t xml:space="preserve"> more </w:t>
      </w:r>
      <w:r w:rsidR="00F60306" w:rsidRPr="00676991">
        <w:t xml:space="preserve">redundancies </w:t>
      </w:r>
      <w:r w:rsidR="00795377">
        <w:t xml:space="preserve">during the three-year </w:t>
      </w:r>
      <w:r w:rsidR="00A12294">
        <w:t xml:space="preserve">investigation </w:t>
      </w:r>
      <w:r w:rsidR="00795377">
        <w:t>period</w:t>
      </w:r>
      <w:r w:rsidR="00A12294">
        <w:t xml:space="preserve"> </w:t>
      </w:r>
      <w:r w:rsidR="00F60306" w:rsidRPr="00676991">
        <w:t xml:space="preserve">than </w:t>
      </w:r>
      <w:r w:rsidR="0037430F">
        <w:t xml:space="preserve">previously </w:t>
      </w:r>
      <w:r w:rsidR="00A12294">
        <w:t>projected</w:t>
      </w:r>
      <w:r w:rsidR="00243E0A">
        <w:t xml:space="preserve">, </w:t>
      </w:r>
      <w:r w:rsidR="00A12294">
        <w:t>t</w:t>
      </w:r>
      <w:r w:rsidR="00243E0A">
        <w:t>h</w:t>
      </w:r>
      <w:r w:rsidR="00F80D03">
        <w:t>is</w:t>
      </w:r>
      <w:r w:rsidR="00243E0A">
        <w:t xml:space="preserve"> recent experience is </w:t>
      </w:r>
      <w:r w:rsidR="00795377">
        <w:t>considered to be cyclical</w:t>
      </w:r>
      <w:r w:rsidR="00F60306" w:rsidRPr="00676991">
        <w:t xml:space="preserve">, </w:t>
      </w:r>
      <w:r w:rsidR="00795377">
        <w:t xml:space="preserve">rather than reflective of longer term </w:t>
      </w:r>
      <w:r w:rsidR="00A12294">
        <w:t xml:space="preserve">average </w:t>
      </w:r>
      <w:r w:rsidR="00795377">
        <w:t xml:space="preserve">trends. </w:t>
      </w:r>
      <w:r w:rsidR="00F80D03">
        <w:t>It is noted that e</w:t>
      </w:r>
      <w:r w:rsidR="00795377">
        <w:t xml:space="preserve">xperience </w:t>
      </w:r>
      <w:r w:rsidR="0044751C">
        <w:t xml:space="preserve">during the period </w:t>
      </w:r>
      <w:r w:rsidR="00795377">
        <w:t xml:space="preserve">up to the 2014 LTCR showed fewer redundancies </w:t>
      </w:r>
      <w:r w:rsidR="00795377" w:rsidRPr="00BA67ED">
        <w:t xml:space="preserve">than </w:t>
      </w:r>
      <w:r w:rsidR="00461C98" w:rsidRPr="00BA67ED">
        <w:t xml:space="preserve">previously </w:t>
      </w:r>
      <w:r w:rsidR="00795377" w:rsidRPr="00BA67ED">
        <w:t>assumed.</w:t>
      </w:r>
      <w:r w:rsidR="00A12294">
        <w:t xml:space="preserve"> Assumed rates of involuntary retirement (redundancy) have been simplified and, i</w:t>
      </w:r>
      <w:r w:rsidR="00461C98" w:rsidRPr="00BA67ED">
        <w:t xml:space="preserve">n line with experience, </w:t>
      </w:r>
      <w:r w:rsidR="00A12294">
        <w:t xml:space="preserve">extended </w:t>
      </w:r>
      <w:r w:rsidR="00461C98" w:rsidRPr="00BA67ED">
        <w:t>beyond age 65.</w:t>
      </w:r>
    </w:p>
    <w:p w:rsidR="00F60306" w:rsidRPr="00BA67ED" w:rsidRDefault="00F60306" w:rsidP="00676991"/>
    <w:p w:rsidR="00676991" w:rsidRPr="00676991" w:rsidRDefault="00676991" w:rsidP="00BE0ACB">
      <w:pPr>
        <w:pStyle w:val="Heading3"/>
      </w:pPr>
      <w:r w:rsidRPr="00676991">
        <w:t>Rate</w:t>
      </w:r>
      <w:r w:rsidR="00F60306">
        <w:t>s</w:t>
      </w:r>
      <w:r w:rsidRPr="00676991">
        <w:t xml:space="preserve"> of Resignation</w:t>
      </w:r>
    </w:p>
    <w:p w:rsidR="00676991" w:rsidRPr="00676991" w:rsidRDefault="00676991" w:rsidP="00676991"/>
    <w:p w:rsidR="006A48C4" w:rsidRDefault="001175A6" w:rsidP="00676991">
      <w:r>
        <w:t xml:space="preserve">With the </w:t>
      </w:r>
      <w:r w:rsidR="005472C4">
        <w:t>continued decline in the number of contributors</w:t>
      </w:r>
      <w:r w:rsidR="00414B20">
        <w:t xml:space="preserve">, </w:t>
      </w:r>
      <w:r w:rsidR="006A48C4">
        <w:t xml:space="preserve">the </w:t>
      </w:r>
      <w:r w:rsidR="0044751C">
        <w:t xml:space="preserve">assumed rates of resignation </w:t>
      </w:r>
      <w:r w:rsidR="00414B20">
        <w:t xml:space="preserve">have become </w:t>
      </w:r>
      <w:r w:rsidR="006A48C4">
        <w:t>less significan</w:t>
      </w:r>
      <w:r w:rsidR="00414B20">
        <w:t xml:space="preserve">t for </w:t>
      </w:r>
      <w:r w:rsidR="006A48C4">
        <w:t>the project</w:t>
      </w:r>
      <w:r w:rsidR="00414B20">
        <w:t>ed results</w:t>
      </w:r>
      <w:r w:rsidR="006A48C4">
        <w:t>.</w:t>
      </w:r>
      <w:r w:rsidR="00414B20">
        <w:t xml:space="preserve"> A</w:t>
      </w:r>
      <w:r w:rsidR="00414B20" w:rsidRPr="00676991">
        <w:t xml:space="preserve">ssumed rates of </w:t>
      </w:r>
      <w:r w:rsidR="00414B20">
        <w:t xml:space="preserve">resignation have been simplified to be based on age only. </w:t>
      </w:r>
      <w:r w:rsidR="00692EE8">
        <w:t>F</w:t>
      </w:r>
      <w:r w:rsidR="00414B20">
        <w:t xml:space="preserve">or CSS </w:t>
      </w:r>
      <w:r w:rsidR="00B211BD">
        <w:t>contributors</w:t>
      </w:r>
      <w:r w:rsidR="00692EE8">
        <w:t xml:space="preserve">, a high rate of resignation is </w:t>
      </w:r>
      <w:r w:rsidR="00FA3F4F">
        <w:t>assumed</w:t>
      </w:r>
      <w:r w:rsidR="00B211BD">
        <w:t xml:space="preserve"> </w:t>
      </w:r>
      <w:r w:rsidR="00414B20">
        <w:t xml:space="preserve">at age 54, which </w:t>
      </w:r>
      <w:r w:rsidR="00243E0A">
        <w:t>reflect</w:t>
      </w:r>
      <w:r w:rsidR="005472C4">
        <w:t>s</w:t>
      </w:r>
      <w:r w:rsidR="00243E0A">
        <w:t xml:space="preserve"> </w:t>
      </w:r>
      <w:r w:rsidR="00BA67ED">
        <w:t xml:space="preserve">the </w:t>
      </w:r>
      <w:r w:rsidR="005472C4">
        <w:t xml:space="preserve">specific </w:t>
      </w:r>
      <w:r w:rsidR="00BA67ED">
        <w:t xml:space="preserve">benefit design and </w:t>
      </w:r>
      <w:r w:rsidR="005472C4">
        <w:t>is consistent with CSS</w:t>
      </w:r>
      <w:r w:rsidR="00414B20">
        <w:t xml:space="preserve"> experience.</w:t>
      </w:r>
    </w:p>
    <w:p w:rsidR="00B211BD" w:rsidRPr="00676991" w:rsidRDefault="00B211BD" w:rsidP="00676991"/>
    <w:p w:rsidR="00F37090" w:rsidRDefault="00F37090">
      <w:pPr>
        <w:spacing w:line="240" w:lineRule="auto"/>
        <w:rPr>
          <w:b/>
          <w:color w:val="006D9E"/>
        </w:rPr>
      </w:pPr>
      <w:r>
        <w:br w:type="page"/>
      </w:r>
    </w:p>
    <w:p w:rsidR="00676991" w:rsidRPr="00676991" w:rsidRDefault="00676991" w:rsidP="00BE0ACB">
      <w:pPr>
        <w:pStyle w:val="Heading3"/>
      </w:pPr>
      <w:r w:rsidRPr="00676991">
        <w:lastRenderedPageBreak/>
        <w:t>Rate</w:t>
      </w:r>
      <w:r w:rsidR="00F60306">
        <w:t>s</w:t>
      </w:r>
      <w:r w:rsidRPr="00676991">
        <w:t xml:space="preserve"> of Invalidity Retirement </w:t>
      </w:r>
      <w:r w:rsidR="00F60306">
        <w:t>(Disablement)</w:t>
      </w:r>
    </w:p>
    <w:p w:rsidR="00676991" w:rsidRDefault="00676991" w:rsidP="00676991"/>
    <w:p w:rsidR="00676991" w:rsidRDefault="00461C98" w:rsidP="00676991">
      <w:r w:rsidRPr="0053249E">
        <w:t xml:space="preserve">Assumed rates of invalidity retirement </w:t>
      </w:r>
      <w:r w:rsidR="0053249E" w:rsidRPr="0053249E">
        <w:t>(disablement) have been aligned between CSS and PSS.</w:t>
      </w:r>
    </w:p>
    <w:p w:rsidR="0053249E" w:rsidRPr="00676991" w:rsidRDefault="0053249E" w:rsidP="00676991"/>
    <w:p w:rsidR="00676991" w:rsidRPr="00676991" w:rsidRDefault="00EE2D91" w:rsidP="00BE0ACB">
      <w:pPr>
        <w:pStyle w:val="Heading3"/>
      </w:pPr>
      <w:r>
        <w:t>Death</w:t>
      </w:r>
      <w:r w:rsidR="00F60306">
        <w:t xml:space="preserve"> </w:t>
      </w:r>
      <w:r w:rsidR="00BA67ED">
        <w:t xml:space="preserve">Rates </w:t>
      </w:r>
      <w:r w:rsidR="00F60306">
        <w:t xml:space="preserve">for </w:t>
      </w:r>
      <w:r w:rsidR="00676991" w:rsidRPr="00676991">
        <w:t>Contributors</w:t>
      </w:r>
      <w:r w:rsidR="00BA67ED">
        <w:t>,</w:t>
      </w:r>
      <w:r w:rsidR="00676991" w:rsidRPr="00676991">
        <w:t xml:space="preserve"> </w:t>
      </w:r>
      <w:r w:rsidR="00F60306">
        <w:t>Deferred/</w:t>
      </w:r>
      <w:r w:rsidR="00676991" w:rsidRPr="00676991">
        <w:t>Preserved Members</w:t>
      </w:r>
      <w:r w:rsidR="00BA67ED">
        <w:t xml:space="preserve"> and Pensioners</w:t>
      </w:r>
    </w:p>
    <w:p w:rsidR="00676991" w:rsidRPr="00676991" w:rsidRDefault="00676991" w:rsidP="00676991"/>
    <w:p w:rsidR="00676991" w:rsidRDefault="00461C98" w:rsidP="00676991">
      <w:r w:rsidRPr="00A12294">
        <w:t>Assumed rates of m</w:t>
      </w:r>
      <w:r w:rsidR="00676991" w:rsidRPr="00A12294">
        <w:t xml:space="preserve">ortality </w:t>
      </w:r>
      <w:r w:rsidRPr="00A12294">
        <w:t xml:space="preserve">before </w:t>
      </w:r>
      <w:r w:rsidR="00BA67ED" w:rsidRPr="00A12294">
        <w:t xml:space="preserve">and after </w:t>
      </w:r>
      <w:r w:rsidRPr="00A12294">
        <w:t xml:space="preserve">retirement </w:t>
      </w:r>
      <w:r w:rsidR="007C3D96" w:rsidRPr="00A12294">
        <w:t xml:space="preserve">are </w:t>
      </w:r>
      <w:r w:rsidRPr="00A12294">
        <w:t>unchanged</w:t>
      </w:r>
      <w:r w:rsidR="00187255">
        <w:t xml:space="preserve"> from the 2014 LTCR</w:t>
      </w:r>
      <w:r w:rsidRPr="00A12294">
        <w:t>.</w:t>
      </w:r>
    </w:p>
    <w:p w:rsidR="00A40411" w:rsidRDefault="00A40411" w:rsidP="00676991"/>
    <w:p w:rsidR="00676991" w:rsidRPr="00676991" w:rsidRDefault="00676991" w:rsidP="00BE0ACB">
      <w:pPr>
        <w:pStyle w:val="Heading3"/>
      </w:pPr>
      <w:r w:rsidRPr="00676991">
        <w:t>Future Mortality Improvements</w:t>
      </w:r>
    </w:p>
    <w:p w:rsidR="00676991" w:rsidRPr="00676991" w:rsidRDefault="00676991" w:rsidP="00676991">
      <w:pPr>
        <w:rPr>
          <w:highlight w:val="yellow"/>
        </w:rPr>
      </w:pPr>
    </w:p>
    <w:p w:rsidR="007C3D96" w:rsidRDefault="007C3D96" w:rsidP="00676991">
      <w:r>
        <w:t>A</w:t>
      </w:r>
      <w:r w:rsidR="00676991" w:rsidRPr="00676991">
        <w:t>llowance</w:t>
      </w:r>
      <w:r w:rsidR="001175A6">
        <w:t xml:space="preserve"> </w:t>
      </w:r>
      <w:r w:rsidR="00364FCA">
        <w:t>has been</w:t>
      </w:r>
      <w:r w:rsidR="00364FCA" w:rsidRPr="00676991">
        <w:t xml:space="preserve"> </w:t>
      </w:r>
      <w:r w:rsidR="00676991" w:rsidRPr="00676991">
        <w:t xml:space="preserve">made for </w:t>
      </w:r>
      <w:r>
        <w:t xml:space="preserve">assumed </w:t>
      </w:r>
      <w:r w:rsidR="00676991" w:rsidRPr="00676991">
        <w:t xml:space="preserve">future improvements in </w:t>
      </w:r>
      <w:r>
        <w:t xml:space="preserve">pensioner </w:t>
      </w:r>
      <w:r w:rsidR="00676991" w:rsidRPr="00676991">
        <w:t>mortality.</w:t>
      </w:r>
    </w:p>
    <w:p w:rsidR="007C3D96" w:rsidRDefault="007C3D96" w:rsidP="00676991"/>
    <w:p w:rsidR="00676991" w:rsidRPr="00676991" w:rsidRDefault="007C3D96" w:rsidP="00676991">
      <w:r>
        <w:t>I</w:t>
      </w:r>
      <w:r w:rsidR="00676991" w:rsidRPr="00676991">
        <w:t xml:space="preserve">mprovements </w:t>
      </w:r>
      <w:r>
        <w:t xml:space="preserve">in mortality </w:t>
      </w:r>
      <w:r w:rsidR="00844EA8">
        <w:t xml:space="preserve">have been updated to reflect </w:t>
      </w:r>
      <w:r w:rsidR="00676991" w:rsidRPr="00676991">
        <w:t xml:space="preserve">the short </w:t>
      </w:r>
      <w:r>
        <w:t xml:space="preserve">term (25 year experience) </w:t>
      </w:r>
      <w:r w:rsidR="00676991" w:rsidRPr="00676991">
        <w:t xml:space="preserve">and long term </w:t>
      </w:r>
      <w:r>
        <w:t xml:space="preserve">(125 year experience) factors </w:t>
      </w:r>
      <w:r w:rsidR="00676991" w:rsidRPr="00676991">
        <w:t xml:space="preserve">derived by the Australian Government Actuary </w:t>
      </w:r>
      <w:r w:rsidR="00844EA8">
        <w:t xml:space="preserve">and </w:t>
      </w:r>
      <w:r w:rsidR="00676991" w:rsidRPr="00676991">
        <w:t>published in the Australian Life Tables 20</w:t>
      </w:r>
      <w:r w:rsidR="00844EA8">
        <w:t>10</w:t>
      </w:r>
      <w:r w:rsidR="00676991" w:rsidRPr="00676991">
        <w:t>-</w:t>
      </w:r>
      <w:r w:rsidR="00844EA8">
        <w:t>12</w:t>
      </w:r>
      <w:r w:rsidR="00676991" w:rsidRPr="00676991">
        <w:t>.</w:t>
      </w:r>
      <w:r w:rsidR="00844EA8">
        <w:t xml:space="preserve"> The s</w:t>
      </w:r>
      <w:r w:rsidR="00844EA8" w:rsidRPr="00676991">
        <w:t xml:space="preserve">hort term </w:t>
      </w:r>
      <w:r w:rsidR="007A5AC7">
        <w:t xml:space="preserve">improvement </w:t>
      </w:r>
      <w:r w:rsidR="00844EA8">
        <w:t xml:space="preserve">factors </w:t>
      </w:r>
      <w:r w:rsidR="00844EA8" w:rsidRPr="00676991">
        <w:t xml:space="preserve">are significantly higher </w:t>
      </w:r>
      <w:r w:rsidR="00844EA8">
        <w:t xml:space="preserve">(i.e. result in lower projected mortality) </w:t>
      </w:r>
      <w:r w:rsidR="00844EA8" w:rsidRPr="00676991">
        <w:t xml:space="preserve">than the long term </w:t>
      </w:r>
      <w:r w:rsidR="007A5AC7">
        <w:t xml:space="preserve">improvement </w:t>
      </w:r>
      <w:r w:rsidR="00844EA8">
        <w:t>factors</w:t>
      </w:r>
      <w:r w:rsidR="00844EA8" w:rsidRPr="00676991">
        <w:t>.</w:t>
      </w:r>
    </w:p>
    <w:p w:rsidR="00676991" w:rsidRPr="00676991" w:rsidRDefault="00676991" w:rsidP="00676991"/>
    <w:p w:rsidR="00676991" w:rsidRDefault="00844EA8" w:rsidP="00676991">
      <w:r>
        <w:t>S</w:t>
      </w:r>
      <w:r w:rsidR="00676991" w:rsidRPr="00676991">
        <w:t xml:space="preserve">hort term </w:t>
      </w:r>
      <w:r>
        <w:t xml:space="preserve">improvements are incorporated </w:t>
      </w:r>
      <w:r w:rsidR="00676991" w:rsidRPr="00676991">
        <w:t>for the period 201</w:t>
      </w:r>
      <w:r w:rsidR="00182DA8">
        <w:t>8</w:t>
      </w:r>
      <w:r w:rsidR="00676991" w:rsidRPr="00676991">
        <w:t xml:space="preserve"> to </w:t>
      </w:r>
      <w:r w:rsidR="00182DA8">
        <w:t xml:space="preserve">2021, </w:t>
      </w:r>
      <w:r>
        <w:t xml:space="preserve">with </w:t>
      </w:r>
      <w:r w:rsidR="00676991" w:rsidRPr="00676991">
        <w:t xml:space="preserve">long term </w:t>
      </w:r>
      <w:r>
        <w:t xml:space="preserve">improvements </w:t>
      </w:r>
      <w:r w:rsidR="00CF718E">
        <w:t xml:space="preserve">assumed </w:t>
      </w:r>
      <w:r w:rsidR="00676991" w:rsidRPr="00676991">
        <w:t>thereafter.</w:t>
      </w:r>
    </w:p>
    <w:p w:rsidR="00676991" w:rsidRDefault="00676991" w:rsidP="00676991"/>
    <w:p w:rsidR="004A212C" w:rsidRDefault="004A212C" w:rsidP="00676991">
      <w:r>
        <w:t xml:space="preserve">Based on the mortality assumptions adopted for this investigation, </w:t>
      </w:r>
      <w:r w:rsidR="00893CDF">
        <w:t xml:space="preserve">an example of </w:t>
      </w:r>
      <w:r>
        <w:t>the number of additional years expected to be lived by an age retirement pensioner is shown in the table below:</w:t>
      </w:r>
    </w:p>
    <w:p w:rsidR="004A212C" w:rsidRPr="00A73BBF" w:rsidRDefault="004A212C" w:rsidP="00676991"/>
    <w:tbl>
      <w:tblPr>
        <w:tblW w:w="6216"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956"/>
        <w:gridCol w:w="1630"/>
        <w:gridCol w:w="1630"/>
      </w:tblGrid>
      <w:tr w:rsidR="004B2939" w:rsidRPr="006B79AD" w:rsidTr="00EF0022">
        <w:trPr>
          <w:cantSplit/>
          <w:trHeight w:val="188"/>
          <w:tblHeader/>
        </w:trPr>
        <w:tc>
          <w:tcPr>
            <w:tcW w:w="2956" w:type="dxa"/>
            <w:shd w:val="clear" w:color="auto" w:fill="00A8C8"/>
            <w:hideMark/>
          </w:tcPr>
          <w:p w:rsidR="004B2939" w:rsidRPr="006B79AD" w:rsidRDefault="00EF0022" w:rsidP="00EF0022">
            <w:pPr>
              <w:pStyle w:val="TableHeadingText"/>
              <w:rPr>
                <w:caps w:val="0"/>
                <w:lang w:val="en-US"/>
              </w:rPr>
            </w:pPr>
            <w:r>
              <w:rPr>
                <w:caps w:val="0"/>
                <w:lang w:val="en-US"/>
              </w:rPr>
              <w:t xml:space="preserve">Projected </w:t>
            </w:r>
            <w:r w:rsidR="00331428">
              <w:rPr>
                <w:caps w:val="0"/>
                <w:lang w:val="en-US"/>
              </w:rPr>
              <w:t xml:space="preserve">Future </w:t>
            </w:r>
            <w:r>
              <w:rPr>
                <w:caps w:val="0"/>
                <w:lang w:val="en-US"/>
              </w:rPr>
              <w:t>Life Expectancy</w:t>
            </w:r>
          </w:p>
        </w:tc>
        <w:tc>
          <w:tcPr>
            <w:tcW w:w="1630" w:type="dxa"/>
            <w:shd w:val="clear" w:color="auto" w:fill="00A8C8"/>
          </w:tcPr>
          <w:p w:rsidR="004B2939" w:rsidRPr="006B79AD" w:rsidRDefault="004B2939" w:rsidP="004B2939">
            <w:pPr>
              <w:pStyle w:val="TableHeadingText"/>
              <w:jc w:val="center"/>
              <w:rPr>
                <w:caps w:val="0"/>
                <w:lang w:val="en-US"/>
              </w:rPr>
            </w:pPr>
            <w:r>
              <w:rPr>
                <w:caps w:val="0"/>
                <w:lang w:val="en-US"/>
              </w:rPr>
              <w:t>As at 30/06/2017</w:t>
            </w:r>
          </w:p>
        </w:tc>
        <w:tc>
          <w:tcPr>
            <w:tcW w:w="1630" w:type="dxa"/>
            <w:shd w:val="clear" w:color="auto" w:fill="00A8C8"/>
          </w:tcPr>
          <w:p w:rsidR="004B2939" w:rsidRPr="006B79AD" w:rsidRDefault="004B2939" w:rsidP="00331428">
            <w:pPr>
              <w:pStyle w:val="TableHeadingText"/>
              <w:jc w:val="center"/>
              <w:rPr>
                <w:caps w:val="0"/>
                <w:lang w:val="en-US"/>
              </w:rPr>
            </w:pPr>
            <w:r>
              <w:rPr>
                <w:caps w:val="0"/>
                <w:lang w:val="en-US"/>
              </w:rPr>
              <w:t>As at 30/06/20</w:t>
            </w:r>
            <w:r w:rsidR="00331428">
              <w:rPr>
                <w:caps w:val="0"/>
                <w:lang w:val="en-US"/>
              </w:rPr>
              <w:t>2</w:t>
            </w:r>
            <w:r>
              <w:rPr>
                <w:caps w:val="0"/>
                <w:lang w:val="en-US"/>
              </w:rPr>
              <w:t>7</w:t>
            </w:r>
          </w:p>
        </w:tc>
      </w:tr>
      <w:tr w:rsidR="004B2939" w:rsidRPr="009F47FB" w:rsidTr="00EF0022">
        <w:trPr>
          <w:cantSplit/>
        </w:trPr>
        <w:tc>
          <w:tcPr>
            <w:tcW w:w="2956" w:type="dxa"/>
            <w:shd w:val="clear" w:color="auto" w:fill="F2F2F2"/>
            <w:noWrap/>
            <w:hideMark/>
          </w:tcPr>
          <w:p w:rsidR="004B2939" w:rsidRPr="009F47FB" w:rsidRDefault="004B2939" w:rsidP="00EF0022">
            <w:pPr>
              <w:pStyle w:val="TableText"/>
            </w:pPr>
            <w:r>
              <w:t xml:space="preserve">Male </w:t>
            </w:r>
            <w:r w:rsidR="00EF0022">
              <w:t xml:space="preserve">pensioner </w:t>
            </w:r>
            <w:r>
              <w:t>aged 65</w:t>
            </w:r>
          </w:p>
        </w:tc>
        <w:tc>
          <w:tcPr>
            <w:tcW w:w="1630" w:type="dxa"/>
            <w:shd w:val="clear" w:color="auto" w:fill="F2F2F2"/>
          </w:tcPr>
          <w:p w:rsidR="004B2939" w:rsidRPr="00331428" w:rsidRDefault="00331428" w:rsidP="00803B6D">
            <w:pPr>
              <w:pStyle w:val="TableText"/>
              <w:jc w:val="center"/>
            </w:pPr>
            <w:r w:rsidRPr="00331428">
              <w:t>22.8 years</w:t>
            </w:r>
          </w:p>
        </w:tc>
        <w:tc>
          <w:tcPr>
            <w:tcW w:w="1630" w:type="dxa"/>
            <w:shd w:val="clear" w:color="auto" w:fill="F2F2F2"/>
          </w:tcPr>
          <w:p w:rsidR="004B2939" w:rsidRPr="00331428" w:rsidRDefault="00331428" w:rsidP="00803B6D">
            <w:pPr>
              <w:pStyle w:val="TableText"/>
              <w:jc w:val="center"/>
            </w:pPr>
            <w:r w:rsidRPr="00331428">
              <w:t>23.3 years</w:t>
            </w:r>
          </w:p>
        </w:tc>
      </w:tr>
      <w:tr w:rsidR="004B2939" w:rsidRPr="009F47FB" w:rsidTr="00EF0022">
        <w:trPr>
          <w:cantSplit/>
        </w:trPr>
        <w:tc>
          <w:tcPr>
            <w:tcW w:w="2956" w:type="dxa"/>
            <w:shd w:val="clear" w:color="auto" w:fill="F2F2F2"/>
            <w:noWrap/>
          </w:tcPr>
          <w:p w:rsidR="004B2939" w:rsidRPr="009F47FB" w:rsidRDefault="004B2939" w:rsidP="004B2939">
            <w:pPr>
              <w:pStyle w:val="TableText"/>
            </w:pPr>
            <w:r>
              <w:t xml:space="preserve">Female </w:t>
            </w:r>
            <w:r w:rsidR="00EF0022">
              <w:t xml:space="preserve">pensioner </w:t>
            </w:r>
            <w:r>
              <w:t>aged 65</w:t>
            </w:r>
          </w:p>
        </w:tc>
        <w:tc>
          <w:tcPr>
            <w:tcW w:w="1630" w:type="dxa"/>
            <w:shd w:val="clear" w:color="auto" w:fill="F2F2F2"/>
          </w:tcPr>
          <w:p w:rsidR="004B2939" w:rsidRPr="00331428" w:rsidRDefault="00331428" w:rsidP="00331428">
            <w:pPr>
              <w:pStyle w:val="TableText"/>
              <w:jc w:val="center"/>
            </w:pPr>
            <w:r w:rsidRPr="00331428">
              <w:t>25.6 years</w:t>
            </w:r>
          </w:p>
        </w:tc>
        <w:tc>
          <w:tcPr>
            <w:tcW w:w="1630" w:type="dxa"/>
            <w:shd w:val="clear" w:color="auto" w:fill="F2F2F2"/>
          </w:tcPr>
          <w:p w:rsidR="004B2939" w:rsidRPr="00331428" w:rsidRDefault="00331428" w:rsidP="00331428">
            <w:pPr>
              <w:pStyle w:val="TableText"/>
              <w:jc w:val="center"/>
            </w:pPr>
            <w:r w:rsidRPr="00331428">
              <w:t>26.1 years</w:t>
            </w:r>
          </w:p>
        </w:tc>
      </w:tr>
    </w:tbl>
    <w:p w:rsidR="00A73BBF" w:rsidRPr="00676991" w:rsidRDefault="00A73BBF" w:rsidP="00676991">
      <w:pPr>
        <w:rPr>
          <w:highlight w:val="yellow"/>
        </w:rPr>
      </w:pPr>
    </w:p>
    <w:p w:rsidR="00636932" w:rsidRPr="00676991" w:rsidRDefault="00636932" w:rsidP="00636932">
      <w:pPr>
        <w:pStyle w:val="Heading3"/>
      </w:pPr>
      <w:r>
        <w:t>Rates of Deferral/</w:t>
      </w:r>
      <w:r w:rsidRPr="00676991">
        <w:t>Preservation of Benefits</w:t>
      </w:r>
    </w:p>
    <w:p w:rsidR="00676991" w:rsidRPr="00676991" w:rsidRDefault="00676991" w:rsidP="00676991"/>
    <w:p w:rsidR="007A5AC7" w:rsidRDefault="00676991" w:rsidP="00676991">
      <w:r w:rsidRPr="00160CCE">
        <w:t xml:space="preserve">Members who are made redundant are eligible to be paid </w:t>
      </w:r>
      <w:r w:rsidR="005C4190">
        <w:t xml:space="preserve">pension </w:t>
      </w:r>
      <w:r w:rsidRPr="00160CCE">
        <w:t xml:space="preserve">benefits immediately and therefore have a different pattern of </w:t>
      </w:r>
      <w:r w:rsidR="00216CB8" w:rsidRPr="00160CCE">
        <w:t>deferral/</w:t>
      </w:r>
      <w:r w:rsidRPr="00160CCE">
        <w:t xml:space="preserve">preservation </w:t>
      </w:r>
      <w:r w:rsidR="007A5AC7" w:rsidRPr="00160CCE">
        <w:t xml:space="preserve">compared to </w:t>
      </w:r>
      <w:r w:rsidRPr="00160CCE">
        <w:t>members leaving due to resignation.</w:t>
      </w:r>
    </w:p>
    <w:p w:rsidR="0092683C" w:rsidRDefault="0092683C" w:rsidP="00676991"/>
    <w:p w:rsidR="00DF489C" w:rsidRPr="00676991" w:rsidRDefault="00DF489C" w:rsidP="00DF489C">
      <w:r>
        <w:t xml:space="preserve">Scheme </w:t>
      </w:r>
      <w:r w:rsidR="000A6F86">
        <w:t xml:space="preserve">experience over the three year investigation period </w:t>
      </w:r>
      <w:r>
        <w:t>supports maintaining the assumptions adopted for the 2014 LTCR</w:t>
      </w:r>
      <w:r w:rsidRPr="00676991">
        <w:t>.</w:t>
      </w:r>
    </w:p>
    <w:p w:rsidR="00B73613" w:rsidRPr="00160CCE" w:rsidRDefault="00B73613" w:rsidP="00676991"/>
    <w:p w:rsidR="00F37090" w:rsidRDefault="00F37090">
      <w:pPr>
        <w:spacing w:line="240" w:lineRule="auto"/>
        <w:rPr>
          <w:b/>
          <w:color w:val="006D9E"/>
        </w:rPr>
      </w:pPr>
      <w:r>
        <w:br w:type="page"/>
      </w:r>
    </w:p>
    <w:p w:rsidR="00676991" w:rsidRPr="00676991" w:rsidRDefault="00676991" w:rsidP="00BE0ACB">
      <w:pPr>
        <w:pStyle w:val="Heading3"/>
      </w:pPr>
      <w:r w:rsidRPr="00676991">
        <w:lastRenderedPageBreak/>
        <w:t>Rates of Pension Take-up</w:t>
      </w:r>
    </w:p>
    <w:p w:rsidR="00676991" w:rsidRPr="00676991" w:rsidRDefault="00676991" w:rsidP="00676991"/>
    <w:p w:rsidR="00DF489C" w:rsidRDefault="007A5AC7" w:rsidP="00676991">
      <w:r>
        <w:t xml:space="preserve">For the 2014 LTCR it was </w:t>
      </w:r>
      <w:r w:rsidRPr="008E0DC7">
        <w:t xml:space="preserve">assumed </w:t>
      </w:r>
      <w:r w:rsidR="00955C4B" w:rsidRPr="008E0DC7">
        <w:t xml:space="preserve">that </w:t>
      </w:r>
      <w:r w:rsidRPr="008E0DC7">
        <w:t xml:space="preserve">80% of </w:t>
      </w:r>
      <w:r w:rsidR="008E0DC7" w:rsidRPr="009A5F2C">
        <w:t>members</w:t>
      </w:r>
      <w:r w:rsidR="00EA000C">
        <w:t xml:space="preserve"> entitled to an</w:t>
      </w:r>
      <w:r w:rsidR="008E0DC7" w:rsidRPr="009A5F2C">
        <w:t xml:space="preserve"> </w:t>
      </w:r>
      <w:r w:rsidRPr="008E0DC7">
        <w:t xml:space="preserve">age </w:t>
      </w:r>
      <w:r w:rsidR="00EA000C">
        <w:t>or</w:t>
      </w:r>
      <w:r w:rsidR="00EA000C" w:rsidRPr="008E0DC7">
        <w:t xml:space="preserve"> </w:t>
      </w:r>
      <w:r w:rsidR="00955C4B" w:rsidRPr="008E0DC7">
        <w:t xml:space="preserve">involuntary retirement </w:t>
      </w:r>
      <w:r w:rsidR="00E917F9" w:rsidRPr="008E0DC7">
        <w:t xml:space="preserve">(redundancy) </w:t>
      </w:r>
      <w:r w:rsidR="00955C4B" w:rsidRPr="008E0DC7">
        <w:t xml:space="preserve">benefit from the PSS would </w:t>
      </w:r>
      <w:r w:rsidR="00EA000C">
        <w:t>elect to</w:t>
      </w:r>
      <w:r w:rsidR="00955C4B" w:rsidRPr="008E0DC7">
        <w:t xml:space="preserve"> convert</w:t>
      </w:r>
      <w:r w:rsidR="00EA000C">
        <w:t xml:space="preserve"> that benefit</w:t>
      </w:r>
      <w:r w:rsidR="00955C4B" w:rsidRPr="008E0DC7">
        <w:t xml:space="preserve"> to a pension.</w:t>
      </w:r>
    </w:p>
    <w:p w:rsidR="00DF489C" w:rsidRDefault="00DF489C" w:rsidP="00676991"/>
    <w:p w:rsidR="00DF489C" w:rsidRDefault="00DF489C" w:rsidP="00676991">
      <w:r w:rsidRPr="00676991">
        <w:t xml:space="preserve">CSS members have the option to convert the funded portion of their benefits from a lump sum to a non-indexed </w:t>
      </w:r>
      <w:r>
        <w:t xml:space="preserve">lifetime </w:t>
      </w:r>
      <w:r w:rsidRPr="00676991">
        <w:t xml:space="preserve">pension. </w:t>
      </w:r>
      <w:r>
        <w:t>For the 2014 LTCR, it wa</w:t>
      </w:r>
      <w:r w:rsidRPr="00676991">
        <w:t xml:space="preserve">s assumed that 30% of </w:t>
      </w:r>
      <w:r w:rsidR="008E0DC7">
        <w:t>members</w:t>
      </w:r>
      <w:r w:rsidR="00EA000C">
        <w:t xml:space="preserve"> would elect to take their</w:t>
      </w:r>
      <w:r w:rsidR="008E0DC7">
        <w:t xml:space="preserve"> </w:t>
      </w:r>
      <w:r w:rsidRPr="00676991">
        <w:t>funded benefits as a non-indexed pension.</w:t>
      </w:r>
    </w:p>
    <w:p w:rsidR="00DF489C" w:rsidRDefault="00DF489C" w:rsidP="00676991"/>
    <w:p w:rsidR="00676991" w:rsidRPr="00676991" w:rsidRDefault="00955C4B" w:rsidP="00676991">
      <w:r>
        <w:t xml:space="preserve">Scheme experience over the </w:t>
      </w:r>
      <w:r w:rsidR="000A6F86">
        <w:t xml:space="preserve">investigation period </w:t>
      </w:r>
      <w:r>
        <w:t>supports maintaining th</w:t>
      </w:r>
      <w:r w:rsidR="00DF489C">
        <w:t>e</w:t>
      </w:r>
      <w:r>
        <w:t>s</w:t>
      </w:r>
      <w:r w:rsidR="00DF489C">
        <w:t>e</w:t>
      </w:r>
      <w:r>
        <w:t xml:space="preserve"> assumption</w:t>
      </w:r>
      <w:r w:rsidR="00DF489C">
        <w:t>s</w:t>
      </w:r>
      <w:r w:rsidR="00893CDF">
        <w:t>.</w:t>
      </w:r>
    </w:p>
    <w:p w:rsidR="004A212C" w:rsidRPr="001175A6" w:rsidRDefault="004A212C" w:rsidP="001175A6">
      <w:pPr>
        <w:rPr>
          <w:highlight w:val="yellow"/>
        </w:rPr>
      </w:pPr>
    </w:p>
    <w:p w:rsidR="00676991" w:rsidRPr="00676991" w:rsidRDefault="00676991" w:rsidP="00BE0ACB">
      <w:pPr>
        <w:pStyle w:val="Heading3"/>
      </w:pPr>
      <w:r w:rsidRPr="00676991">
        <w:t>Spouse Assumptions</w:t>
      </w:r>
    </w:p>
    <w:p w:rsidR="00676991" w:rsidRDefault="00676991" w:rsidP="00676991"/>
    <w:p w:rsidR="00CF718E" w:rsidRDefault="00CF718E" w:rsidP="00676991">
      <w:r>
        <w:t>Assumptions regarding the proportion of members with a spouse, and the age of their spouse, are unchanged</w:t>
      </w:r>
      <w:r w:rsidR="00187255">
        <w:t xml:space="preserve"> from the 2014 LTCR</w:t>
      </w:r>
      <w:r>
        <w:t>.</w:t>
      </w:r>
    </w:p>
    <w:p w:rsidR="00BF3B60" w:rsidRDefault="00BF3B60" w:rsidP="00240871"/>
    <w:p w:rsidR="00DF489C" w:rsidRPr="00DF489C" w:rsidRDefault="00DF489C" w:rsidP="00DF489C">
      <w:pPr>
        <w:pStyle w:val="Heading3"/>
      </w:pPr>
      <w:r w:rsidRPr="00DF489C">
        <w:t>Future New Entrants</w:t>
      </w:r>
    </w:p>
    <w:p w:rsidR="00DF489C" w:rsidRDefault="00DF489C" w:rsidP="00DF489C"/>
    <w:p w:rsidR="00BC59A6" w:rsidRDefault="00893CDF" w:rsidP="00DF489C">
      <w:r>
        <w:t>N</w:t>
      </w:r>
      <w:r w:rsidRPr="0053049D">
        <w:t xml:space="preserve">o </w:t>
      </w:r>
      <w:r>
        <w:t xml:space="preserve">allowance is made for </w:t>
      </w:r>
      <w:r w:rsidRPr="0053049D">
        <w:t>future new entrants.</w:t>
      </w:r>
      <w:r w:rsidR="00686380">
        <w:t xml:space="preserve"> </w:t>
      </w:r>
      <w:r w:rsidR="00BC59A6" w:rsidRPr="0053049D">
        <w:t xml:space="preserve">The PSS </w:t>
      </w:r>
      <w:r w:rsidR="00BC59A6">
        <w:t>w</w:t>
      </w:r>
      <w:r w:rsidR="00BC59A6" w:rsidRPr="0053049D">
        <w:t xml:space="preserve">as closed to new members </w:t>
      </w:r>
      <w:r w:rsidR="00BC59A6">
        <w:t xml:space="preserve">from </w:t>
      </w:r>
      <w:r w:rsidR="00BC59A6" w:rsidRPr="0053049D">
        <w:t>1 July 2005</w:t>
      </w:r>
      <w:r w:rsidR="00BC59A6">
        <w:t xml:space="preserve">. </w:t>
      </w:r>
      <w:r w:rsidR="00BC59A6" w:rsidRPr="0053049D">
        <w:t>The CSS has been closed to new members since 1 July 1990</w:t>
      </w:r>
      <w:r w:rsidR="00BC59A6">
        <w:t>.</w:t>
      </w:r>
    </w:p>
    <w:p w:rsidR="00BF3B60" w:rsidRDefault="00BF3B60" w:rsidP="00240871"/>
    <w:p w:rsidR="00BF3B60" w:rsidRDefault="00BF3B60" w:rsidP="00BF3B60">
      <w:pPr>
        <w:pStyle w:val="SectionStart"/>
        <w:pBdr>
          <w:bottom w:val="single" w:sz="12" w:space="1" w:color="auto"/>
        </w:pBdr>
        <w:spacing w:before="0" w:after="380"/>
      </w:pPr>
    </w:p>
    <w:p w:rsidR="00BF3B60" w:rsidRDefault="00182DA8" w:rsidP="00BF3B60">
      <w:pPr>
        <w:pStyle w:val="Heading1"/>
        <w:numPr>
          <w:ilvl w:val="0"/>
          <w:numId w:val="0"/>
        </w:numPr>
        <w:spacing w:after="240"/>
      </w:pPr>
      <w:bookmarkStart w:id="55" w:name="_Toc511313521"/>
      <w:bookmarkStart w:id="56" w:name="_Toc325023263"/>
      <w:bookmarkStart w:id="57" w:name="_Toc493666047"/>
      <w:bookmarkStart w:id="58" w:name="_Toc508267358"/>
      <w:bookmarkStart w:id="59" w:name="_Toc511315167"/>
      <w:bookmarkStart w:id="60" w:name="_Toc511385931"/>
      <w:bookmarkStart w:id="61" w:name="_Toc517706064"/>
      <w:r>
        <w:t>Unfunded</w:t>
      </w:r>
      <w:r w:rsidR="00331428">
        <w:t xml:space="preserve"> L</w:t>
      </w:r>
      <w:r w:rsidR="00BF3B60">
        <w:t>iabilit</w:t>
      </w:r>
      <w:r w:rsidR="009E12D6">
        <w:t>y</w:t>
      </w:r>
      <w:bookmarkEnd w:id="55"/>
      <w:bookmarkEnd w:id="56"/>
      <w:bookmarkEnd w:id="57"/>
      <w:bookmarkEnd w:id="58"/>
      <w:bookmarkEnd w:id="59"/>
      <w:bookmarkEnd w:id="60"/>
      <w:bookmarkEnd w:id="61"/>
    </w:p>
    <w:p w:rsidR="00182DA8" w:rsidRDefault="00985D4F" w:rsidP="00182DA8">
      <w:r>
        <w:t xml:space="preserve">The unfunded liability </w:t>
      </w:r>
      <w:r w:rsidRPr="006B0EDF">
        <w:t xml:space="preserve">represents the </w:t>
      </w:r>
      <w:r w:rsidR="00DF0244">
        <w:t xml:space="preserve">discounted </w:t>
      </w:r>
      <w:r>
        <w:t xml:space="preserve">present value of </w:t>
      </w:r>
      <w:r w:rsidR="00DF0244">
        <w:t xml:space="preserve">the estimated total future benefit payments in respect of </w:t>
      </w:r>
      <w:r>
        <w:t xml:space="preserve">superannuation entitlements </w:t>
      </w:r>
      <w:r w:rsidR="00DF0244">
        <w:t>accrued by virtue of scheme membership up</w:t>
      </w:r>
      <w:r>
        <w:t xml:space="preserve"> to 30 June 2017, less the value of scheme assets. </w:t>
      </w:r>
    </w:p>
    <w:p w:rsidR="00182DA8" w:rsidRDefault="00182DA8" w:rsidP="00182DA8"/>
    <w:p w:rsidR="00BF3B60" w:rsidRPr="00331A3B" w:rsidRDefault="0003651C" w:rsidP="00331A3B">
      <w:pPr>
        <w:rPr>
          <w:caps/>
          <w:color w:val="002C77"/>
          <w:spacing w:val="40"/>
        </w:rPr>
      </w:pPr>
      <w:bookmarkStart w:id="62" w:name="_Toc508267359"/>
      <w:r w:rsidRPr="00331A3B">
        <w:rPr>
          <w:caps/>
          <w:color w:val="002C77"/>
          <w:spacing w:val="40"/>
        </w:rPr>
        <w:t xml:space="preserve">Valuation </w:t>
      </w:r>
      <w:r w:rsidR="00BF3B60" w:rsidRPr="00331A3B">
        <w:rPr>
          <w:caps/>
          <w:color w:val="002C77"/>
          <w:spacing w:val="40"/>
        </w:rPr>
        <w:t>Method</w:t>
      </w:r>
      <w:r w:rsidRPr="00331A3B">
        <w:rPr>
          <w:caps/>
          <w:color w:val="002C77"/>
          <w:spacing w:val="40"/>
        </w:rPr>
        <w:t>ology</w:t>
      </w:r>
      <w:bookmarkEnd w:id="62"/>
    </w:p>
    <w:p w:rsidR="00240871" w:rsidRDefault="00240871" w:rsidP="00240871"/>
    <w:p w:rsidR="00985D4F" w:rsidRPr="001D34D3" w:rsidRDefault="00985D4F" w:rsidP="00985D4F">
      <w:r w:rsidRPr="001D34D3">
        <w:t xml:space="preserve">The steps </w:t>
      </w:r>
      <w:r w:rsidRPr="00CD6DD9">
        <w:t>involved</w:t>
      </w:r>
      <w:r w:rsidRPr="001D34D3">
        <w:t xml:space="preserve"> </w:t>
      </w:r>
      <w:r>
        <w:t>in calculating the unfunded liability</w:t>
      </w:r>
      <w:r w:rsidRPr="001D34D3">
        <w:t xml:space="preserve"> are as follows:</w:t>
      </w:r>
    </w:p>
    <w:p w:rsidR="00985D4F" w:rsidRPr="00985D4F" w:rsidRDefault="00985D4F" w:rsidP="00985D4F"/>
    <w:p w:rsidR="00985D4F" w:rsidRPr="001D34D3" w:rsidRDefault="00985D4F" w:rsidP="00985D4F">
      <w:pPr>
        <w:pStyle w:val="ListNumber"/>
      </w:pPr>
      <w:r w:rsidRPr="001D34D3">
        <w:t>The membership of each scheme as at 30 June 201</w:t>
      </w:r>
      <w:r>
        <w:t>7</w:t>
      </w:r>
      <w:r w:rsidRPr="001D34D3">
        <w:t xml:space="preserve"> is projected into the future based on assumptions relating </w:t>
      </w:r>
      <w:r>
        <w:t>to the</w:t>
      </w:r>
      <w:r w:rsidRPr="001D34D3">
        <w:t xml:space="preserve"> rates of exit of members (as set out in </w:t>
      </w:r>
      <w:r>
        <w:t xml:space="preserve">Appendix </w:t>
      </w:r>
      <w:r w:rsidR="00394AD2">
        <w:t>C</w:t>
      </w:r>
      <w:r w:rsidRPr="001D34D3">
        <w:t>).</w:t>
      </w:r>
    </w:p>
    <w:p w:rsidR="00985D4F" w:rsidRPr="00985D4F" w:rsidRDefault="00985D4F" w:rsidP="00985D4F">
      <w:r w:rsidRPr="00985D4F">
        <w:t xml:space="preserve"> </w:t>
      </w:r>
    </w:p>
    <w:p w:rsidR="00985D4F" w:rsidRDefault="00985D4F" w:rsidP="00985D4F">
      <w:pPr>
        <w:pStyle w:val="ListNumber"/>
      </w:pPr>
      <w:r w:rsidRPr="001D34D3">
        <w:t>The total</w:t>
      </w:r>
      <w:r w:rsidR="00AC1DE4">
        <w:t xml:space="preserve"> </w:t>
      </w:r>
      <w:r w:rsidR="00DF0244">
        <w:t>amount</w:t>
      </w:r>
      <w:r w:rsidR="00DF0244" w:rsidRPr="001D34D3">
        <w:t xml:space="preserve"> </w:t>
      </w:r>
      <w:r w:rsidRPr="001D34D3">
        <w:t>of benefits payable to the projected exits and pension</w:t>
      </w:r>
      <w:r>
        <w:t>ers</w:t>
      </w:r>
      <w:r w:rsidRPr="001D34D3">
        <w:t xml:space="preserve"> in each future year are determined taking into account </w:t>
      </w:r>
      <w:r>
        <w:t xml:space="preserve">assumed </w:t>
      </w:r>
      <w:r w:rsidRPr="001D34D3">
        <w:t>salary growt</w:t>
      </w:r>
      <w:r>
        <w:t>h</w:t>
      </w:r>
      <w:r w:rsidR="0050338B">
        <w:t>,</w:t>
      </w:r>
      <w:r w:rsidR="00AC1DE4">
        <w:t xml:space="preserve"> </w:t>
      </w:r>
      <w:r>
        <w:t>pension indexation</w:t>
      </w:r>
      <w:r w:rsidR="0050338B">
        <w:t>, and investment returns</w:t>
      </w:r>
      <w:r>
        <w:t xml:space="preserve"> </w:t>
      </w:r>
      <w:r w:rsidRPr="001D34D3">
        <w:t>in each future year</w:t>
      </w:r>
      <w:r>
        <w:t>.</w:t>
      </w:r>
    </w:p>
    <w:p w:rsidR="00985D4F" w:rsidRDefault="00985D4F" w:rsidP="00985D4F">
      <w:pPr>
        <w:ind w:left="357"/>
      </w:pPr>
    </w:p>
    <w:p w:rsidR="00985D4F" w:rsidRPr="001D34D3" w:rsidRDefault="00985D4F" w:rsidP="00985D4F">
      <w:pPr>
        <w:ind w:left="357"/>
      </w:pPr>
      <w:r>
        <w:t>For contributory members, the projected benefits are determined based on members’ service rendered prior to</w:t>
      </w:r>
      <w:r w:rsidRPr="001D34D3">
        <w:t xml:space="preserve"> 30 June 201</w:t>
      </w:r>
      <w:r>
        <w:t>7</w:t>
      </w:r>
      <w:r w:rsidRPr="001D34D3">
        <w:t xml:space="preserve"> only.</w:t>
      </w:r>
    </w:p>
    <w:p w:rsidR="00985D4F" w:rsidRPr="00985D4F" w:rsidRDefault="00985D4F" w:rsidP="00985D4F">
      <w:pPr>
        <w:ind w:left="357"/>
      </w:pPr>
    </w:p>
    <w:p w:rsidR="00985D4F" w:rsidRDefault="00985D4F" w:rsidP="00985D4F">
      <w:pPr>
        <w:ind w:left="357"/>
      </w:pPr>
      <w:r w:rsidRPr="001D34D3">
        <w:t>For example, for the PSS retirement benefit, this involves determining the benefit</w:t>
      </w:r>
      <w:r>
        <w:t xml:space="preserve"> attributable to service to 30 June 2017</w:t>
      </w:r>
      <w:r w:rsidRPr="001D34D3">
        <w:t xml:space="preserve"> using:</w:t>
      </w:r>
    </w:p>
    <w:p w:rsidR="00985D4F" w:rsidRPr="001D34D3" w:rsidRDefault="00985D4F" w:rsidP="00985D4F">
      <w:pPr>
        <w:ind w:left="357"/>
      </w:pPr>
    </w:p>
    <w:tbl>
      <w:tblPr>
        <w:tblW w:w="0" w:type="auto"/>
        <w:tblInd w:w="1526" w:type="dxa"/>
        <w:tblLayout w:type="fixed"/>
        <w:tblLook w:val="0000" w:firstRow="0" w:lastRow="0" w:firstColumn="0" w:lastColumn="0" w:noHBand="0" w:noVBand="0"/>
      </w:tblPr>
      <w:tblGrid>
        <w:gridCol w:w="2693"/>
        <w:gridCol w:w="709"/>
        <w:gridCol w:w="2977"/>
      </w:tblGrid>
      <w:tr w:rsidR="00985D4F" w:rsidRPr="001C2B49" w:rsidTr="00355EB9">
        <w:tc>
          <w:tcPr>
            <w:tcW w:w="2693" w:type="dxa"/>
            <w:vAlign w:val="center"/>
          </w:tcPr>
          <w:p w:rsidR="00DF489C" w:rsidRPr="00985D4F" w:rsidRDefault="00985D4F" w:rsidP="00355EB9">
            <w:pPr>
              <w:spacing w:line="240" w:lineRule="auto"/>
              <w:jc w:val="center"/>
            </w:pPr>
            <w:r w:rsidRPr="00985D4F">
              <w:t xml:space="preserve">Accrued </w:t>
            </w:r>
            <w:r w:rsidR="00DF0244">
              <w:t xml:space="preserve">Benefit </w:t>
            </w:r>
            <w:r w:rsidRPr="00985D4F">
              <w:t>Multiple</w:t>
            </w:r>
            <w:r w:rsidR="00DF489C">
              <w:t xml:space="preserve"> </w:t>
            </w:r>
            <w:r w:rsidR="00355EB9">
              <w:br/>
            </w:r>
            <w:r w:rsidR="00DF489C" w:rsidRPr="00985D4F">
              <w:t>as at 30 June 201</w:t>
            </w:r>
            <w:r w:rsidR="00DF489C">
              <w:t>7</w:t>
            </w:r>
          </w:p>
        </w:tc>
        <w:tc>
          <w:tcPr>
            <w:tcW w:w="709" w:type="dxa"/>
            <w:vAlign w:val="center"/>
          </w:tcPr>
          <w:p w:rsidR="00985D4F" w:rsidRPr="00985D4F" w:rsidRDefault="00985D4F" w:rsidP="00355EB9">
            <w:pPr>
              <w:spacing w:line="240" w:lineRule="auto"/>
              <w:jc w:val="center"/>
            </w:pPr>
            <w:r w:rsidRPr="00985D4F">
              <w:t>×</w:t>
            </w:r>
          </w:p>
        </w:tc>
        <w:tc>
          <w:tcPr>
            <w:tcW w:w="2977" w:type="dxa"/>
            <w:vAlign w:val="center"/>
          </w:tcPr>
          <w:p w:rsidR="00DF489C" w:rsidRPr="00985D4F" w:rsidRDefault="00985D4F" w:rsidP="00355EB9">
            <w:pPr>
              <w:spacing w:line="240" w:lineRule="auto"/>
              <w:jc w:val="center"/>
            </w:pPr>
            <w:r w:rsidRPr="00985D4F">
              <w:t>Final Average Salary</w:t>
            </w:r>
            <w:r w:rsidR="00355EB9">
              <w:t xml:space="preserve"> </w:t>
            </w:r>
            <w:r w:rsidR="00355EB9">
              <w:br/>
            </w:r>
            <w:r w:rsidR="00DF489C" w:rsidRPr="00985D4F">
              <w:t>at future date</w:t>
            </w:r>
          </w:p>
        </w:tc>
      </w:tr>
    </w:tbl>
    <w:p w:rsidR="00985D4F" w:rsidRPr="00985D4F" w:rsidRDefault="00985D4F" w:rsidP="00985D4F">
      <w:pPr>
        <w:ind w:left="357"/>
      </w:pPr>
    </w:p>
    <w:p w:rsidR="00985D4F" w:rsidRDefault="00985D4F" w:rsidP="00985D4F">
      <w:pPr>
        <w:pStyle w:val="ListNumber"/>
      </w:pPr>
      <w:r w:rsidRPr="001D34D3">
        <w:t xml:space="preserve">The </w:t>
      </w:r>
      <w:r>
        <w:t>u</w:t>
      </w:r>
      <w:r w:rsidRPr="001D34D3">
        <w:t xml:space="preserve">nfunded </w:t>
      </w:r>
      <w:r>
        <w:t>l</w:t>
      </w:r>
      <w:r w:rsidRPr="001D34D3">
        <w:t>iability as at 30 June 201</w:t>
      </w:r>
      <w:r>
        <w:t>7</w:t>
      </w:r>
      <w:r w:rsidRPr="001D34D3">
        <w:t xml:space="preserve"> is determined as the sum of the present values of the </w:t>
      </w:r>
      <w:r w:rsidR="00DF0244">
        <w:t xml:space="preserve">projected </w:t>
      </w:r>
      <w:r w:rsidRPr="001D34D3">
        <w:t>benefits over all future years</w:t>
      </w:r>
      <w:r w:rsidR="0050338B">
        <w:t xml:space="preserve"> (being the total liability)</w:t>
      </w:r>
      <w:r>
        <w:t xml:space="preserve">, </w:t>
      </w:r>
      <w:r w:rsidR="00DF0244">
        <w:t xml:space="preserve">reduced </w:t>
      </w:r>
      <w:r>
        <w:t>by funded accumulated member and productivity contribution accounts as at 30 June 2017</w:t>
      </w:r>
      <w:r w:rsidRPr="001D34D3">
        <w:t>.</w:t>
      </w:r>
    </w:p>
    <w:p w:rsidR="00985D4F" w:rsidRPr="00985D4F" w:rsidRDefault="00985D4F" w:rsidP="00985D4F"/>
    <w:p w:rsidR="00985D4F" w:rsidRPr="000D3E5C" w:rsidRDefault="00985D4F" w:rsidP="00985D4F">
      <w:r>
        <w:t xml:space="preserve">The calculation methodology is consistent with the </w:t>
      </w:r>
      <w:r w:rsidR="004D178B">
        <w:t xml:space="preserve">requirements of </w:t>
      </w:r>
      <w:r w:rsidRPr="000D3E5C">
        <w:t xml:space="preserve">Professional Standard No. 402 </w:t>
      </w:r>
      <w:r w:rsidR="004D178B" w:rsidRPr="004D178B">
        <w:rPr>
          <w:i/>
        </w:rPr>
        <w:t>“Determination</w:t>
      </w:r>
      <w:r w:rsidRPr="001175A6">
        <w:rPr>
          <w:i/>
        </w:rPr>
        <w:t xml:space="preserve"> of </w:t>
      </w:r>
      <w:r w:rsidR="004D178B" w:rsidRPr="004D178B">
        <w:rPr>
          <w:i/>
        </w:rPr>
        <w:t>Accrued Benefits</w:t>
      </w:r>
      <w:r w:rsidRPr="001175A6">
        <w:rPr>
          <w:i/>
        </w:rPr>
        <w:t xml:space="preserve"> for </w:t>
      </w:r>
      <w:r w:rsidR="004D178B" w:rsidRPr="004D178B">
        <w:rPr>
          <w:i/>
        </w:rPr>
        <w:t>Defined Benefit Superannuation Funds”</w:t>
      </w:r>
      <w:r w:rsidR="0081311D" w:rsidRPr="0081311D">
        <w:t xml:space="preserve"> issued by the Institute of Actuaries of Australia</w:t>
      </w:r>
      <w:r w:rsidRPr="000D3E5C">
        <w:t>.</w:t>
      </w:r>
    </w:p>
    <w:p w:rsidR="00985D4F" w:rsidRPr="00985D4F" w:rsidRDefault="00985D4F" w:rsidP="00985D4F"/>
    <w:p w:rsidR="00985D4F" w:rsidRPr="000D3E5C" w:rsidRDefault="00985D4F" w:rsidP="00985D4F">
      <w:r w:rsidRPr="000D3E5C">
        <w:t>The same methodology was used for the</w:t>
      </w:r>
      <w:r w:rsidRPr="00CA147A">
        <w:t xml:space="preserve"> </w:t>
      </w:r>
      <w:r w:rsidRPr="00626324">
        <w:t>20</w:t>
      </w:r>
      <w:r>
        <w:t>14</w:t>
      </w:r>
      <w:r w:rsidRPr="00626324">
        <w:t xml:space="preserve"> </w:t>
      </w:r>
      <w:r>
        <w:t>LTCR.</w:t>
      </w:r>
    </w:p>
    <w:p w:rsidR="00985D4F" w:rsidRDefault="00985D4F" w:rsidP="00240871"/>
    <w:p w:rsidR="00F37090" w:rsidRDefault="00F37090">
      <w:pPr>
        <w:spacing w:line="240" w:lineRule="auto"/>
        <w:rPr>
          <w:caps/>
          <w:color w:val="002C77"/>
          <w:spacing w:val="40"/>
        </w:rPr>
      </w:pPr>
      <w:bookmarkStart w:id="63" w:name="_Toc508267360"/>
      <w:r>
        <w:rPr>
          <w:caps/>
          <w:color w:val="002C77"/>
          <w:spacing w:val="40"/>
        </w:rPr>
        <w:br w:type="page"/>
      </w:r>
    </w:p>
    <w:p w:rsidR="006C1989" w:rsidRPr="00331A3B" w:rsidRDefault="006C1989" w:rsidP="006C1989">
      <w:pPr>
        <w:rPr>
          <w:caps/>
          <w:color w:val="002C77"/>
          <w:spacing w:val="40"/>
        </w:rPr>
      </w:pPr>
      <w:r w:rsidRPr="00331A3B">
        <w:rPr>
          <w:caps/>
          <w:color w:val="002C77"/>
          <w:spacing w:val="40"/>
        </w:rPr>
        <w:lastRenderedPageBreak/>
        <w:t>Results</w:t>
      </w:r>
      <w:bookmarkEnd w:id="63"/>
    </w:p>
    <w:p w:rsidR="006C1989" w:rsidRDefault="006C1989" w:rsidP="006C1989"/>
    <w:p w:rsidR="006C1989" w:rsidRDefault="006C1989" w:rsidP="006C1989">
      <w:r>
        <w:t>The following table shows the unfunded liability as at 30 June 2017.</w:t>
      </w:r>
    </w:p>
    <w:p w:rsidR="006C1989" w:rsidRDefault="006C1989" w:rsidP="006C1989"/>
    <w:tbl>
      <w:tblPr>
        <w:tblW w:w="9197"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4750"/>
        <w:gridCol w:w="1482"/>
        <w:gridCol w:w="1482"/>
        <w:gridCol w:w="1483"/>
      </w:tblGrid>
      <w:tr w:rsidR="006C1989" w:rsidRPr="00EC0997" w:rsidTr="00A51909">
        <w:trPr>
          <w:cantSplit/>
          <w:tblHeader/>
        </w:trPr>
        <w:tc>
          <w:tcPr>
            <w:tcW w:w="4750" w:type="dxa"/>
            <w:shd w:val="clear" w:color="auto" w:fill="00A8C8"/>
          </w:tcPr>
          <w:p w:rsidR="006C1989" w:rsidRPr="00EC0997" w:rsidRDefault="006C1989" w:rsidP="00A51909">
            <w:pPr>
              <w:pStyle w:val="TableHeadingText"/>
              <w:rPr>
                <w:caps w:val="0"/>
              </w:rPr>
            </w:pPr>
            <w:r w:rsidRPr="00EC0997">
              <w:rPr>
                <w:caps w:val="0"/>
              </w:rPr>
              <w:t>($ billion)</w:t>
            </w:r>
          </w:p>
        </w:tc>
        <w:tc>
          <w:tcPr>
            <w:tcW w:w="1482" w:type="dxa"/>
            <w:shd w:val="clear" w:color="auto" w:fill="00A8C8"/>
          </w:tcPr>
          <w:p w:rsidR="006C1989" w:rsidRPr="00EC0997" w:rsidRDefault="006C1989" w:rsidP="00A51909">
            <w:pPr>
              <w:pStyle w:val="TableHeadingText"/>
              <w:jc w:val="right"/>
              <w:rPr>
                <w:caps w:val="0"/>
              </w:rPr>
            </w:pPr>
            <w:r w:rsidRPr="00EC0997">
              <w:rPr>
                <w:caps w:val="0"/>
              </w:rPr>
              <w:t>PSS</w:t>
            </w:r>
          </w:p>
        </w:tc>
        <w:tc>
          <w:tcPr>
            <w:tcW w:w="1482" w:type="dxa"/>
            <w:shd w:val="clear" w:color="auto" w:fill="00A8C8"/>
          </w:tcPr>
          <w:p w:rsidR="006C1989" w:rsidRPr="00EC0997" w:rsidRDefault="006C1989" w:rsidP="00A51909">
            <w:pPr>
              <w:pStyle w:val="TableHeadingText"/>
              <w:jc w:val="right"/>
              <w:rPr>
                <w:caps w:val="0"/>
              </w:rPr>
            </w:pPr>
            <w:r w:rsidRPr="00EC0997">
              <w:rPr>
                <w:caps w:val="0"/>
              </w:rPr>
              <w:t>CSS</w:t>
            </w:r>
          </w:p>
        </w:tc>
        <w:tc>
          <w:tcPr>
            <w:tcW w:w="1483" w:type="dxa"/>
            <w:shd w:val="clear" w:color="auto" w:fill="00A8C8"/>
          </w:tcPr>
          <w:p w:rsidR="006C1989" w:rsidRPr="00EC0997" w:rsidRDefault="006C1989" w:rsidP="00A51909">
            <w:pPr>
              <w:pStyle w:val="TableHeadingText"/>
              <w:jc w:val="right"/>
              <w:rPr>
                <w:caps w:val="0"/>
              </w:rPr>
            </w:pPr>
            <w:r w:rsidRPr="00EC0997">
              <w:rPr>
                <w:caps w:val="0"/>
              </w:rPr>
              <w:t>Combined</w:t>
            </w:r>
          </w:p>
        </w:tc>
      </w:tr>
      <w:tr w:rsidR="006C1989" w:rsidRPr="00EC0997" w:rsidTr="00A51909">
        <w:trPr>
          <w:cantSplit/>
        </w:trPr>
        <w:tc>
          <w:tcPr>
            <w:tcW w:w="4750" w:type="dxa"/>
            <w:shd w:val="clear" w:color="auto" w:fill="F2F2F2"/>
          </w:tcPr>
          <w:p w:rsidR="006C1989" w:rsidRPr="00EC0997" w:rsidRDefault="006C1989" w:rsidP="00A51909">
            <w:pPr>
              <w:pStyle w:val="TableText"/>
            </w:pPr>
            <w:r w:rsidRPr="00EC0997">
              <w:t>Contributors</w:t>
            </w:r>
          </w:p>
        </w:tc>
        <w:tc>
          <w:tcPr>
            <w:tcW w:w="1482" w:type="dxa"/>
            <w:shd w:val="clear" w:color="auto" w:fill="F2F2F2"/>
          </w:tcPr>
          <w:p w:rsidR="006C1989" w:rsidRPr="00B2659D" w:rsidRDefault="006C1989" w:rsidP="00A51909">
            <w:pPr>
              <w:pStyle w:val="TableText"/>
              <w:jc w:val="right"/>
            </w:pPr>
            <w:r w:rsidRPr="00B2659D">
              <w:t>31.1</w:t>
            </w:r>
          </w:p>
        </w:tc>
        <w:tc>
          <w:tcPr>
            <w:tcW w:w="1482" w:type="dxa"/>
            <w:shd w:val="clear" w:color="auto" w:fill="F2F2F2"/>
          </w:tcPr>
          <w:p w:rsidR="006C1989" w:rsidRPr="00B2659D" w:rsidRDefault="006C1989" w:rsidP="00A51909">
            <w:pPr>
              <w:pStyle w:val="TableText"/>
              <w:jc w:val="right"/>
            </w:pPr>
            <w:r w:rsidRPr="00B2659D">
              <w:t>6.8</w:t>
            </w:r>
          </w:p>
        </w:tc>
        <w:tc>
          <w:tcPr>
            <w:tcW w:w="1483" w:type="dxa"/>
            <w:shd w:val="clear" w:color="auto" w:fill="F2F2F2"/>
          </w:tcPr>
          <w:p w:rsidR="006C1989" w:rsidRPr="00B2659D" w:rsidRDefault="006C1989" w:rsidP="00A51909">
            <w:pPr>
              <w:pStyle w:val="TableText"/>
              <w:jc w:val="right"/>
            </w:pPr>
            <w:r w:rsidRPr="00B2659D">
              <w:t>37.9</w:t>
            </w:r>
          </w:p>
        </w:tc>
      </w:tr>
      <w:tr w:rsidR="006C1989" w:rsidRPr="00EC0997" w:rsidTr="00A51909">
        <w:trPr>
          <w:cantSplit/>
        </w:trPr>
        <w:tc>
          <w:tcPr>
            <w:tcW w:w="4750" w:type="dxa"/>
            <w:shd w:val="clear" w:color="auto" w:fill="F2F2F2"/>
          </w:tcPr>
          <w:p w:rsidR="006C1989" w:rsidRPr="00EC0997" w:rsidRDefault="006C1989" w:rsidP="00A51909">
            <w:pPr>
              <w:pStyle w:val="TableText"/>
            </w:pPr>
            <w:r w:rsidRPr="00EC0997">
              <w:t>Deferred/Preserved members</w:t>
            </w:r>
          </w:p>
        </w:tc>
        <w:tc>
          <w:tcPr>
            <w:tcW w:w="1482" w:type="dxa"/>
            <w:shd w:val="clear" w:color="auto" w:fill="F2F2F2"/>
          </w:tcPr>
          <w:p w:rsidR="006C1989" w:rsidRPr="00B2659D" w:rsidRDefault="006C1989" w:rsidP="00A51909">
            <w:pPr>
              <w:pStyle w:val="TableText"/>
              <w:jc w:val="right"/>
            </w:pPr>
            <w:r w:rsidRPr="00B2659D">
              <w:t>7.3</w:t>
            </w:r>
          </w:p>
        </w:tc>
        <w:tc>
          <w:tcPr>
            <w:tcW w:w="1482" w:type="dxa"/>
            <w:shd w:val="clear" w:color="auto" w:fill="F2F2F2"/>
          </w:tcPr>
          <w:p w:rsidR="006C1989" w:rsidRPr="00B2659D" w:rsidRDefault="006C1989" w:rsidP="00A51909">
            <w:pPr>
              <w:pStyle w:val="TableText"/>
              <w:jc w:val="right"/>
            </w:pPr>
            <w:r w:rsidRPr="00B2659D">
              <w:t>4.0</w:t>
            </w:r>
          </w:p>
        </w:tc>
        <w:tc>
          <w:tcPr>
            <w:tcW w:w="1483" w:type="dxa"/>
            <w:shd w:val="clear" w:color="auto" w:fill="F2F2F2"/>
          </w:tcPr>
          <w:p w:rsidR="006C1989" w:rsidRPr="00B2659D" w:rsidRDefault="006C1989" w:rsidP="00A51909">
            <w:pPr>
              <w:pStyle w:val="TableText"/>
              <w:jc w:val="right"/>
            </w:pPr>
            <w:r w:rsidRPr="00B2659D">
              <w:t>11.3</w:t>
            </w:r>
          </w:p>
        </w:tc>
      </w:tr>
      <w:tr w:rsidR="006C1989" w:rsidRPr="00EC0997" w:rsidTr="00A51909">
        <w:trPr>
          <w:cantSplit/>
        </w:trPr>
        <w:tc>
          <w:tcPr>
            <w:tcW w:w="4750" w:type="dxa"/>
            <w:shd w:val="clear" w:color="auto" w:fill="F2F2F2"/>
          </w:tcPr>
          <w:p w:rsidR="006C1989" w:rsidRPr="00EC0997" w:rsidRDefault="006C1989" w:rsidP="00A51909">
            <w:pPr>
              <w:pStyle w:val="TableText"/>
            </w:pPr>
            <w:r w:rsidRPr="00EC0997">
              <w:t>Pensioners</w:t>
            </w:r>
          </w:p>
        </w:tc>
        <w:tc>
          <w:tcPr>
            <w:tcW w:w="1482" w:type="dxa"/>
            <w:shd w:val="clear" w:color="auto" w:fill="F2F2F2"/>
          </w:tcPr>
          <w:p w:rsidR="006C1989" w:rsidRPr="00EC0997" w:rsidRDefault="00692EE8" w:rsidP="00A51909">
            <w:pPr>
              <w:pStyle w:val="TableText"/>
              <w:jc w:val="right"/>
            </w:pPr>
            <w:r>
              <w:t>29.4</w:t>
            </w:r>
          </w:p>
        </w:tc>
        <w:tc>
          <w:tcPr>
            <w:tcW w:w="1482" w:type="dxa"/>
            <w:shd w:val="clear" w:color="auto" w:fill="F2F2F2"/>
          </w:tcPr>
          <w:p w:rsidR="006C1989" w:rsidRPr="00EC0997" w:rsidRDefault="00692EE8" w:rsidP="00A51909">
            <w:pPr>
              <w:pStyle w:val="TableText"/>
              <w:jc w:val="right"/>
            </w:pPr>
            <w:r>
              <w:t>59.2*</w:t>
            </w:r>
          </w:p>
        </w:tc>
        <w:tc>
          <w:tcPr>
            <w:tcW w:w="1483" w:type="dxa"/>
            <w:shd w:val="clear" w:color="auto" w:fill="F2F2F2"/>
          </w:tcPr>
          <w:p w:rsidR="006C1989" w:rsidRPr="00EC0997" w:rsidRDefault="00692EE8" w:rsidP="00A51909">
            <w:pPr>
              <w:pStyle w:val="TableText"/>
              <w:jc w:val="right"/>
            </w:pPr>
            <w:r>
              <w:t>88.6</w:t>
            </w:r>
          </w:p>
        </w:tc>
      </w:tr>
      <w:tr w:rsidR="006C1989" w:rsidRPr="004F3084" w:rsidTr="00A51909">
        <w:trPr>
          <w:cantSplit/>
        </w:trPr>
        <w:tc>
          <w:tcPr>
            <w:tcW w:w="4750" w:type="dxa"/>
            <w:shd w:val="clear" w:color="auto" w:fill="F2F2F2"/>
          </w:tcPr>
          <w:p w:rsidR="006C1989" w:rsidRPr="004F3084" w:rsidRDefault="006C1989" w:rsidP="00A51909">
            <w:pPr>
              <w:pStyle w:val="TableText"/>
              <w:rPr>
                <w:b/>
              </w:rPr>
            </w:pPr>
            <w:r w:rsidRPr="004F3084">
              <w:rPr>
                <w:b/>
              </w:rPr>
              <w:t>Unfunded Liability at 30 June 2017</w:t>
            </w:r>
          </w:p>
        </w:tc>
        <w:tc>
          <w:tcPr>
            <w:tcW w:w="1482" w:type="dxa"/>
            <w:shd w:val="clear" w:color="auto" w:fill="F2F2F2"/>
          </w:tcPr>
          <w:p w:rsidR="006C1989" w:rsidRPr="004F3084" w:rsidRDefault="006C1989" w:rsidP="00A51909">
            <w:pPr>
              <w:pStyle w:val="TableText"/>
              <w:jc w:val="right"/>
              <w:rPr>
                <w:b/>
              </w:rPr>
            </w:pPr>
            <w:r w:rsidRPr="004F3084">
              <w:rPr>
                <w:b/>
              </w:rPr>
              <w:t>67.8</w:t>
            </w:r>
          </w:p>
        </w:tc>
        <w:tc>
          <w:tcPr>
            <w:tcW w:w="1482" w:type="dxa"/>
            <w:shd w:val="clear" w:color="auto" w:fill="F2F2F2"/>
          </w:tcPr>
          <w:p w:rsidR="006C1989" w:rsidRPr="004F3084" w:rsidRDefault="006C1989" w:rsidP="00A51909">
            <w:pPr>
              <w:pStyle w:val="TableText"/>
              <w:jc w:val="right"/>
              <w:rPr>
                <w:b/>
              </w:rPr>
            </w:pPr>
            <w:r w:rsidRPr="004F3084">
              <w:rPr>
                <w:b/>
              </w:rPr>
              <w:t>70.0</w:t>
            </w:r>
          </w:p>
        </w:tc>
        <w:tc>
          <w:tcPr>
            <w:tcW w:w="1483" w:type="dxa"/>
            <w:shd w:val="clear" w:color="auto" w:fill="F2F2F2"/>
          </w:tcPr>
          <w:p w:rsidR="006C1989" w:rsidRPr="004F3084" w:rsidRDefault="006C1989" w:rsidP="00A51909">
            <w:pPr>
              <w:pStyle w:val="TableText"/>
              <w:jc w:val="right"/>
              <w:rPr>
                <w:b/>
              </w:rPr>
            </w:pPr>
            <w:r w:rsidRPr="004F3084">
              <w:rPr>
                <w:b/>
              </w:rPr>
              <w:t>137.8</w:t>
            </w:r>
          </w:p>
        </w:tc>
      </w:tr>
    </w:tbl>
    <w:p w:rsidR="006C1989" w:rsidRPr="00637B4D" w:rsidRDefault="00692EE8" w:rsidP="00692EE8">
      <w:pPr>
        <w:rPr>
          <w:sz w:val="18"/>
        </w:rPr>
      </w:pPr>
      <w:r w:rsidRPr="00637B4D">
        <w:rPr>
          <w:sz w:val="18"/>
        </w:rPr>
        <w:t>* Includes $0.6 billion in respect of the 1922 Scheme.</w:t>
      </w:r>
    </w:p>
    <w:p w:rsidR="00692EE8" w:rsidRDefault="00692EE8" w:rsidP="00692EE8"/>
    <w:p w:rsidR="00BF3B60" w:rsidRPr="00331A3B" w:rsidRDefault="00BF3B60" w:rsidP="00331A3B">
      <w:pPr>
        <w:rPr>
          <w:caps/>
          <w:color w:val="002C77"/>
          <w:spacing w:val="40"/>
        </w:rPr>
      </w:pPr>
      <w:bookmarkStart w:id="64" w:name="_Toc508267361"/>
      <w:r w:rsidRPr="00331A3B">
        <w:rPr>
          <w:caps/>
          <w:color w:val="002C77"/>
          <w:spacing w:val="40"/>
        </w:rPr>
        <w:t>Analysis of Change Compared with previous report</w:t>
      </w:r>
      <w:bookmarkEnd w:id="64"/>
    </w:p>
    <w:p w:rsidR="00240871" w:rsidRDefault="00240871" w:rsidP="00240871"/>
    <w:p w:rsidR="00BF205F" w:rsidRDefault="00BF205F" w:rsidP="00BF205F">
      <w:r w:rsidRPr="00B40676">
        <w:t>The 2014 LTCR projected that the unfunded liability would be $121.9 billion as at 30 June 2017, $1</w:t>
      </w:r>
      <w:r>
        <w:t>5</w:t>
      </w:r>
      <w:r w:rsidRPr="00B40676">
        <w:t xml:space="preserve">.9 billion </w:t>
      </w:r>
      <w:r>
        <w:t>less</w:t>
      </w:r>
      <w:r w:rsidRPr="00B40676">
        <w:t xml:space="preserve"> than the </w:t>
      </w:r>
      <w:r w:rsidR="0050338B">
        <w:t>actual unfunded liability</w:t>
      </w:r>
      <w:r>
        <w:t>.</w:t>
      </w:r>
    </w:p>
    <w:p w:rsidR="00BF205F" w:rsidRDefault="00BF205F" w:rsidP="00BF205F"/>
    <w:p w:rsidR="00150787" w:rsidRDefault="006F6B5D" w:rsidP="00150787">
      <w:r>
        <w:t>The factors leading to the difference</w:t>
      </w:r>
      <w:r w:rsidR="006C1989">
        <w:t xml:space="preserve"> in</w:t>
      </w:r>
      <w:r w:rsidR="0050338B">
        <w:t xml:space="preserve"> </w:t>
      </w:r>
      <w:r>
        <w:t>the previous</w:t>
      </w:r>
      <w:r w:rsidR="006C1989">
        <w:t>ly projected unfunded liability</w:t>
      </w:r>
      <w:r w:rsidR="0050338B">
        <w:t xml:space="preserve"> and </w:t>
      </w:r>
      <w:r w:rsidR="006C1989">
        <w:t>quantified in the following chart:</w:t>
      </w:r>
    </w:p>
    <w:p w:rsidR="00150787" w:rsidRDefault="00150787" w:rsidP="00150787"/>
    <w:p w:rsidR="00150787" w:rsidRDefault="00150787" w:rsidP="00150787">
      <w:r>
        <w:rPr>
          <w:noProof/>
          <w:lang w:eastAsia="en-AU"/>
        </w:rPr>
        <w:drawing>
          <wp:inline distT="0" distB="0" distL="0" distR="0" wp14:anchorId="078E2725" wp14:editId="738059F4">
            <wp:extent cx="5760000" cy="285543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0" cy="2855433"/>
                    </a:xfrm>
                    <a:prstGeom prst="rect">
                      <a:avLst/>
                    </a:prstGeom>
                    <a:noFill/>
                  </pic:spPr>
                </pic:pic>
              </a:graphicData>
            </a:graphic>
          </wp:inline>
        </w:drawing>
      </w:r>
    </w:p>
    <w:p w:rsidR="006C1989" w:rsidRDefault="006C1989" w:rsidP="004D178B"/>
    <w:p w:rsidR="004D178B" w:rsidRPr="00A22FE5" w:rsidRDefault="004D178B" w:rsidP="004D178B">
      <w:r>
        <w:t>The most significant item is the reduction in the discount rate from 6% per annum to 5% per annum.</w:t>
      </w:r>
    </w:p>
    <w:p w:rsidR="004D178B" w:rsidRDefault="004D178B" w:rsidP="004D178B"/>
    <w:p w:rsidR="00F37090" w:rsidRDefault="00F37090">
      <w:pPr>
        <w:spacing w:line="240" w:lineRule="auto"/>
        <w:rPr>
          <w:caps/>
          <w:color w:val="002C77"/>
          <w:spacing w:val="40"/>
        </w:rPr>
      </w:pPr>
      <w:bookmarkStart w:id="65" w:name="_Toc508267362"/>
      <w:r>
        <w:rPr>
          <w:caps/>
          <w:color w:val="002C77"/>
          <w:spacing w:val="40"/>
        </w:rPr>
        <w:br w:type="page"/>
      </w:r>
    </w:p>
    <w:p w:rsidR="00985D4F" w:rsidRPr="00331A3B" w:rsidRDefault="00985D4F" w:rsidP="00331A3B">
      <w:pPr>
        <w:rPr>
          <w:caps/>
          <w:color w:val="002C77"/>
          <w:spacing w:val="40"/>
        </w:rPr>
      </w:pPr>
      <w:r w:rsidRPr="00331A3B">
        <w:rPr>
          <w:caps/>
          <w:color w:val="002C77"/>
          <w:spacing w:val="40"/>
        </w:rPr>
        <w:lastRenderedPageBreak/>
        <w:t>Projected Unfunded Liabilit</w:t>
      </w:r>
      <w:r w:rsidR="009E12D6">
        <w:rPr>
          <w:caps/>
          <w:color w:val="002C77"/>
          <w:spacing w:val="40"/>
        </w:rPr>
        <w:t>y</w:t>
      </w:r>
      <w:bookmarkEnd w:id="65"/>
    </w:p>
    <w:p w:rsidR="00BF3B60" w:rsidRDefault="00BF3B60" w:rsidP="00240871"/>
    <w:p w:rsidR="00985D4F" w:rsidRDefault="00985D4F" w:rsidP="00985D4F">
      <w:r>
        <w:t xml:space="preserve">Based on the assumptions used for this </w:t>
      </w:r>
      <w:r w:rsidR="00060643">
        <w:t>investigation</w:t>
      </w:r>
      <w:r>
        <w:t xml:space="preserve">, </w:t>
      </w:r>
      <w:r w:rsidR="005B2D9B">
        <w:t>the</w:t>
      </w:r>
      <w:r>
        <w:t xml:space="preserve"> projected </w:t>
      </w:r>
      <w:r w:rsidR="00692EE8">
        <w:t xml:space="preserve">nominal </w:t>
      </w:r>
      <w:r w:rsidR="009D1189">
        <w:t xml:space="preserve">unfunded </w:t>
      </w:r>
      <w:r w:rsidR="00A51909">
        <w:t>l</w:t>
      </w:r>
      <w:r w:rsidR="009D1189">
        <w:t xml:space="preserve">iability </w:t>
      </w:r>
      <w:r>
        <w:t>over the next 40 years</w:t>
      </w:r>
      <w:r w:rsidR="005B2D9B">
        <w:t xml:space="preserve"> is</w:t>
      </w:r>
      <w:r>
        <w:t>:</w:t>
      </w:r>
    </w:p>
    <w:p w:rsidR="004F3084" w:rsidRDefault="004F3084" w:rsidP="004F3084"/>
    <w:p w:rsidR="00A51909" w:rsidRDefault="00A51909" w:rsidP="004F3084">
      <w:r>
        <w:rPr>
          <w:noProof/>
          <w:lang w:eastAsia="en-AU"/>
        </w:rPr>
        <w:drawing>
          <wp:inline distT="0" distB="0" distL="0" distR="0" wp14:anchorId="1E07E997" wp14:editId="30991AC0">
            <wp:extent cx="5760000" cy="285112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2851122"/>
                    </a:xfrm>
                    <a:prstGeom prst="rect">
                      <a:avLst/>
                    </a:prstGeom>
                    <a:noFill/>
                  </pic:spPr>
                </pic:pic>
              </a:graphicData>
            </a:graphic>
          </wp:inline>
        </w:drawing>
      </w:r>
    </w:p>
    <w:p w:rsidR="00A51909" w:rsidRDefault="00A51909" w:rsidP="004F3084"/>
    <w:p w:rsidR="00A51909" w:rsidRDefault="00A51909" w:rsidP="00A51909">
      <w:r>
        <w:t xml:space="preserve">The chart above illustrates that the general trend is an increase </w:t>
      </w:r>
      <w:r w:rsidR="00692EE8">
        <w:t xml:space="preserve">in the combined unfunded liability </w:t>
      </w:r>
      <w:r>
        <w:t>over the next 15 years followed by a steady decline to approximately half the current liability by 2057.</w:t>
      </w:r>
    </w:p>
    <w:p w:rsidR="00A51909" w:rsidRPr="002D08D8" w:rsidRDefault="00A51909" w:rsidP="00A51909"/>
    <w:p w:rsidR="00A51909" w:rsidRDefault="00A51909" w:rsidP="00A51909">
      <w:r>
        <w:t>A table with d</w:t>
      </w:r>
      <w:r w:rsidRPr="00034F57">
        <w:t xml:space="preserve">etails of the </w:t>
      </w:r>
      <w:r>
        <w:t xml:space="preserve">projected unfunded liability each year is included </w:t>
      </w:r>
      <w:r w:rsidRPr="00034F57">
        <w:t xml:space="preserve">in Appendix </w:t>
      </w:r>
      <w:r>
        <w:t>D</w:t>
      </w:r>
      <w:r w:rsidRPr="00034F57">
        <w:t>.</w:t>
      </w:r>
    </w:p>
    <w:p w:rsidR="002D08D8" w:rsidRDefault="002D08D8" w:rsidP="00240871"/>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66" w:name="_Toc325023264"/>
      <w:bookmarkStart w:id="67" w:name="_Toc493666048"/>
      <w:bookmarkStart w:id="68" w:name="_Toc508267363"/>
      <w:bookmarkStart w:id="69" w:name="_Toc511315168"/>
      <w:bookmarkStart w:id="70" w:name="_Toc511385932"/>
      <w:bookmarkStart w:id="71" w:name="_Toc517706065"/>
      <w:r>
        <w:t>Projected Outlays</w:t>
      </w:r>
      <w:bookmarkEnd w:id="66"/>
      <w:bookmarkEnd w:id="67"/>
      <w:bookmarkEnd w:id="68"/>
      <w:bookmarkEnd w:id="69"/>
      <w:bookmarkEnd w:id="70"/>
      <w:bookmarkEnd w:id="71"/>
    </w:p>
    <w:p w:rsidR="009F432F" w:rsidRDefault="009F432F" w:rsidP="009F432F">
      <w:r>
        <w:t>The annual projected outlays represent the future annual cost of PSS and CSS benefits to current and past employees, and their dependants.</w:t>
      </w:r>
    </w:p>
    <w:p w:rsidR="009F432F" w:rsidRDefault="009F432F" w:rsidP="009F432F"/>
    <w:p w:rsidR="00AA3A86" w:rsidRPr="00EA3C33" w:rsidRDefault="00AA3A86" w:rsidP="00AA3A86">
      <w:r>
        <w:t>In general, when a member becomes entitled to a benefit</w:t>
      </w:r>
      <w:r w:rsidRPr="004C573D">
        <w:t>, the</w:t>
      </w:r>
      <w:r>
        <w:t xml:space="preserve"> member's accumulation accounts (i.e. funded member and productivity contributions, plus </w:t>
      </w:r>
      <w:r w:rsidR="0081311D">
        <w:t>investment earnings</w:t>
      </w:r>
      <w:r>
        <w:t>) are transferred to the Australian Government’s CRF. The total benefit payment to the member is then made from the CRF</w:t>
      </w:r>
      <w:r w:rsidRPr="00EA3C33">
        <w:t>.</w:t>
      </w:r>
    </w:p>
    <w:p w:rsidR="00AA3A86" w:rsidRPr="00985D4F" w:rsidRDefault="00AA3A86" w:rsidP="00AA3A86"/>
    <w:p w:rsidR="00A51909" w:rsidRDefault="00A51909" w:rsidP="00A51909">
      <w:r>
        <w:t>The projected outlays in each year are calculated as:</w:t>
      </w:r>
    </w:p>
    <w:p w:rsidR="00A51909" w:rsidRPr="007A728D" w:rsidRDefault="00A51909" w:rsidP="00A51909">
      <w:pPr>
        <w:pStyle w:val="ListBullet"/>
      </w:pPr>
      <w:r>
        <w:t>p</w:t>
      </w:r>
      <w:r w:rsidRPr="007A728D">
        <w:t>roductivity superannuation</w:t>
      </w:r>
      <w:r>
        <w:t xml:space="preserve"> </w:t>
      </w:r>
      <w:r w:rsidRPr="007A728D">
        <w:t>contributions paid by employers to the PSS and CSS; plus</w:t>
      </w:r>
    </w:p>
    <w:p w:rsidR="00A51909" w:rsidRDefault="00A51909" w:rsidP="00A51909">
      <w:pPr>
        <w:pStyle w:val="ListBullet"/>
      </w:pPr>
      <w:r w:rsidRPr="00FB2C86">
        <w:t>b</w:t>
      </w:r>
      <w:r w:rsidRPr="00F76729">
        <w:t>enefit payments made from</w:t>
      </w:r>
      <w:r w:rsidRPr="00FB2C86">
        <w:t xml:space="preserve"> the </w:t>
      </w:r>
      <w:r>
        <w:t>Australian Government’s CRF; less</w:t>
      </w:r>
    </w:p>
    <w:p w:rsidR="00A51909" w:rsidRDefault="00A51909" w:rsidP="00A51909">
      <w:pPr>
        <w:pStyle w:val="ListBullet"/>
      </w:pPr>
      <w:r>
        <w:t>transfers of scheme assets to the CRF when benefits become payable.</w:t>
      </w:r>
    </w:p>
    <w:p w:rsidR="00A51909" w:rsidRDefault="00A51909" w:rsidP="00A51909"/>
    <w:p w:rsidR="00A51909" w:rsidRDefault="00A51909" w:rsidP="00A51909">
      <w:r>
        <w:t xml:space="preserve">No allowance is made for </w:t>
      </w:r>
      <w:r w:rsidR="00692EE8">
        <w:t xml:space="preserve">the </w:t>
      </w:r>
      <w:r>
        <w:t xml:space="preserve">reimbursement of the CRF </w:t>
      </w:r>
      <w:r w:rsidR="00692EE8">
        <w:t>directly</w:t>
      </w:r>
      <w:r>
        <w:t xml:space="preserve"> for benefit payments made in respect of </w:t>
      </w:r>
      <w:r w:rsidR="009F432F">
        <w:t xml:space="preserve">service with an employer </w:t>
      </w:r>
      <w:r>
        <w:t>no longer part of the Australian Government (e.g. ACT and NT Governments).</w:t>
      </w:r>
    </w:p>
    <w:p w:rsidR="009F432F" w:rsidRDefault="009F432F" w:rsidP="00A51909"/>
    <w:p w:rsidR="00A51909" w:rsidRDefault="00A51909" w:rsidP="00A51909">
      <w:r>
        <w:t>The expected nominal outlays each year for the next 40 years are shown in the following chart:</w:t>
      </w:r>
    </w:p>
    <w:p w:rsidR="00793330" w:rsidRDefault="00793330" w:rsidP="00793330"/>
    <w:p w:rsidR="006F4BA6" w:rsidRDefault="00FA3F4F" w:rsidP="008F6510">
      <w:r>
        <w:rPr>
          <w:noProof/>
          <w:lang w:eastAsia="en-AU"/>
        </w:rPr>
        <w:drawing>
          <wp:inline distT="0" distB="0" distL="0" distR="0" wp14:anchorId="7CA409DE" wp14:editId="3C1B8CD9">
            <wp:extent cx="5760000" cy="2851122"/>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00" cy="2851122"/>
                    </a:xfrm>
                    <a:prstGeom prst="rect">
                      <a:avLst/>
                    </a:prstGeom>
                    <a:noFill/>
                  </pic:spPr>
                </pic:pic>
              </a:graphicData>
            </a:graphic>
          </wp:inline>
        </w:drawing>
      </w:r>
    </w:p>
    <w:p w:rsidR="00637B4D" w:rsidRDefault="00637B4D">
      <w:pPr>
        <w:spacing w:line="240" w:lineRule="auto"/>
      </w:pPr>
    </w:p>
    <w:p w:rsidR="00793330" w:rsidRDefault="00793330">
      <w:pPr>
        <w:spacing w:line="240" w:lineRule="auto"/>
      </w:pPr>
      <w:r>
        <w:br w:type="page"/>
      </w:r>
    </w:p>
    <w:p w:rsidR="00D02B1D" w:rsidRDefault="00D02B1D" w:rsidP="00D02B1D">
      <w:r>
        <w:lastRenderedPageBreak/>
        <w:t>Overall outlays are projected to increase during the next 25-30 years as contributors leave the workforce and commence a pension. Outlays as a percentage of GDP will gradually decline as shown in the following chart:</w:t>
      </w:r>
    </w:p>
    <w:p w:rsidR="006F4BA6" w:rsidRDefault="006F4BA6" w:rsidP="008F6510"/>
    <w:p w:rsidR="003F702D" w:rsidRDefault="00FA3F4F" w:rsidP="008F6510">
      <w:r>
        <w:rPr>
          <w:noProof/>
          <w:lang w:eastAsia="en-AU"/>
        </w:rPr>
        <w:drawing>
          <wp:inline distT="0" distB="0" distL="0" distR="0" wp14:anchorId="07F73CC6" wp14:editId="32E32689">
            <wp:extent cx="5760000" cy="2851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00" cy="2851200"/>
                    </a:xfrm>
                    <a:prstGeom prst="rect">
                      <a:avLst/>
                    </a:prstGeom>
                    <a:noFill/>
                  </pic:spPr>
                </pic:pic>
              </a:graphicData>
            </a:graphic>
          </wp:inline>
        </w:drawing>
      </w:r>
    </w:p>
    <w:p w:rsidR="003F702D" w:rsidRDefault="003F702D" w:rsidP="008F6510"/>
    <w:p w:rsidR="00A51909" w:rsidRDefault="00A51909" w:rsidP="00A51909">
      <w:r w:rsidRPr="00D54AF4">
        <w:t xml:space="preserve">Future outlays are expected to reduce as a percentage of projected GDP from </w:t>
      </w:r>
      <w:r w:rsidR="00A86D36">
        <w:t>0.30</w:t>
      </w:r>
      <w:r w:rsidRPr="00D54AF4">
        <w:t>% in the year ending 30 June 2018 to 0.07% in the year ending 30 June 2057.</w:t>
      </w:r>
    </w:p>
    <w:p w:rsidR="00A51909" w:rsidRDefault="00A51909" w:rsidP="008F6510"/>
    <w:p w:rsidR="00A51909" w:rsidRDefault="00A51909" w:rsidP="00A51909">
      <w:r>
        <w:t>A table with d</w:t>
      </w:r>
      <w:r w:rsidRPr="00034F57">
        <w:t xml:space="preserve">etails of the </w:t>
      </w:r>
      <w:r>
        <w:t xml:space="preserve">projected outlays is included </w:t>
      </w:r>
      <w:r w:rsidRPr="00034F57">
        <w:t xml:space="preserve">in Appendix </w:t>
      </w:r>
      <w:r>
        <w:t>D</w:t>
      </w:r>
      <w:r w:rsidRPr="00034F57">
        <w:t>.</w:t>
      </w:r>
    </w:p>
    <w:p w:rsidR="00D95D42" w:rsidRDefault="00D95D42" w:rsidP="00240871"/>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72" w:name="_Toc325023265"/>
      <w:bookmarkStart w:id="73" w:name="_Toc493666049"/>
      <w:bookmarkStart w:id="74" w:name="_Toc508267364"/>
      <w:bookmarkStart w:id="75" w:name="_Toc511313523"/>
      <w:bookmarkStart w:id="76" w:name="_Toc511315169"/>
      <w:bookmarkStart w:id="77" w:name="_Toc511385933"/>
      <w:bookmarkStart w:id="78" w:name="_Toc517706066"/>
      <w:r>
        <w:t>Notional Employer Contribution Rate</w:t>
      </w:r>
      <w:bookmarkEnd w:id="72"/>
      <w:bookmarkEnd w:id="73"/>
      <w:bookmarkEnd w:id="74"/>
      <w:r w:rsidR="008148AE">
        <w:t>s</w:t>
      </w:r>
      <w:bookmarkEnd w:id="75"/>
      <w:bookmarkEnd w:id="76"/>
      <w:bookmarkEnd w:id="77"/>
      <w:bookmarkEnd w:id="78"/>
    </w:p>
    <w:p w:rsidR="00A51909" w:rsidRDefault="00A51909" w:rsidP="00A51909">
      <w:bookmarkStart w:id="79" w:name="_Toc508267365"/>
      <w:r w:rsidRPr="000256F7">
        <w:t xml:space="preserve">The </w:t>
      </w:r>
      <w:r>
        <w:t>n</w:t>
      </w:r>
      <w:r w:rsidRPr="000256F7">
        <w:t xml:space="preserve">otional </w:t>
      </w:r>
      <w:r>
        <w:t>e</w:t>
      </w:r>
      <w:r w:rsidRPr="000256F7">
        <w:t>m</w:t>
      </w:r>
      <w:r>
        <w:t>ployer contribution rates (NECR</w:t>
      </w:r>
      <w:r w:rsidRPr="000256F7">
        <w:t>) represent the estimated contribution rate</w:t>
      </w:r>
      <w:r>
        <w:t>s</w:t>
      </w:r>
      <w:r w:rsidRPr="000256F7">
        <w:t xml:space="preserve"> that would be required to f</w:t>
      </w:r>
      <w:r>
        <w:t xml:space="preserve">inance </w:t>
      </w:r>
      <w:r w:rsidRPr="000256F7">
        <w:t xml:space="preserve">the benefits accruing to </w:t>
      </w:r>
      <w:r w:rsidRPr="0074083A">
        <w:t>contributors</w:t>
      </w:r>
      <w:r w:rsidRPr="000256F7">
        <w:t xml:space="preserve"> over the next three years</w:t>
      </w:r>
      <w:r>
        <w:t xml:space="preserve"> </w:t>
      </w:r>
      <w:r>
        <w:rPr>
          <w:lang w:eastAsia="en-AU"/>
        </w:rPr>
        <w:t>(from 1 July 2017 to 30 June 2020)</w:t>
      </w:r>
      <w:r w:rsidRPr="000256F7">
        <w:t>. That is, if the scheme</w:t>
      </w:r>
      <w:r>
        <w:t>s were</w:t>
      </w:r>
      <w:r w:rsidRPr="000256F7">
        <w:t xml:space="preserve"> fully funded at the valuation date and contributions were made at the NECR</w:t>
      </w:r>
      <w:r>
        <w:t>s</w:t>
      </w:r>
      <w:r w:rsidRPr="000256F7">
        <w:t xml:space="preserve">, the </w:t>
      </w:r>
      <w:r w:rsidRPr="0074083A">
        <w:t>liability for contributors</w:t>
      </w:r>
      <w:r w:rsidRPr="000256F7">
        <w:t xml:space="preserve"> would be expected to </w:t>
      </w:r>
      <w:r>
        <w:t xml:space="preserve">remain </w:t>
      </w:r>
      <w:r w:rsidRPr="000256F7">
        <w:t>fully funded at the end of the period.</w:t>
      </w:r>
    </w:p>
    <w:p w:rsidR="00A51909" w:rsidRDefault="00A51909" w:rsidP="00A51909"/>
    <w:p w:rsidR="00A51909" w:rsidRDefault="00A51909" w:rsidP="00A51909">
      <w:r>
        <w:t>The NECR is therefore a short-term indicator and relates to the cost of funding future benefit accruals of contributors only (which make up approximately 5% of CSS membership and 35% of PSS membership).</w:t>
      </w:r>
    </w:p>
    <w:p w:rsidR="00A51909" w:rsidRDefault="00A51909" w:rsidP="00A51909"/>
    <w:p w:rsidR="00A51909" w:rsidRDefault="00A51909" w:rsidP="00A51909">
      <w:pPr>
        <w:rPr>
          <w:lang w:eastAsia="en-AU"/>
        </w:rPr>
      </w:pPr>
      <w:r w:rsidRPr="006E283A">
        <w:rPr>
          <w:lang w:eastAsia="en-AU"/>
        </w:rPr>
        <w:t xml:space="preserve">The NECR </w:t>
      </w:r>
      <w:r>
        <w:rPr>
          <w:lang w:eastAsia="en-AU"/>
        </w:rPr>
        <w:t xml:space="preserve">is </w:t>
      </w:r>
      <w:r w:rsidRPr="006E283A">
        <w:rPr>
          <w:lang w:eastAsia="en-AU"/>
        </w:rPr>
        <w:t>determined using long term assumptions as th</w:t>
      </w:r>
      <w:r>
        <w:rPr>
          <w:lang w:eastAsia="en-AU"/>
        </w:rPr>
        <w:t>is</w:t>
      </w:r>
      <w:r w:rsidRPr="006E283A">
        <w:rPr>
          <w:lang w:eastAsia="en-AU"/>
        </w:rPr>
        <w:t xml:space="preserve"> rate</w:t>
      </w:r>
      <w:r>
        <w:rPr>
          <w:lang w:eastAsia="en-AU"/>
        </w:rPr>
        <w:t xml:space="preserve"> is </w:t>
      </w:r>
      <w:r w:rsidRPr="006E283A">
        <w:rPr>
          <w:lang w:eastAsia="en-AU"/>
        </w:rPr>
        <w:t>notional in nature</w:t>
      </w:r>
      <w:r>
        <w:rPr>
          <w:lang w:eastAsia="en-AU"/>
        </w:rPr>
        <w:t xml:space="preserve">. </w:t>
      </w:r>
      <w:r>
        <w:t>Only the productivity contribution component of the NECR is actually paid by the employers to the PSS and CSS to be invested as scheme assets by the trustee. The non-productivity contribution component is notional and no such contributions are actually paid to the schemes.</w:t>
      </w:r>
    </w:p>
    <w:p w:rsidR="00A51909" w:rsidRPr="000515C2" w:rsidRDefault="00A51909" w:rsidP="00A51909"/>
    <w:bookmarkEnd w:id="79"/>
    <w:p w:rsidR="00A51909" w:rsidRPr="00331A3B" w:rsidRDefault="00A51909" w:rsidP="00A51909">
      <w:pPr>
        <w:rPr>
          <w:caps/>
          <w:color w:val="002C77"/>
          <w:spacing w:val="40"/>
        </w:rPr>
      </w:pPr>
      <w:r w:rsidRPr="00331A3B">
        <w:rPr>
          <w:caps/>
          <w:color w:val="002C77"/>
          <w:spacing w:val="40"/>
        </w:rPr>
        <w:t>Method of Determining the Notional Employer Contribution Rate</w:t>
      </w:r>
      <w:r>
        <w:rPr>
          <w:caps/>
          <w:color w:val="002C77"/>
          <w:spacing w:val="40"/>
        </w:rPr>
        <w:t>s</w:t>
      </w:r>
    </w:p>
    <w:p w:rsidR="00B90845" w:rsidRDefault="00B90845" w:rsidP="00A51909"/>
    <w:p w:rsidR="00A51909" w:rsidRPr="00DE299B" w:rsidRDefault="00A51909" w:rsidP="00A51909">
      <w:r w:rsidRPr="00DE299B">
        <w:t xml:space="preserve">A notional fund </w:t>
      </w:r>
      <w:r>
        <w:t xml:space="preserve">with initial assets </w:t>
      </w:r>
      <w:r w:rsidRPr="00DE299B">
        <w:t xml:space="preserve">equal to the accrued liabilities at the valuation date is projected </w:t>
      </w:r>
      <w:r>
        <w:t xml:space="preserve">for the three years </w:t>
      </w:r>
      <w:r w:rsidRPr="00DE299B">
        <w:t>to 30 June 2020</w:t>
      </w:r>
      <w:r>
        <w:t xml:space="preserve">, </w:t>
      </w:r>
      <w:r w:rsidRPr="00DE299B">
        <w:t xml:space="preserve">together with member contributions, </w:t>
      </w:r>
      <w:r>
        <w:t xml:space="preserve">notional employer contributions, </w:t>
      </w:r>
      <w:r w:rsidRPr="00DE299B">
        <w:t xml:space="preserve">investment </w:t>
      </w:r>
      <w:r>
        <w:t>earnings</w:t>
      </w:r>
      <w:r w:rsidRPr="00DE299B">
        <w:t xml:space="preserve"> </w:t>
      </w:r>
      <w:r>
        <w:t xml:space="preserve">and </w:t>
      </w:r>
      <w:r w:rsidRPr="00DE299B">
        <w:t xml:space="preserve">benefit payments in line with the valuation assumptions. The </w:t>
      </w:r>
      <w:r>
        <w:t xml:space="preserve">notional contributions are </w:t>
      </w:r>
      <w:r w:rsidRPr="00DE299B">
        <w:t xml:space="preserve">determined </w:t>
      </w:r>
      <w:r>
        <w:t>so that the projected notional assets are equal to</w:t>
      </w:r>
      <w:r w:rsidRPr="00DE299B">
        <w:t xml:space="preserve"> the </w:t>
      </w:r>
      <w:r>
        <w:t>projected</w:t>
      </w:r>
      <w:r w:rsidRPr="00DE299B">
        <w:t xml:space="preserve"> accrued liabilities </w:t>
      </w:r>
      <w:r>
        <w:t>after three years</w:t>
      </w:r>
      <w:r w:rsidRPr="00DE299B">
        <w:t xml:space="preserve">. The </w:t>
      </w:r>
      <w:r>
        <w:t xml:space="preserve">NECRs are the </w:t>
      </w:r>
      <w:r w:rsidRPr="00DE299B">
        <w:t xml:space="preserve">notional employer contributions expressed as a constant annual percentage </w:t>
      </w:r>
      <w:r w:rsidR="00B81C44">
        <w:t xml:space="preserve">of </w:t>
      </w:r>
      <w:r>
        <w:t xml:space="preserve">projected </w:t>
      </w:r>
      <w:r w:rsidRPr="00DE299B">
        <w:t>salaries.</w:t>
      </w:r>
    </w:p>
    <w:p w:rsidR="00A51909" w:rsidRDefault="00A51909" w:rsidP="00A51909"/>
    <w:p w:rsidR="00A51909" w:rsidRPr="00331A3B" w:rsidRDefault="00A51909" w:rsidP="00A51909">
      <w:pPr>
        <w:rPr>
          <w:caps/>
          <w:color w:val="002C77"/>
          <w:spacing w:val="40"/>
        </w:rPr>
      </w:pPr>
      <w:bookmarkStart w:id="80" w:name="_Toc508267366"/>
      <w:r w:rsidRPr="00331A3B">
        <w:rPr>
          <w:caps/>
          <w:color w:val="002C77"/>
          <w:spacing w:val="40"/>
        </w:rPr>
        <w:t>Results</w:t>
      </w:r>
      <w:bookmarkEnd w:id="80"/>
    </w:p>
    <w:p w:rsidR="00A51909" w:rsidRDefault="00A51909" w:rsidP="00A51909"/>
    <w:tbl>
      <w:tblPr>
        <w:tblW w:w="9197"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4750"/>
        <w:gridCol w:w="1482"/>
        <w:gridCol w:w="1482"/>
        <w:gridCol w:w="1483"/>
      </w:tblGrid>
      <w:tr w:rsidR="00A51909" w:rsidRPr="009E0575" w:rsidTr="00A51909">
        <w:trPr>
          <w:cantSplit/>
          <w:tblHeader/>
        </w:trPr>
        <w:tc>
          <w:tcPr>
            <w:tcW w:w="4750" w:type="dxa"/>
            <w:shd w:val="clear" w:color="auto" w:fill="00A8C8"/>
          </w:tcPr>
          <w:p w:rsidR="00A51909" w:rsidRPr="009E0575" w:rsidRDefault="00A51909" w:rsidP="00A51909">
            <w:pPr>
              <w:pStyle w:val="TableHeadingText"/>
              <w:rPr>
                <w:caps w:val="0"/>
              </w:rPr>
            </w:pPr>
            <w:r w:rsidRPr="009E0575">
              <w:rPr>
                <w:caps w:val="0"/>
              </w:rPr>
              <w:t>N</w:t>
            </w:r>
            <w:r>
              <w:rPr>
                <w:caps w:val="0"/>
              </w:rPr>
              <w:t xml:space="preserve">ECRs </w:t>
            </w:r>
            <w:r w:rsidRPr="009E0575">
              <w:rPr>
                <w:caps w:val="0"/>
              </w:rPr>
              <w:t xml:space="preserve">(% of </w:t>
            </w:r>
            <w:r>
              <w:rPr>
                <w:caps w:val="0"/>
              </w:rPr>
              <w:br/>
            </w:r>
            <w:r w:rsidRPr="009E0575">
              <w:rPr>
                <w:caps w:val="0"/>
              </w:rPr>
              <w:t>Superannuation Salaries)</w:t>
            </w:r>
          </w:p>
        </w:tc>
        <w:tc>
          <w:tcPr>
            <w:tcW w:w="1482" w:type="dxa"/>
            <w:shd w:val="clear" w:color="auto" w:fill="00A8C8"/>
          </w:tcPr>
          <w:p w:rsidR="00A51909" w:rsidRPr="009E0575" w:rsidRDefault="00A51909" w:rsidP="00A51909">
            <w:pPr>
              <w:pStyle w:val="TableHeadingText"/>
              <w:jc w:val="right"/>
              <w:rPr>
                <w:caps w:val="0"/>
              </w:rPr>
            </w:pPr>
            <w:r w:rsidRPr="009E0575">
              <w:rPr>
                <w:caps w:val="0"/>
              </w:rPr>
              <w:t>PSS</w:t>
            </w:r>
          </w:p>
        </w:tc>
        <w:tc>
          <w:tcPr>
            <w:tcW w:w="1482" w:type="dxa"/>
            <w:shd w:val="clear" w:color="auto" w:fill="00A8C8"/>
          </w:tcPr>
          <w:p w:rsidR="00A51909" w:rsidRPr="009E0575" w:rsidRDefault="00A51909" w:rsidP="00A51909">
            <w:pPr>
              <w:pStyle w:val="TableHeadingText"/>
              <w:jc w:val="right"/>
              <w:rPr>
                <w:caps w:val="0"/>
              </w:rPr>
            </w:pPr>
            <w:r w:rsidRPr="009E0575">
              <w:rPr>
                <w:caps w:val="0"/>
              </w:rPr>
              <w:t>CSS</w:t>
            </w:r>
          </w:p>
        </w:tc>
        <w:tc>
          <w:tcPr>
            <w:tcW w:w="1483" w:type="dxa"/>
            <w:shd w:val="clear" w:color="auto" w:fill="00A8C8"/>
          </w:tcPr>
          <w:p w:rsidR="00A51909" w:rsidRPr="009E0575" w:rsidRDefault="00A51909" w:rsidP="00A51909">
            <w:pPr>
              <w:pStyle w:val="TableHeadingText"/>
              <w:jc w:val="right"/>
              <w:rPr>
                <w:caps w:val="0"/>
              </w:rPr>
            </w:pPr>
            <w:r w:rsidRPr="009E0575">
              <w:rPr>
                <w:caps w:val="0"/>
              </w:rPr>
              <w:t>Combined</w:t>
            </w:r>
          </w:p>
        </w:tc>
      </w:tr>
      <w:tr w:rsidR="00A51909" w:rsidRPr="008F6510" w:rsidTr="00A51909">
        <w:trPr>
          <w:cantSplit/>
        </w:trPr>
        <w:tc>
          <w:tcPr>
            <w:tcW w:w="4750" w:type="dxa"/>
            <w:shd w:val="clear" w:color="auto" w:fill="F2F2F2"/>
          </w:tcPr>
          <w:p w:rsidR="00A51909" w:rsidRPr="009E0575" w:rsidRDefault="00A51909" w:rsidP="00A51909">
            <w:pPr>
              <w:pStyle w:val="TableText"/>
            </w:pPr>
            <w:r>
              <w:t>As at 30 June 2014</w:t>
            </w:r>
          </w:p>
        </w:tc>
        <w:tc>
          <w:tcPr>
            <w:tcW w:w="1482" w:type="dxa"/>
            <w:shd w:val="clear" w:color="auto" w:fill="F2F2F2"/>
          </w:tcPr>
          <w:p w:rsidR="00A51909" w:rsidRPr="009E0575" w:rsidRDefault="00A51909" w:rsidP="00A51909">
            <w:pPr>
              <w:pStyle w:val="TableText"/>
              <w:jc w:val="right"/>
            </w:pPr>
            <w:r>
              <w:t>22.6</w:t>
            </w:r>
          </w:p>
        </w:tc>
        <w:tc>
          <w:tcPr>
            <w:tcW w:w="1482" w:type="dxa"/>
            <w:shd w:val="clear" w:color="auto" w:fill="F2F2F2"/>
          </w:tcPr>
          <w:p w:rsidR="00A51909" w:rsidRPr="009E0575" w:rsidRDefault="00A51909" w:rsidP="00A51909">
            <w:pPr>
              <w:pStyle w:val="TableText"/>
              <w:jc w:val="right"/>
            </w:pPr>
            <w:r>
              <w:t>18.3</w:t>
            </w:r>
          </w:p>
        </w:tc>
        <w:tc>
          <w:tcPr>
            <w:tcW w:w="1483" w:type="dxa"/>
            <w:shd w:val="clear" w:color="auto" w:fill="F2F2F2"/>
          </w:tcPr>
          <w:p w:rsidR="00A51909" w:rsidRPr="009E0575" w:rsidRDefault="00A51909" w:rsidP="00A51909">
            <w:pPr>
              <w:pStyle w:val="TableText"/>
              <w:jc w:val="right"/>
            </w:pPr>
            <w:r>
              <w:t>22.1</w:t>
            </w:r>
          </w:p>
        </w:tc>
      </w:tr>
      <w:tr w:rsidR="00A51909" w:rsidRPr="008F6510" w:rsidTr="00A51909">
        <w:trPr>
          <w:cantSplit/>
        </w:trPr>
        <w:tc>
          <w:tcPr>
            <w:tcW w:w="4750" w:type="dxa"/>
            <w:shd w:val="clear" w:color="auto" w:fill="F2F2F2"/>
          </w:tcPr>
          <w:p w:rsidR="00A51909" w:rsidRPr="009E0575" w:rsidRDefault="00A51909" w:rsidP="00A51909">
            <w:pPr>
              <w:pStyle w:val="TableText"/>
            </w:pPr>
            <w:r w:rsidRPr="009E0575">
              <w:t>As at 30 June 2017</w:t>
            </w:r>
          </w:p>
        </w:tc>
        <w:tc>
          <w:tcPr>
            <w:tcW w:w="1482" w:type="dxa"/>
            <w:shd w:val="clear" w:color="auto" w:fill="F2F2F2"/>
          </w:tcPr>
          <w:p w:rsidR="00A51909" w:rsidRPr="009E0575" w:rsidRDefault="00A51909" w:rsidP="00A51909">
            <w:pPr>
              <w:pStyle w:val="TableText"/>
              <w:jc w:val="right"/>
            </w:pPr>
            <w:r w:rsidRPr="009E0575">
              <w:t>28.7</w:t>
            </w:r>
          </w:p>
        </w:tc>
        <w:tc>
          <w:tcPr>
            <w:tcW w:w="1482" w:type="dxa"/>
            <w:shd w:val="clear" w:color="auto" w:fill="F2F2F2"/>
          </w:tcPr>
          <w:p w:rsidR="00A51909" w:rsidRPr="009E0575" w:rsidRDefault="00A51909" w:rsidP="00A51909">
            <w:pPr>
              <w:pStyle w:val="TableText"/>
              <w:jc w:val="right"/>
            </w:pPr>
            <w:r w:rsidRPr="009E0575">
              <w:t>20.3</w:t>
            </w:r>
          </w:p>
        </w:tc>
        <w:tc>
          <w:tcPr>
            <w:tcW w:w="1483" w:type="dxa"/>
            <w:shd w:val="clear" w:color="auto" w:fill="F2F2F2"/>
          </w:tcPr>
          <w:p w:rsidR="00A51909" w:rsidRPr="009E0575" w:rsidRDefault="00A51909" w:rsidP="00A51909">
            <w:pPr>
              <w:pStyle w:val="TableText"/>
              <w:jc w:val="right"/>
            </w:pPr>
            <w:r w:rsidRPr="009E0575">
              <w:t>28.0</w:t>
            </w:r>
          </w:p>
        </w:tc>
      </w:tr>
      <w:tr w:rsidR="00A51909" w:rsidRPr="008F6510" w:rsidTr="00A51909">
        <w:trPr>
          <w:cantSplit/>
        </w:trPr>
        <w:tc>
          <w:tcPr>
            <w:tcW w:w="4750" w:type="dxa"/>
            <w:shd w:val="clear" w:color="auto" w:fill="F2F2F2"/>
          </w:tcPr>
          <w:p w:rsidR="00A51909" w:rsidRPr="009E0575" w:rsidRDefault="00A51909" w:rsidP="00A51909">
            <w:pPr>
              <w:pStyle w:val="TableText"/>
            </w:pPr>
            <w:r>
              <w:t>Movement</w:t>
            </w:r>
          </w:p>
        </w:tc>
        <w:tc>
          <w:tcPr>
            <w:tcW w:w="1482" w:type="dxa"/>
            <w:shd w:val="clear" w:color="auto" w:fill="F2F2F2"/>
          </w:tcPr>
          <w:p w:rsidR="00A51909" w:rsidRPr="009E0575" w:rsidRDefault="00A51909" w:rsidP="00A51909">
            <w:pPr>
              <w:pStyle w:val="TableText"/>
              <w:jc w:val="right"/>
            </w:pPr>
            <w:r>
              <w:t>+6.1</w:t>
            </w:r>
          </w:p>
        </w:tc>
        <w:tc>
          <w:tcPr>
            <w:tcW w:w="1482" w:type="dxa"/>
            <w:shd w:val="clear" w:color="auto" w:fill="F2F2F2"/>
          </w:tcPr>
          <w:p w:rsidR="00A51909" w:rsidRPr="009E0575" w:rsidRDefault="00A51909" w:rsidP="00A51909">
            <w:pPr>
              <w:pStyle w:val="TableText"/>
              <w:jc w:val="right"/>
            </w:pPr>
            <w:r>
              <w:t>+2.0</w:t>
            </w:r>
          </w:p>
        </w:tc>
        <w:tc>
          <w:tcPr>
            <w:tcW w:w="1483" w:type="dxa"/>
            <w:shd w:val="clear" w:color="auto" w:fill="F2F2F2"/>
          </w:tcPr>
          <w:p w:rsidR="00A51909" w:rsidRPr="009E0575" w:rsidRDefault="00A51909" w:rsidP="00A51909">
            <w:pPr>
              <w:pStyle w:val="TableText"/>
              <w:jc w:val="right"/>
            </w:pPr>
            <w:r>
              <w:t>+5.9</w:t>
            </w:r>
          </w:p>
        </w:tc>
      </w:tr>
    </w:tbl>
    <w:p w:rsidR="00A51909" w:rsidRDefault="00A51909" w:rsidP="00A51909"/>
    <w:p w:rsidR="00B90845" w:rsidRDefault="00B90845">
      <w:pPr>
        <w:spacing w:line="240" w:lineRule="auto"/>
      </w:pPr>
      <w:r>
        <w:br w:type="page"/>
      </w:r>
    </w:p>
    <w:p w:rsidR="00A51909" w:rsidRPr="009E0575" w:rsidRDefault="00652677" w:rsidP="00A51909">
      <w:r>
        <w:lastRenderedPageBreak/>
        <w:t xml:space="preserve">The NECRs are the amount of contributions </w:t>
      </w:r>
      <w:r w:rsidR="00EA000C">
        <w:t>expected to</w:t>
      </w:r>
      <w:r w:rsidR="00CC1176">
        <w:t xml:space="preserve"> be</w:t>
      </w:r>
      <w:r w:rsidR="00EA000C">
        <w:t xml:space="preserve"> </w:t>
      </w:r>
      <w:r>
        <w:t>necessary to meet the accruing liabilities</w:t>
      </w:r>
      <w:r w:rsidR="00EA000C">
        <w:t>, based on the assumptions</w:t>
      </w:r>
      <w:r>
        <w:t xml:space="preserve">.  The value of accruing liabilities is </w:t>
      </w:r>
      <w:r w:rsidR="00EA000C">
        <w:t>sensitive to</w:t>
      </w:r>
      <w:r>
        <w:t xml:space="preserve"> the discount rate</w:t>
      </w:r>
      <w:r w:rsidR="00EA000C">
        <w:t xml:space="preserve"> assumption</w:t>
      </w:r>
      <w:r>
        <w:t xml:space="preserve"> with a lower discount rate leading to a higher liability similar to the unfunded liability section.  </w:t>
      </w:r>
      <w:r w:rsidR="00A51909" w:rsidRPr="00652677">
        <w:t xml:space="preserve">Both NECRs have </w:t>
      </w:r>
      <w:r>
        <w:t xml:space="preserve">therefore </w:t>
      </w:r>
      <w:r w:rsidR="00A51909" w:rsidRPr="00652677">
        <w:t>increased materially, primarily due to the reduction in discount rate assumption.</w:t>
      </w:r>
    </w:p>
    <w:p w:rsidR="00433397" w:rsidRDefault="00433397" w:rsidP="00433397"/>
    <w:p w:rsidR="00BF3B60" w:rsidRDefault="00BF3B60" w:rsidP="00BF3B60">
      <w:pPr>
        <w:pStyle w:val="SectionStart"/>
        <w:pBdr>
          <w:bottom w:val="single" w:sz="12" w:space="1" w:color="auto"/>
        </w:pBdr>
        <w:spacing w:before="0" w:after="380"/>
      </w:pPr>
    </w:p>
    <w:p w:rsidR="00BF3B60" w:rsidRDefault="00BF3B60" w:rsidP="00BF3B60">
      <w:pPr>
        <w:pStyle w:val="Heading1"/>
        <w:numPr>
          <w:ilvl w:val="0"/>
          <w:numId w:val="0"/>
        </w:numPr>
        <w:spacing w:after="240"/>
      </w:pPr>
      <w:bookmarkStart w:id="81" w:name="_Toc120939319"/>
      <w:bookmarkStart w:id="82" w:name="_Toc325023266"/>
      <w:bookmarkStart w:id="83" w:name="_Toc493666050"/>
      <w:bookmarkStart w:id="84" w:name="_Toc508267368"/>
      <w:bookmarkStart w:id="85" w:name="_Toc511315170"/>
      <w:bookmarkStart w:id="86" w:name="_Toc511313524"/>
      <w:bookmarkStart w:id="87" w:name="_Toc511385934"/>
      <w:bookmarkStart w:id="88" w:name="_Toc517706067"/>
      <w:r w:rsidRPr="007A0987">
        <w:t>Sensitivity</w:t>
      </w:r>
      <w:r w:rsidRPr="00EF013A">
        <w:t xml:space="preserve"> Analysis</w:t>
      </w:r>
      <w:bookmarkEnd w:id="81"/>
      <w:bookmarkEnd w:id="82"/>
      <w:bookmarkEnd w:id="83"/>
      <w:bookmarkEnd w:id="84"/>
      <w:bookmarkEnd w:id="85"/>
      <w:bookmarkEnd w:id="86"/>
      <w:bookmarkEnd w:id="87"/>
      <w:bookmarkEnd w:id="88"/>
    </w:p>
    <w:p w:rsidR="00BF3B60" w:rsidRPr="00331A3B" w:rsidRDefault="00BF3B60" w:rsidP="00331A3B">
      <w:pPr>
        <w:rPr>
          <w:caps/>
          <w:color w:val="002C77"/>
          <w:spacing w:val="40"/>
        </w:rPr>
      </w:pPr>
      <w:bookmarkStart w:id="89" w:name="_Toc508267369"/>
      <w:r w:rsidRPr="00331A3B">
        <w:rPr>
          <w:caps/>
          <w:color w:val="002C77"/>
          <w:spacing w:val="40"/>
        </w:rPr>
        <w:t>Economic Assumptions</w:t>
      </w:r>
      <w:bookmarkEnd w:id="89"/>
    </w:p>
    <w:p w:rsidR="00BF3B60" w:rsidRPr="00331A3B" w:rsidRDefault="00BF3B60" w:rsidP="00240871"/>
    <w:p w:rsidR="00A51909" w:rsidRDefault="00A51909" w:rsidP="00A51909">
      <w:r w:rsidRPr="00E522E6">
        <w:t xml:space="preserve">The sensitivity of the estimated unfunded </w:t>
      </w:r>
      <w:r w:rsidRPr="00FA3F4F">
        <w:t xml:space="preserve">liability </w:t>
      </w:r>
      <w:r w:rsidR="00FA3F4F">
        <w:t xml:space="preserve">as at 30 June 2017 </w:t>
      </w:r>
      <w:r w:rsidRPr="00FA3F4F">
        <w:t xml:space="preserve">and </w:t>
      </w:r>
      <w:r w:rsidR="00FA3F4F">
        <w:t xml:space="preserve">the </w:t>
      </w:r>
      <w:r w:rsidRPr="00FA3F4F">
        <w:t>projected outlays to the key economic assumptions were tested by measuring the effe</w:t>
      </w:r>
      <w:r w:rsidRPr="00EA5420">
        <w:t xml:space="preserve">ct of varying each key assumption in turn by plus or minus 1% </w:t>
      </w:r>
      <w:r w:rsidR="0081311D">
        <w:t xml:space="preserve">per annum </w:t>
      </w:r>
      <w:r w:rsidRPr="00EA5420">
        <w:t>whilst keeping all other assumptions unchanged</w:t>
      </w:r>
      <w:r>
        <w:t>.</w:t>
      </w:r>
    </w:p>
    <w:p w:rsidR="00A51909" w:rsidRPr="00331A3B" w:rsidRDefault="00A51909" w:rsidP="00A51909"/>
    <w:p w:rsidR="00C64FAB" w:rsidRDefault="00C64FAB" w:rsidP="00C64FAB">
      <w:r w:rsidRPr="00EA5420">
        <w:t>The alternative assumptions used were:</w:t>
      </w:r>
    </w:p>
    <w:p w:rsidR="00C64FAB" w:rsidRPr="00E87013" w:rsidRDefault="00C64FAB" w:rsidP="0026079F">
      <w:pPr>
        <w:pStyle w:val="ListBullet"/>
      </w:pPr>
      <w:r>
        <w:t>i</w:t>
      </w:r>
      <w:r w:rsidRPr="00E87013">
        <w:t xml:space="preserve">nvestment </w:t>
      </w:r>
      <w:r>
        <w:t>r</w:t>
      </w:r>
      <w:r w:rsidRPr="00E87013">
        <w:t xml:space="preserve">eturn / </w:t>
      </w:r>
      <w:r>
        <w:t>d</w:t>
      </w:r>
      <w:r w:rsidRPr="00E87013">
        <w:t xml:space="preserve">iscount </w:t>
      </w:r>
      <w:r>
        <w:t>r</w:t>
      </w:r>
      <w:r w:rsidRPr="00E87013">
        <w:t xml:space="preserve">ate plus 1% </w:t>
      </w:r>
      <w:r w:rsidR="0081311D">
        <w:t xml:space="preserve">per annum </w:t>
      </w:r>
      <w:r>
        <w:t>(</w:t>
      </w:r>
      <w:r w:rsidRPr="00E87013">
        <w:t xml:space="preserve">increased to </w:t>
      </w:r>
      <w:r>
        <w:t>6</w:t>
      </w:r>
      <w:r w:rsidRPr="00E87013">
        <w:t>% per annum (nominal)</w:t>
      </w:r>
      <w:r>
        <w:t>);</w:t>
      </w:r>
    </w:p>
    <w:p w:rsidR="00C64FAB" w:rsidRDefault="00C64FAB" w:rsidP="0026079F">
      <w:pPr>
        <w:pStyle w:val="ListBullet"/>
      </w:pPr>
      <w:r>
        <w:t>i</w:t>
      </w:r>
      <w:r w:rsidRPr="00E87013">
        <w:t xml:space="preserve">nvestment </w:t>
      </w:r>
      <w:r>
        <w:t>r</w:t>
      </w:r>
      <w:r w:rsidRPr="00E87013">
        <w:t xml:space="preserve">eturn / </w:t>
      </w:r>
      <w:r>
        <w:t>d</w:t>
      </w:r>
      <w:r w:rsidRPr="00E87013">
        <w:t xml:space="preserve">iscount </w:t>
      </w:r>
      <w:r>
        <w:t>r</w:t>
      </w:r>
      <w:r w:rsidRPr="00E87013">
        <w:t xml:space="preserve">ate minus 1% </w:t>
      </w:r>
      <w:r w:rsidR="0081311D">
        <w:t xml:space="preserve">per annum </w:t>
      </w:r>
      <w:r>
        <w:t>(</w:t>
      </w:r>
      <w:r w:rsidRPr="00E87013">
        <w:t xml:space="preserve">reduced to </w:t>
      </w:r>
      <w:r>
        <w:t>4</w:t>
      </w:r>
      <w:r w:rsidRPr="00E87013">
        <w:t>% per annum (nominal)</w:t>
      </w:r>
      <w:r>
        <w:t>);</w:t>
      </w:r>
    </w:p>
    <w:p w:rsidR="00C64FAB" w:rsidRPr="00E87013" w:rsidRDefault="00C64FAB" w:rsidP="0026079F">
      <w:pPr>
        <w:pStyle w:val="ListBullet"/>
      </w:pPr>
      <w:r>
        <w:t>g</w:t>
      </w:r>
      <w:r w:rsidRPr="00E87013">
        <w:t xml:space="preserve">eneral </w:t>
      </w:r>
      <w:r>
        <w:t>s</w:t>
      </w:r>
      <w:r w:rsidRPr="00E87013">
        <w:t xml:space="preserve">alary </w:t>
      </w:r>
      <w:r>
        <w:t>i</w:t>
      </w:r>
      <w:r w:rsidRPr="00E87013">
        <w:t xml:space="preserve">ncreases plus 1% </w:t>
      </w:r>
      <w:r w:rsidR="0081311D">
        <w:t xml:space="preserve">per annum </w:t>
      </w:r>
      <w:r>
        <w:t>(</w:t>
      </w:r>
      <w:r w:rsidRPr="00E87013">
        <w:t xml:space="preserve">increased to </w:t>
      </w:r>
      <w:r>
        <w:t>4.5</w:t>
      </w:r>
      <w:r w:rsidRPr="00E87013">
        <w:t>% per annum (nominal)</w:t>
      </w:r>
      <w:r>
        <w:t>);</w:t>
      </w:r>
    </w:p>
    <w:p w:rsidR="00C64FAB" w:rsidRDefault="00C64FAB" w:rsidP="0026079F">
      <w:pPr>
        <w:pStyle w:val="ListBullet"/>
      </w:pPr>
      <w:r>
        <w:t>g</w:t>
      </w:r>
      <w:r w:rsidRPr="00E87013">
        <w:t xml:space="preserve">eneral </w:t>
      </w:r>
      <w:r>
        <w:t>s</w:t>
      </w:r>
      <w:r w:rsidRPr="00E87013">
        <w:t xml:space="preserve">alary </w:t>
      </w:r>
      <w:r>
        <w:t>i</w:t>
      </w:r>
      <w:r w:rsidRPr="00E87013">
        <w:t xml:space="preserve">ncreases minus 1% </w:t>
      </w:r>
      <w:r w:rsidR="0081311D">
        <w:t xml:space="preserve">per annum </w:t>
      </w:r>
      <w:r>
        <w:t>(</w:t>
      </w:r>
      <w:r w:rsidRPr="00E87013">
        <w:t xml:space="preserve">reduced to </w:t>
      </w:r>
      <w:r>
        <w:t>2.5</w:t>
      </w:r>
      <w:r w:rsidRPr="00E87013">
        <w:t>% per annum (nominal)</w:t>
      </w:r>
      <w:r>
        <w:t>);</w:t>
      </w:r>
    </w:p>
    <w:p w:rsidR="00C64FAB" w:rsidRPr="00E87013" w:rsidRDefault="00C64FAB" w:rsidP="0026079F">
      <w:pPr>
        <w:pStyle w:val="ListBullet"/>
      </w:pPr>
      <w:r w:rsidRPr="00E87013">
        <w:t xml:space="preserve">CPI </w:t>
      </w:r>
      <w:r>
        <w:t>i</w:t>
      </w:r>
      <w:r w:rsidRPr="00E87013">
        <w:t xml:space="preserve">ncreases plus 1% </w:t>
      </w:r>
      <w:r w:rsidR="0081311D">
        <w:t xml:space="preserve">per annum </w:t>
      </w:r>
      <w:r>
        <w:t>(</w:t>
      </w:r>
      <w:r w:rsidRPr="00E87013">
        <w:t>increased to 3.5% per annum</w:t>
      </w:r>
      <w:r>
        <w:t>); and</w:t>
      </w:r>
    </w:p>
    <w:p w:rsidR="00C64FAB" w:rsidRPr="00E87013" w:rsidRDefault="00C64FAB" w:rsidP="0026079F">
      <w:pPr>
        <w:pStyle w:val="ListBullet"/>
      </w:pPr>
      <w:r w:rsidRPr="00E87013">
        <w:t xml:space="preserve">CPI </w:t>
      </w:r>
      <w:r>
        <w:t>i</w:t>
      </w:r>
      <w:r w:rsidRPr="00E87013">
        <w:t xml:space="preserve">ncreases minus 1% </w:t>
      </w:r>
      <w:r w:rsidR="0081311D">
        <w:t xml:space="preserve">per annum </w:t>
      </w:r>
      <w:r>
        <w:t>(</w:t>
      </w:r>
      <w:r w:rsidRPr="00E87013">
        <w:t>reduced to 1.5% per annum</w:t>
      </w:r>
      <w:r>
        <w:t>).</w:t>
      </w:r>
    </w:p>
    <w:p w:rsidR="008F6510" w:rsidRDefault="008F6510" w:rsidP="008F6510"/>
    <w:tbl>
      <w:tblPr>
        <w:tblW w:w="9711"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2766"/>
        <w:gridCol w:w="1157"/>
        <w:gridCol w:w="1158"/>
        <w:gridCol w:w="1157"/>
        <w:gridCol w:w="1158"/>
        <w:gridCol w:w="1157"/>
        <w:gridCol w:w="1158"/>
      </w:tblGrid>
      <w:tr w:rsidR="008F6510" w:rsidRPr="008F6510" w:rsidTr="008F6510">
        <w:trPr>
          <w:cantSplit/>
          <w:trHeight w:val="450"/>
          <w:tblHeader/>
        </w:trPr>
        <w:tc>
          <w:tcPr>
            <w:tcW w:w="2766" w:type="dxa"/>
            <w:vMerge w:val="restart"/>
            <w:shd w:val="clear" w:color="auto" w:fill="00A8C8"/>
          </w:tcPr>
          <w:p w:rsidR="008F6510" w:rsidRPr="008F6510" w:rsidRDefault="008F6510" w:rsidP="008F6510">
            <w:pPr>
              <w:pStyle w:val="TableHeadingText"/>
              <w:jc w:val="center"/>
              <w:rPr>
                <w:caps w:val="0"/>
              </w:rPr>
            </w:pPr>
            <w:r w:rsidRPr="008F6510">
              <w:rPr>
                <w:caps w:val="0"/>
              </w:rPr>
              <w:t>Unfunded Liabil</w:t>
            </w:r>
            <w:r w:rsidR="00394AD2">
              <w:rPr>
                <w:caps w:val="0"/>
              </w:rPr>
              <w:t>ity (UFL) a</w:t>
            </w:r>
            <w:r w:rsidRPr="008F6510">
              <w:rPr>
                <w:caps w:val="0"/>
              </w:rPr>
              <w:t>s at 30 June 2017 ($ billion)</w:t>
            </w:r>
          </w:p>
        </w:tc>
        <w:tc>
          <w:tcPr>
            <w:tcW w:w="2315" w:type="dxa"/>
            <w:gridSpan w:val="2"/>
            <w:shd w:val="clear" w:color="auto" w:fill="00A8C8"/>
          </w:tcPr>
          <w:p w:rsidR="008F6510" w:rsidRPr="008F6510" w:rsidRDefault="008F6510" w:rsidP="004D6D93">
            <w:pPr>
              <w:pStyle w:val="TableHeadingText"/>
              <w:jc w:val="center"/>
              <w:rPr>
                <w:caps w:val="0"/>
              </w:rPr>
            </w:pPr>
            <w:r w:rsidRPr="008F6510">
              <w:rPr>
                <w:caps w:val="0"/>
              </w:rPr>
              <w:t>PSS</w:t>
            </w:r>
          </w:p>
        </w:tc>
        <w:tc>
          <w:tcPr>
            <w:tcW w:w="2315" w:type="dxa"/>
            <w:gridSpan w:val="2"/>
            <w:shd w:val="clear" w:color="auto" w:fill="00A8C8"/>
          </w:tcPr>
          <w:p w:rsidR="008F6510" w:rsidRPr="008F6510" w:rsidRDefault="008F6510" w:rsidP="004D6D93">
            <w:pPr>
              <w:pStyle w:val="TableHeadingText"/>
              <w:jc w:val="center"/>
              <w:rPr>
                <w:caps w:val="0"/>
              </w:rPr>
            </w:pPr>
            <w:r w:rsidRPr="008F6510">
              <w:rPr>
                <w:caps w:val="0"/>
              </w:rPr>
              <w:t>CSS</w:t>
            </w:r>
          </w:p>
        </w:tc>
        <w:tc>
          <w:tcPr>
            <w:tcW w:w="2315" w:type="dxa"/>
            <w:gridSpan w:val="2"/>
            <w:shd w:val="clear" w:color="auto" w:fill="00A8C8"/>
          </w:tcPr>
          <w:p w:rsidR="008F6510" w:rsidRPr="008F6510" w:rsidRDefault="008F6510" w:rsidP="004D6D93">
            <w:pPr>
              <w:pStyle w:val="TableHeadingText"/>
              <w:jc w:val="center"/>
              <w:rPr>
                <w:caps w:val="0"/>
              </w:rPr>
            </w:pPr>
            <w:r w:rsidRPr="008F6510">
              <w:rPr>
                <w:caps w:val="0"/>
              </w:rPr>
              <w:t>Combined</w:t>
            </w:r>
          </w:p>
        </w:tc>
      </w:tr>
      <w:tr w:rsidR="008F6510" w:rsidRPr="008F6510" w:rsidTr="008F6510">
        <w:trPr>
          <w:cantSplit/>
          <w:trHeight w:val="450"/>
          <w:tblHeader/>
        </w:trPr>
        <w:tc>
          <w:tcPr>
            <w:tcW w:w="2766" w:type="dxa"/>
            <w:vMerge/>
            <w:shd w:val="clear" w:color="auto" w:fill="00A8C8"/>
          </w:tcPr>
          <w:p w:rsidR="008F6510" w:rsidRPr="008F6510" w:rsidRDefault="008F6510" w:rsidP="004D6D93">
            <w:pPr>
              <w:pStyle w:val="TableHeadingText"/>
              <w:jc w:val="center"/>
              <w:rPr>
                <w:caps w:val="0"/>
              </w:rPr>
            </w:pPr>
          </w:p>
        </w:tc>
        <w:tc>
          <w:tcPr>
            <w:tcW w:w="1157" w:type="dxa"/>
            <w:shd w:val="clear" w:color="auto" w:fill="00A8C8"/>
          </w:tcPr>
          <w:p w:rsidR="008F6510" w:rsidRPr="008F6510" w:rsidRDefault="008F6510" w:rsidP="004D6D93">
            <w:pPr>
              <w:pStyle w:val="TableHeadingText"/>
              <w:jc w:val="center"/>
              <w:rPr>
                <w:caps w:val="0"/>
              </w:rPr>
            </w:pPr>
            <w:r w:rsidRPr="008F6510">
              <w:rPr>
                <w:caps w:val="0"/>
              </w:rPr>
              <w:t>UFL</w:t>
            </w:r>
          </w:p>
        </w:tc>
        <w:tc>
          <w:tcPr>
            <w:tcW w:w="1158" w:type="dxa"/>
            <w:shd w:val="clear" w:color="auto" w:fill="00A8C8"/>
          </w:tcPr>
          <w:p w:rsidR="008F6510" w:rsidRPr="008F6510" w:rsidRDefault="008F6510" w:rsidP="004D6D93">
            <w:pPr>
              <w:pStyle w:val="TableHeadingText"/>
              <w:jc w:val="center"/>
              <w:rPr>
                <w:caps w:val="0"/>
              </w:rPr>
            </w:pPr>
            <w:r w:rsidRPr="008F6510">
              <w:rPr>
                <w:caps w:val="0"/>
              </w:rPr>
              <w:t>% Change</w:t>
            </w:r>
          </w:p>
        </w:tc>
        <w:tc>
          <w:tcPr>
            <w:tcW w:w="1157" w:type="dxa"/>
            <w:shd w:val="clear" w:color="auto" w:fill="00A8C8"/>
          </w:tcPr>
          <w:p w:rsidR="008F6510" w:rsidRPr="008F6510" w:rsidRDefault="008F6510" w:rsidP="004D6D93">
            <w:pPr>
              <w:pStyle w:val="TableHeadingText"/>
              <w:jc w:val="center"/>
              <w:rPr>
                <w:caps w:val="0"/>
              </w:rPr>
            </w:pPr>
            <w:r w:rsidRPr="008F6510">
              <w:rPr>
                <w:caps w:val="0"/>
              </w:rPr>
              <w:t>UFL</w:t>
            </w:r>
          </w:p>
        </w:tc>
        <w:tc>
          <w:tcPr>
            <w:tcW w:w="1158" w:type="dxa"/>
            <w:shd w:val="clear" w:color="auto" w:fill="00A8C8"/>
          </w:tcPr>
          <w:p w:rsidR="008F6510" w:rsidRPr="008F6510" w:rsidRDefault="008F6510" w:rsidP="004D6D93">
            <w:pPr>
              <w:pStyle w:val="TableHeadingText"/>
              <w:jc w:val="center"/>
              <w:rPr>
                <w:caps w:val="0"/>
              </w:rPr>
            </w:pPr>
            <w:r w:rsidRPr="008F6510">
              <w:rPr>
                <w:caps w:val="0"/>
              </w:rPr>
              <w:t>% Change</w:t>
            </w:r>
          </w:p>
        </w:tc>
        <w:tc>
          <w:tcPr>
            <w:tcW w:w="1157" w:type="dxa"/>
            <w:shd w:val="clear" w:color="auto" w:fill="00A8C8"/>
          </w:tcPr>
          <w:p w:rsidR="008F6510" w:rsidRPr="008F6510" w:rsidRDefault="008F6510" w:rsidP="004D6D93">
            <w:pPr>
              <w:pStyle w:val="TableHeadingText"/>
              <w:jc w:val="center"/>
              <w:rPr>
                <w:caps w:val="0"/>
              </w:rPr>
            </w:pPr>
            <w:r w:rsidRPr="008F6510">
              <w:rPr>
                <w:caps w:val="0"/>
              </w:rPr>
              <w:t>UFL</w:t>
            </w:r>
          </w:p>
        </w:tc>
        <w:tc>
          <w:tcPr>
            <w:tcW w:w="1158" w:type="dxa"/>
            <w:shd w:val="clear" w:color="auto" w:fill="00A8C8"/>
          </w:tcPr>
          <w:p w:rsidR="008F6510" w:rsidRPr="008F6510" w:rsidRDefault="008F6510" w:rsidP="004D6D93">
            <w:pPr>
              <w:pStyle w:val="TableHeadingText"/>
              <w:jc w:val="center"/>
              <w:rPr>
                <w:caps w:val="0"/>
              </w:rPr>
            </w:pPr>
            <w:r w:rsidRPr="008F6510">
              <w:rPr>
                <w:caps w:val="0"/>
              </w:rPr>
              <w:t>% Change</w:t>
            </w:r>
          </w:p>
        </w:tc>
      </w:tr>
      <w:tr w:rsidR="008F6510" w:rsidRPr="008F6510" w:rsidTr="008F6510">
        <w:tblPrEx>
          <w:shd w:val="clear" w:color="auto" w:fill="auto"/>
        </w:tblPrEx>
        <w:trPr>
          <w:cantSplit/>
        </w:trPr>
        <w:tc>
          <w:tcPr>
            <w:tcW w:w="2766" w:type="dxa"/>
            <w:shd w:val="clear" w:color="auto" w:fill="F2F2F2"/>
          </w:tcPr>
          <w:p w:rsidR="008F6510" w:rsidRPr="008F6510" w:rsidRDefault="008F6510" w:rsidP="008F6510">
            <w:pPr>
              <w:pStyle w:val="TableText"/>
              <w:rPr>
                <w:b/>
              </w:rPr>
            </w:pPr>
            <w:r w:rsidRPr="008F6510">
              <w:rPr>
                <w:b/>
              </w:rPr>
              <w:t>Base case</w:t>
            </w:r>
          </w:p>
        </w:tc>
        <w:tc>
          <w:tcPr>
            <w:tcW w:w="1157" w:type="dxa"/>
            <w:shd w:val="clear" w:color="auto" w:fill="F2F2F2"/>
            <w:vAlign w:val="center"/>
          </w:tcPr>
          <w:p w:rsidR="008F6510" w:rsidRPr="008F6510" w:rsidRDefault="008F6510" w:rsidP="008F6510">
            <w:pPr>
              <w:pStyle w:val="TableText"/>
              <w:jc w:val="center"/>
              <w:rPr>
                <w:b/>
              </w:rPr>
            </w:pPr>
            <w:r w:rsidRPr="008F6510">
              <w:rPr>
                <w:b/>
              </w:rPr>
              <w:t>67.8</w:t>
            </w:r>
          </w:p>
        </w:tc>
        <w:tc>
          <w:tcPr>
            <w:tcW w:w="1158" w:type="dxa"/>
            <w:shd w:val="clear" w:color="auto" w:fill="F2F2F2"/>
            <w:vAlign w:val="center"/>
          </w:tcPr>
          <w:p w:rsidR="008F6510" w:rsidRPr="008F6510" w:rsidRDefault="008F6510" w:rsidP="008F6510">
            <w:pPr>
              <w:pStyle w:val="TableText"/>
              <w:jc w:val="center"/>
              <w:rPr>
                <w:b/>
              </w:rPr>
            </w:pPr>
            <w:r w:rsidRPr="008F6510">
              <w:rPr>
                <w:b/>
              </w:rPr>
              <w:t>-</w:t>
            </w:r>
          </w:p>
        </w:tc>
        <w:tc>
          <w:tcPr>
            <w:tcW w:w="1157" w:type="dxa"/>
            <w:shd w:val="clear" w:color="auto" w:fill="F2F2F2"/>
            <w:vAlign w:val="center"/>
          </w:tcPr>
          <w:p w:rsidR="008F6510" w:rsidRPr="008F6510" w:rsidRDefault="008F6510" w:rsidP="008F6510">
            <w:pPr>
              <w:pStyle w:val="TableText"/>
              <w:jc w:val="center"/>
              <w:rPr>
                <w:b/>
              </w:rPr>
            </w:pPr>
            <w:r w:rsidRPr="008F6510">
              <w:rPr>
                <w:b/>
              </w:rPr>
              <w:t>70.0</w:t>
            </w:r>
          </w:p>
        </w:tc>
        <w:tc>
          <w:tcPr>
            <w:tcW w:w="1158" w:type="dxa"/>
            <w:shd w:val="clear" w:color="auto" w:fill="F2F2F2"/>
            <w:vAlign w:val="center"/>
          </w:tcPr>
          <w:p w:rsidR="008F6510" w:rsidRPr="008F6510" w:rsidRDefault="008F6510" w:rsidP="008F6510">
            <w:pPr>
              <w:pStyle w:val="TableText"/>
              <w:jc w:val="center"/>
              <w:rPr>
                <w:b/>
              </w:rPr>
            </w:pPr>
            <w:r w:rsidRPr="008F6510">
              <w:rPr>
                <w:b/>
              </w:rPr>
              <w:t>-</w:t>
            </w:r>
          </w:p>
        </w:tc>
        <w:tc>
          <w:tcPr>
            <w:tcW w:w="1157" w:type="dxa"/>
            <w:shd w:val="clear" w:color="auto" w:fill="F2F2F2"/>
            <w:vAlign w:val="center"/>
          </w:tcPr>
          <w:p w:rsidR="008F6510" w:rsidRPr="008F6510" w:rsidRDefault="008F6510" w:rsidP="008F6510">
            <w:pPr>
              <w:pStyle w:val="TableText"/>
              <w:jc w:val="center"/>
              <w:rPr>
                <w:b/>
              </w:rPr>
            </w:pPr>
            <w:r w:rsidRPr="008F6510">
              <w:rPr>
                <w:b/>
              </w:rPr>
              <w:t>137.8</w:t>
            </w:r>
          </w:p>
        </w:tc>
        <w:tc>
          <w:tcPr>
            <w:tcW w:w="1158" w:type="dxa"/>
            <w:shd w:val="clear" w:color="auto" w:fill="F2F2F2"/>
            <w:vAlign w:val="center"/>
          </w:tcPr>
          <w:p w:rsidR="008F6510" w:rsidRPr="008F6510" w:rsidRDefault="008F6510" w:rsidP="008F6510">
            <w:pPr>
              <w:pStyle w:val="TableText"/>
              <w:jc w:val="center"/>
              <w:rPr>
                <w:b/>
              </w:rPr>
            </w:pPr>
            <w:r w:rsidRPr="008F6510">
              <w:rPr>
                <w:b/>
              </w:rPr>
              <w:t>-</w:t>
            </w:r>
          </w:p>
        </w:tc>
      </w:tr>
      <w:tr w:rsidR="008F6510" w:rsidRPr="008F6510" w:rsidTr="008F6510">
        <w:tblPrEx>
          <w:shd w:val="clear" w:color="auto" w:fill="auto"/>
        </w:tblPrEx>
        <w:trPr>
          <w:cantSplit/>
        </w:trPr>
        <w:tc>
          <w:tcPr>
            <w:tcW w:w="2766" w:type="dxa"/>
            <w:shd w:val="clear" w:color="auto" w:fill="F2F2F2"/>
          </w:tcPr>
          <w:p w:rsidR="008F6510" w:rsidRPr="000943F1" w:rsidRDefault="008F6510" w:rsidP="008F6510">
            <w:pPr>
              <w:pStyle w:val="TableText"/>
            </w:pPr>
            <w:r w:rsidRPr="000943F1">
              <w:t>+1% per annum investment return / discount rate</w:t>
            </w:r>
          </w:p>
        </w:tc>
        <w:tc>
          <w:tcPr>
            <w:tcW w:w="1157" w:type="dxa"/>
            <w:shd w:val="clear" w:color="auto" w:fill="F2F2F2"/>
            <w:vAlign w:val="center"/>
          </w:tcPr>
          <w:p w:rsidR="008F6510" w:rsidRPr="008F6510" w:rsidRDefault="00BA5E1E" w:rsidP="008F6510">
            <w:pPr>
              <w:pStyle w:val="TableText"/>
              <w:jc w:val="center"/>
            </w:pPr>
            <w:r>
              <w:t>55.0</w:t>
            </w:r>
          </w:p>
        </w:tc>
        <w:tc>
          <w:tcPr>
            <w:tcW w:w="1158" w:type="dxa"/>
            <w:shd w:val="clear" w:color="auto" w:fill="F2F2F2"/>
            <w:vAlign w:val="center"/>
          </w:tcPr>
          <w:p w:rsidR="008F6510" w:rsidRPr="008F6510" w:rsidRDefault="00BA5E1E" w:rsidP="008F6510">
            <w:pPr>
              <w:pStyle w:val="TableText"/>
              <w:jc w:val="center"/>
            </w:pPr>
            <w:r>
              <w:t>-18.9%</w:t>
            </w:r>
          </w:p>
        </w:tc>
        <w:tc>
          <w:tcPr>
            <w:tcW w:w="1157" w:type="dxa"/>
            <w:shd w:val="clear" w:color="auto" w:fill="F2F2F2"/>
            <w:vAlign w:val="center"/>
          </w:tcPr>
          <w:p w:rsidR="008F6510" w:rsidRPr="008F6510" w:rsidRDefault="004A3003" w:rsidP="008F6510">
            <w:pPr>
              <w:pStyle w:val="TableText"/>
              <w:jc w:val="center"/>
            </w:pPr>
            <w:r>
              <w:t>62.5</w:t>
            </w:r>
          </w:p>
        </w:tc>
        <w:tc>
          <w:tcPr>
            <w:tcW w:w="1158" w:type="dxa"/>
            <w:shd w:val="clear" w:color="auto" w:fill="F2F2F2"/>
            <w:vAlign w:val="center"/>
          </w:tcPr>
          <w:p w:rsidR="008F6510" w:rsidRPr="008F6510" w:rsidRDefault="0059232A" w:rsidP="008F6510">
            <w:pPr>
              <w:pStyle w:val="TableText"/>
              <w:jc w:val="center"/>
            </w:pPr>
            <w:r>
              <w:t>-10.7%</w:t>
            </w:r>
          </w:p>
        </w:tc>
        <w:tc>
          <w:tcPr>
            <w:tcW w:w="1157" w:type="dxa"/>
            <w:shd w:val="clear" w:color="auto" w:fill="F2F2F2"/>
            <w:vAlign w:val="center"/>
          </w:tcPr>
          <w:p w:rsidR="008F6510" w:rsidRPr="008F6510" w:rsidRDefault="00BA5E1E" w:rsidP="008F6510">
            <w:pPr>
              <w:pStyle w:val="TableText"/>
              <w:jc w:val="center"/>
            </w:pPr>
            <w:r>
              <w:t>117.5</w:t>
            </w:r>
          </w:p>
        </w:tc>
        <w:tc>
          <w:tcPr>
            <w:tcW w:w="1158" w:type="dxa"/>
            <w:shd w:val="clear" w:color="auto" w:fill="F2F2F2"/>
            <w:vAlign w:val="center"/>
          </w:tcPr>
          <w:p w:rsidR="008F6510" w:rsidRPr="008F6510" w:rsidRDefault="0059232A" w:rsidP="008F6510">
            <w:pPr>
              <w:pStyle w:val="TableText"/>
              <w:jc w:val="center"/>
            </w:pPr>
            <w:r>
              <w:t>-14.7%</w:t>
            </w:r>
          </w:p>
        </w:tc>
      </w:tr>
      <w:tr w:rsidR="008F6510" w:rsidRPr="008F6510" w:rsidTr="008F6510">
        <w:tblPrEx>
          <w:shd w:val="clear" w:color="auto" w:fill="auto"/>
        </w:tblPrEx>
        <w:trPr>
          <w:cantSplit/>
        </w:trPr>
        <w:tc>
          <w:tcPr>
            <w:tcW w:w="2766" w:type="dxa"/>
            <w:shd w:val="clear" w:color="auto" w:fill="F2F2F2"/>
          </w:tcPr>
          <w:p w:rsidR="008F6510" w:rsidRPr="000943F1" w:rsidRDefault="008F6510" w:rsidP="008F6510">
            <w:pPr>
              <w:pStyle w:val="TableText"/>
            </w:pPr>
            <w:r w:rsidRPr="000943F1">
              <w:t>-1% per annum investment return / discount rate</w:t>
            </w:r>
          </w:p>
        </w:tc>
        <w:tc>
          <w:tcPr>
            <w:tcW w:w="1157" w:type="dxa"/>
            <w:shd w:val="clear" w:color="auto" w:fill="F2F2F2"/>
            <w:vAlign w:val="center"/>
          </w:tcPr>
          <w:p w:rsidR="008F6510" w:rsidRPr="008F6510" w:rsidRDefault="00BA5E1E" w:rsidP="008F6510">
            <w:pPr>
              <w:pStyle w:val="TableText"/>
              <w:jc w:val="center"/>
            </w:pPr>
            <w:r>
              <w:t>84.1</w:t>
            </w:r>
          </w:p>
        </w:tc>
        <w:tc>
          <w:tcPr>
            <w:tcW w:w="1158" w:type="dxa"/>
            <w:shd w:val="clear" w:color="auto" w:fill="F2F2F2"/>
            <w:vAlign w:val="center"/>
          </w:tcPr>
          <w:p w:rsidR="008F6510" w:rsidRPr="008F6510" w:rsidRDefault="00BA5E1E" w:rsidP="008F6510">
            <w:pPr>
              <w:pStyle w:val="TableText"/>
              <w:jc w:val="center"/>
            </w:pPr>
            <w:r>
              <w:t>+24.0%</w:t>
            </w:r>
          </w:p>
        </w:tc>
        <w:tc>
          <w:tcPr>
            <w:tcW w:w="1157" w:type="dxa"/>
            <w:shd w:val="clear" w:color="auto" w:fill="F2F2F2"/>
            <w:vAlign w:val="center"/>
          </w:tcPr>
          <w:p w:rsidR="008F6510" w:rsidRPr="008F6510" w:rsidRDefault="004A3003" w:rsidP="008F6510">
            <w:pPr>
              <w:pStyle w:val="TableText"/>
              <w:jc w:val="center"/>
            </w:pPr>
            <w:r>
              <w:t>78.6</w:t>
            </w:r>
          </w:p>
        </w:tc>
        <w:tc>
          <w:tcPr>
            <w:tcW w:w="1158" w:type="dxa"/>
            <w:shd w:val="clear" w:color="auto" w:fill="F2F2F2"/>
            <w:vAlign w:val="center"/>
          </w:tcPr>
          <w:p w:rsidR="008F6510" w:rsidRPr="008F6510" w:rsidRDefault="0059232A" w:rsidP="008F6510">
            <w:pPr>
              <w:pStyle w:val="TableText"/>
              <w:jc w:val="center"/>
            </w:pPr>
            <w:r>
              <w:t>+12.3%</w:t>
            </w:r>
          </w:p>
        </w:tc>
        <w:tc>
          <w:tcPr>
            <w:tcW w:w="1157" w:type="dxa"/>
            <w:shd w:val="clear" w:color="auto" w:fill="F2F2F2"/>
            <w:vAlign w:val="center"/>
          </w:tcPr>
          <w:p w:rsidR="008F6510" w:rsidRPr="008F6510" w:rsidRDefault="00BA5E1E" w:rsidP="008F6510">
            <w:pPr>
              <w:pStyle w:val="TableText"/>
              <w:jc w:val="center"/>
            </w:pPr>
            <w:r>
              <w:t>162.7</w:t>
            </w:r>
          </w:p>
        </w:tc>
        <w:tc>
          <w:tcPr>
            <w:tcW w:w="1158" w:type="dxa"/>
            <w:shd w:val="clear" w:color="auto" w:fill="F2F2F2"/>
            <w:vAlign w:val="center"/>
          </w:tcPr>
          <w:p w:rsidR="008F6510" w:rsidRPr="008F6510" w:rsidRDefault="0059232A" w:rsidP="008F6510">
            <w:pPr>
              <w:pStyle w:val="TableText"/>
              <w:jc w:val="center"/>
            </w:pPr>
            <w:r>
              <w:t>18.1%</w:t>
            </w:r>
          </w:p>
        </w:tc>
      </w:tr>
      <w:tr w:rsidR="008F6510" w:rsidRPr="008F6510" w:rsidTr="008F6510">
        <w:tblPrEx>
          <w:shd w:val="clear" w:color="auto" w:fill="auto"/>
        </w:tblPrEx>
        <w:trPr>
          <w:cantSplit/>
        </w:trPr>
        <w:tc>
          <w:tcPr>
            <w:tcW w:w="2766" w:type="dxa"/>
            <w:shd w:val="clear" w:color="auto" w:fill="F2F2F2"/>
          </w:tcPr>
          <w:p w:rsidR="008F6510" w:rsidRPr="000943F1" w:rsidRDefault="008F6510" w:rsidP="008F6510">
            <w:pPr>
              <w:pStyle w:val="TableText"/>
            </w:pPr>
            <w:r w:rsidRPr="000943F1">
              <w:t>+1% per annum general salary increase</w:t>
            </w:r>
          </w:p>
        </w:tc>
        <w:tc>
          <w:tcPr>
            <w:tcW w:w="1157" w:type="dxa"/>
            <w:shd w:val="clear" w:color="auto" w:fill="F2F2F2"/>
            <w:vAlign w:val="center"/>
          </w:tcPr>
          <w:p w:rsidR="008F6510" w:rsidRPr="008F6510" w:rsidRDefault="00BA5E1E" w:rsidP="008F6510">
            <w:pPr>
              <w:pStyle w:val="TableText"/>
              <w:jc w:val="center"/>
            </w:pPr>
            <w:r>
              <w:t>71.2</w:t>
            </w:r>
          </w:p>
        </w:tc>
        <w:tc>
          <w:tcPr>
            <w:tcW w:w="1158" w:type="dxa"/>
            <w:shd w:val="clear" w:color="auto" w:fill="F2F2F2"/>
            <w:vAlign w:val="center"/>
          </w:tcPr>
          <w:p w:rsidR="008F6510" w:rsidRPr="008F6510" w:rsidRDefault="00BA5E1E" w:rsidP="008F6510">
            <w:pPr>
              <w:pStyle w:val="TableText"/>
              <w:jc w:val="center"/>
            </w:pPr>
            <w:r>
              <w:t>+5.0%</w:t>
            </w:r>
          </w:p>
        </w:tc>
        <w:tc>
          <w:tcPr>
            <w:tcW w:w="1157" w:type="dxa"/>
            <w:shd w:val="clear" w:color="auto" w:fill="F2F2F2"/>
            <w:vAlign w:val="center"/>
          </w:tcPr>
          <w:p w:rsidR="008F6510" w:rsidRPr="008F6510" w:rsidRDefault="004A3003" w:rsidP="008F6510">
            <w:pPr>
              <w:pStyle w:val="TableText"/>
              <w:jc w:val="center"/>
            </w:pPr>
            <w:r>
              <w:t>70.2</w:t>
            </w:r>
          </w:p>
        </w:tc>
        <w:tc>
          <w:tcPr>
            <w:tcW w:w="1158" w:type="dxa"/>
            <w:shd w:val="clear" w:color="auto" w:fill="F2F2F2"/>
            <w:vAlign w:val="center"/>
          </w:tcPr>
          <w:p w:rsidR="008F6510" w:rsidRPr="008F6510" w:rsidRDefault="0059232A" w:rsidP="008F6510">
            <w:pPr>
              <w:pStyle w:val="TableText"/>
              <w:jc w:val="center"/>
            </w:pPr>
            <w:r>
              <w:t>+0.3%</w:t>
            </w:r>
          </w:p>
        </w:tc>
        <w:tc>
          <w:tcPr>
            <w:tcW w:w="1157" w:type="dxa"/>
            <w:shd w:val="clear" w:color="auto" w:fill="F2F2F2"/>
            <w:vAlign w:val="center"/>
          </w:tcPr>
          <w:p w:rsidR="008F6510" w:rsidRPr="008F6510" w:rsidRDefault="00BA5E1E" w:rsidP="008F6510">
            <w:pPr>
              <w:pStyle w:val="TableText"/>
              <w:jc w:val="center"/>
            </w:pPr>
            <w:r>
              <w:t>141.4</w:t>
            </w:r>
          </w:p>
        </w:tc>
        <w:tc>
          <w:tcPr>
            <w:tcW w:w="1158" w:type="dxa"/>
            <w:shd w:val="clear" w:color="auto" w:fill="F2F2F2"/>
            <w:vAlign w:val="center"/>
          </w:tcPr>
          <w:p w:rsidR="008F6510" w:rsidRPr="008F6510" w:rsidRDefault="0059232A" w:rsidP="008F6510">
            <w:pPr>
              <w:pStyle w:val="TableText"/>
              <w:jc w:val="center"/>
            </w:pPr>
            <w:r>
              <w:t>+2.6%</w:t>
            </w:r>
          </w:p>
        </w:tc>
      </w:tr>
      <w:tr w:rsidR="008F6510" w:rsidRPr="008F6510" w:rsidTr="008F6510">
        <w:tblPrEx>
          <w:shd w:val="clear" w:color="auto" w:fill="auto"/>
        </w:tblPrEx>
        <w:trPr>
          <w:cantSplit/>
        </w:trPr>
        <w:tc>
          <w:tcPr>
            <w:tcW w:w="2766" w:type="dxa"/>
            <w:shd w:val="clear" w:color="auto" w:fill="F2F2F2"/>
          </w:tcPr>
          <w:p w:rsidR="008F6510" w:rsidRPr="000943F1" w:rsidRDefault="008F6510" w:rsidP="008F6510">
            <w:pPr>
              <w:pStyle w:val="TableText"/>
            </w:pPr>
            <w:r w:rsidRPr="000943F1">
              <w:t>-1% per annum general salary increase</w:t>
            </w:r>
          </w:p>
        </w:tc>
        <w:tc>
          <w:tcPr>
            <w:tcW w:w="1157" w:type="dxa"/>
            <w:shd w:val="clear" w:color="auto" w:fill="F2F2F2"/>
            <w:vAlign w:val="center"/>
          </w:tcPr>
          <w:p w:rsidR="008F6510" w:rsidRPr="008F6510" w:rsidRDefault="00BA5E1E" w:rsidP="008F6510">
            <w:pPr>
              <w:pStyle w:val="TableText"/>
              <w:jc w:val="center"/>
            </w:pPr>
            <w:r>
              <w:t>64.7</w:t>
            </w:r>
          </w:p>
        </w:tc>
        <w:tc>
          <w:tcPr>
            <w:tcW w:w="1158" w:type="dxa"/>
            <w:shd w:val="clear" w:color="auto" w:fill="F2F2F2"/>
            <w:vAlign w:val="center"/>
          </w:tcPr>
          <w:p w:rsidR="008F6510" w:rsidRPr="008F6510" w:rsidRDefault="00BA5E1E" w:rsidP="008F6510">
            <w:pPr>
              <w:pStyle w:val="TableText"/>
              <w:jc w:val="center"/>
            </w:pPr>
            <w:r>
              <w:t>-4.6%</w:t>
            </w:r>
          </w:p>
        </w:tc>
        <w:tc>
          <w:tcPr>
            <w:tcW w:w="1157" w:type="dxa"/>
            <w:shd w:val="clear" w:color="auto" w:fill="F2F2F2"/>
            <w:vAlign w:val="center"/>
          </w:tcPr>
          <w:p w:rsidR="008F6510" w:rsidRPr="008F6510" w:rsidRDefault="004A3003" w:rsidP="008F6510">
            <w:pPr>
              <w:pStyle w:val="TableText"/>
              <w:jc w:val="center"/>
            </w:pPr>
            <w:r>
              <w:t>69.9</w:t>
            </w:r>
          </w:p>
        </w:tc>
        <w:tc>
          <w:tcPr>
            <w:tcW w:w="1158" w:type="dxa"/>
            <w:shd w:val="clear" w:color="auto" w:fill="F2F2F2"/>
            <w:vAlign w:val="center"/>
          </w:tcPr>
          <w:p w:rsidR="008F6510" w:rsidRPr="008F6510" w:rsidRDefault="0059232A" w:rsidP="008F6510">
            <w:pPr>
              <w:pStyle w:val="TableText"/>
              <w:jc w:val="center"/>
            </w:pPr>
            <w:r>
              <w:t>-0.1%</w:t>
            </w:r>
          </w:p>
        </w:tc>
        <w:tc>
          <w:tcPr>
            <w:tcW w:w="1157" w:type="dxa"/>
            <w:shd w:val="clear" w:color="auto" w:fill="F2F2F2"/>
            <w:vAlign w:val="center"/>
          </w:tcPr>
          <w:p w:rsidR="008F6510" w:rsidRPr="008F6510" w:rsidRDefault="00BA5E1E" w:rsidP="008F6510">
            <w:pPr>
              <w:pStyle w:val="TableText"/>
              <w:jc w:val="center"/>
            </w:pPr>
            <w:r>
              <w:t>134.6</w:t>
            </w:r>
          </w:p>
        </w:tc>
        <w:tc>
          <w:tcPr>
            <w:tcW w:w="1158" w:type="dxa"/>
            <w:shd w:val="clear" w:color="auto" w:fill="F2F2F2"/>
            <w:vAlign w:val="center"/>
          </w:tcPr>
          <w:p w:rsidR="008F6510" w:rsidRPr="008F6510" w:rsidRDefault="0059232A" w:rsidP="008F6510">
            <w:pPr>
              <w:pStyle w:val="TableText"/>
              <w:jc w:val="center"/>
            </w:pPr>
            <w:r>
              <w:t>-2.3%</w:t>
            </w:r>
          </w:p>
        </w:tc>
      </w:tr>
      <w:tr w:rsidR="008F6510" w:rsidRPr="008F6510" w:rsidTr="008F6510">
        <w:tblPrEx>
          <w:shd w:val="clear" w:color="auto" w:fill="auto"/>
        </w:tblPrEx>
        <w:trPr>
          <w:cantSplit/>
        </w:trPr>
        <w:tc>
          <w:tcPr>
            <w:tcW w:w="2766" w:type="dxa"/>
            <w:shd w:val="clear" w:color="auto" w:fill="F2F2F2"/>
          </w:tcPr>
          <w:p w:rsidR="008F6510" w:rsidRPr="000943F1" w:rsidRDefault="008F6510" w:rsidP="008F6510">
            <w:pPr>
              <w:pStyle w:val="TableText"/>
            </w:pPr>
            <w:r w:rsidRPr="000943F1">
              <w:t>+1% per annum CPI increase</w:t>
            </w:r>
          </w:p>
        </w:tc>
        <w:tc>
          <w:tcPr>
            <w:tcW w:w="1157" w:type="dxa"/>
            <w:shd w:val="clear" w:color="auto" w:fill="F2F2F2"/>
            <w:vAlign w:val="center"/>
          </w:tcPr>
          <w:p w:rsidR="008F6510" w:rsidRPr="008F6510" w:rsidRDefault="00BA5E1E" w:rsidP="008F6510">
            <w:pPr>
              <w:pStyle w:val="TableText"/>
              <w:jc w:val="center"/>
            </w:pPr>
            <w:r>
              <w:t>79.4</w:t>
            </w:r>
          </w:p>
        </w:tc>
        <w:tc>
          <w:tcPr>
            <w:tcW w:w="1158" w:type="dxa"/>
            <w:shd w:val="clear" w:color="auto" w:fill="F2F2F2"/>
            <w:vAlign w:val="center"/>
          </w:tcPr>
          <w:p w:rsidR="008F6510" w:rsidRPr="008F6510" w:rsidRDefault="00BA5E1E" w:rsidP="008F6510">
            <w:pPr>
              <w:pStyle w:val="TableText"/>
              <w:jc w:val="center"/>
            </w:pPr>
            <w:r>
              <w:t>+17.1%</w:t>
            </w:r>
          </w:p>
        </w:tc>
        <w:tc>
          <w:tcPr>
            <w:tcW w:w="1157" w:type="dxa"/>
            <w:shd w:val="clear" w:color="auto" w:fill="F2F2F2"/>
            <w:vAlign w:val="center"/>
          </w:tcPr>
          <w:p w:rsidR="008F6510" w:rsidRPr="008F6510" w:rsidRDefault="004A3003" w:rsidP="008F6510">
            <w:pPr>
              <w:pStyle w:val="TableText"/>
              <w:jc w:val="center"/>
            </w:pPr>
            <w:r>
              <w:t>77.7</w:t>
            </w:r>
          </w:p>
        </w:tc>
        <w:tc>
          <w:tcPr>
            <w:tcW w:w="1158" w:type="dxa"/>
            <w:shd w:val="clear" w:color="auto" w:fill="F2F2F2"/>
            <w:vAlign w:val="center"/>
          </w:tcPr>
          <w:p w:rsidR="008F6510" w:rsidRPr="008F6510" w:rsidRDefault="0059232A" w:rsidP="008F6510">
            <w:pPr>
              <w:pStyle w:val="TableText"/>
              <w:jc w:val="center"/>
            </w:pPr>
            <w:r>
              <w:t>+11.0%</w:t>
            </w:r>
          </w:p>
        </w:tc>
        <w:tc>
          <w:tcPr>
            <w:tcW w:w="1157" w:type="dxa"/>
            <w:shd w:val="clear" w:color="auto" w:fill="F2F2F2"/>
            <w:vAlign w:val="center"/>
          </w:tcPr>
          <w:p w:rsidR="008F6510" w:rsidRPr="008F6510" w:rsidRDefault="00BA5E1E" w:rsidP="008F6510">
            <w:pPr>
              <w:pStyle w:val="TableText"/>
              <w:jc w:val="center"/>
            </w:pPr>
            <w:r>
              <w:t>157.1</w:t>
            </w:r>
          </w:p>
        </w:tc>
        <w:tc>
          <w:tcPr>
            <w:tcW w:w="1158" w:type="dxa"/>
            <w:shd w:val="clear" w:color="auto" w:fill="F2F2F2"/>
            <w:vAlign w:val="center"/>
          </w:tcPr>
          <w:p w:rsidR="008F6510" w:rsidRPr="008F6510" w:rsidRDefault="0059232A" w:rsidP="008F6510">
            <w:pPr>
              <w:pStyle w:val="TableText"/>
              <w:jc w:val="center"/>
            </w:pPr>
            <w:r>
              <w:t>+14.0%</w:t>
            </w:r>
          </w:p>
        </w:tc>
      </w:tr>
      <w:tr w:rsidR="008F6510" w:rsidRPr="008F6510" w:rsidTr="008F6510">
        <w:tblPrEx>
          <w:shd w:val="clear" w:color="auto" w:fill="auto"/>
        </w:tblPrEx>
        <w:trPr>
          <w:cantSplit/>
        </w:trPr>
        <w:tc>
          <w:tcPr>
            <w:tcW w:w="2766" w:type="dxa"/>
            <w:shd w:val="clear" w:color="auto" w:fill="F2F2F2"/>
          </w:tcPr>
          <w:p w:rsidR="008F6510" w:rsidRPr="000943F1" w:rsidRDefault="008F6510" w:rsidP="008F6510">
            <w:pPr>
              <w:pStyle w:val="TableText"/>
            </w:pPr>
            <w:r w:rsidRPr="000943F1">
              <w:t>-1% per annum CPI increase</w:t>
            </w:r>
          </w:p>
        </w:tc>
        <w:tc>
          <w:tcPr>
            <w:tcW w:w="1157" w:type="dxa"/>
            <w:shd w:val="clear" w:color="auto" w:fill="F2F2F2"/>
            <w:vAlign w:val="center"/>
          </w:tcPr>
          <w:p w:rsidR="008F6510" w:rsidRPr="008F6510" w:rsidRDefault="00BA5E1E" w:rsidP="008F6510">
            <w:pPr>
              <w:pStyle w:val="TableText"/>
              <w:jc w:val="center"/>
            </w:pPr>
            <w:r>
              <w:t>58.3</w:t>
            </w:r>
          </w:p>
        </w:tc>
        <w:tc>
          <w:tcPr>
            <w:tcW w:w="1158" w:type="dxa"/>
            <w:shd w:val="clear" w:color="auto" w:fill="F2F2F2"/>
            <w:vAlign w:val="center"/>
          </w:tcPr>
          <w:p w:rsidR="008F6510" w:rsidRPr="008F6510" w:rsidRDefault="00BA5E1E" w:rsidP="008F6510">
            <w:pPr>
              <w:pStyle w:val="TableText"/>
              <w:jc w:val="center"/>
            </w:pPr>
            <w:r>
              <w:t>-14.0%</w:t>
            </w:r>
          </w:p>
        </w:tc>
        <w:tc>
          <w:tcPr>
            <w:tcW w:w="1157" w:type="dxa"/>
            <w:shd w:val="clear" w:color="auto" w:fill="F2F2F2"/>
            <w:vAlign w:val="center"/>
          </w:tcPr>
          <w:p w:rsidR="008F6510" w:rsidRPr="008F6510" w:rsidRDefault="004A3003" w:rsidP="008F6510">
            <w:pPr>
              <w:pStyle w:val="TableText"/>
              <w:jc w:val="center"/>
            </w:pPr>
            <w:r>
              <w:t>63.6</w:t>
            </w:r>
          </w:p>
        </w:tc>
        <w:tc>
          <w:tcPr>
            <w:tcW w:w="1158" w:type="dxa"/>
            <w:shd w:val="clear" w:color="auto" w:fill="F2F2F2"/>
            <w:vAlign w:val="center"/>
          </w:tcPr>
          <w:p w:rsidR="008F6510" w:rsidRPr="008F6510" w:rsidRDefault="0059232A" w:rsidP="008F6510">
            <w:pPr>
              <w:pStyle w:val="TableText"/>
              <w:jc w:val="center"/>
            </w:pPr>
            <w:r>
              <w:t>-9.1%</w:t>
            </w:r>
          </w:p>
        </w:tc>
        <w:tc>
          <w:tcPr>
            <w:tcW w:w="1157" w:type="dxa"/>
            <w:shd w:val="clear" w:color="auto" w:fill="F2F2F2"/>
            <w:vAlign w:val="center"/>
          </w:tcPr>
          <w:p w:rsidR="008F6510" w:rsidRPr="008F6510" w:rsidRDefault="00BA5E1E" w:rsidP="008F6510">
            <w:pPr>
              <w:pStyle w:val="TableText"/>
              <w:jc w:val="center"/>
            </w:pPr>
            <w:r>
              <w:t>121.9</w:t>
            </w:r>
          </w:p>
        </w:tc>
        <w:tc>
          <w:tcPr>
            <w:tcW w:w="1158" w:type="dxa"/>
            <w:shd w:val="clear" w:color="auto" w:fill="F2F2F2"/>
            <w:vAlign w:val="center"/>
          </w:tcPr>
          <w:p w:rsidR="008F6510" w:rsidRPr="008F6510" w:rsidRDefault="0059232A" w:rsidP="008F6510">
            <w:pPr>
              <w:pStyle w:val="TableText"/>
              <w:jc w:val="center"/>
            </w:pPr>
            <w:r>
              <w:t>-11.5%</w:t>
            </w:r>
          </w:p>
        </w:tc>
      </w:tr>
    </w:tbl>
    <w:p w:rsidR="00A51909" w:rsidRDefault="00A51909" w:rsidP="00A51909">
      <w:bookmarkStart w:id="90" w:name="_Toc508267370"/>
    </w:p>
    <w:p w:rsidR="00A51909" w:rsidRDefault="00A51909" w:rsidP="00A51909">
      <w:r w:rsidRPr="00E522E6">
        <w:t xml:space="preserve">The </w:t>
      </w:r>
      <w:r>
        <w:t xml:space="preserve">results show that the </w:t>
      </w:r>
      <w:r w:rsidRPr="00E522E6">
        <w:t>unfund</w:t>
      </w:r>
      <w:r>
        <w:t>ed liability is not particularly sensitive to changes in the rate of salary increases because only liabilities for contributors are linked to salaries and this is a small proportion of the total liabilities. In addition, the impact of changes in salaries is only for a relatively short period of time (i.e. the remaining period of service).</w:t>
      </w:r>
    </w:p>
    <w:p w:rsidR="00831EF9" w:rsidRDefault="00831EF9" w:rsidP="00831EF9"/>
    <w:tbl>
      <w:tblPr>
        <w:tblW w:w="9711"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348"/>
        <w:gridCol w:w="1194"/>
        <w:gridCol w:w="1195"/>
        <w:gridCol w:w="1195"/>
        <w:gridCol w:w="1194"/>
        <w:gridCol w:w="1195"/>
        <w:gridCol w:w="1195"/>
        <w:gridCol w:w="1195"/>
      </w:tblGrid>
      <w:tr w:rsidR="00D825BE" w:rsidRPr="004F3084" w:rsidTr="00FA3F4F">
        <w:trPr>
          <w:cantSplit/>
          <w:trHeight w:val="450"/>
          <w:tblHeader/>
        </w:trPr>
        <w:tc>
          <w:tcPr>
            <w:tcW w:w="1348" w:type="dxa"/>
            <w:vMerge w:val="restart"/>
            <w:shd w:val="clear" w:color="auto" w:fill="00A8C8"/>
          </w:tcPr>
          <w:p w:rsidR="00D825BE" w:rsidRPr="004F3084" w:rsidRDefault="00D825BE" w:rsidP="00FA3F4F">
            <w:pPr>
              <w:pStyle w:val="TableHeadingText"/>
              <w:jc w:val="center"/>
              <w:rPr>
                <w:caps w:val="0"/>
              </w:rPr>
            </w:pPr>
            <w:r>
              <w:rPr>
                <w:caps w:val="0"/>
              </w:rPr>
              <w:lastRenderedPageBreak/>
              <w:t xml:space="preserve">Period Ending </w:t>
            </w:r>
            <w:r w:rsidRPr="004F3084">
              <w:rPr>
                <w:caps w:val="0"/>
              </w:rPr>
              <w:t>30 June</w:t>
            </w:r>
          </w:p>
        </w:tc>
        <w:tc>
          <w:tcPr>
            <w:tcW w:w="8363" w:type="dxa"/>
            <w:gridSpan w:val="7"/>
            <w:shd w:val="clear" w:color="auto" w:fill="00A8C8"/>
          </w:tcPr>
          <w:p w:rsidR="00D825BE" w:rsidRPr="004F3084" w:rsidRDefault="00D825BE" w:rsidP="00FA3F4F">
            <w:pPr>
              <w:pStyle w:val="TableHeadingText"/>
              <w:jc w:val="center"/>
              <w:rPr>
                <w:caps w:val="0"/>
              </w:rPr>
            </w:pPr>
            <w:r>
              <w:rPr>
                <w:caps w:val="0"/>
              </w:rPr>
              <w:t>Change in Nominal Outlays</w:t>
            </w:r>
            <w:r w:rsidR="00BF3D4C">
              <w:rPr>
                <w:caps w:val="0"/>
              </w:rPr>
              <w:t>(Combined)</w:t>
            </w:r>
            <w:r>
              <w:rPr>
                <w:caps w:val="0"/>
              </w:rPr>
              <w:br/>
            </w:r>
            <w:r w:rsidRPr="004F3084">
              <w:rPr>
                <w:caps w:val="0"/>
              </w:rPr>
              <w:t>($ billion)</w:t>
            </w:r>
          </w:p>
        </w:tc>
      </w:tr>
      <w:tr w:rsidR="00D825BE" w:rsidRPr="004F3084" w:rsidTr="00FA3F4F">
        <w:trPr>
          <w:cantSplit/>
          <w:trHeight w:val="450"/>
          <w:tblHeader/>
        </w:trPr>
        <w:tc>
          <w:tcPr>
            <w:tcW w:w="1348" w:type="dxa"/>
            <w:vMerge/>
            <w:shd w:val="clear" w:color="auto" w:fill="00A8C8"/>
          </w:tcPr>
          <w:p w:rsidR="00D825BE" w:rsidRPr="004F3084" w:rsidRDefault="00D825BE" w:rsidP="00FA3F4F">
            <w:pPr>
              <w:pStyle w:val="TableHeadingText"/>
              <w:jc w:val="center"/>
              <w:rPr>
                <w:caps w:val="0"/>
              </w:rPr>
            </w:pPr>
          </w:p>
        </w:tc>
        <w:tc>
          <w:tcPr>
            <w:tcW w:w="1194" w:type="dxa"/>
            <w:shd w:val="clear" w:color="auto" w:fill="00A8C8"/>
          </w:tcPr>
          <w:p w:rsidR="00D825BE" w:rsidRPr="004F3084" w:rsidRDefault="00D825BE" w:rsidP="00FA3F4F">
            <w:pPr>
              <w:pStyle w:val="TableHeadingText"/>
              <w:jc w:val="center"/>
              <w:rPr>
                <w:caps w:val="0"/>
              </w:rPr>
            </w:pPr>
            <w:r>
              <w:rPr>
                <w:caps w:val="0"/>
              </w:rPr>
              <w:t>Base case</w:t>
            </w:r>
          </w:p>
        </w:tc>
        <w:tc>
          <w:tcPr>
            <w:tcW w:w="1195" w:type="dxa"/>
            <w:shd w:val="clear" w:color="auto" w:fill="00A8C8"/>
          </w:tcPr>
          <w:p w:rsidR="00D825BE" w:rsidRPr="00831EF9" w:rsidRDefault="00D825BE" w:rsidP="00FA3F4F">
            <w:pPr>
              <w:pStyle w:val="TableHeadingText"/>
              <w:jc w:val="center"/>
              <w:rPr>
                <w:caps w:val="0"/>
              </w:rPr>
            </w:pPr>
            <w:r>
              <w:rPr>
                <w:caps w:val="0"/>
              </w:rPr>
              <w:t>+1%per annum investment return</w:t>
            </w:r>
          </w:p>
        </w:tc>
        <w:tc>
          <w:tcPr>
            <w:tcW w:w="1195" w:type="dxa"/>
            <w:shd w:val="clear" w:color="auto" w:fill="00A8C8"/>
          </w:tcPr>
          <w:p w:rsidR="00D825BE" w:rsidRPr="00831EF9" w:rsidRDefault="00D825BE" w:rsidP="00FA3F4F">
            <w:pPr>
              <w:pStyle w:val="TableHeadingText"/>
              <w:jc w:val="center"/>
              <w:rPr>
                <w:caps w:val="0"/>
              </w:rPr>
            </w:pPr>
            <w:r>
              <w:rPr>
                <w:caps w:val="0"/>
              </w:rPr>
              <w:t>-1%per annum investment return</w:t>
            </w:r>
          </w:p>
        </w:tc>
        <w:tc>
          <w:tcPr>
            <w:tcW w:w="1194" w:type="dxa"/>
            <w:shd w:val="clear" w:color="auto" w:fill="00A8C8"/>
          </w:tcPr>
          <w:p w:rsidR="00D825BE" w:rsidRPr="00831EF9" w:rsidRDefault="00D825BE" w:rsidP="00FA3F4F">
            <w:pPr>
              <w:pStyle w:val="TableHeadingText"/>
              <w:jc w:val="center"/>
              <w:rPr>
                <w:caps w:val="0"/>
              </w:rPr>
            </w:pPr>
            <w:r>
              <w:rPr>
                <w:caps w:val="0"/>
              </w:rPr>
              <w:t>+</w:t>
            </w:r>
            <w:r w:rsidRPr="00831EF9">
              <w:rPr>
                <w:caps w:val="0"/>
              </w:rPr>
              <w:t>1% per annum general salary increase</w:t>
            </w:r>
          </w:p>
        </w:tc>
        <w:tc>
          <w:tcPr>
            <w:tcW w:w="1195" w:type="dxa"/>
            <w:shd w:val="clear" w:color="auto" w:fill="00A8C8"/>
          </w:tcPr>
          <w:p w:rsidR="00D825BE" w:rsidRPr="00831EF9" w:rsidRDefault="00D825BE" w:rsidP="00FA3F4F">
            <w:pPr>
              <w:pStyle w:val="TableHeadingText"/>
              <w:jc w:val="center"/>
              <w:rPr>
                <w:caps w:val="0"/>
              </w:rPr>
            </w:pPr>
            <w:r>
              <w:rPr>
                <w:caps w:val="0"/>
              </w:rPr>
              <w:t xml:space="preserve">- </w:t>
            </w:r>
            <w:r w:rsidRPr="00831EF9">
              <w:rPr>
                <w:caps w:val="0"/>
              </w:rPr>
              <w:t>1% per annum general salary increase</w:t>
            </w:r>
          </w:p>
        </w:tc>
        <w:tc>
          <w:tcPr>
            <w:tcW w:w="1195" w:type="dxa"/>
            <w:shd w:val="clear" w:color="auto" w:fill="00A8C8"/>
          </w:tcPr>
          <w:p w:rsidR="00D825BE" w:rsidRPr="00831EF9" w:rsidRDefault="00D825BE" w:rsidP="00FA3F4F">
            <w:pPr>
              <w:pStyle w:val="TableHeadingText"/>
              <w:jc w:val="center"/>
              <w:rPr>
                <w:caps w:val="0"/>
              </w:rPr>
            </w:pPr>
            <w:r>
              <w:rPr>
                <w:caps w:val="0"/>
              </w:rPr>
              <w:t>+</w:t>
            </w:r>
            <w:r w:rsidRPr="00831EF9">
              <w:rPr>
                <w:caps w:val="0"/>
              </w:rPr>
              <w:t xml:space="preserve">1% per annum </w:t>
            </w:r>
            <w:r>
              <w:rPr>
                <w:caps w:val="0"/>
              </w:rPr>
              <w:t>CPI</w:t>
            </w:r>
            <w:r w:rsidRPr="00831EF9">
              <w:rPr>
                <w:caps w:val="0"/>
              </w:rPr>
              <w:t xml:space="preserve"> increase</w:t>
            </w:r>
          </w:p>
        </w:tc>
        <w:tc>
          <w:tcPr>
            <w:tcW w:w="1195" w:type="dxa"/>
            <w:shd w:val="clear" w:color="auto" w:fill="00A8C8"/>
          </w:tcPr>
          <w:p w:rsidR="00D825BE" w:rsidRPr="00831EF9" w:rsidRDefault="00D825BE" w:rsidP="00FA3F4F">
            <w:pPr>
              <w:pStyle w:val="TableHeadingText"/>
              <w:jc w:val="center"/>
              <w:rPr>
                <w:caps w:val="0"/>
              </w:rPr>
            </w:pPr>
            <w:r>
              <w:rPr>
                <w:caps w:val="0"/>
              </w:rPr>
              <w:t xml:space="preserve">- </w:t>
            </w:r>
            <w:r w:rsidRPr="00831EF9">
              <w:rPr>
                <w:caps w:val="0"/>
              </w:rPr>
              <w:t xml:space="preserve">1% per annum </w:t>
            </w:r>
            <w:r>
              <w:rPr>
                <w:caps w:val="0"/>
              </w:rPr>
              <w:t>CPI</w:t>
            </w:r>
            <w:r w:rsidRPr="00831EF9">
              <w:rPr>
                <w:caps w:val="0"/>
              </w:rPr>
              <w:t xml:space="preserve"> increase</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2018</w:t>
            </w:r>
          </w:p>
        </w:tc>
        <w:tc>
          <w:tcPr>
            <w:tcW w:w="1194" w:type="dxa"/>
            <w:shd w:val="clear" w:color="auto" w:fill="F2F2F2"/>
            <w:vAlign w:val="center"/>
          </w:tcPr>
          <w:p w:rsidR="00D825BE" w:rsidRPr="00F01473" w:rsidRDefault="00D825BE" w:rsidP="00FA3F4F">
            <w:pPr>
              <w:pStyle w:val="TableText"/>
              <w:jc w:val="center"/>
            </w:pPr>
            <w:r w:rsidRPr="00F01473">
              <w:t>5.5</w:t>
            </w:r>
          </w:p>
        </w:tc>
        <w:tc>
          <w:tcPr>
            <w:tcW w:w="1195" w:type="dxa"/>
            <w:shd w:val="clear" w:color="auto" w:fill="F2F2F2"/>
            <w:vAlign w:val="center"/>
          </w:tcPr>
          <w:p w:rsidR="00D825BE" w:rsidRPr="00F01473" w:rsidRDefault="00D825BE" w:rsidP="00FA3F4F">
            <w:pPr>
              <w:pStyle w:val="TableText"/>
              <w:jc w:val="center"/>
            </w:pPr>
            <w:r w:rsidRPr="00F01473">
              <w:t>-</w:t>
            </w:r>
          </w:p>
        </w:tc>
        <w:tc>
          <w:tcPr>
            <w:tcW w:w="1195" w:type="dxa"/>
            <w:shd w:val="clear" w:color="auto" w:fill="F2F2F2"/>
            <w:vAlign w:val="center"/>
          </w:tcPr>
          <w:p w:rsidR="00D825BE" w:rsidRPr="00F01473" w:rsidRDefault="00D825BE" w:rsidP="00FA3F4F">
            <w:pPr>
              <w:pStyle w:val="TableText"/>
              <w:jc w:val="center"/>
            </w:pPr>
            <w:r w:rsidRPr="00F01473">
              <w:t>-</w:t>
            </w:r>
          </w:p>
        </w:tc>
        <w:tc>
          <w:tcPr>
            <w:tcW w:w="1194"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2019</w:t>
            </w:r>
          </w:p>
        </w:tc>
        <w:tc>
          <w:tcPr>
            <w:tcW w:w="1194" w:type="dxa"/>
            <w:shd w:val="clear" w:color="auto" w:fill="F2F2F2"/>
            <w:vAlign w:val="center"/>
          </w:tcPr>
          <w:p w:rsidR="00D825BE" w:rsidRPr="00F01473" w:rsidRDefault="00D825BE" w:rsidP="00FA3F4F">
            <w:pPr>
              <w:pStyle w:val="TableText"/>
              <w:jc w:val="center"/>
            </w:pPr>
            <w:r w:rsidRPr="00F01473">
              <w:t>5.7</w:t>
            </w:r>
          </w:p>
        </w:tc>
        <w:tc>
          <w:tcPr>
            <w:tcW w:w="1195" w:type="dxa"/>
            <w:shd w:val="clear" w:color="auto" w:fill="F2F2F2"/>
            <w:vAlign w:val="center"/>
          </w:tcPr>
          <w:p w:rsidR="00D825BE" w:rsidRPr="00F01473" w:rsidRDefault="00D825BE" w:rsidP="00FA3F4F">
            <w:pPr>
              <w:pStyle w:val="TableText"/>
              <w:jc w:val="center"/>
            </w:pPr>
            <w:r w:rsidRPr="00F01473">
              <w:t>-</w:t>
            </w:r>
          </w:p>
        </w:tc>
        <w:tc>
          <w:tcPr>
            <w:tcW w:w="1195" w:type="dxa"/>
            <w:shd w:val="clear" w:color="auto" w:fill="F2F2F2"/>
            <w:vAlign w:val="center"/>
          </w:tcPr>
          <w:p w:rsidR="00D825BE" w:rsidRPr="00F01473" w:rsidRDefault="00D825BE" w:rsidP="00FA3F4F">
            <w:pPr>
              <w:pStyle w:val="TableText"/>
              <w:jc w:val="center"/>
            </w:pPr>
            <w:r w:rsidRPr="00F01473">
              <w:t>-</w:t>
            </w:r>
          </w:p>
        </w:tc>
        <w:tc>
          <w:tcPr>
            <w:tcW w:w="1194"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-0.1</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2020</w:t>
            </w:r>
          </w:p>
        </w:tc>
        <w:tc>
          <w:tcPr>
            <w:tcW w:w="1194" w:type="dxa"/>
            <w:shd w:val="clear" w:color="auto" w:fill="F2F2F2"/>
            <w:vAlign w:val="center"/>
          </w:tcPr>
          <w:p w:rsidR="00D825BE" w:rsidRPr="00F01473" w:rsidRDefault="00D825BE" w:rsidP="00FA3F4F">
            <w:pPr>
              <w:pStyle w:val="TableText"/>
              <w:jc w:val="center"/>
            </w:pPr>
            <w:r w:rsidRPr="00F01473">
              <w:t>5.9</w:t>
            </w:r>
          </w:p>
        </w:tc>
        <w:tc>
          <w:tcPr>
            <w:tcW w:w="1195" w:type="dxa"/>
            <w:shd w:val="clear" w:color="auto" w:fill="F2F2F2"/>
            <w:vAlign w:val="center"/>
          </w:tcPr>
          <w:p w:rsidR="00D825BE" w:rsidRPr="00F01473" w:rsidRDefault="00D825BE" w:rsidP="00FA3F4F">
            <w:pPr>
              <w:pStyle w:val="TableText"/>
              <w:jc w:val="center"/>
            </w:pPr>
            <w:r w:rsidRPr="00F01473">
              <w:t>-</w:t>
            </w:r>
          </w:p>
        </w:tc>
        <w:tc>
          <w:tcPr>
            <w:tcW w:w="1195" w:type="dxa"/>
            <w:shd w:val="clear" w:color="auto" w:fill="F2F2F2"/>
            <w:vAlign w:val="center"/>
          </w:tcPr>
          <w:p w:rsidR="00D825BE" w:rsidRPr="00F01473" w:rsidRDefault="00D825BE" w:rsidP="00FA3F4F">
            <w:pPr>
              <w:pStyle w:val="TableText"/>
              <w:jc w:val="center"/>
            </w:pPr>
            <w:r w:rsidRPr="00F01473">
              <w:t>-</w:t>
            </w:r>
          </w:p>
        </w:tc>
        <w:tc>
          <w:tcPr>
            <w:tcW w:w="1194"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w:t>
            </w:r>
          </w:p>
        </w:tc>
        <w:tc>
          <w:tcPr>
            <w:tcW w:w="1195" w:type="dxa"/>
            <w:shd w:val="clear" w:color="auto" w:fill="F2F2F2"/>
            <w:vAlign w:val="center"/>
          </w:tcPr>
          <w:p w:rsidR="00D825BE" w:rsidRPr="00F01473" w:rsidRDefault="00D825BE" w:rsidP="00FA3F4F">
            <w:pPr>
              <w:pStyle w:val="TableText"/>
              <w:jc w:val="center"/>
            </w:pPr>
            <w:r>
              <w:t>+0.1</w:t>
            </w:r>
          </w:p>
        </w:tc>
        <w:tc>
          <w:tcPr>
            <w:tcW w:w="1195" w:type="dxa"/>
            <w:shd w:val="clear" w:color="auto" w:fill="F2F2F2"/>
            <w:vAlign w:val="center"/>
          </w:tcPr>
          <w:p w:rsidR="00D825BE" w:rsidRPr="00F01473" w:rsidRDefault="00D825BE" w:rsidP="00FA3F4F">
            <w:pPr>
              <w:pStyle w:val="TableText"/>
              <w:jc w:val="center"/>
            </w:pPr>
            <w:r>
              <w:t>-0.1</w:t>
            </w:r>
          </w:p>
        </w:tc>
      </w:tr>
      <w:tr w:rsidR="00D825BE" w:rsidRPr="00F01473" w:rsidTr="00FA3F4F">
        <w:tblPrEx>
          <w:shd w:val="clear" w:color="auto" w:fill="auto"/>
        </w:tblPrEx>
        <w:trPr>
          <w:cantSplit/>
        </w:trPr>
        <w:tc>
          <w:tcPr>
            <w:tcW w:w="1348" w:type="dxa"/>
            <w:tcBorders>
              <w:bottom w:val="single" w:sz="8" w:space="0" w:color="FFFFFF"/>
            </w:tcBorders>
            <w:shd w:val="clear" w:color="auto" w:fill="F2F2F2"/>
            <w:vAlign w:val="center"/>
          </w:tcPr>
          <w:p w:rsidR="00D825BE" w:rsidRPr="00F01473" w:rsidRDefault="00D825BE" w:rsidP="00FA3F4F">
            <w:pPr>
              <w:pStyle w:val="TableText"/>
              <w:jc w:val="center"/>
            </w:pPr>
            <w:r w:rsidRPr="00F01473">
              <w:t>2021</w:t>
            </w:r>
          </w:p>
        </w:tc>
        <w:tc>
          <w:tcPr>
            <w:tcW w:w="1194" w:type="dxa"/>
            <w:tcBorders>
              <w:bottom w:val="single" w:sz="8" w:space="0" w:color="FFFFFF"/>
            </w:tcBorders>
            <w:shd w:val="clear" w:color="auto" w:fill="F2F2F2"/>
            <w:vAlign w:val="center"/>
          </w:tcPr>
          <w:p w:rsidR="00D825BE" w:rsidRPr="00F01473" w:rsidRDefault="00D825BE" w:rsidP="00FA3F4F">
            <w:pPr>
              <w:pStyle w:val="TableText"/>
              <w:jc w:val="center"/>
            </w:pPr>
            <w:r w:rsidRPr="00F01473">
              <w:t>6.1</w:t>
            </w:r>
          </w:p>
        </w:tc>
        <w:tc>
          <w:tcPr>
            <w:tcW w:w="1195" w:type="dxa"/>
            <w:tcBorders>
              <w:bottom w:val="single" w:sz="8" w:space="0" w:color="FFFFFF"/>
            </w:tcBorders>
            <w:shd w:val="clear" w:color="auto" w:fill="F2F2F2"/>
            <w:vAlign w:val="center"/>
          </w:tcPr>
          <w:p w:rsidR="00D825BE" w:rsidRPr="00F01473" w:rsidRDefault="00D825BE" w:rsidP="00FA3F4F">
            <w:pPr>
              <w:pStyle w:val="TableText"/>
              <w:jc w:val="center"/>
            </w:pPr>
            <w:r w:rsidRPr="00F01473">
              <w:t>-</w:t>
            </w:r>
          </w:p>
        </w:tc>
        <w:tc>
          <w:tcPr>
            <w:tcW w:w="1195" w:type="dxa"/>
            <w:tcBorders>
              <w:bottom w:val="single" w:sz="8" w:space="0" w:color="FFFFFF"/>
            </w:tcBorders>
            <w:shd w:val="clear" w:color="auto" w:fill="F2F2F2"/>
            <w:vAlign w:val="center"/>
          </w:tcPr>
          <w:p w:rsidR="00D825BE" w:rsidRPr="00F01473" w:rsidRDefault="00D825BE" w:rsidP="00FA3F4F">
            <w:pPr>
              <w:pStyle w:val="TableText"/>
              <w:jc w:val="center"/>
            </w:pPr>
            <w:r w:rsidRPr="00F01473">
              <w:t>-</w:t>
            </w:r>
          </w:p>
        </w:tc>
        <w:tc>
          <w:tcPr>
            <w:tcW w:w="1194" w:type="dxa"/>
            <w:tcBorders>
              <w:bottom w:val="single" w:sz="8" w:space="0" w:color="FFFFFF"/>
            </w:tcBorders>
            <w:shd w:val="clear" w:color="auto" w:fill="F2F2F2"/>
            <w:vAlign w:val="center"/>
          </w:tcPr>
          <w:p w:rsidR="00D825BE" w:rsidRPr="00F01473" w:rsidRDefault="00D825BE" w:rsidP="00FA3F4F">
            <w:pPr>
              <w:pStyle w:val="TableText"/>
              <w:jc w:val="center"/>
            </w:pPr>
            <w:r>
              <w:t>-</w:t>
            </w:r>
          </w:p>
        </w:tc>
        <w:tc>
          <w:tcPr>
            <w:tcW w:w="1195" w:type="dxa"/>
            <w:tcBorders>
              <w:bottom w:val="single" w:sz="8" w:space="0" w:color="FFFFFF"/>
            </w:tcBorders>
            <w:shd w:val="clear" w:color="auto" w:fill="F2F2F2"/>
            <w:vAlign w:val="center"/>
          </w:tcPr>
          <w:p w:rsidR="00D825BE" w:rsidRPr="00F01473" w:rsidRDefault="00D825BE" w:rsidP="00FA3F4F">
            <w:pPr>
              <w:pStyle w:val="TableText"/>
              <w:jc w:val="center"/>
            </w:pPr>
            <w:r>
              <w:t>-</w:t>
            </w:r>
          </w:p>
        </w:tc>
        <w:tc>
          <w:tcPr>
            <w:tcW w:w="1195" w:type="dxa"/>
            <w:tcBorders>
              <w:bottom w:val="single" w:sz="8" w:space="0" w:color="FFFFFF"/>
            </w:tcBorders>
            <w:shd w:val="clear" w:color="auto" w:fill="F2F2F2"/>
            <w:vAlign w:val="center"/>
          </w:tcPr>
          <w:p w:rsidR="00D825BE" w:rsidRPr="00F01473" w:rsidRDefault="00D825BE" w:rsidP="00FA3F4F">
            <w:pPr>
              <w:pStyle w:val="TableText"/>
              <w:jc w:val="center"/>
            </w:pPr>
            <w:r>
              <w:t>+0.2</w:t>
            </w:r>
          </w:p>
        </w:tc>
        <w:tc>
          <w:tcPr>
            <w:tcW w:w="1195" w:type="dxa"/>
            <w:tcBorders>
              <w:bottom w:val="single" w:sz="8" w:space="0" w:color="FFFFFF"/>
            </w:tcBorders>
            <w:shd w:val="clear" w:color="auto" w:fill="F2F2F2"/>
            <w:vAlign w:val="center"/>
          </w:tcPr>
          <w:p w:rsidR="00D825BE" w:rsidRPr="00F01473" w:rsidRDefault="00D825BE" w:rsidP="00FA3F4F">
            <w:pPr>
              <w:pStyle w:val="TableText"/>
              <w:jc w:val="center"/>
            </w:pPr>
            <w:r>
              <w:t>-0.1</w:t>
            </w:r>
          </w:p>
        </w:tc>
      </w:tr>
      <w:tr w:rsidR="00D825BE" w:rsidRPr="00F01473" w:rsidTr="00FA3F4F">
        <w:tblPrEx>
          <w:shd w:val="clear" w:color="auto" w:fill="auto"/>
        </w:tblPrEx>
        <w:trPr>
          <w:cantSplit/>
        </w:trPr>
        <w:tc>
          <w:tcPr>
            <w:tcW w:w="1348"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rsidRPr="00F01473">
              <w:t>2022</w:t>
            </w:r>
          </w:p>
        </w:tc>
        <w:tc>
          <w:tcPr>
            <w:tcW w:w="1194"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rsidRPr="00F01473">
              <w:t>6.4</w:t>
            </w:r>
          </w:p>
        </w:tc>
        <w:tc>
          <w:tcPr>
            <w:tcW w:w="1195"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rsidRPr="00F01473">
              <w:t>-0.1</w:t>
            </w:r>
          </w:p>
        </w:tc>
        <w:tc>
          <w:tcPr>
            <w:tcW w:w="1195"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rsidRPr="00F01473">
              <w:t>-</w:t>
            </w:r>
          </w:p>
        </w:tc>
        <w:tc>
          <w:tcPr>
            <w:tcW w:w="1194"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t>-</w:t>
            </w:r>
          </w:p>
        </w:tc>
        <w:tc>
          <w:tcPr>
            <w:tcW w:w="1195"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t>-</w:t>
            </w:r>
          </w:p>
        </w:tc>
        <w:tc>
          <w:tcPr>
            <w:tcW w:w="1195"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t>+0.2</w:t>
            </w:r>
          </w:p>
        </w:tc>
        <w:tc>
          <w:tcPr>
            <w:tcW w:w="1195" w:type="dxa"/>
            <w:tcBorders>
              <w:top w:val="single" w:sz="8" w:space="0" w:color="FFFFFF"/>
              <w:bottom w:val="single" w:sz="4" w:space="0" w:color="auto"/>
            </w:tcBorders>
            <w:shd w:val="clear" w:color="auto" w:fill="F2F2F2"/>
            <w:vAlign w:val="center"/>
          </w:tcPr>
          <w:p w:rsidR="00D825BE" w:rsidRPr="00F01473" w:rsidRDefault="00D825BE" w:rsidP="00FA3F4F">
            <w:pPr>
              <w:pStyle w:val="TableText"/>
              <w:jc w:val="center"/>
            </w:pPr>
            <w:r>
              <w:t>-0.3</w:t>
            </w:r>
          </w:p>
        </w:tc>
      </w:tr>
      <w:tr w:rsidR="00D825BE" w:rsidRPr="00F01473" w:rsidTr="00FA3F4F">
        <w:tblPrEx>
          <w:shd w:val="clear" w:color="auto" w:fill="auto"/>
        </w:tblPrEx>
        <w:trPr>
          <w:cantSplit/>
        </w:trPr>
        <w:tc>
          <w:tcPr>
            <w:tcW w:w="1348"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rsidRPr="00F01473">
              <w:t>2023 – 27</w:t>
            </w:r>
          </w:p>
        </w:tc>
        <w:tc>
          <w:tcPr>
            <w:tcW w:w="1194"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rsidRPr="00F01473">
              <w:t>35.6</w:t>
            </w:r>
          </w:p>
        </w:tc>
        <w:tc>
          <w:tcPr>
            <w:tcW w:w="1195"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rsidRPr="00F01473">
              <w:t>-0.4</w:t>
            </w:r>
          </w:p>
        </w:tc>
        <w:tc>
          <w:tcPr>
            <w:tcW w:w="1195"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rsidRPr="00F01473">
              <w:t>+0.3</w:t>
            </w:r>
          </w:p>
        </w:tc>
        <w:tc>
          <w:tcPr>
            <w:tcW w:w="1194"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t>+0.3</w:t>
            </w:r>
          </w:p>
        </w:tc>
        <w:tc>
          <w:tcPr>
            <w:tcW w:w="1195"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t>-0.5</w:t>
            </w:r>
          </w:p>
        </w:tc>
        <w:tc>
          <w:tcPr>
            <w:tcW w:w="1195"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t>+2.2</w:t>
            </w:r>
          </w:p>
        </w:tc>
        <w:tc>
          <w:tcPr>
            <w:tcW w:w="1195" w:type="dxa"/>
            <w:tcBorders>
              <w:top w:val="single" w:sz="4" w:space="0" w:color="auto"/>
              <w:bottom w:val="single" w:sz="8" w:space="0" w:color="FFFFFF"/>
            </w:tcBorders>
            <w:shd w:val="clear" w:color="auto" w:fill="F2F2F2"/>
            <w:vAlign w:val="center"/>
          </w:tcPr>
          <w:p w:rsidR="00D825BE" w:rsidRPr="00F01473" w:rsidRDefault="00D825BE" w:rsidP="00FA3F4F">
            <w:pPr>
              <w:pStyle w:val="TableText"/>
              <w:jc w:val="center"/>
            </w:pPr>
            <w:r>
              <w:t>-2.5</w:t>
            </w:r>
          </w:p>
        </w:tc>
      </w:tr>
      <w:tr w:rsidR="00D825BE" w:rsidRPr="00F01473" w:rsidTr="00FA3F4F">
        <w:tblPrEx>
          <w:shd w:val="clear" w:color="auto" w:fill="auto"/>
        </w:tblPrEx>
        <w:trPr>
          <w:cantSplit/>
        </w:trPr>
        <w:tc>
          <w:tcPr>
            <w:tcW w:w="1348" w:type="dxa"/>
            <w:tcBorders>
              <w:top w:val="single" w:sz="8" w:space="0" w:color="FFFFFF"/>
            </w:tcBorders>
            <w:shd w:val="clear" w:color="auto" w:fill="F2F2F2"/>
            <w:vAlign w:val="center"/>
          </w:tcPr>
          <w:p w:rsidR="00D825BE" w:rsidRPr="00F01473" w:rsidRDefault="00D825BE" w:rsidP="00FA3F4F">
            <w:pPr>
              <w:pStyle w:val="TableText"/>
              <w:jc w:val="center"/>
            </w:pPr>
            <w:r w:rsidRPr="00F01473">
              <w:t>2028 – 32</w:t>
            </w:r>
          </w:p>
        </w:tc>
        <w:tc>
          <w:tcPr>
            <w:tcW w:w="1194" w:type="dxa"/>
            <w:tcBorders>
              <w:top w:val="single" w:sz="8" w:space="0" w:color="FFFFFF"/>
            </w:tcBorders>
            <w:shd w:val="clear" w:color="auto" w:fill="F2F2F2"/>
            <w:vAlign w:val="center"/>
          </w:tcPr>
          <w:p w:rsidR="00D825BE" w:rsidRPr="00F01473" w:rsidRDefault="00D825BE" w:rsidP="00FA3F4F">
            <w:pPr>
              <w:pStyle w:val="TableText"/>
              <w:jc w:val="center"/>
            </w:pPr>
            <w:r w:rsidRPr="00F01473">
              <w:t>42.9</w:t>
            </w:r>
          </w:p>
        </w:tc>
        <w:tc>
          <w:tcPr>
            <w:tcW w:w="1195" w:type="dxa"/>
            <w:tcBorders>
              <w:top w:val="single" w:sz="8" w:space="0" w:color="FFFFFF"/>
            </w:tcBorders>
            <w:shd w:val="clear" w:color="auto" w:fill="F2F2F2"/>
            <w:vAlign w:val="center"/>
          </w:tcPr>
          <w:p w:rsidR="00D825BE" w:rsidRPr="00F01473" w:rsidRDefault="00D825BE" w:rsidP="00FA3F4F">
            <w:pPr>
              <w:pStyle w:val="TableText"/>
              <w:jc w:val="center"/>
            </w:pPr>
            <w:r w:rsidRPr="00F01473">
              <w:t>-0.9</w:t>
            </w:r>
          </w:p>
        </w:tc>
        <w:tc>
          <w:tcPr>
            <w:tcW w:w="1195" w:type="dxa"/>
            <w:tcBorders>
              <w:top w:val="single" w:sz="8" w:space="0" w:color="FFFFFF"/>
            </w:tcBorders>
            <w:shd w:val="clear" w:color="auto" w:fill="F2F2F2"/>
            <w:vAlign w:val="center"/>
          </w:tcPr>
          <w:p w:rsidR="00D825BE" w:rsidRPr="00F01473" w:rsidRDefault="00D825BE" w:rsidP="00FA3F4F">
            <w:pPr>
              <w:pStyle w:val="TableText"/>
              <w:jc w:val="center"/>
            </w:pPr>
            <w:r w:rsidRPr="00F01473">
              <w:t>+0.7</w:t>
            </w:r>
          </w:p>
        </w:tc>
        <w:tc>
          <w:tcPr>
            <w:tcW w:w="1194" w:type="dxa"/>
            <w:tcBorders>
              <w:top w:val="single" w:sz="8" w:space="0" w:color="FFFFFF"/>
            </w:tcBorders>
            <w:shd w:val="clear" w:color="auto" w:fill="F2F2F2"/>
            <w:vAlign w:val="center"/>
          </w:tcPr>
          <w:p w:rsidR="00D825BE" w:rsidRPr="00F01473" w:rsidRDefault="00D825BE" w:rsidP="00FA3F4F">
            <w:pPr>
              <w:pStyle w:val="TableText"/>
              <w:jc w:val="center"/>
            </w:pPr>
            <w:r>
              <w:t>+1.0</w:t>
            </w:r>
          </w:p>
        </w:tc>
        <w:tc>
          <w:tcPr>
            <w:tcW w:w="1195" w:type="dxa"/>
            <w:tcBorders>
              <w:top w:val="single" w:sz="8" w:space="0" w:color="FFFFFF"/>
            </w:tcBorders>
            <w:shd w:val="clear" w:color="auto" w:fill="F2F2F2"/>
            <w:vAlign w:val="center"/>
          </w:tcPr>
          <w:p w:rsidR="00D825BE" w:rsidRPr="00F01473" w:rsidRDefault="00D825BE" w:rsidP="00FA3F4F">
            <w:pPr>
              <w:pStyle w:val="TableText"/>
              <w:jc w:val="center"/>
            </w:pPr>
            <w:r>
              <w:t>-1.0</w:t>
            </w:r>
          </w:p>
        </w:tc>
        <w:tc>
          <w:tcPr>
            <w:tcW w:w="1195" w:type="dxa"/>
            <w:tcBorders>
              <w:top w:val="single" w:sz="8" w:space="0" w:color="FFFFFF"/>
            </w:tcBorders>
            <w:shd w:val="clear" w:color="auto" w:fill="F2F2F2"/>
            <w:vAlign w:val="center"/>
          </w:tcPr>
          <w:p w:rsidR="00D825BE" w:rsidRPr="00F01473" w:rsidRDefault="00D825BE" w:rsidP="00FA3F4F">
            <w:pPr>
              <w:pStyle w:val="TableText"/>
              <w:jc w:val="center"/>
            </w:pPr>
            <w:r>
              <w:t>+4.6</w:t>
            </w:r>
          </w:p>
        </w:tc>
        <w:tc>
          <w:tcPr>
            <w:tcW w:w="1195" w:type="dxa"/>
            <w:tcBorders>
              <w:top w:val="single" w:sz="8" w:space="0" w:color="FFFFFF"/>
            </w:tcBorders>
            <w:shd w:val="clear" w:color="auto" w:fill="F2F2F2"/>
            <w:vAlign w:val="center"/>
          </w:tcPr>
          <w:p w:rsidR="00D825BE" w:rsidRPr="00F01473" w:rsidRDefault="00D825BE" w:rsidP="00FA3F4F">
            <w:pPr>
              <w:pStyle w:val="TableText"/>
              <w:jc w:val="center"/>
            </w:pPr>
            <w:r>
              <w:t>-4.3</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2033 – 37</w:t>
            </w:r>
          </w:p>
        </w:tc>
        <w:tc>
          <w:tcPr>
            <w:tcW w:w="1194" w:type="dxa"/>
            <w:shd w:val="clear" w:color="auto" w:fill="F2F2F2"/>
            <w:vAlign w:val="center"/>
          </w:tcPr>
          <w:p w:rsidR="00D825BE" w:rsidRPr="00F01473" w:rsidRDefault="00D825BE" w:rsidP="00FA3F4F">
            <w:pPr>
              <w:pStyle w:val="TableText"/>
              <w:jc w:val="center"/>
            </w:pPr>
            <w:r w:rsidRPr="00F01473">
              <w:t>50.4</w:t>
            </w:r>
          </w:p>
        </w:tc>
        <w:tc>
          <w:tcPr>
            <w:tcW w:w="1195" w:type="dxa"/>
            <w:shd w:val="clear" w:color="auto" w:fill="F2F2F2"/>
            <w:vAlign w:val="center"/>
          </w:tcPr>
          <w:p w:rsidR="00D825BE" w:rsidRPr="00F01473" w:rsidRDefault="00D825BE" w:rsidP="00FA3F4F">
            <w:pPr>
              <w:pStyle w:val="TableText"/>
              <w:jc w:val="center"/>
            </w:pPr>
            <w:r w:rsidRPr="00F01473">
              <w:t>-1.0</w:t>
            </w:r>
          </w:p>
        </w:tc>
        <w:tc>
          <w:tcPr>
            <w:tcW w:w="1195" w:type="dxa"/>
            <w:shd w:val="clear" w:color="auto" w:fill="F2F2F2"/>
            <w:vAlign w:val="center"/>
          </w:tcPr>
          <w:p w:rsidR="00D825BE" w:rsidRPr="00F01473" w:rsidRDefault="00D825BE" w:rsidP="00FA3F4F">
            <w:pPr>
              <w:pStyle w:val="TableText"/>
              <w:jc w:val="center"/>
            </w:pPr>
            <w:r w:rsidRPr="00F01473">
              <w:t>+0.9</w:t>
            </w:r>
          </w:p>
        </w:tc>
        <w:tc>
          <w:tcPr>
            <w:tcW w:w="1194" w:type="dxa"/>
            <w:shd w:val="clear" w:color="auto" w:fill="F2F2F2"/>
            <w:vAlign w:val="center"/>
          </w:tcPr>
          <w:p w:rsidR="00D825BE" w:rsidRPr="00F01473" w:rsidRDefault="00D825BE" w:rsidP="00FA3F4F">
            <w:pPr>
              <w:pStyle w:val="TableText"/>
              <w:jc w:val="center"/>
            </w:pPr>
            <w:r>
              <w:t>+2.0</w:t>
            </w:r>
          </w:p>
        </w:tc>
        <w:tc>
          <w:tcPr>
            <w:tcW w:w="1195" w:type="dxa"/>
            <w:shd w:val="clear" w:color="auto" w:fill="F2F2F2"/>
            <w:vAlign w:val="center"/>
          </w:tcPr>
          <w:p w:rsidR="00D825BE" w:rsidRPr="00F01473" w:rsidRDefault="00D825BE" w:rsidP="00FA3F4F">
            <w:pPr>
              <w:pStyle w:val="TableText"/>
              <w:jc w:val="center"/>
            </w:pPr>
            <w:r>
              <w:t>-1.8</w:t>
            </w:r>
          </w:p>
        </w:tc>
        <w:tc>
          <w:tcPr>
            <w:tcW w:w="1195" w:type="dxa"/>
            <w:shd w:val="clear" w:color="auto" w:fill="F2F2F2"/>
            <w:vAlign w:val="center"/>
          </w:tcPr>
          <w:p w:rsidR="00D825BE" w:rsidRPr="00F01473" w:rsidRDefault="00D825BE" w:rsidP="00FA3F4F">
            <w:pPr>
              <w:pStyle w:val="TableText"/>
              <w:jc w:val="center"/>
            </w:pPr>
            <w:r>
              <w:t>+7.4</w:t>
            </w:r>
          </w:p>
        </w:tc>
        <w:tc>
          <w:tcPr>
            <w:tcW w:w="1195" w:type="dxa"/>
            <w:shd w:val="clear" w:color="auto" w:fill="F2F2F2"/>
            <w:vAlign w:val="center"/>
          </w:tcPr>
          <w:p w:rsidR="00D825BE" w:rsidRPr="00F01473" w:rsidRDefault="00D825BE" w:rsidP="00FA3F4F">
            <w:pPr>
              <w:pStyle w:val="TableText"/>
              <w:jc w:val="center"/>
            </w:pPr>
            <w:r>
              <w:t>-6.4</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2038 – 42</w:t>
            </w:r>
          </w:p>
        </w:tc>
        <w:tc>
          <w:tcPr>
            <w:tcW w:w="1194" w:type="dxa"/>
            <w:shd w:val="clear" w:color="auto" w:fill="F2F2F2"/>
            <w:vAlign w:val="center"/>
          </w:tcPr>
          <w:p w:rsidR="00D825BE" w:rsidRPr="00F01473" w:rsidRDefault="00D825BE" w:rsidP="00FA3F4F">
            <w:pPr>
              <w:pStyle w:val="TableText"/>
              <w:jc w:val="center"/>
            </w:pPr>
            <w:r w:rsidRPr="00F01473">
              <w:t>56.8</w:t>
            </w:r>
          </w:p>
        </w:tc>
        <w:tc>
          <w:tcPr>
            <w:tcW w:w="1195" w:type="dxa"/>
            <w:shd w:val="clear" w:color="auto" w:fill="F2F2F2"/>
            <w:vAlign w:val="center"/>
          </w:tcPr>
          <w:p w:rsidR="00D825BE" w:rsidRPr="00F01473" w:rsidRDefault="00D825BE" w:rsidP="00FA3F4F">
            <w:pPr>
              <w:pStyle w:val="TableText"/>
              <w:jc w:val="center"/>
            </w:pPr>
            <w:r w:rsidRPr="00F01473">
              <w:t>-0.8</w:t>
            </w:r>
          </w:p>
        </w:tc>
        <w:tc>
          <w:tcPr>
            <w:tcW w:w="1195" w:type="dxa"/>
            <w:shd w:val="clear" w:color="auto" w:fill="F2F2F2"/>
            <w:vAlign w:val="center"/>
          </w:tcPr>
          <w:p w:rsidR="00D825BE" w:rsidRPr="00F01473" w:rsidRDefault="00D825BE" w:rsidP="00FA3F4F">
            <w:pPr>
              <w:pStyle w:val="TableText"/>
              <w:jc w:val="center"/>
            </w:pPr>
            <w:r w:rsidRPr="00F01473">
              <w:t>+0.6</w:t>
            </w:r>
          </w:p>
        </w:tc>
        <w:tc>
          <w:tcPr>
            <w:tcW w:w="1194" w:type="dxa"/>
            <w:shd w:val="clear" w:color="auto" w:fill="F2F2F2"/>
            <w:vAlign w:val="center"/>
          </w:tcPr>
          <w:p w:rsidR="00D825BE" w:rsidRPr="00F01473" w:rsidRDefault="00D825BE" w:rsidP="00FA3F4F">
            <w:pPr>
              <w:pStyle w:val="TableText"/>
              <w:jc w:val="center"/>
            </w:pPr>
            <w:r>
              <w:t>+3.1</w:t>
            </w:r>
          </w:p>
        </w:tc>
        <w:tc>
          <w:tcPr>
            <w:tcW w:w="1195" w:type="dxa"/>
            <w:shd w:val="clear" w:color="auto" w:fill="F2F2F2"/>
            <w:vAlign w:val="center"/>
          </w:tcPr>
          <w:p w:rsidR="00D825BE" w:rsidRPr="00F01473" w:rsidRDefault="00D825BE" w:rsidP="00FA3F4F">
            <w:pPr>
              <w:pStyle w:val="TableText"/>
              <w:jc w:val="center"/>
            </w:pPr>
            <w:r>
              <w:t>-2.7</w:t>
            </w:r>
          </w:p>
        </w:tc>
        <w:tc>
          <w:tcPr>
            <w:tcW w:w="1195" w:type="dxa"/>
            <w:shd w:val="clear" w:color="auto" w:fill="F2F2F2"/>
            <w:vAlign w:val="center"/>
          </w:tcPr>
          <w:p w:rsidR="00D825BE" w:rsidRPr="00F01473" w:rsidRDefault="00D825BE" w:rsidP="00FA3F4F">
            <w:pPr>
              <w:pStyle w:val="TableText"/>
              <w:jc w:val="center"/>
            </w:pPr>
            <w:r>
              <w:t>+10.2</w:t>
            </w:r>
          </w:p>
        </w:tc>
        <w:tc>
          <w:tcPr>
            <w:tcW w:w="1195" w:type="dxa"/>
            <w:shd w:val="clear" w:color="auto" w:fill="F2F2F2"/>
            <w:vAlign w:val="center"/>
          </w:tcPr>
          <w:p w:rsidR="00D825BE" w:rsidRPr="00F01473" w:rsidRDefault="00D825BE" w:rsidP="00FA3F4F">
            <w:pPr>
              <w:pStyle w:val="TableText"/>
              <w:jc w:val="center"/>
            </w:pPr>
            <w:r>
              <w:t>-8.5</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2043 – 47</w:t>
            </w:r>
          </w:p>
        </w:tc>
        <w:tc>
          <w:tcPr>
            <w:tcW w:w="1194" w:type="dxa"/>
            <w:shd w:val="clear" w:color="auto" w:fill="F2F2F2"/>
            <w:vAlign w:val="center"/>
          </w:tcPr>
          <w:p w:rsidR="00D825BE" w:rsidRPr="00F01473" w:rsidRDefault="00D825BE" w:rsidP="00FA3F4F">
            <w:pPr>
              <w:pStyle w:val="TableText"/>
              <w:jc w:val="center"/>
            </w:pPr>
            <w:r w:rsidRPr="00F01473">
              <w:t>60.0</w:t>
            </w:r>
          </w:p>
        </w:tc>
        <w:tc>
          <w:tcPr>
            <w:tcW w:w="1195" w:type="dxa"/>
            <w:shd w:val="clear" w:color="auto" w:fill="F2F2F2"/>
            <w:vAlign w:val="center"/>
          </w:tcPr>
          <w:p w:rsidR="00D825BE" w:rsidRPr="00F01473" w:rsidRDefault="00D825BE" w:rsidP="00FA3F4F">
            <w:pPr>
              <w:pStyle w:val="TableText"/>
              <w:jc w:val="center"/>
            </w:pPr>
            <w:r w:rsidRPr="00F01473">
              <w:t>-</w:t>
            </w:r>
          </w:p>
        </w:tc>
        <w:tc>
          <w:tcPr>
            <w:tcW w:w="1195" w:type="dxa"/>
            <w:shd w:val="clear" w:color="auto" w:fill="F2F2F2"/>
            <w:vAlign w:val="center"/>
          </w:tcPr>
          <w:p w:rsidR="00D825BE" w:rsidRPr="00F01473" w:rsidRDefault="00D825BE" w:rsidP="00FA3F4F">
            <w:pPr>
              <w:pStyle w:val="TableText"/>
              <w:jc w:val="center"/>
            </w:pPr>
            <w:r w:rsidRPr="00F01473">
              <w:t>-0.1</w:t>
            </w:r>
          </w:p>
        </w:tc>
        <w:tc>
          <w:tcPr>
            <w:tcW w:w="1194" w:type="dxa"/>
            <w:shd w:val="clear" w:color="auto" w:fill="F2F2F2"/>
            <w:vAlign w:val="center"/>
          </w:tcPr>
          <w:p w:rsidR="00D825BE" w:rsidRPr="00F01473" w:rsidRDefault="00D825BE" w:rsidP="00FA3F4F">
            <w:pPr>
              <w:pStyle w:val="TableText"/>
              <w:jc w:val="center"/>
            </w:pPr>
            <w:r>
              <w:t>+4.2</w:t>
            </w:r>
          </w:p>
        </w:tc>
        <w:tc>
          <w:tcPr>
            <w:tcW w:w="1195" w:type="dxa"/>
            <w:shd w:val="clear" w:color="auto" w:fill="F2F2F2"/>
            <w:vAlign w:val="center"/>
          </w:tcPr>
          <w:p w:rsidR="00D825BE" w:rsidRPr="00F01473" w:rsidRDefault="00D825BE" w:rsidP="00FA3F4F">
            <w:pPr>
              <w:pStyle w:val="TableText"/>
              <w:jc w:val="center"/>
            </w:pPr>
            <w:r>
              <w:t>-3.8</w:t>
            </w:r>
          </w:p>
        </w:tc>
        <w:tc>
          <w:tcPr>
            <w:tcW w:w="1195" w:type="dxa"/>
            <w:shd w:val="clear" w:color="auto" w:fill="F2F2F2"/>
            <w:vAlign w:val="center"/>
          </w:tcPr>
          <w:p w:rsidR="00D825BE" w:rsidRPr="00F01473" w:rsidRDefault="00D825BE" w:rsidP="00FA3F4F">
            <w:pPr>
              <w:pStyle w:val="TableText"/>
              <w:jc w:val="center"/>
            </w:pPr>
            <w:r>
              <w:t>+12.3</w:t>
            </w:r>
          </w:p>
        </w:tc>
        <w:tc>
          <w:tcPr>
            <w:tcW w:w="1195" w:type="dxa"/>
            <w:shd w:val="clear" w:color="auto" w:fill="F2F2F2"/>
            <w:vAlign w:val="center"/>
          </w:tcPr>
          <w:p w:rsidR="00D825BE" w:rsidRPr="00F01473" w:rsidRDefault="00D825BE" w:rsidP="00FA3F4F">
            <w:pPr>
              <w:pStyle w:val="TableText"/>
              <w:jc w:val="center"/>
            </w:pPr>
            <w:r>
              <w:t>-10.0</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2048 – 52</w:t>
            </w:r>
          </w:p>
        </w:tc>
        <w:tc>
          <w:tcPr>
            <w:tcW w:w="1194" w:type="dxa"/>
            <w:shd w:val="clear" w:color="auto" w:fill="F2F2F2"/>
            <w:vAlign w:val="center"/>
          </w:tcPr>
          <w:p w:rsidR="00D825BE" w:rsidRPr="00F01473" w:rsidRDefault="00D825BE" w:rsidP="00FA3F4F">
            <w:pPr>
              <w:pStyle w:val="TableText"/>
              <w:jc w:val="center"/>
            </w:pPr>
            <w:r w:rsidRPr="00F01473">
              <w:t>57.3</w:t>
            </w:r>
          </w:p>
        </w:tc>
        <w:tc>
          <w:tcPr>
            <w:tcW w:w="1195" w:type="dxa"/>
            <w:shd w:val="clear" w:color="auto" w:fill="F2F2F2"/>
            <w:vAlign w:val="center"/>
          </w:tcPr>
          <w:p w:rsidR="00D825BE" w:rsidRPr="00F01473" w:rsidRDefault="00D825BE" w:rsidP="00FA3F4F">
            <w:pPr>
              <w:pStyle w:val="TableText"/>
              <w:jc w:val="center"/>
            </w:pPr>
            <w:r w:rsidRPr="00F01473">
              <w:t>+0.5</w:t>
            </w:r>
          </w:p>
        </w:tc>
        <w:tc>
          <w:tcPr>
            <w:tcW w:w="1195" w:type="dxa"/>
            <w:shd w:val="clear" w:color="auto" w:fill="F2F2F2"/>
            <w:vAlign w:val="center"/>
          </w:tcPr>
          <w:p w:rsidR="00D825BE" w:rsidRPr="00F01473" w:rsidRDefault="00D825BE" w:rsidP="00FA3F4F">
            <w:pPr>
              <w:pStyle w:val="TableText"/>
              <w:jc w:val="center"/>
            </w:pPr>
            <w:r w:rsidRPr="00F01473">
              <w:t>-0.5</w:t>
            </w:r>
          </w:p>
        </w:tc>
        <w:tc>
          <w:tcPr>
            <w:tcW w:w="1194" w:type="dxa"/>
            <w:shd w:val="clear" w:color="auto" w:fill="F2F2F2"/>
            <w:vAlign w:val="center"/>
          </w:tcPr>
          <w:p w:rsidR="00D825BE" w:rsidRPr="00F01473" w:rsidRDefault="00D825BE" w:rsidP="00FA3F4F">
            <w:pPr>
              <w:pStyle w:val="TableText"/>
              <w:jc w:val="center"/>
            </w:pPr>
            <w:r>
              <w:t>+4.8</w:t>
            </w:r>
          </w:p>
        </w:tc>
        <w:tc>
          <w:tcPr>
            <w:tcW w:w="1195" w:type="dxa"/>
            <w:shd w:val="clear" w:color="auto" w:fill="F2F2F2"/>
            <w:vAlign w:val="center"/>
          </w:tcPr>
          <w:p w:rsidR="00D825BE" w:rsidRPr="00F01473" w:rsidRDefault="00D825BE" w:rsidP="00FA3F4F">
            <w:pPr>
              <w:pStyle w:val="TableText"/>
              <w:jc w:val="center"/>
            </w:pPr>
            <w:r>
              <w:t>-4.1</w:t>
            </w:r>
          </w:p>
        </w:tc>
        <w:tc>
          <w:tcPr>
            <w:tcW w:w="1195" w:type="dxa"/>
            <w:shd w:val="clear" w:color="auto" w:fill="F2F2F2"/>
            <w:vAlign w:val="center"/>
          </w:tcPr>
          <w:p w:rsidR="00D825BE" w:rsidRPr="00F01473" w:rsidRDefault="00D825BE" w:rsidP="00FA3F4F">
            <w:pPr>
              <w:pStyle w:val="TableText"/>
              <w:jc w:val="center"/>
            </w:pPr>
            <w:r>
              <w:t>+13.5</w:t>
            </w:r>
          </w:p>
        </w:tc>
        <w:tc>
          <w:tcPr>
            <w:tcW w:w="1195" w:type="dxa"/>
            <w:shd w:val="clear" w:color="auto" w:fill="F2F2F2"/>
            <w:vAlign w:val="center"/>
          </w:tcPr>
          <w:p w:rsidR="00D825BE" w:rsidRPr="00F01473" w:rsidRDefault="00D825BE" w:rsidP="00FA3F4F">
            <w:pPr>
              <w:pStyle w:val="TableText"/>
              <w:jc w:val="center"/>
            </w:pPr>
            <w:r>
              <w:t>-10.8</w:t>
            </w:r>
          </w:p>
        </w:tc>
      </w:tr>
      <w:tr w:rsidR="00D825BE" w:rsidRPr="00F01473" w:rsidTr="00FA3F4F">
        <w:tblPrEx>
          <w:shd w:val="clear" w:color="auto" w:fill="auto"/>
        </w:tblPrEx>
        <w:trPr>
          <w:cantSplit/>
        </w:trPr>
        <w:tc>
          <w:tcPr>
            <w:tcW w:w="1348" w:type="dxa"/>
            <w:shd w:val="clear" w:color="auto" w:fill="F2F2F2"/>
            <w:vAlign w:val="center"/>
          </w:tcPr>
          <w:p w:rsidR="00D825BE" w:rsidRPr="00F01473" w:rsidRDefault="00D825BE" w:rsidP="00FA3F4F">
            <w:pPr>
              <w:pStyle w:val="TableText"/>
              <w:jc w:val="center"/>
            </w:pPr>
            <w:r w:rsidRPr="00F01473">
              <w:t>2053 – 57</w:t>
            </w:r>
          </w:p>
        </w:tc>
        <w:tc>
          <w:tcPr>
            <w:tcW w:w="1194" w:type="dxa"/>
            <w:shd w:val="clear" w:color="auto" w:fill="F2F2F2"/>
            <w:vAlign w:val="center"/>
          </w:tcPr>
          <w:p w:rsidR="00D825BE" w:rsidRPr="00F01473" w:rsidRDefault="00D825BE" w:rsidP="00FA3F4F">
            <w:pPr>
              <w:pStyle w:val="TableText"/>
              <w:jc w:val="center"/>
            </w:pPr>
            <w:r w:rsidRPr="00F01473">
              <w:t>50.0</w:t>
            </w:r>
          </w:p>
        </w:tc>
        <w:tc>
          <w:tcPr>
            <w:tcW w:w="1195" w:type="dxa"/>
            <w:shd w:val="clear" w:color="auto" w:fill="F2F2F2"/>
            <w:vAlign w:val="center"/>
          </w:tcPr>
          <w:p w:rsidR="00D825BE" w:rsidRPr="00F01473" w:rsidRDefault="00D825BE" w:rsidP="00FA3F4F">
            <w:pPr>
              <w:pStyle w:val="TableText"/>
              <w:jc w:val="center"/>
            </w:pPr>
            <w:r w:rsidRPr="00F01473">
              <w:t>+0.7</w:t>
            </w:r>
          </w:p>
        </w:tc>
        <w:tc>
          <w:tcPr>
            <w:tcW w:w="1195" w:type="dxa"/>
            <w:shd w:val="clear" w:color="auto" w:fill="F2F2F2"/>
            <w:vAlign w:val="center"/>
          </w:tcPr>
          <w:p w:rsidR="00D825BE" w:rsidRPr="00F01473" w:rsidRDefault="00D825BE" w:rsidP="00FA3F4F">
            <w:pPr>
              <w:pStyle w:val="TableText"/>
              <w:jc w:val="center"/>
            </w:pPr>
            <w:r w:rsidRPr="00F01473">
              <w:t>-0.7</w:t>
            </w:r>
          </w:p>
        </w:tc>
        <w:tc>
          <w:tcPr>
            <w:tcW w:w="1194" w:type="dxa"/>
            <w:shd w:val="clear" w:color="auto" w:fill="F2F2F2"/>
            <w:vAlign w:val="center"/>
          </w:tcPr>
          <w:p w:rsidR="00D825BE" w:rsidRPr="00F01473" w:rsidRDefault="00D825BE" w:rsidP="00FA3F4F">
            <w:pPr>
              <w:pStyle w:val="TableText"/>
              <w:jc w:val="center"/>
            </w:pPr>
            <w:r>
              <w:t>+5.0</w:t>
            </w:r>
          </w:p>
        </w:tc>
        <w:tc>
          <w:tcPr>
            <w:tcW w:w="1195" w:type="dxa"/>
            <w:shd w:val="clear" w:color="auto" w:fill="F2F2F2"/>
            <w:vAlign w:val="center"/>
          </w:tcPr>
          <w:p w:rsidR="00D825BE" w:rsidRPr="00F01473" w:rsidRDefault="00D825BE" w:rsidP="00FA3F4F">
            <w:pPr>
              <w:pStyle w:val="TableText"/>
              <w:jc w:val="center"/>
            </w:pPr>
            <w:r>
              <w:t>-4.4</w:t>
            </w:r>
          </w:p>
        </w:tc>
        <w:tc>
          <w:tcPr>
            <w:tcW w:w="1195" w:type="dxa"/>
            <w:shd w:val="clear" w:color="auto" w:fill="F2F2F2"/>
            <w:vAlign w:val="center"/>
          </w:tcPr>
          <w:p w:rsidR="00D825BE" w:rsidRPr="00F01473" w:rsidRDefault="00D825BE" w:rsidP="00FA3F4F">
            <w:pPr>
              <w:pStyle w:val="TableText"/>
              <w:jc w:val="center"/>
            </w:pPr>
            <w:r>
              <w:t>+13.6</w:t>
            </w:r>
          </w:p>
        </w:tc>
        <w:tc>
          <w:tcPr>
            <w:tcW w:w="1195" w:type="dxa"/>
            <w:shd w:val="clear" w:color="auto" w:fill="F2F2F2"/>
            <w:vAlign w:val="center"/>
          </w:tcPr>
          <w:p w:rsidR="00D825BE" w:rsidRPr="00F01473" w:rsidRDefault="00D825BE" w:rsidP="00FA3F4F">
            <w:pPr>
              <w:pStyle w:val="TableText"/>
              <w:jc w:val="center"/>
            </w:pPr>
            <w:r>
              <w:t>-10.5</w:t>
            </w:r>
          </w:p>
        </w:tc>
      </w:tr>
    </w:tbl>
    <w:p w:rsidR="00831EF9" w:rsidRDefault="00831EF9" w:rsidP="00A51909"/>
    <w:p w:rsidR="002B0BD7" w:rsidRDefault="002B0BD7" w:rsidP="00A51909">
      <w:r>
        <w:t xml:space="preserve">The nominal outlays are not significantly impacted by changes </w:t>
      </w:r>
      <w:r w:rsidR="00BF3D4C">
        <w:t>in</w:t>
      </w:r>
      <w:r>
        <w:t xml:space="preserve"> the </w:t>
      </w:r>
      <w:r w:rsidR="00BF3D4C">
        <w:t xml:space="preserve">rate of </w:t>
      </w:r>
      <w:r>
        <w:t xml:space="preserve">salary </w:t>
      </w:r>
      <w:r w:rsidR="00BF3D4C">
        <w:t>increases</w:t>
      </w:r>
      <w:r>
        <w:t xml:space="preserve"> for the same reasons as for the unfunded liability above.  CPI changes have a more material </w:t>
      </w:r>
      <w:r w:rsidR="0081311D">
        <w:t>e</w:t>
      </w:r>
      <w:r>
        <w:t xml:space="preserve">ffect as the majority of the liability is linked to these increases.  </w:t>
      </w:r>
    </w:p>
    <w:p w:rsidR="002B0BD7" w:rsidRDefault="002B0BD7" w:rsidP="00A51909"/>
    <w:p w:rsidR="00B147CC" w:rsidRDefault="002B0BD7" w:rsidP="00A51909">
      <w:r>
        <w:t xml:space="preserve">The investment return impacts </w:t>
      </w:r>
      <w:r w:rsidR="00BF3D4C">
        <w:t xml:space="preserve">upon </w:t>
      </w:r>
      <w:r>
        <w:t xml:space="preserve">the </w:t>
      </w:r>
      <w:r w:rsidR="00BF3D4C">
        <w:t>amount</w:t>
      </w:r>
      <w:r>
        <w:t xml:space="preserve"> of funds held for members within CSS and PSS prior to when a benefit first becomes payable.  </w:t>
      </w:r>
      <w:r w:rsidR="00B147CC">
        <w:t>Th</w:t>
      </w:r>
      <w:r w:rsidR="00BF3D4C">
        <w:t>is amount</w:t>
      </w:r>
      <w:r w:rsidR="00B147CC">
        <w:t xml:space="preserve"> is transferred to the CRF and offsets the </w:t>
      </w:r>
      <w:r w:rsidR="00BF3D4C">
        <w:t xml:space="preserve">total amount of </w:t>
      </w:r>
      <w:r w:rsidR="00B147CC">
        <w:t>benefit</w:t>
      </w:r>
      <w:r w:rsidR="00BF3D4C">
        <w:t xml:space="preserve"> payments</w:t>
      </w:r>
      <w:r w:rsidR="00B147CC">
        <w:t xml:space="preserve"> in that year.  The ‘investment and earning rate policy’ within Section 2 describes how investment returns on these funds impact </w:t>
      </w:r>
      <w:r w:rsidR="00BF3D4C">
        <w:t xml:space="preserve">upon </w:t>
      </w:r>
      <w:r w:rsidR="00B147CC">
        <w:t xml:space="preserve">the benefits payable.  </w:t>
      </w:r>
    </w:p>
    <w:p w:rsidR="00B147CC" w:rsidRDefault="00B147CC" w:rsidP="00A51909"/>
    <w:p w:rsidR="002B0BD7" w:rsidRDefault="00BF3D4C" w:rsidP="00A51909">
      <w:r>
        <w:t xml:space="preserve">In the short term </w:t>
      </w:r>
      <w:r w:rsidR="00B147CC">
        <w:t>higher investment return</w:t>
      </w:r>
      <w:r>
        <w:t>s</w:t>
      </w:r>
      <w:r w:rsidR="00B147CC">
        <w:t xml:space="preserve"> will reduce </w:t>
      </w:r>
      <w:r w:rsidR="00351D37">
        <w:t xml:space="preserve">total </w:t>
      </w:r>
      <w:r w:rsidR="00B147CC">
        <w:t>benefit</w:t>
      </w:r>
      <w:r w:rsidR="00351D37">
        <w:t xml:space="preserve"> outlays</w:t>
      </w:r>
      <w:r w:rsidR="00B147CC">
        <w:t xml:space="preserve"> payable as </w:t>
      </w:r>
      <w:r w:rsidR="00351D37">
        <w:t>offsets will be</w:t>
      </w:r>
      <w:r w:rsidR="00B147CC">
        <w:t xml:space="preserve"> higher.  In the longer term </w:t>
      </w:r>
      <w:r w:rsidR="00351D37">
        <w:t>total benefit outlays will increase as benefits are typically paid over a long period while offsets are only received in the year that the benefit first becomes payable</w:t>
      </w:r>
      <w:r w:rsidR="00B147CC">
        <w:t xml:space="preserve">.  The overall amounts of variation are small as there are offsetting impacts and the total benefits payable relating to the assets held are also small. </w:t>
      </w:r>
    </w:p>
    <w:p w:rsidR="00B147CC" w:rsidRDefault="00B147CC" w:rsidP="00A51909"/>
    <w:p w:rsidR="0081311D" w:rsidRDefault="0081311D">
      <w:pPr>
        <w:spacing w:line="240" w:lineRule="auto"/>
        <w:rPr>
          <w:caps/>
          <w:color w:val="002C77"/>
          <w:spacing w:val="40"/>
        </w:rPr>
      </w:pPr>
      <w:r>
        <w:rPr>
          <w:caps/>
          <w:color w:val="002C77"/>
          <w:spacing w:val="40"/>
        </w:rPr>
        <w:br w:type="page"/>
      </w:r>
    </w:p>
    <w:p w:rsidR="00BF3B60" w:rsidRPr="00331A3B" w:rsidRDefault="00BF3B60" w:rsidP="00331A3B">
      <w:pPr>
        <w:rPr>
          <w:caps/>
          <w:color w:val="002C77"/>
          <w:spacing w:val="40"/>
        </w:rPr>
      </w:pPr>
      <w:r w:rsidRPr="00331A3B">
        <w:rPr>
          <w:caps/>
          <w:color w:val="002C77"/>
          <w:spacing w:val="40"/>
        </w:rPr>
        <w:lastRenderedPageBreak/>
        <w:t>Demographic Assumptions</w:t>
      </w:r>
      <w:bookmarkEnd w:id="90"/>
    </w:p>
    <w:p w:rsidR="00BF3B60" w:rsidRDefault="00BF3B60" w:rsidP="00240871"/>
    <w:p w:rsidR="006E0F6D" w:rsidRDefault="006E0F6D" w:rsidP="006E0F6D">
      <w:r w:rsidRPr="00EA5420">
        <w:t xml:space="preserve">The sensitivity of the estimated </w:t>
      </w:r>
      <w:r>
        <w:t>u</w:t>
      </w:r>
      <w:r w:rsidRPr="00EA5420">
        <w:t xml:space="preserve">nfunded </w:t>
      </w:r>
      <w:r>
        <w:t>l</w:t>
      </w:r>
      <w:r w:rsidRPr="00EA5420">
        <w:t xml:space="preserve">iability </w:t>
      </w:r>
      <w:r w:rsidR="00FA3F4F">
        <w:t xml:space="preserve">as at 30 June 2017 </w:t>
      </w:r>
      <w:r w:rsidRPr="00EA5420">
        <w:t xml:space="preserve">to </w:t>
      </w:r>
      <w:r>
        <w:t>certain demographic</w:t>
      </w:r>
      <w:r w:rsidRPr="00EA5420">
        <w:t xml:space="preserve"> assumptions </w:t>
      </w:r>
      <w:r w:rsidR="00E522E6">
        <w:t>was</w:t>
      </w:r>
      <w:r w:rsidRPr="00EA5420">
        <w:t xml:space="preserve"> tested by measuring the effect of varying each assumption in turn whilst keeping all other assumptions unchanged</w:t>
      </w:r>
      <w:r>
        <w:t>.</w:t>
      </w:r>
    </w:p>
    <w:p w:rsidR="0059232A" w:rsidRDefault="0059232A" w:rsidP="006E0F6D"/>
    <w:p w:rsidR="006E0F6D" w:rsidRDefault="006E0F6D" w:rsidP="006E0F6D">
      <w:r w:rsidRPr="00EA5420">
        <w:t>The alternative assumptions used were:</w:t>
      </w:r>
    </w:p>
    <w:p w:rsidR="006E0F6D" w:rsidRDefault="006E0F6D" w:rsidP="0026079F">
      <w:pPr>
        <w:pStyle w:val="ListBullet"/>
      </w:pPr>
      <w:r>
        <w:t>5% higher pensioner mortality rate</w:t>
      </w:r>
      <w:r w:rsidR="00FE11AE">
        <w:t>s (e.g. a 3% probability of death becomes 3.15%)</w:t>
      </w:r>
      <w:r>
        <w:t>;</w:t>
      </w:r>
    </w:p>
    <w:p w:rsidR="00FE11AE" w:rsidRDefault="00FE11AE" w:rsidP="0026079F">
      <w:pPr>
        <w:pStyle w:val="ListBullet"/>
      </w:pPr>
      <w:r>
        <w:t>5% lower pensioner mortality rates (e.g. a 3% probability of death becomes 2.85%);</w:t>
      </w:r>
    </w:p>
    <w:p w:rsidR="00FE11AE" w:rsidRPr="004A3003" w:rsidRDefault="00FE11AE" w:rsidP="0026079F">
      <w:pPr>
        <w:pStyle w:val="ListBullet"/>
      </w:pPr>
      <w:r w:rsidRPr="004A3003">
        <w:t xml:space="preserve">future improvements in pensioner mortality in line with short term (25 year experience) </w:t>
      </w:r>
      <w:r w:rsidR="00A15833" w:rsidRPr="004A3003">
        <w:t>factors only, with no reversion to long term factors after 2021;</w:t>
      </w:r>
      <w:r w:rsidR="0059232A">
        <w:t xml:space="preserve"> and</w:t>
      </w:r>
    </w:p>
    <w:p w:rsidR="00A15833" w:rsidRPr="0059232A" w:rsidRDefault="00A15833" w:rsidP="0026079F">
      <w:pPr>
        <w:pStyle w:val="ListBullet"/>
      </w:pPr>
      <w:r w:rsidRPr="0059232A">
        <w:t xml:space="preserve">pension take-up rate </w:t>
      </w:r>
      <w:r w:rsidR="0059232A">
        <w:t xml:space="preserve">assumed </w:t>
      </w:r>
      <w:r w:rsidRPr="0059232A">
        <w:t>for PSS age and involuntary retirement ben</w:t>
      </w:r>
      <w:r w:rsidR="004A3003" w:rsidRPr="0059232A">
        <w:t>efits increased from 80% to 90%.</w:t>
      </w:r>
    </w:p>
    <w:p w:rsidR="008F6510" w:rsidRDefault="008F6510" w:rsidP="008F6510"/>
    <w:tbl>
      <w:tblPr>
        <w:tblW w:w="9711"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2766"/>
        <w:gridCol w:w="1157"/>
        <w:gridCol w:w="1158"/>
        <w:gridCol w:w="1157"/>
        <w:gridCol w:w="1158"/>
        <w:gridCol w:w="1157"/>
        <w:gridCol w:w="1158"/>
      </w:tblGrid>
      <w:tr w:rsidR="008F6510" w:rsidRPr="008F6510" w:rsidTr="004D6D93">
        <w:trPr>
          <w:cantSplit/>
          <w:trHeight w:val="450"/>
          <w:tblHeader/>
        </w:trPr>
        <w:tc>
          <w:tcPr>
            <w:tcW w:w="2766" w:type="dxa"/>
            <w:vMerge w:val="restart"/>
            <w:shd w:val="clear" w:color="auto" w:fill="00A8C8"/>
          </w:tcPr>
          <w:p w:rsidR="008F6510" w:rsidRPr="008F6510" w:rsidRDefault="008F6510" w:rsidP="00C65B4A">
            <w:pPr>
              <w:pStyle w:val="TableHeadingText"/>
              <w:jc w:val="center"/>
              <w:rPr>
                <w:caps w:val="0"/>
              </w:rPr>
            </w:pPr>
            <w:r w:rsidRPr="008F6510">
              <w:rPr>
                <w:caps w:val="0"/>
              </w:rPr>
              <w:t>Unfunded Liability (UFL</w:t>
            </w:r>
            <w:r w:rsidR="00C65B4A">
              <w:rPr>
                <w:caps w:val="0"/>
              </w:rPr>
              <w:t>) a</w:t>
            </w:r>
            <w:r w:rsidRPr="008F6510">
              <w:rPr>
                <w:caps w:val="0"/>
              </w:rPr>
              <w:t>s at 30 June 2017 ($ billion)</w:t>
            </w:r>
          </w:p>
        </w:tc>
        <w:tc>
          <w:tcPr>
            <w:tcW w:w="2315" w:type="dxa"/>
            <w:gridSpan w:val="2"/>
            <w:shd w:val="clear" w:color="auto" w:fill="00A8C8"/>
          </w:tcPr>
          <w:p w:rsidR="008F6510" w:rsidRPr="008F6510" w:rsidRDefault="008F6510" w:rsidP="004D6D93">
            <w:pPr>
              <w:pStyle w:val="TableHeadingText"/>
              <w:jc w:val="center"/>
              <w:rPr>
                <w:caps w:val="0"/>
              </w:rPr>
            </w:pPr>
            <w:r w:rsidRPr="008F6510">
              <w:rPr>
                <w:caps w:val="0"/>
              </w:rPr>
              <w:t>PSS</w:t>
            </w:r>
          </w:p>
        </w:tc>
        <w:tc>
          <w:tcPr>
            <w:tcW w:w="2315" w:type="dxa"/>
            <w:gridSpan w:val="2"/>
            <w:shd w:val="clear" w:color="auto" w:fill="00A8C8"/>
          </w:tcPr>
          <w:p w:rsidR="008F6510" w:rsidRPr="008F6510" w:rsidRDefault="008F6510" w:rsidP="004D6D93">
            <w:pPr>
              <w:pStyle w:val="TableHeadingText"/>
              <w:jc w:val="center"/>
              <w:rPr>
                <w:caps w:val="0"/>
              </w:rPr>
            </w:pPr>
            <w:r w:rsidRPr="008F6510">
              <w:rPr>
                <w:caps w:val="0"/>
              </w:rPr>
              <w:t>CSS</w:t>
            </w:r>
          </w:p>
        </w:tc>
        <w:tc>
          <w:tcPr>
            <w:tcW w:w="2315" w:type="dxa"/>
            <w:gridSpan w:val="2"/>
            <w:shd w:val="clear" w:color="auto" w:fill="00A8C8"/>
          </w:tcPr>
          <w:p w:rsidR="008F6510" w:rsidRPr="008F6510" w:rsidRDefault="008F6510" w:rsidP="004D6D93">
            <w:pPr>
              <w:pStyle w:val="TableHeadingText"/>
              <w:jc w:val="center"/>
              <w:rPr>
                <w:caps w:val="0"/>
              </w:rPr>
            </w:pPr>
            <w:r w:rsidRPr="008F6510">
              <w:rPr>
                <w:caps w:val="0"/>
              </w:rPr>
              <w:t>Combined</w:t>
            </w:r>
          </w:p>
        </w:tc>
      </w:tr>
      <w:tr w:rsidR="008F6510" w:rsidRPr="008F6510" w:rsidTr="004D6D93">
        <w:trPr>
          <w:cantSplit/>
          <w:trHeight w:val="450"/>
          <w:tblHeader/>
        </w:trPr>
        <w:tc>
          <w:tcPr>
            <w:tcW w:w="2766" w:type="dxa"/>
            <w:vMerge/>
            <w:shd w:val="clear" w:color="auto" w:fill="00A8C8"/>
          </w:tcPr>
          <w:p w:rsidR="008F6510" w:rsidRPr="008F6510" w:rsidRDefault="008F6510" w:rsidP="004D6D93">
            <w:pPr>
              <w:pStyle w:val="TableHeadingText"/>
              <w:jc w:val="center"/>
              <w:rPr>
                <w:caps w:val="0"/>
              </w:rPr>
            </w:pPr>
          </w:p>
        </w:tc>
        <w:tc>
          <w:tcPr>
            <w:tcW w:w="1157" w:type="dxa"/>
            <w:shd w:val="clear" w:color="auto" w:fill="00A8C8"/>
          </w:tcPr>
          <w:p w:rsidR="008F6510" w:rsidRPr="008F6510" w:rsidRDefault="008F6510" w:rsidP="004D6D93">
            <w:pPr>
              <w:pStyle w:val="TableHeadingText"/>
              <w:jc w:val="center"/>
              <w:rPr>
                <w:caps w:val="0"/>
              </w:rPr>
            </w:pPr>
            <w:r w:rsidRPr="008F6510">
              <w:rPr>
                <w:caps w:val="0"/>
              </w:rPr>
              <w:t>UFL</w:t>
            </w:r>
          </w:p>
        </w:tc>
        <w:tc>
          <w:tcPr>
            <w:tcW w:w="1158" w:type="dxa"/>
            <w:shd w:val="clear" w:color="auto" w:fill="00A8C8"/>
          </w:tcPr>
          <w:p w:rsidR="008F6510" w:rsidRPr="008F6510" w:rsidRDefault="008F6510" w:rsidP="004D6D93">
            <w:pPr>
              <w:pStyle w:val="TableHeadingText"/>
              <w:jc w:val="center"/>
              <w:rPr>
                <w:caps w:val="0"/>
              </w:rPr>
            </w:pPr>
            <w:r w:rsidRPr="008F6510">
              <w:rPr>
                <w:caps w:val="0"/>
              </w:rPr>
              <w:t>% Change</w:t>
            </w:r>
          </w:p>
        </w:tc>
        <w:tc>
          <w:tcPr>
            <w:tcW w:w="1157" w:type="dxa"/>
            <w:shd w:val="clear" w:color="auto" w:fill="00A8C8"/>
          </w:tcPr>
          <w:p w:rsidR="008F6510" w:rsidRPr="008F6510" w:rsidRDefault="008F6510" w:rsidP="004D6D93">
            <w:pPr>
              <w:pStyle w:val="TableHeadingText"/>
              <w:jc w:val="center"/>
              <w:rPr>
                <w:caps w:val="0"/>
              </w:rPr>
            </w:pPr>
            <w:r w:rsidRPr="008F6510">
              <w:rPr>
                <w:caps w:val="0"/>
              </w:rPr>
              <w:t>UFL</w:t>
            </w:r>
          </w:p>
        </w:tc>
        <w:tc>
          <w:tcPr>
            <w:tcW w:w="1158" w:type="dxa"/>
            <w:shd w:val="clear" w:color="auto" w:fill="00A8C8"/>
          </w:tcPr>
          <w:p w:rsidR="008F6510" w:rsidRPr="008F6510" w:rsidRDefault="008F6510" w:rsidP="004D6D93">
            <w:pPr>
              <w:pStyle w:val="TableHeadingText"/>
              <w:jc w:val="center"/>
              <w:rPr>
                <w:caps w:val="0"/>
              </w:rPr>
            </w:pPr>
            <w:r w:rsidRPr="008F6510">
              <w:rPr>
                <w:caps w:val="0"/>
              </w:rPr>
              <w:t>% Change</w:t>
            </w:r>
          </w:p>
        </w:tc>
        <w:tc>
          <w:tcPr>
            <w:tcW w:w="1157" w:type="dxa"/>
            <w:shd w:val="clear" w:color="auto" w:fill="00A8C8"/>
          </w:tcPr>
          <w:p w:rsidR="008F6510" w:rsidRPr="008F6510" w:rsidRDefault="008F6510" w:rsidP="004D6D93">
            <w:pPr>
              <w:pStyle w:val="TableHeadingText"/>
              <w:jc w:val="center"/>
              <w:rPr>
                <w:caps w:val="0"/>
              </w:rPr>
            </w:pPr>
            <w:r w:rsidRPr="008F6510">
              <w:rPr>
                <w:caps w:val="0"/>
              </w:rPr>
              <w:t>UFL</w:t>
            </w:r>
          </w:p>
        </w:tc>
        <w:tc>
          <w:tcPr>
            <w:tcW w:w="1158" w:type="dxa"/>
            <w:shd w:val="clear" w:color="auto" w:fill="00A8C8"/>
          </w:tcPr>
          <w:p w:rsidR="008F6510" w:rsidRPr="008F6510" w:rsidRDefault="008F6510" w:rsidP="004D6D93">
            <w:pPr>
              <w:pStyle w:val="TableHeadingText"/>
              <w:jc w:val="center"/>
              <w:rPr>
                <w:caps w:val="0"/>
              </w:rPr>
            </w:pPr>
            <w:r w:rsidRPr="008F6510">
              <w:rPr>
                <w:caps w:val="0"/>
              </w:rPr>
              <w:t>% Change</w:t>
            </w:r>
          </w:p>
        </w:tc>
      </w:tr>
      <w:tr w:rsidR="008F6510" w:rsidRPr="008F6510" w:rsidTr="004D6D93">
        <w:tblPrEx>
          <w:shd w:val="clear" w:color="auto" w:fill="auto"/>
        </w:tblPrEx>
        <w:trPr>
          <w:cantSplit/>
        </w:trPr>
        <w:tc>
          <w:tcPr>
            <w:tcW w:w="2766" w:type="dxa"/>
            <w:shd w:val="clear" w:color="auto" w:fill="F2F2F2"/>
          </w:tcPr>
          <w:p w:rsidR="008F6510" w:rsidRPr="008F6510" w:rsidRDefault="008F6510" w:rsidP="004D6D93">
            <w:pPr>
              <w:pStyle w:val="TableText"/>
              <w:rPr>
                <w:b/>
              </w:rPr>
            </w:pPr>
            <w:r w:rsidRPr="008F6510">
              <w:rPr>
                <w:b/>
              </w:rPr>
              <w:t>Base case</w:t>
            </w:r>
          </w:p>
        </w:tc>
        <w:tc>
          <w:tcPr>
            <w:tcW w:w="1157" w:type="dxa"/>
            <w:shd w:val="clear" w:color="auto" w:fill="F2F2F2"/>
            <w:vAlign w:val="center"/>
          </w:tcPr>
          <w:p w:rsidR="008F6510" w:rsidRPr="008F6510" w:rsidRDefault="008F6510" w:rsidP="004D6D93">
            <w:pPr>
              <w:pStyle w:val="TableText"/>
              <w:jc w:val="center"/>
              <w:rPr>
                <w:b/>
              </w:rPr>
            </w:pPr>
            <w:r w:rsidRPr="008F6510">
              <w:rPr>
                <w:b/>
              </w:rPr>
              <w:t>67.8</w:t>
            </w:r>
          </w:p>
        </w:tc>
        <w:tc>
          <w:tcPr>
            <w:tcW w:w="1158" w:type="dxa"/>
            <w:shd w:val="clear" w:color="auto" w:fill="F2F2F2"/>
            <w:vAlign w:val="center"/>
          </w:tcPr>
          <w:p w:rsidR="008F6510" w:rsidRPr="008F6510" w:rsidRDefault="008F6510" w:rsidP="004D6D93">
            <w:pPr>
              <w:pStyle w:val="TableText"/>
              <w:jc w:val="center"/>
              <w:rPr>
                <w:b/>
              </w:rPr>
            </w:pPr>
            <w:r w:rsidRPr="008F6510">
              <w:rPr>
                <w:b/>
              </w:rPr>
              <w:t>-</w:t>
            </w:r>
          </w:p>
        </w:tc>
        <w:tc>
          <w:tcPr>
            <w:tcW w:w="1157" w:type="dxa"/>
            <w:shd w:val="clear" w:color="auto" w:fill="F2F2F2"/>
            <w:vAlign w:val="center"/>
          </w:tcPr>
          <w:p w:rsidR="008F6510" w:rsidRPr="008F6510" w:rsidRDefault="008F6510" w:rsidP="004D6D93">
            <w:pPr>
              <w:pStyle w:val="TableText"/>
              <w:jc w:val="center"/>
              <w:rPr>
                <w:b/>
              </w:rPr>
            </w:pPr>
            <w:r w:rsidRPr="008F6510">
              <w:rPr>
                <w:b/>
              </w:rPr>
              <w:t>70.0</w:t>
            </w:r>
          </w:p>
        </w:tc>
        <w:tc>
          <w:tcPr>
            <w:tcW w:w="1158" w:type="dxa"/>
            <w:shd w:val="clear" w:color="auto" w:fill="F2F2F2"/>
            <w:vAlign w:val="center"/>
          </w:tcPr>
          <w:p w:rsidR="008F6510" w:rsidRPr="008F6510" w:rsidRDefault="008F6510" w:rsidP="004D6D93">
            <w:pPr>
              <w:pStyle w:val="TableText"/>
              <w:jc w:val="center"/>
              <w:rPr>
                <w:b/>
              </w:rPr>
            </w:pPr>
            <w:r w:rsidRPr="008F6510">
              <w:rPr>
                <w:b/>
              </w:rPr>
              <w:t>-</w:t>
            </w:r>
          </w:p>
        </w:tc>
        <w:tc>
          <w:tcPr>
            <w:tcW w:w="1157" w:type="dxa"/>
            <w:shd w:val="clear" w:color="auto" w:fill="F2F2F2"/>
            <w:vAlign w:val="center"/>
          </w:tcPr>
          <w:p w:rsidR="008F6510" w:rsidRPr="008F6510" w:rsidRDefault="008F6510" w:rsidP="004D6D93">
            <w:pPr>
              <w:pStyle w:val="TableText"/>
              <w:jc w:val="center"/>
              <w:rPr>
                <w:b/>
              </w:rPr>
            </w:pPr>
            <w:r w:rsidRPr="008F6510">
              <w:rPr>
                <w:b/>
              </w:rPr>
              <w:t>137.8</w:t>
            </w:r>
          </w:p>
        </w:tc>
        <w:tc>
          <w:tcPr>
            <w:tcW w:w="1158" w:type="dxa"/>
            <w:shd w:val="clear" w:color="auto" w:fill="F2F2F2"/>
            <w:vAlign w:val="center"/>
          </w:tcPr>
          <w:p w:rsidR="008F6510" w:rsidRPr="008F6510" w:rsidRDefault="008F6510" w:rsidP="004D6D93">
            <w:pPr>
              <w:pStyle w:val="TableText"/>
              <w:jc w:val="center"/>
              <w:rPr>
                <w:b/>
              </w:rPr>
            </w:pPr>
            <w:r w:rsidRPr="008F6510">
              <w:rPr>
                <w:b/>
              </w:rPr>
              <w:t>-</w:t>
            </w:r>
          </w:p>
        </w:tc>
      </w:tr>
      <w:tr w:rsidR="004A3003" w:rsidRPr="008F6510" w:rsidTr="00CB2730">
        <w:tblPrEx>
          <w:shd w:val="clear" w:color="auto" w:fill="auto"/>
        </w:tblPrEx>
        <w:trPr>
          <w:cantSplit/>
        </w:trPr>
        <w:tc>
          <w:tcPr>
            <w:tcW w:w="2766" w:type="dxa"/>
            <w:shd w:val="clear" w:color="auto" w:fill="F2F2F2"/>
          </w:tcPr>
          <w:p w:rsidR="004A3003" w:rsidRPr="000943F1" w:rsidRDefault="004A3003" w:rsidP="00CB2730">
            <w:pPr>
              <w:pStyle w:val="TableText"/>
            </w:pPr>
            <w:r>
              <w:t>5% higher pensioner mortality rates</w:t>
            </w:r>
          </w:p>
        </w:tc>
        <w:tc>
          <w:tcPr>
            <w:tcW w:w="1157" w:type="dxa"/>
            <w:shd w:val="clear" w:color="auto" w:fill="F2F2F2"/>
            <w:vAlign w:val="center"/>
          </w:tcPr>
          <w:p w:rsidR="004A3003" w:rsidRPr="008F6510" w:rsidRDefault="0059232A" w:rsidP="00CB2730">
            <w:pPr>
              <w:pStyle w:val="TableText"/>
              <w:jc w:val="center"/>
            </w:pPr>
            <w:r>
              <w:t>67.1</w:t>
            </w:r>
          </w:p>
        </w:tc>
        <w:tc>
          <w:tcPr>
            <w:tcW w:w="1158" w:type="dxa"/>
            <w:shd w:val="clear" w:color="auto" w:fill="F2F2F2"/>
            <w:vAlign w:val="center"/>
          </w:tcPr>
          <w:p w:rsidR="004A3003" w:rsidRPr="008F6510" w:rsidRDefault="0059232A" w:rsidP="00CB2730">
            <w:pPr>
              <w:pStyle w:val="TableText"/>
              <w:jc w:val="center"/>
            </w:pPr>
            <w:r>
              <w:t>-1.0%</w:t>
            </w:r>
          </w:p>
        </w:tc>
        <w:tc>
          <w:tcPr>
            <w:tcW w:w="1157" w:type="dxa"/>
            <w:shd w:val="clear" w:color="auto" w:fill="F2F2F2"/>
            <w:vAlign w:val="center"/>
          </w:tcPr>
          <w:p w:rsidR="004A3003" w:rsidRPr="008F6510" w:rsidRDefault="004A3003" w:rsidP="00CB2730">
            <w:pPr>
              <w:pStyle w:val="TableText"/>
              <w:jc w:val="center"/>
            </w:pPr>
            <w:r>
              <w:t>69.2</w:t>
            </w:r>
          </w:p>
        </w:tc>
        <w:tc>
          <w:tcPr>
            <w:tcW w:w="1158" w:type="dxa"/>
            <w:shd w:val="clear" w:color="auto" w:fill="F2F2F2"/>
            <w:vAlign w:val="center"/>
          </w:tcPr>
          <w:p w:rsidR="004A3003" w:rsidRPr="008F6510" w:rsidRDefault="0059232A" w:rsidP="00CB2730">
            <w:pPr>
              <w:pStyle w:val="TableText"/>
              <w:jc w:val="center"/>
            </w:pPr>
            <w:r>
              <w:t>-1.1%</w:t>
            </w:r>
          </w:p>
        </w:tc>
        <w:tc>
          <w:tcPr>
            <w:tcW w:w="1157" w:type="dxa"/>
            <w:shd w:val="clear" w:color="auto" w:fill="F2F2F2"/>
            <w:vAlign w:val="center"/>
          </w:tcPr>
          <w:p w:rsidR="004A3003" w:rsidRPr="008F6510" w:rsidRDefault="00C65B4A" w:rsidP="00CB2730">
            <w:pPr>
              <w:pStyle w:val="TableText"/>
              <w:jc w:val="center"/>
            </w:pPr>
            <w:r>
              <w:t>136.3</w:t>
            </w:r>
          </w:p>
        </w:tc>
        <w:tc>
          <w:tcPr>
            <w:tcW w:w="1158" w:type="dxa"/>
            <w:shd w:val="clear" w:color="auto" w:fill="F2F2F2"/>
            <w:vAlign w:val="center"/>
          </w:tcPr>
          <w:p w:rsidR="004A3003" w:rsidRPr="008F6510" w:rsidRDefault="00C65B4A" w:rsidP="00CB2730">
            <w:pPr>
              <w:pStyle w:val="TableText"/>
              <w:jc w:val="center"/>
            </w:pPr>
            <w:r>
              <w:t>-1.1%</w:t>
            </w:r>
          </w:p>
        </w:tc>
      </w:tr>
      <w:tr w:rsidR="004A3003" w:rsidRPr="008F6510" w:rsidTr="00CB2730">
        <w:tblPrEx>
          <w:shd w:val="clear" w:color="auto" w:fill="auto"/>
        </w:tblPrEx>
        <w:trPr>
          <w:cantSplit/>
        </w:trPr>
        <w:tc>
          <w:tcPr>
            <w:tcW w:w="2766" w:type="dxa"/>
            <w:shd w:val="clear" w:color="auto" w:fill="F2F2F2"/>
          </w:tcPr>
          <w:p w:rsidR="004A3003" w:rsidRPr="000943F1" w:rsidRDefault="004A3003" w:rsidP="00CB2730">
            <w:pPr>
              <w:pStyle w:val="TableText"/>
            </w:pPr>
            <w:r>
              <w:t xml:space="preserve">5% lower pensioner </w:t>
            </w:r>
            <w:r w:rsidR="0059232A">
              <w:br/>
            </w:r>
            <w:r>
              <w:t>mortality rates</w:t>
            </w:r>
          </w:p>
        </w:tc>
        <w:tc>
          <w:tcPr>
            <w:tcW w:w="1157" w:type="dxa"/>
            <w:shd w:val="clear" w:color="auto" w:fill="F2F2F2"/>
            <w:vAlign w:val="center"/>
          </w:tcPr>
          <w:p w:rsidR="004A3003" w:rsidRPr="008F6510" w:rsidRDefault="0059232A" w:rsidP="00CB2730">
            <w:pPr>
              <w:pStyle w:val="TableText"/>
              <w:jc w:val="center"/>
            </w:pPr>
            <w:r>
              <w:t>68.4</w:t>
            </w:r>
          </w:p>
        </w:tc>
        <w:tc>
          <w:tcPr>
            <w:tcW w:w="1158" w:type="dxa"/>
            <w:shd w:val="clear" w:color="auto" w:fill="F2F2F2"/>
            <w:vAlign w:val="center"/>
          </w:tcPr>
          <w:p w:rsidR="004A3003" w:rsidRPr="008F6510" w:rsidRDefault="0059232A" w:rsidP="00CB2730">
            <w:pPr>
              <w:pStyle w:val="TableText"/>
              <w:jc w:val="center"/>
            </w:pPr>
            <w:r>
              <w:t>+0.9%</w:t>
            </w:r>
          </w:p>
        </w:tc>
        <w:tc>
          <w:tcPr>
            <w:tcW w:w="1157" w:type="dxa"/>
            <w:shd w:val="clear" w:color="auto" w:fill="F2F2F2"/>
            <w:vAlign w:val="center"/>
          </w:tcPr>
          <w:p w:rsidR="004A3003" w:rsidRPr="008F6510" w:rsidRDefault="004A3003" w:rsidP="00CB2730">
            <w:pPr>
              <w:pStyle w:val="TableText"/>
              <w:jc w:val="center"/>
            </w:pPr>
            <w:r>
              <w:t>70.9</w:t>
            </w:r>
          </w:p>
        </w:tc>
        <w:tc>
          <w:tcPr>
            <w:tcW w:w="1158" w:type="dxa"/>
            <w:shd w:val="clear" w:color="auto" w:fill="F2F2F2"/>
            <w:vAlign w:val="center"/>
          </w:tcPr>
          <w:p w:rsidR="004A3003" w:rsidRPr="008F6510" w:rsidRDefault="0059232A" w:rsidP="00CB2730">
            <w:pPr>
              <w:pStyle w:val="TableText"/>
              <w:jc w:val="center"/>
            </w:pPr>
            <w:r>
              <w:t>+1.3%</w:t>
            </w:r>
          </w:p>
        </w:tc>
        <w:tc>
          <w:tcPr>
            <w:tcW w:w="1157" w:type="dxa"/>
            <w:shd w:val="clear" w:color="auto" w:fill="F2F2F2"/>
            <w:vAlign w:val="center"/>
          </w:tcPr>
          <w:p w:rsidR="004A3003" w:rsidRPr="008F6510" w:rsidRDefault="00C65B4A" w:rsidP="00CB2730">
            <w:pPr>
              <w:pStyle w:val="TableText"/>
              <w:jc w:val="center"/>
            </w:pPr>
            <w:r>
              <w:t>139.3</w:t>
            </w:r>
          </w:p>
        </w:tc>
        <w:tc>
          <w:tcPr>
            <w:tcW w:w="1158" w:type="dxa"/>
            <w:shd w:val="clear" w:color="auto" w:fill="F2F2F2"/>
            <w:vAlign w:val="center"/>
          </w:tcPr>
          <w:p w:rsidR="004A3003" w:rsidRPr="008F6510" w:rsidRDefault="00C65B4A" w:rsidP="00CB2730">
            <w:pPr>
              <w:pStyle w:val="TableText"/>
              <w:jc w:val="center"/>
            </w:pPr>
            <w:r>
              <w:t>+1.1%</w:t>
            </w:r>
          </w:p>
        </w:tc>
      </w:tr>
      <w:tr w:rsidR="0059232A" w:rsidRPr="008F6510" w:rsidTr="00CB2730">
        <w:tblPrEx>
          <w:shd w:val="clear" w:color="auto" w:fill="auto"/>
        </w:tblPrEx>
        <w:trPr>
          <w:cantSplit/>
        </w:trPr>
        <w:tc>
          <w:tcPr>
            <w:tcW w:w="2766" w:type="dxa"/>
            <w:shd w:val="clear" w:color="auto" w:fill="F2F2F2"/>
          </w:tcPr>
          <w:p w:rsidR="0059232A" w:rsidRPr="000943F1" w:rsidRDefault="0059232A" w:rsidP="00CB2730">
            <w:pPr>
              <w:pStyle w:val="TableText"/>
            </w:pPr>
            <w:r>
              <w:t>25 year experience future mortality improvements</w:t>
            </w:r>
          </w:p>
        </w:tc>
        <w:tc>
          <w:tcPr>
            <w:tcW w:w="1157" w:type="dxa"/>
            <w:shd w:val="clear" w:color="auto" w:fill="F2F2F2"/>
            <w:vAlign w:val="center"/>
          </w:tcPr>
          <w:p w:rsidR="0059232A" w:rsidRPr="008F6510" w:rsidRDefault="0059232A" w:rsidP="00CB2730">
            <w:pPr>
              <w:pStyle w:val="TableText"/>
              <w:jc w:val="center"/>
            </w:pPr>
            <w:r>
              <w:t>69.4</w:t>
            </w:r>
          </w:p>
        </w:tc>
        <w:tc>
          <w:tcPr>
            <w:tcW w:w="1158" w:type="dxa"/>
            <w:shd w:val="clear" w:color="auto" w:fill="F2F2F2"/>
            <w:vAlign w:val="center"/>
          </w:tcPr>
          <w:p w:rsidR="0059232A" w:rsidRPr="008F6510" w:rsidRDefault="0059232A" w:rsidP="00CB2730">
            <w:pPr>
              <w:pStyle w:val="TableText"/>
              <w:jc w:val="center"/>
            </w:pPr>
            <w:r>
              <w:t>+2.4%</w:t>
            </w:r>
          </w:p>
        </w:tc>
        <w:tc>
          <w:tcPr>
            <w:tcW w:w="1157" w:type="dxa"/>
            <w:shd w:val="clear" w:color="auto" w:fill="F2F2F2"/>
            <w:vAlign w:val="center"/>
          </w:tcPr>
          <w:p w:rsidR="0059232A" w:rsidRPr="008F6510" w:rsidRDefault="0059232A" w:rsidP="00CB2730">
            <w:pPr>
              <w:pStyle w:val="TableText"/>
              <w:jc w:val="center"/>
            </w:pPr>
            <w:r>
              <w:t>71.0</w:t>
            </w:r>
          </w:p>
        </w:tc>
        <w:tc>
          <w:tcPr>
            <w:tcW w:w="1158" w:type="dxa"/>
            <w:shd w:val="clear" w:color="auto" w:fill="F2F2F2"/>
            <w:vAlign w:val="center"/>
          </w:tcPr>
          <w:p w:rsidR="0059232A" w:rsidRPr="008F6510" w:rsidRDefault="0059232A" w:rsidP="00CB2730">
            <w:pPr>
              <w:pStyle w:val="TableText"/>
              <w:jc w:val="center"/>
            </w:pPr>
            <w:r>
              <w:t>+1.4%</w:t>
            </w:r>
          </w:p>
        </w:tc>
        <w:tc>
          <w:tcPr>
            <w:tcW w:w="1157" w:type="dxa"/>
            <w:shd w:val="clear" w:color="auto" w:fill="F2F2F2"/>
            <w:vAlign w:val="center"/>
          </w:tcPr>
          <w:p w:rsidR="0059232A" w:rsidRPr="008F6510" w:rsidRDefault="00C65B4A" w:rsidP="00CB2730">
            <w:pPr>
              <w:pStyle w:val="TableText"/>
              <w:jc w:val="center"/>
            </w:pPr>
            <w:r>
              <w:t>140.4</w:t>
            </w:r>
          </w:p>
        </w:tc>
        <w:tc>
          <w:tcPr>
            <w:tcW w:w="1158" w:type="dxa"/>
            <w:shd w:val="clear" w:color="auto" w:fill="F2F2F2"/>
            <w:vAlign w:val="center"/>
          </w:tcPr>
          <w:p w:rsidR="0059232A" w:rsidRPr="008F6510" w:rsidRDefault="00C65B4A" w:rsidP="00CB2730">
            <w:pPr>
              <w:pStyle w:val="TableText"/>
              <w:jc w:val="center"/>
            </w:pPr>
            <w:r>
              <w:t>+1.9%</w:t>
            </w:r>
          </w:p>
        </w:tc>
      </w:tr>
      <w:tr w:rsidR="008F6510" w:rsidRPr="008F6510" w:rsidTr="004D6D93">
        <w:tblPrEx>
          <w:shd w:val="clear" w:color="auto" w:fill="auto"/>
        </w:tblPrEx>
        <w:trPr>
          <w:cantSplit/>
        </w:trPr>
        <w:tc>
          <w:tcPr>
            <w:tcW w:w="2766" w:type="dxa"/>
            <w:shd w:val="clear" w:color="auto" w:fill="F2F2F2"/>
          </w:tcPr>
          <w:p w:rsidR="008F6510" w:rsidRPr="000943F1" w:rsidRDefault="0059232A" w:rsidP="0059232A">
            <w:pPr>
              <w:pStyle w:val="TableText"/>
            </w:pPr>
            <w:r>
              <w:t>PSS pension take up increased to 90%</w:t>
            </w:r>
          </w:p>
        </w:tc>
        <w:tc>
          <w:tcPr>
            <w:tcW w:w="1157" w:type="dxa"/>
            <w:shd w:val="clear" w:color="auto" w:fill="F2F2F2"/>
            <w:vAlign w:val="center"/>
          </w:tcPr>
          <w:p w:rsidR="008F6510" w:rsidRPr="008F6510" w:rsidRDefault="0059232A" w:rsidP="004D6D93">
            <w:pPr>
              <w:pStyle w:val="TableText"/>
              <w:jc w:val="center"/>
            </w:pPr>
            <w:r>
              <w:t>70.6</w:t>
            </w:r>
          </w:p>
        </w:tc>
        <w:tc>
          <w:tcPr>
            <w:tcW w:w="1158" w:type="dxa"/>
            <w:shd w:val="clear" w:color="auto" w:fill="F2F2F2"/>
            <w:vAlign w:val="center"/>
          </w:tcPr>
          <w:p w:rsidR="008F6510" w:rsidRPr="008F6510" w:rsidRDefault="00C65B4A" w:rsidP="004D6D93">
            <w:pPr>
              <w:pStyle w:val="TableText"/>
              <w:jc w:val="center"/>
            </w:pPr>
            <w:r>
              <w:t>+4.1%</w:t>
            </w:r>
          </w:p>
        </w:tc>
        <w:tc>
          <w:tcPr>
            <w:tcW w:w="1157" w:type="dxa"/>
            <w:shd w:val="clear" w:color="auto" w:fill="F2F2F2"/>
            <w:vAlign w:val="center"/>
          </w:tcPr>
          <w:p w:rsidR="008F6510" w:rsidRPr="008F6510" w:rsidRDefault="0059232A" w:rsidP="004D6D93">
            <w:pPr>
              <w:pStyle w:val="TableText"/>
              <w:jc w:val="center"/>
            </w:pPr>
            <w:r>
              <w:t>70.0</w:t>
            </w:r>
          </w:p>
        </w:tc>
        <w:tc>
          <w:tcPr>
            <w:tcW w:w="1158" w:type="dxa"/>
            <w:shd w:val="clear" w:color="auto" w:fill="F2F2F2"/>
            <w:vAlign w:val="center"/>
          </w:tcPr>
          <w:p w:rsidR="008F6510" w:rsidRPr="008F6510" w:rsidRDefault="0059232A" w:rsidP="004D6D93">
            <w:pPr>
              <w:pStyle w:val="TableText"/>
              <w:jc w:val="center"/>
            </w:pPr>
            <w:r>
              <w:t>-</w:t>
            </w:r>
          </w:p>
        </w:tc>
        <w:tc>
          <w:tcPr>
            <w:tcW w:w="1157" w:type="dxa"/>
            <w:shd w:val="clear" w:color="auto" w:fill="F2F2F2"/>
            <w:vAlign w:val="center"/>
          </w:tcPr>
          <w:p w:rsidR="008F6510" w:rsidRPr="008F6510" w:rsidRDefault="00C65B4A" w:rsidP="004D6D93">
            <w:pPr>
              <w:pStyle w:val="TableText"/>
              <w:jc w:val="center"/>
            </w:pPr>
            <w:r>
              <w:t>140.6</w:t>
            </w:r>
          </w:p>
        </w:tc>
        <w:tc>
          <w:tcPr>
            <w:tcW w:w="1158" w:type="dxa"/>
            <w:shd w:val="clear" w:color="auto" w:fill="F2F2F2"/>
            <w:vAlign w:val="center"/>
          </w:tcPr>
          <w:p w:rsidR="008F6510" w:rsidRPr="008F6510" w:rsidRDefault="00C65B4A" w:rsidP="004D6D93">
            <w:pPr>
              <w:pStyle w:val="TableText"/>
              <w:jc w:val="center"/>
            </w:pPr>
            <w:r>
              <w:t>+2.0%</w:t>
            </w:r>
          </w:p>
        </w:tc>
      </w:tr>
    </w:tbl>
    <w:p w:rsidR="00A15833" w:rsidRDefault="00A15833" w:rsidP="00240871"/>
    <w:tbl>
      <w:tblPr>
        <w:tblW w:w="9711"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348"/>
        <w:gridCol w:w="1194"/>
        <w:gridCol w:w="1792"/>
        <w:gridCol w:w="1792"/>
        <w:gridCol w:w="1792"/>
        <w:gridCol w:w="1793"/>
      </w:tblGrid>
      <w:tr w:rsidR="00952F8C" w:rsidRPr="004F3084" w:rsidTr="00FA3F4F">
        <w:trPr>
          <w:cantSplit/>
          <w:trHeight w:val="450"/>
          <w:tblHeader/>
        </w:trPr>
        <w:tc>
          <w:tcPr>
            <w:tcW w:w="1348" w:type="dxa"/>
            <w:vMerge w:val="restart"/>
            <w:shd w:val="clear" w:color="auto" w:fill="00A8C8"/>
          </w:tcPr>
          <w:p w:rsidR="00952F8C" w:rsidRPr="004F3084" w:rsidRDefault="00952F8C" w:rsidP="00FA3F4F">
            <w:pPr>
              <w:pStyle w:val="TableHeadingText"/>
              <w:jc w:val="center"/>
              <w:rPr>
                <w:caps w:val="0"/>
              </w:rPr>
            </w:pPr>
            <w:r>
              <w:rPr>
                <w:caps w:val="0"/>
              </w:rPr>
              <w:t xml:space="preserve">Period Ending </w:t>
            </w:r>
            <w:r w:rsidRPr="004F3084">
              <w:rPr>
                <w:caps w:val="0"/>
              </w:rPr>
              <w:t>30 June</w:t>
            </w:r>
          </w:p>
        </w:tc>
        <w:tc>
          <w:tcPr>
            <w:tcW w:w="8363" w:type="dxa"/>
            <w:gridSpan w:val="5"/>
            <w:shd w:val="clear" w:color="auto" w:fill="00A8C8"/>
          </w:tcPr>
          <w:p w:rsidR="00952F8C" w:rsidRPr="004F3084" w:rsidRDefault="00952F8C" w:rsidP="00FA3F4F">
            <w:pPr>
              <w:pStyle w:val="TableHeadingText"/>
              <w:jc w:val="center"/>
              <w:rPr>
                <w:caps w:val="0"/>
              </w:rPr>
            </w:pPr>
            <w:r>
              <w:rPr>
                <w:caps w:val="0"/>
              </w:rPr>
              <w:t>Change in Nominal Outlays</w:t>
            </w:r>
            <w:r w:rsidR="00351D37">
              <w:rPr>
                <w:caps w:val="0"/>
              </w:rPr>
              <w:t>(Combined)</w:t>
            </w:r>
            <w:r>
              <w:rPr>
                <w:caps w:val="0"/>
              </w:rPr>
              <w:br/>
            </w:r>
            <w:r w:rsidRPr="004F3084">
              <w:rPr>
                <w:caps w:val="0"/>
              </w:rPr>
              <w:t>($ billion)</w:t>
            </w:r>
          </w:p>
        </w:tc>
      </w:tr>
      <w:tr w:rsidR="00952F8C" w:rsidRPr="004F3084" w:rsidTr="00FA3F4F">
        <w:trPr>
          <w:cantSplit/>
          <w:trHeight w:val="450"/>
          <w:tblHeader/>
        </w:trPr>
        <w:tc>
          <w:tcPr>
            <w:tcW w:w="1348" w:type="dxa"/>
            <w:vMerge/>
            <w:shd w:val="clear" w:color="auto" w:fill="00A8C8"/>
          </w:tcPr>
          <w:p w:rsidR="00952F8C" w:rsidRPr="004F3084" w:rsidRDefault="00952F8C" w:rsidP="00FA3F4F">
            <w:pPr>
              <w:pStyle w:val="TableHeadingText"/>
              <w:jc w:val="center"/>
              <w:rPr>
                <w:caps w:val="0"/>
              </w:rPr>
            </w:pPr>
          </w:p>
        </w:tc>
        <w:tc>
          <w:tcPr>
            <w:tcW w:w="1194" w:type="dxa"/>
            <w:shd w:val="clear" w:color="auto" w:fill="00A8C8"/>
          </w:tcPr>
          <w:p w:rsidR="00952F8C" w:rsidRPr="004F3084" w:rsidRDefault="00952F8C" w:rsidP="00FA3F4F">
            <w:pPr>
              <w:pStyle w:val="TableHeadingText"/>
              <w:jc w:val="center"/>
              <w:rPr>
                <w:caps w:val="0"/>
              </w:rPr>
            </w:pPr>
            <w:r>
              <w:rPr>
                <w:caps w:val="0"/>
              </w:rPr>
              <w:t>Base case</w:t>
            </w:r>
          </w:p>
        </w:tc>
        <w:tc>
          <w:tcPr>
            <w:tcW w:w="1792" w:type="dxa"/>
            <w:shd w:val="clear" w:color="auto" w:fill="00A8C8"/>
          </w:tcPr>
          <w:p w:rsidR="00952F8C" w:rsidRPr="003A0BD4" w:rsidRDefault="00952F8C" w:rsidP="00FA3F4F">
            <w:pPr>
              <w:pStyle w:val="TableHeadingText"/>
              <w:jc w:val="center"/>
              <w:rPr>
                <w:caps w:val="0"/>
              </w:rPr>
            </w:pPr>
            <w:r w:rsidRPr="003A0BD4">
              <w:rPr>
                <w:caps w:val="0"/>
              </w:rPr>
              <w:t>5% higher pensioner mortality rates</w:t>
            </w:r>
          </w:p>
        </w:tc>
        <w:tc>
          <w:tcPr>
            <w:tcW w:w="1792" w:type="dxa"/>
            <w:shd w:val="clear" w:color="auto" w:fill="00A8C8"/>
          </w:tcPr>
          <w:p w:rsidR="00952F8C" w:rsidRPr="003A0BD4" w:rsidRDefault="00952F8C" w:rsidP="00FA3F4F">
            <w:pPr>
              <w:pStyle w:val="TableHeadingText"/>
              <w:jc w:val="center"/>
              <w:rPr>
                <w:caps w:val="0"/>
              </w:rPr>
            </w:pPr>
            <w:r w:rsidRPr="003A0BD4">
              <w:rPr>
                <w:caps w:val="0"/>
              </w:rPr>
              <w:t xml:space="preserve">5% </w:t>
            </w:r>
            <w:r>
              <w:rPr>
                <w:caps w:val="0"/>
              </w:rPr>
              <w:t>l</w:t>
            </w:r>
            <w:r w:rsidRPr="003A0BD4">
              <w:rPr>
                <w:caps w:val="0"/>
              </w:rPr>
              <w:t>ower pensioner mortality rates</w:t>
            </w:r>
          </w:p>
        </w:tc>
        <w:tc>
          <w:tcPr>
            <w:tcW w:w="1792" w:type="dxa"/>
            <w:shd w:val="clear" w:color="auto" w:fill="00A8C8"/>
          </w:tcPr>
          <w:p w:rsidR="00952F8C" w:rsidRPr="003A0BD4" w:rsidRDefault="00952F8C" w:rsidP="00FA3F4F">
            <w:pPr>
              <w:pStyle w:val="TableHeadingText"/>
              <w:jc w:val="center"/>
              <w:rPr>
                <w:caps w:val="0"/>
              </w:rPr>
            </w:pPr>
            <w:r w:rsidRPr="003A0BD4">
              <w:rPr>
                <w:caps w:val="0"/>
              </w:rPr>
              <w:t>25 year experience future mortality improvements</w:t>
            </w:r>
          </w:p>
        </w:tc>
        <w:tc>
          <w:tcPr>
            <w:tcW w:w="1793" w:type="dxa"/>
            <w:shd w:val="clear" w:color="auto" w:fill="00A8C8"/>
          </w:tcPr>
          <w:p w:rsidR="00952F8C" w:rsidRPr="00831EF9" w:rsidRDefault="00952F8C" w:rsidP="00FA3F4F">
            <w:pPr>
              <w:pStyle w:val="TableHeadingText"/>
              <w:jc w:val="center"/>
              <w:rPr>
                <w:caps w:val="0"/>
              </w:rPr>
            </w:pPr>
            <w:r w:rsidRPr="003A0BD4">
              <w:rPr>
                <w:caps w:val="0"/>
              </w:rPr>
              <w:t>PSS pension take up increased to 90%</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2018</w:t>
            </w:r>
          </w:p>
        </w:tc>
        <w:tc>
          <w:tcPr>
            <w:tcW w:w="1194" w:type="dxa"/>
            <w:shd w:val="clear" w:color="auto" w:fill="F2F2F2"/>
            <w:vAlign w:val="center"/>
          </w:tcPr>
          <w:p w:rsidR="00952F8C" w:rsidRPr="00F01473" w:rsidRDefault="00952F8C" w:rsidP="00FA3F4F">
            <w:pPr>
              <w:pStyle w:val="TableText"/>
              <w:jc w:val="center"/>
            </w:pPr>
            <w:r w:rsidRPr="00F01473">
              <w:t>5.5</w:t>
            </w:r>
          </w:p>
        </w:tc>
        <w:tc>
          <w:tcPr>
            <w:tcW w:w="1792" w:type="dxa"/>
            <w:shd w:val="clear" w:color="auto" w:fill="F2F2F2"/>
            <w:vAlign w:val="center"/>
          </w:tcPr>
          <w:p w:rsidR="00952F8C" w:rsidRPr="00F01473" w:rsidRDefault="00952F8C" w:rsidP="00FA3F4F">
            <w:pPr>
              <w:pStyle w:val="TableText"/>
              <w:jc w:val="center"/>
            </w:pPr>
            <w:r>
              <w:t>-</w:t>
            </w:r>
          </w:p>
        </w:tc>
        <w:tc>
          <w:tcPr>
            <w:tcW w:w="1792" w:type="dxa"/>
            <w:shd w:val="clear" w:color="auto" w:fill="F2F2F2"/>
            <w:vAlign w:val="center"/>
          </w:tcPr>
          <w:p w:rsidR="00952F8C" w:rsidRPr="00F01473" w:rsidRDefault="00952F8C" w:rsidP="00FA3F4F">
            <w:pPr>
              <w:pStyle w:val="TableText"/>
              <w:jc w:val="center"/>
            </w:pPr>
            <w:r>
              <w:t>-</w:t>
            </w:r>
          </w:p>
        </w:tc>
        <w:tc>
          <w:tcPr>
            <w:tcW w:w="1792" w:type="dxa"/>
            <w:shd w:val="clear" w:color="auto" w:fill="F2F2F2"/>
            <w:vAlign w:val="center"/>
          </w:tcPr>
          <w:p w:rsidR="00952F8C" w:rsidRPr="00F01473" w:rsidRDefault="00952F8C" w:rsidP="00FA3F4F">
            <w:pPr>
              <w:pStyle w:val="TableText"/>
              <w:jc w:val="center"/>
            </w:pPr>
            <w:r>
              <w:t>-</w:t>
            </w:r>
          </w:p>
        </w:tc>
        <w:tc>
          <w:tcPr>
            <w:tcW w:w="1793" w:type="dxa"/>
            <w:shd w:val="clear" w:color="auto" w:fill="F2F2F2"/>
            <w:vAlign w:val="center"/>
          </w:tcPr>
          <w:p w:rsidR="00952F8C" w:rsidRPr="00F01473" w:rsidRDefault="00952F8C" w:rsidP="00FA3F4F">
            <w:pPr>
              <w:pStyle w:val="TableText"/>
              <w:jc w:val="center"/>
            </w:pPr>
            <w:r>
              <w:t>-0.1</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2019</w:t>
            </w:r>
          </w:p>
        </w:tc>
        <w:tc>
          <w:tcPr>
            <w:tcW w:w="1194" w:type="dxa"/>
            <w:shd w:val="clear" w:color="auto" w:fill="F2F2F2"/>
            <w:vAlign w:val="center"/>
          </w:tcPr>
          <w:p w:rsidR="00952F8C" w:rsidRPr="00F01473" w:rsidRDefault="00952F8C" w:rsidP="00FA3F4F">
            <w:pPr>
              <w:pStyle w:val="TableText"/>
              <w:jc w:val="center"/>
            </w:pPr>
            <w:r w:rsidRPr="00F01473">
              <w:t>5.7</w:t>
            </w:r>
          </w:p>
        </w:tc>
        <w:tc>
          <w:tcPr>
            <w:tcW w:w="1792" w:type="dxa"/>
            <w:shd w:val="clear" w:color="auto" w:fill="F2F2F2"/>
            <w:vAlign w:val="center"/>
          </w:tcPr>
          <w:p w:rsidR="00952F8C" w:rsidRPr="00F01473" w:rsidRDefault="00952F8C" w:rsidP="00FA3F4F">
            <w:pPr>
              <w:pStyle w:val="TableText"/>
              <w:jc w:val="center"/>
            </w:pPr>
            <w:r>
              <w:t>-</w:t>
            </w:r>
          </w:p>
        </w:tc>
        <w:tc>
          <w:tcPr>
            <w:tcW w:w="1792" w:type="dxa"/>
            <w:shd w:val="clear" w:color="auto" w:fill="F2F2F2"/>
            <w:vAlign w:val="center"/>
          </w:tcPr>
          <w:p w:rsidR="00952F8C" w:rsidRPr="00F01473" w:rsidRDefault="00952F8C" w:rsidP="00FA3F4F">
            <w:pPr>
              <w:pStyle w:val="TableText"/>
              <w:jc w:val="center"/>
            </w:pPr>
            <w:r>
              <w:t>-</w:t>
            </w:r>
          </w:p>
        </w:tc>
        <w:tc>
          <w:tcPr>
            <w:tcW w:w="1792" w:type="dxa"/>
            <w:shd w:val="clear" w:color="auto" w:fill="F2F2F2"/>
            <w:vAlign w:val="center"/>
          </w:tcPr>
          <w:p w:rsidR="00952F8C" w:rsidRPr="00F01473" w:rsidRDefault="00952F8C" w:rsidP="00FA3F4F">
            <w:pPr>
              <w:pStyle w:val="TableText"/>
              <w:jc w:val="center"/>
            </w:pPr>
            <w:r>
              <w:t>-</w:t>
            </w:r>
          </w:p>
        </w:tc>
        <w:tc>
          <w:tcPr>
            <w:tcW w:w="1793" w:type="dxa"/>
            <w:shd w:val="clear" w:color="auto" w:fill="F2F2F2"/>
            <w:vAlign w:val="center"/>
          </w:tcPr>
          <w:p w:rsidR="00952F8C" w:rsidRPr="00F01473" w:rsidRDefault="00952F8C" w:rsidP="00FA3F4F">
            <w:pPr>
              <w:pStyle w:val="TableText"/>
              <w:jc w:val="center"/>
            </w:pPr>
            <w:r>
              <w:t>-0.1</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2020</w:t>
            </w:r>
          </w:p>
        </w:tc>
        <w:tc>
          <w:tcPr>
            <w:tcW w:w="1194" w:type="dxa"/>
            <w:shd w:val="clear" w:color="auto" w:fill="F2F2F2"/>
            <w:vAlign w:val="center"/>
          </w:tcPr>
          <w:p w:rsidR="00952F8C" w:rsidRPr="00F01473" w:rsidRDefault="00952F8C" w:rsidP="00FA3F4F">
            <w:pPr>
              <w:pStyle w:val="TableText"/>
              <w:jc w:val="center"/>
            </w:pPr>
            <w:r w:rsidRPr="00F01473">
              <w:t>5.9</w:t>
            </w:r>
          </w:p>
        </w:tc>
        <w:tc>
          <w:tcPr>
            <w:tcW w:w="1792" w:type="dxa"/>
            <w:shd w:val="clear" w:color="auto" w:fill="F2F2F2"/>
            <w:vAlign w:val="center"/>
          </w:tcPr>
          <w:p w:rsidR="00952F8C" w:rsidRPr="00F01473" w:rsidRDefault="00952F8C" w:rsidP="00FA3F4F">
            <w:pPr>
              <w:pStyle w:val="TableText"/>
              <w:jc w:val="center"/>
            </w:pPr>
            <w:r>
              <w:t>-</w:t>
            </w:r>
          </w:p>
        </w:tc>
        <w:tc>
          <w:tcPr>
            <w:tcW w:w="1792" w:type="dxa"/>
            <w:shd w:val="clear" w:color="auto" w:fill="F2F2F2"/>
            <w:vAlign w:val="center"/>
          </w:tcPr>
          <w:p w:rsidR="00952F8C" w:rsidRPr="00F01473" w:rsidRDefault="00952F8C" w:rsidP="00FA3F4F">
            <w:pPr>
              <w:pStyle w:val="TableText"/>
              <w:jc w:val="center"/>
            </w:pPr>
            <w:r>
              <w:t>-</w:t>
            </w:r>
          </w:p>
        </w:tc>
        <w:tc>
          <w:tcPr>
            <w:tcW w:w="1792" w:type="dxa"/>
            <w:shd w:val="clear" w:color="auto" w:fill="F2F2F2"/>
            <w:vAlign w:val="center"/>
          </w:tcPr>
          <w:p w:rsidR="00952F8C" w:rsidRPr="00F01473" w:rsidRDefault="00952F8C" w:rsidP="00FA3F4F">
            <w:pPr>
              <w:pStyle w:val="TableText"/>
              <w:jc w:val="center"/>
            </w:pPr>
            <w:r>
              <w:t>-</w:t>
            </w:r>
          </w:p>
        </w:tc>
        <w:tc>
          <w:tcPr>
            <w:tcW w:w="1793" w:type="dxa"/>
            <w:shd w:val="clear" w:color="auto" w:fill="F2F2F2"/>
            <w:vAlign w:val="center"/>
          </w:tcPr>
          <w:p w:rsidR="00952F8C" w:rsidRPr="00F01473" w:rsidRDefault="00952F8C" w:rsidP="00FA3F4F">
            <w:pPr>
              <w:pStyle w:val="TableText"/>
              <w:jc w:val="center"/>
            </w:pPr>
            <w:r>
              <w:t>-0.1</w:t>
            </w:r>
          </w:p>
        </w:tc>
      </w:tr>
      <w:tr w:rsidR="00952F8C" w:rsidRPr="00F01473" w:rsidTr="00FA3F4F">
        <w:tblPrEx>
          <w:shd w:val="clear" w:color="auto" w:fill="auto"/>
        </w:tblPrEx>
        <w:trPr>
          <w:cantSplit/>
        </w:trPr>
        <w:tc>
          <w:tcPr>
            <w:tcW w:w="1348" w:type="dxa"/>
            <w:tcBorders>
              <w:bottom w:val="single" w:sz="8" w:space="0" w:color="FFFFFF"/>
            </w:tcBorders>
            <w:shd w:val="clear" w:color="auto" w:fill="F2F2F2"/>
            <w:vAlign w:val="center"/>
          </w:tcPr>
          <w:p w:rsidR="00952F8C" w:rsidRPr="00F01473" w:rsidRDefault="00952F8C" w:rsidP="00FA3F4F">
            <w:pPr>
              <w:pStyle w:val="TableText"/>
              <w:jc w:val="center"/>
            </w:pPr>
            <w:r w:rsidRPr="00F01473">
              <w:t>2021</w:t>
            </w:r>
          </w:p>
        </w:tc>
        <w:tc>
          <w:tcPr>
            <w:tcW w:w="1194" w:type="dxa"/>
            <w:tcBorders>
              <w:bottom w:val="single" w:sz="8" w:space="0" w:color="FFFFFF"/>
            </w:tcBorders>
            <w:shd w:val="clear" w:color="auto" w:fill="F2F2F2"/>
            <w:vAlign w:val="center"/>
          </w:tcPr>
          <w:p w:rsidR="00952F8C" w:rsidRPr="00F01473" w:rsidRDefault="00952F8C" w:rsidP="00FA3F4F">
            <w:pPr>
              <w:pStyle w:val="TableText"/>
              <w:jc w:val="center"/>
            </w:pPr>
            <w:r w:rsidRPr="00F01473">
              <w:t>6.1</w:t>
            </w:r>
          </w:p>
        </w:tc>
        <w:tc>
          <w:tcPr>
            <w:tcW w:w="1792" w:type="dxa"/>
            <w:tcBorders>
              <w:bottom w:val="single" w:sz="8" w:space="0" w:color="FFFFFF"/>
            </w:tcBorders>
            <w:shd w:val="clear" w:color="auto" w:fill="F2F2F2"/>
            <w:vAlign w:val="center"/>
          </w:tcPr>
          <w:p w:rsidR="00952F8C" w:rsidRPr="00F01473" w:rsidRDefault="00952F8C" w:rsidP="00FA3F4F">
            <w:pPr>
              <w:pStyle w:val="TableText"/>
              <w:jc w:val="center"/>
            </w:pPr>
            <w:r>
              <w:t>-</w:t>
            </w:r>
          </w:p>
        </w:tc>
        <w:tc>
          <w:tcPr>
            <w:tcW w:w="1792" w:type="dxa"/>
            <w:tcBorders>
              <w:bottom w:val="single" w:sz="8" w:space="0" w:color="FFFFFF"/>
            </w:tcBorders>
            <w:shd w:val="clear" w:color="auto" w:fill="F2F2F2"/>
            <w:vAlign w:val="center"/>
          </w:tcPr>
          <w:p w:rsidR="00952F8C" w:rsidRPr="00F01473" w:rsidRDefault="00952F8C" w:rsidP="00FA3F4F">
            <w:pPr>
              <w:pStyle w:val="TableText"/>
              <w:jc w:val="center"/>
            </w:pPr>
            <w:r>
              <w:t>-</w:t>
            </w:r>
          </w:p>
        </w:tc>
        <w:tc>
          <w:tcPr>
            <w:tcW w:w="1792" w:type="dxa"/>
            <w:tcBorders>
              <w:bottom w:val="single" w:sz="8" w:space="0" w:color="FFFFFF"/>
            </w:tcBorders>
            <w:shd w:val="clear" w:color="auto" w:fill="F2F2F2"/>
            <w:vAlign w:val="center"/>
          </w:tcPr>
          <w:p w:rsidR="00952F8C" w:rsidRPr="00F01473" w:rsidRDefault="00952F8C" w:rsidP="00FA3F4F">
            <w:pPr>
              <w:pStyle w:val="TableText"/>
              <w:jc w:val="center"/>
            </w:pPr>
            <w:r>
              <w:t>-</w:t>
            </w:r>
          </w:p>
        </w:tc>
        <w:tc>
          <w:tcPr>
            <w:tcW w:w="1793" w:type="dxa"/>
            <w:tcBorders>
              <w:bottom w:val="single" w:sz="8" w:space="0" w:color="FFFFFF"/>
            </w:tcBorders>
            <w:shd w:val="clear" w:color="auto" w:fill="F2F2F2"/>
            <w:vAlign w:val="center"/>
          </w:tcPr>
          <w:p w:rsidR="00952F8C" w:rsidRPr="00F01473" w:rsidRDefault="00952F8C" w:rsidP="00FA3F4F">
            <w:pPr>
              <w:pStyle w:val="TableText"/>
              <w:jc w:val="center"/>
            </w:pPr>
            <w:r>
              <w:t>-0.2</w:t>
            </w:r>
          </w:p>
        </w:tc>
      </w:tr>
      <w:tr w:rsidR="00952F8C" w:rsidRPr="00F01473" w:rsidTr="00FA3F4F">
        <w:tblPrEx>
          <w:shd w:val="clear" w:color="auto" w:fill="auto"/>
        </w:tblPrEx>
        <w:trPr>
          <w:cantSplit/>
        </w:trPr>
        <w:tc>
          <w:tcPr>
            <w:tcW w:w="1348" w:type="dxa"/>
            <w:tcBorders>
              <w:top w:val="single" w:sz="8" w:space="0" w:color="FFFFFF"/>
              <w:bottom w:val="single" w:sz="4" w:space="0" w:color="auto"/>
            </w:tcBorders>
            <w:shd w:val="clear" w:color="auto" w:fill="F2F2F2"/>
            <w:vAlign w:val="center"/>
          </w:tcPr>
          <w:p w:rsidR="00952F8C" w:rsidRPr="00F01473" w:rsidRDefault="00952F8C" w:rsidP="00FA3F4F">
            <w:pPr>
              <w:pStyle w:val="TableText"/>
              <w:jc w:val="center"/>
            </w:pPr>
            <w:r w:rsidRPr="00F01473">
              <w:t>2022</w:t>
            </w:r>
          </w:p>
        </w:tc>
        <w:tc>
          <w:tcPr>
            <w:tcW w:w="1194" w:type="dxa"/>
            <w:tcBorders>
              <w:top w:val="single" w:sz="8" w:space="0" w:color="FFFFFF"/>
              <w:bottom w:val="single" w:sz="4" w:space="0" w:color="auto"/>
            </w:tcBorders>
            <w:shd w:val="clear" w:color="auto" w:fill="F2F2F2"/>
            <w:vAlign w:val="center"/>
          </w:tcPr>
          <w:p w:rsidR="00952F8C" w:rsidRPr="00F01473" w:rsidRDefault="00952F8C" w:rsidP="00FA3F4F">
            <w:pPr>
              <w:pStyle w:val="TableText"/>
              <w:jc w:val="center"/>
            </w:pPr>
            <w:r w:rsidRPr="00F01473">
              <w:t>6.4</w:t>
            </w:r>
          </w:p>
        </w:tc>
        <w:tc>
          <w:tcPr>
            <w:tcW w:w="1792" w:type="dxa"/>
            <w:tcBorders>
              <w:top w:val="single" w:sz="8" w:space="0" w:color="FFFFFF"/>
              <w:bottom w:val="single" w:sz="4" w:space="0" w:color="auto"/>
            </w:tcBorders>
            <w:shd w:val="clear" w:color="auto" w:fill="F2F2F2"/>
            <w:vAlign w:val="center"/>
          </w:tcPr>
          <w:p w:rsidR="00952F8C" w:rsidRPr="00F01473" w:rsidRDefault="00952F8C" w:rsidP="00FA3F4F">
            <w:pPr>
              <w:pStyle w:val="TableText"/>
              <w:jc w:val="center"/>
            </w:pPr>
            <w:r>
              <w:t>-</w:t>
            </w:r>
          </w:p>
        </w:tc>
        <w:tc>
          <w:tcPr>
            <w:tcW w:w="1792" w:type="dxa"/>
            <w:tcBorders>
              <w:top w:val="single" w:sz="8" w:space="0" w:color="FFFFFF"/>
              <w:bottom w:val="single" w:sz="4" w:space="0" w:color="auto"/>
            </w:tcBorders>
            <w:shd w:val="clear" w:color="auto" w:fill="F2F2F2"/>
            <w:vAlign w:val="center"/>
          </w:tcPr>
          <w:p w:rsidR="00952F8C" w:rsidRPr="00F01473" w:rsidRDefault="00952F8C" w:rsidP="00FA3F4F">
            <w:pPr>
              <w:pStyle w:val="TableText"/>
              <w:jc w:val="center"/>
            </w:pPr>
            <w:r>
              <w:t>-</w:t>
            </w:r>
          </w:p>
        </w:tc>
        <w:tc>
          <w:tcPr>
            <w:tcW w:w="1792" w:type="dxa"/>
            <w:tcBorders>
              <w:top w:val="single" w:sz="8" w:space="0" w:color="FFFFFF"/>
              <w:bottom w:val="single" w:sz="4" w:space="0" w:color="auto"/>
            </w:tcBorders>
            <w:shd w:val="clear" w:color="auto" w:fill="F2F2F2"/>
            <w:vAlign w:val="center"/>
          </w:tcPr>
          <w:p w:rsidR="00952F8C" w:rsidRPr="00F01473" w:rsidRDefault="00952F8C" w:rsidP="00FA3F4F">
            <w:pPr>
              <w:pStyle w:val="TableText"/>
              <w:jc w:val="center"/>
            </w:pPr>
            <w:r>
              <w:t>-</w:t>
            </w:r>
          </w:p>
        </w:tc>
        <w:tc>
          <w:tcPr>
            <w:tcW w:w="1793" w:type="dxa"/>
            <w:tcBorders>
              <w:top w:val="single" w:sz="8" w:space="0" w:color="FFFFFF"/>
              <w:bottom w:val="single" w:sz="4" w:space="0" w:color="auto"/>
            </w:tcBorders>
            <w:shd w:val="clear" w:color="auto" w:fill="F2F2F2"/>
            <w:vAlign w:val="center"/>
          </w:tcPr>
          <w:p w:rsidR="00952F8C" w:rsidRPr="00F01473" w:rsidRDefault="00952F8C" w:rsidP="00FA3F4F">
            <w:pPr>
              <w:pStyle w:val="TableText"/>
              <w:jc w:val="center"/>
            </w:pPr>
            <w:r>
              <w:t>-0.2</w:t>
            </w:r>
          </w:p>
        </w:tc>
      </w:tr>
      <w:tr w:rsidR="00952F8C" w:rsidRPr="00F01473" w:rsidTr="00FA3F4F">
        <w:tblPrEx>
          <w:shd w:val="clear" w:color="auto" w:fill="auto"/>
        </w:tblPrEx>
        <w:trPr>
          <w:cantSplit/>
        </w:trPr>
        <w:tc>
          <w:tcPr>
            <w:tcW w:w="1348" w:type="dxa"/>
            <w:tcBorders>
              <w:top w:val="single" w:sz="4" w:space="0" w:color="auto"/>
              <w:bottom w:val="single" w:sz="8" w:space="0" w:color="FFFFFF"/>
            </w:tcBorders>
            <w:shd w:val="clear" w:color="auto" w:fill="F2F2F2"/>
            <w:vAlign w:val="center"/>
          </w:tcPr>
          <w:p w:rsidR="00952F8C" w:rsidRPr="00F01473" w:rsidRDefault="00952F8C" w:rsidP="00FA3F4F">
            <w:pPr>
              <w:pStyle w:val="TableText"/>
              <w:jc w:val="center"/>
            </w:pPr>
            <w:r w:rsidRPr="00F01473">
              <w:lastRenderedPageBreak/>
              <w:t>2023 – 27</w:t>
            </w:r>
          </w:p>
        </w:tc>
        <w:tc>
          <w:tcPr>
            <w:tcW w:w="1194" w:type="dxa"/>
            <w:tcBorders>
              <w:top w:val="single" w:sz="4" w:space="0" w:color="auto"/>
              <w:bottom w:val="single" w:sz="8" w:space="0" w:color="FFFFFF"/>
            </w:tcBorders>
            <w:shd w:val="clear" w:color="auto" w:fill="F2F2F2"/>
            <w:vAlign w:val="center"/>
          </w:tcPr>
          <w:p w:rsidR="00952F8C" w:rsidRPr="00F01473" w:rsidRDefault="00952F8C" w:rsidP="00FA3F4F">
            <w:pPr>
              <w:pStyle w:val="TableText"/>
              <w:jc w:val="center"/>
            </w:pPr>
            <w:r w:rsidRPr="00F01473">
              <w:t>35.6</w:t>
            </w:r>
          </w:p>
        </w:tc>
        <w:tc>
          <w:tcPr>
            <w:tcW w:w="1792" w:type="dxa"/>
            <w:tcBorders>
              <w:top w:val="single" w:sz="4" w:space="0" w:color="auto"/>
              <w:bottom w:val="single" w:sz="8" w:space="0" w:color="FFFFFF"/>
            </w:tcBorders>
            <w:shd w:val="clear" w:color="auto" w:fill="F2F2F2"/>
            <w:vAlign w:val="center"/>
          </w:tcPr>
          <w:p w:rsidR="00952F8C" w:rsidRPr="00F01473" w:rsidRDefault="00952F8C" w:rsidP="00FA3F4F">
            <w:pPr>
              <w:pStyle w:val="TableText"/>
              <w:jc w:val="center"/>
            </w:pPr>
            <w:r>
              <w:t>-0.2</w:t>
            </w:r>
          </w:p>
        </w:tc>
        <w:tc>
          <w:tcPr>
            <w:tcW w:w="1792" w:type="dxa"/>
            <w:tcBorders>
              <w:top w:val="single" w:sz="4" w:space="0" w:color="auto"/>
              <w:bottom w:val="single" w:sz="8" w:space="0" w:color="FFFFFF"/>
            </w:tcBorders>
            <w:shd w:val="clear" w:color="auto" w:fill="F2F2F2"/>
            <w:vAlign w:val="center"/>
          </w:tcPr>
          <w:p w:rsidR="00952F8C" w:rsidRPr="00F01473" w:rsidRDefault="00952F8C" w:rsidP="00FA3F4F">
            <w:pPr>
              <w:pStyle w:val="TableText"/>
              <w:jc w:val="center"/>
            </w:pPr>
            <w:r>
              <w:t>+0.2</w:t>
            </w:r>
          </w:p>
        </w:tc>
        <w:tc>
          <w:tcPr>
            <w:tcW w:w="1792" w:type="dxa"/>
            <w:tcBorders>
              <w:top w:val="single" w:sz="4" w:space="0" w:color="auto"/>
              <w:bottom w:val="single" w:sz="8" w:space="0" w:color="FFFFFF"/>
            </w:tcBorders>
            <w:shd w:val="clear" w:color="auto" w:fill="F2F2F2"/>
            <w:vAlign w:val="center"/>
          </w:tcPr>
          <w:p w:rsidR="00952F8C" w:rsidRPr="00F01473" w:rsidRDefault="00952F8C" w:rsidP="00FA3F4F">
            <w:pPr>
              <w:pStyle w:val="TableText"/>
              <w:jc w:val="center"/>
            </w:pPr>
            <w:r>
              <w:t>+0.1</w:t>
            </w:r>
          </w:p>
        </w:tc>
        <w:tc>
          <w:tcPr>
            <w:tcW w:w="1793" w:type="dxa"/>
            <w:tcBorders>
              <w:top w:val="single" w:sz="4" w:space="0" w:color="auto"/>
              <w:bottom w:val="single" w:sz="8" w:space="0" w:color="FFFFFF"/>
            </w:tcBorders>
            <w:shd w:val="clear" w:color="auto" w:fill="F2F2F2"/>
            <w:vAlign w:val="center"/>
          </w:tcPr>
          <w:p w:rsidR="00952F8C" w:rsidRPr="00F01473" w:rsidRDefault="00952F8C" w:rsidP="00FA3F4F">
            <w:pPr>
              <w:pStyle w:val="TableText"/>
              <w:jc w:val="center"/>
            </w:pPr>
            <w:r>
              <w:t>-0.7</w:t>
            </w:r>
          </w:p>
        </w:tc>
      </w:tr>
      <w:tr w:rsidR="00952F8C" w:rsidRPr="00F01473" w:rsidTr="00FA3F4F">
        <w:tblPrEx>
          <w:shd w:val="clear" w:color="auto" w:fill="auto"/>
        </w:tblPrEx>
        <w:trPr>
          <w:cantSplit/>
        </w:trPr>
        <w:tc>
          <w:tcPr>
            <w:tcW w:w="1348" w:type="dxa"/>
            <w:tcBorders>
              <w:top w:val="single" w:sz="8" w:space="0" w:color="FFFFFF"/>
            </w:tcBorders>
            <w:shd w:val="clear" w:color="auto" w:fill="F2F2F2"/>
            <w:vAlign w:val="center"/>
          </w:tcPr>
          <w:p w:rsidR="00952F8C" w:rsidRPr="00F01473" w:rsidRDefault="00952F8C" w:rsidP="00FA3F4F">
            <w:pPr>
              <w:pStyle w:val="TableText"/>
              <w:jc w:val="center"/>
            </w:pPr>
            <w:r w:rsidRPr="00F01473">
              <w:t>2028 – 32</w:t>
            </w:r>
          </w:p>
        </w:tc>
        <w:tc>
          <w:tcPr>
            <w:tcW w:w="1194" w:type="dxa"/>
            <w:tcBorders>
              <w:top w:val="single" w:sz="8" w:space="0" w:color="FFFFFF"/>
            </w:tcBorders>
            <w:shd w:val="clear" w:color="auto" w:fill="F2F2F2"/>
            <w:vAlign w:val="center"/>
          </w:tcPr>
          <w:p w:rsidR="00952F8C" w:rsidRPr="00F01473" w:rsidRDefault="00952F8C" w:rsidP="00FA3F4F">
            <w:pPr>
              <w:pStyle w:val="TableText"/>
              <w:jc w:val="center"/>
            </w:pPr>
            <w:r w:rsidRPr="00F01473">
              <w:t>42.9</w:t>
            </w:r>
          </w:p>
        </w:tc>
        <w:tc>
          <w:tcPr>
            <w:tcW w:w="1792" w:type="dxa"/>
            <w:tcBorders>
              <w:top w:val="single" w:sz="8" w:space="0" w:color="FFFFFF"/>
            </w:tcBorders>
            <w:shd w:val="clear" w:color="auto" w:fill="F2F2F2"/>
            <w:vAlign w:val="center"/>
          </w:tcPr>
          <w:p w:rsidR="00952F8C" w:rsidRPr="00F01473" w:rsidRDefault="00952F8C" w:rsidP="00FA3F4F">
            <w:pPr>
              <w:pStyle w:val="TableText"/>
              <w:jc w:val="center"/>
            </w:pPr>
            <w:r>
              <w:t>-0.2</w:t>
            </w:r>
          </w:p>
        </w:tc>
        <w:tc>
          <w:tcPr>
            <w:tcW w:w="1792" w:type="dxa"/>
            <w:tcBorders>
              <w:top w:val="single" w:sz="8" w:space="0" w:color="FFFFFF"/>
            </w:tcBorders>
            <w:shd w:val="clear" w:color="auto" w:fill="F2F2F2"/>
            <w:vAlign w:val="center"/>
          </w:tcPr>
          <w:p w:rsidR="00952F8C" w:rsidRPr="00F01473" w:rsidRDefault="00952F8C" w:rsidP="00FA3F4F">
            <w:pPr>
              <w:pStyle w:val="TableText"/>
              <w:jc w:val="center"/>
            </w:pPr>
            <w:r>
              <w:t>+0.2</w:t>
            </w:r>
          </w:p>
        </w:tc>
        <w:tc>
          <w:tcPr>
            <w:tcW w:w="1792" w:type="dxa"/>
            <w:tcBorders>
              <w:top w:val="single" w:sz="8" w:space="0" w:color="FFFFFF"/>
            </w:tcBorders>
            <w:shd w:val="clear" w:color="auto" w:fill="F2F2F2"/>
            <w:vAlign w:val="center"/>
          </w:tcPr>
          <w:p w:rsidR="00952F8C" w:rsidRPr="00F01473" w:rsidRDefault="00952F8C" w:rsidP="00FA3F4F">
            <w:pPr>
              <w:pStyle w:val="TableText"/>
              <w:jc w:val="center"/>
            </w:pPr>
            <w:r>
              <w:t>+0.2</w:t>
            </w:r>
          </w:p>
        </w:tc>
        <w:tc>
          <w:tcPr>
            <w:tcW w:w="1793" w:type="dxa"/>
            <w:tcBorders>
              <w:top w:val="single" w:sz="8" w:space="0" w:color="FFFFFF"/>
            </w:tcBorders>
            <w:shd w:val="clear" w:color="auto" w:fill="F2F2F2"/>
            <w:vAlign w:val="center"/>
          </w:tcPr>
          <w:p w:rsidR="00952F8C" w:rsidRPr="00F01473" w:rsidRDefault="00952F8C" w:rsidP="00FA3F4F">
            <w:pPr>
              <w:pStyle w:val="TableText"/>
              <w:jc w:val="center"/>
            </w:pPr>
            <w:r>
              <w:t>-0.2</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2033 – 37</w:t>
            </w:r>
          </w:p>
        </w:tc>
        <w:tc>
          <w:tcPr>
            <w:tcW w:w="1194" w:type="dxa"/>
            <w:shd w:val="clear" w:color="auto" w:fill="F2F2F2"/>
            <w:vAlign w:val="center"/>
          </w:tcPr>
          <w:p w:rsidR="00952F8C" w:rsidRPr="00F01473" w:rsidRDefault="00952F8C" w:rsidP="00FA3F4F">
            <w:pPr>
              <w:pStyle w:val="TableText"/>
              <w:jc w:val="center"/>
            </w:pPr>
            <w:r w:rsidRPr="00F01473">
              <w:t>50.4</w:t>
            </w:r>
          </w:p>
        </w:tc>
        <w:tc>
          <w:tcPr>
            <w:tcW w:w="1792" w:type="dxa"/>
            <w:shd w:val="clear" w:color="auto" w:fill="F2F2F2"/>
            <w:vAlign w:val="center"/>
          </w:tcPr>
          <w:p w:rsidR="00952F8C" w:rsidRPr="00F01473" w:rsidRDefault="00952F8C" w:rsidP="00FA3F4F">
            <w:pPr>
              <w:pStyle w:val="TableText"/>
              <w:jc w:val="center"/>
            </w:pPr>
            <w:r>
              <w:t>-0.5</w:t>
            </w:r>
          </w:p>
        </w:tc>
        <w:tc>
          <w:tcPr>
            <w:tcW w:w="1792" w:type="dxa"/>
            <w:shd w:val="clear" w:color="auto" w:fill="F2F2F2"/>
            <w:vAlign w:val="center"/>
          </w:tcPr>
          <w:p w:rsidR="00952F8C" w:rsidRPr="00F01473" w:rsidRDefault="00952F8C" w:rsidP="00FA3F4F">
            <w:pPr>
              <w:pStyle w:val="TableText"/>
              <w:jc w:val="center"/>
            </w:pPr>
            <w:r>
              <w:t>+0.5</w:t>
            </w:r>
          </w:p>
        </w:tc>
        <w:tc>
          <w:tcPr>
            <w:tcW w:w="1792" w:type="dxa"/>
            <w:shd w:val="clear" w:color="auto" w:fill="F2F2F2"/>
            <w:vAlign w:val="center"/>
          </w:tcPr>
          <w:p w:rsidR="00952F8C" w:rsidRPr="00F01473" w:rsidRDefault="00952F8C" w:rsidP="00FA3F4F">
            <w:pPr>
              <w:pStyle w:val="TableText"/>
              <w:jc w:val="center"/>
            </w:pPr>
            <w:r>
              <w:t>+0.7</w:t>
            </w:r>
          </w:p>
        </w:tc>
        <w:tc>
          <w:tcPr>
            <w:tcW w:w="1793" w:type="dxa"/>
            <w:shd w:val="clear" w:color="auto" w:fill="F2F2F2"/>
            <w:vAlign w:val="center"/>
          </w:tcPr>
          <w:p w:rsidR="00952F8C" w:rsidRPr="00F01473" w:rsidRDefault="00952F8C" w:rsidP="00FA3F4F">
            <w:pPr>
              <w:pStyle w:val="TableText"/>
              <w:jc w:val="center"/>
            </w:pPr>
            <w:r>
              <w:t>+1.0</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2038 – 42</w:t>
            </w:r>
          </w:p>
        </w:tc>
        <w:tc>
          <w:tcPr>
            <w:tcW w:w="1194" w:type="dxa"/>
            <w:shd w:val="clear" w:color="auto" w:fill="F2F2F2"/>
            <w:vAlign w:val="center"/>
          </w:tcPr>
          <w:p w:rsidR="00952F8C" w:rsidRPr="00F01473" w:rsidRDefault="00952F8C" w:rsidP="00FA3F4F">
            <w:pPr>
              <w:pStyle w:val="TableText"/>
              <w:jc w:val="center"/>
            </w:pPr>
            <w:r w:rsidRPr="00F01473">
              <w:t>56.8</w:t>
            </w:r>
          </w:p>
        </w:tc>
        <w:tc>
          <w:tcPr>
            <w:tcW w:w="1792" w:type="dxa"/>
            <w:shd w:val="clear" w:color="auto" w:fill="F2F2F2"/>
            <w:vAlign w:val="center"/>
          </w:tcPr>
          <w:p w:rsidR="00952F8C" w:rsidRPr="00F01473" w:rsidRDefault="00952F8C" w:rsidP="00FA3F4F">
            <w:pPr>
              <w:pStyle w:val="TableText"/>
              <w:jc w:val="center"/>
            </w:pPr>
            <w:r>
              <w:t>-0.6</w:t>
            </w:r>
          </w:p>
        </w:tc>
        <w:tc>
          <w:tcPr>
            <w:tcW w:w="1792" w:type="dxa"/>
            <w:shd w:val="clear" w:color="auto" w:fill="F2F2F2"/>
            <w:vAlign w:val="center"/>
          </w:tcPr>
          <w:p w:rsidR="00952F8C" w:rsidRPr="00F01473" w:rsidRDefault="00952F8C" w:rsidP="00FA3F4F">
            <w:pPr>
              <w:pStyle w:val="TableText"/>
              <w:jc w:val="center"/>
            </w:pPr>
            <w:r>
              <w:t>+0.7</w:t>
            </w:r>
          </w:p>
        </w:tc>
        <w:tc>
          <w:tcPr>
            <w:tcW w:w="1792" w:type="dxa"/>
            <w:shd w:val="clear" w:color="auto" w:fill="F2F2F2"/>
            <w:vAlign w:val="center"/>
          </w:tcPr>
          <w:p w:rsidR="00952F8C" w:rsidRPr="00F01473" w:rsidRDefault="00952F8C" w:rsidP="00FA3F4F">
            <w:pPr>
              <w:pStyle w:val="TableText"/>
              <w:jc w:val="center"/>
            </w:pPr>
            <w:r>
              <w:t>+1.3</w:t>
            </w:r>
          </w:p>
        </w:tc>
        <w:tc>
          <w:tcPr>
            <w:tcW w:w="1793" w:type="dxa"/>
            <w:shd w:val="clear" w:color="auto" w:fill="F2F2F2"/>
            <w:vAlign w:val="center"/>
          </w:tcPr>
          <w:p w:rsidR="00952F8C" w:rsidRPr="00F01473" w:rsidRDefault="00952F8C" w:rsidP="00FA3F4F">
            <w:pPr>
              <w:pStyle w:val="TableText"/>
              <w:jc w:val="center"/>
            </w:pPr>
            <w:r>
              <w:t>+2.5</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2043 – 47</w:t>
            </w:r>
          </w:p>
        </w:tc>
        <w:tc>
          <w:tcPr>
            <w:tcW w:w="1194" w:type="dxa"/>
            <w:shd w:val="clear" w:color="auto" w:fill="F2F2F2"/>
            <w:vAlign w:val="center"/>
          </w:tcPr>
          <w:p w:rsidR="00952F8C" w:rsidRPr="00F01473" w:rsidRDefault="00952F8C" w:rsidP="00FA3F4F">
            <w:pPr>
              <w:pStyle w:val="TableText"/>
              <w:jc w:val="center"/>
            </w:pPr>
            <w:r w:rsidRPr="00F01473">
              <w:t>60.0</w:t>
            </w:r>
          </w:p>
        </w:tc>
        <w:tc>
          <w:tcPr>
            <w:tcW w:w="1792" w:type="dxa"/>
            <w:shd w:val="clear" w:color="auto" w:fill="F2F2F2"/>
            <w:vAlign w:val="center"/>
          </w:tcPr>
          <w:p w:rsidR="00952F8C" w:rsidRPr="00F01473" w:rsidRDefault="00952F8C" w:rsidP="00FA3F4F">
            <w:pPr>
              <w:pStyle w:val="TableText"/>
              <w:jc w:val="center"/>
            </w:pPr>
            <w:r>
              <w:t>-0.9</w:t>
            </w:r>
          </w:p>
        </w:tc>
        <w:tc>
          <w:tcPr>
            <w:tcW w:w="1792" w:type="dxa"/>
            <w:shd w:val="clear" w:color="auto" w:fill="F2F2F2"/>
            <w:vAlign w:val="center"/>
          </w:tcPr>
          <w:p w:rsidR="00952F8C" w:rsidRPr="00F01473" w:rsidRDefault="00952F8C" w:rsidP="00FA3F4F">
            <w:pPr>
              <w:pStyle w:val="TableText"/>
              <w:jc w:val="center"/>
            </w:pPr>
            <w:r>
              <w:t>+1.0</w:t>
            </w:r>
          </w:p>
        </w:tc>
        <w:tc>
          <w:tcPr>
            <w:tcW w:w="1792" w:type="dxa"/>
            <w:shd w:val="clear" w:color="auto" w:fill="F2F2F2"/>
            <w:vAlign w:val="center"/>
          </w:tcPr>
          <w:p w:rsidR="00952F8C" w:rsidRPr="00F01473" w:rsidRDefault="00952F8C" w:rsidP="00FA3F4F">
            <w:pPr>
              <w:pStyle w:val="TableText"/>
              <w:jc w:val="center"/>
            </w:pPr>
            <w:r>
              <w:t>+1.9</w:t>
            </w:r>
          </w:p>
        </w:tc>
        <w:tc>
          <w:tcPr>
            <w:tcW w:w="1793" w:type="dxa"/>
            <w:shd w:val="clear" w:color="auto" w:fill="F2F2F2"/>
            <w:vAlign w:val="center"/>
          </w:tcPr>
          <w:p w:rsidR="00952F8C" w:rsidRPr="00F01473" w:rsidRDefault="00952F8C" w:rsidP="00FA3F4F">
            <w:pPr>
              <w:pStyle w:val="TableText"/>
              <w:jc w:val="center"/>
            </w:pPr>
            <w:r>
              <w:t>+4.2</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2048 – 52</w:t>
            </w:r>
          </w:p>
        </w:tc>
        <w:tc>
          <w:tcPr>
            <w:tcW w:w="1194" w:type="dxa"/>
            <w:shd w:val="clear" w:color="auto" w:fill="F2F2F2"/>
            <w:vAlign w:val="center"/>
          </w:tcPr>
          <w:p w:rsidR="00952F8C" w:rsidRPr="00F01473" w:rsidRDefault="00952F8C" w:rsidP="00FA3F4F">
            <w:pPr>
              <w:pStyle w:val="TableText"/>
              <w:jc w:val="center"/>
            </w:pPr>
            <w:r w:rsidRPr="00F01473">
              <w:t>57.3</w:t>
            </w:r>
          </w:p>
        </w:tc>
        <w:tc>
          <w:tcPr>
            <w:tcW w:w="1792" w:type="dxa"/>
            <w:shd w:val="clear" w:color="auto" w:fill="F2F2F2"/>
            <w:vAlign w:val="center"/>
          </w:tcPr>
          <w:p w:rsidR="00952F8C" w:rsidRPr="00F01473" w:rsidRDefault="00952F8C" w:rsidP="00FA3F4F">
            <w:pPr>
              <w:pStyle w:val="TableText"/>
              <w:jc w:val="center"/>
            </w:pPr>
            <w:r>
              <w:t>-1.0</w:t>
            </w:r>
          </w:p>
        </w:tc>
        <w:tc>
          <w:tcPr>
            <w:tcW w:w="1792" w:type="dxa"/>
            <w:shd w:val="clear" w:color="auto" w:fill="F2F2F2"/>
            <w:vAlign w:val="center"/>
          </w:tcPr>
          <w:p w:rsidR="00952F8C" w:rsidRPr="00F01473" w:rsidRDefault="00952F8C" w:rsidP="00FA3F4F">
            <w:pPr>
              <w:pStyle w:val="TableText"/>
              <w:jc w:val="center"/>
            </w:pPr>
            <w:r>
              <w:t>+1.1</w:t>
            </w:r>
          </w:p>
        </w:tc>
        <w:tc>
          <w:tcPr>
            <w:tcW w:w="1792" w:type="dxa"/>
            <w:shd w:val="clear" w:color="auto" w:fill="F2F2F2"/>
            <w:vAlign w:val="center"/>
          </w:tcPr>
          <w:p w:rsidR="00952F8C" w:rsidRPr="00F01473" w:rsidRDefault="00952F8C" w:rsidP="00FA3F4F">
            <w:pPr>
              <w:pStyle w:val="TableText"/>
              <w:jc w:val="center"/>
            </w:pPr>
            <w:r>
              <w:t>+3.0</w:t>
            </w:r>
          </w:p>
        </w:tc>
        <w:tc>
          <w:tcPr>
            <w:tcW w:w="1793" w:type="dxa"/>
            <w:shd w:val="clear" w:color="auto" w:fill="F2F2F2"/>
            <w:vAlign w:val="center"/>
          </w:tcPr>
          <w:p w:rsidR="00952F8C" w:rsidRPr="00F01473" w:rsidRDefault="00952F8C" w:rsidP="00FA3F4F">
            <w:pPr>
              <w:pStyle w:val="TableText"/>
              <w:jc w:val="center"/>
            </w:pPr>
            <w:r>
              <w:t>+5.0</w:t>
            </w:r>
          </w:p>
        </w:tc>
      </w:tr>
      <w:tr w:rsidR="00952F8C" w:rsidRPr="00F01473" w:rsidTr="00FA3F4F">
        <w:tblPrEx>
          <w:shd w:val="clear" w:color="auto" w:fill="auto"/>
        </w:tblPrEx>
        <w:trPr>
          <w:cantSplit/>
        </w:trPr>
        <w:tc>
          <w:tcPr>
            <w:tcW w:w="1348" w:type="dxa"/>
            <w:shd w:val="clear" w:color="auto" w:fill="F2F2F2"/>
            <w:vAlign w:val="center"/>
          </w:tcPr>
          <w:p w:rsidR="00952F8C" w:rsidRPr="00F01473" w:rsidRDefault="00952F8C" w:rsidP="00FA3F4F">
            <w:pPr>
              <w:pStyle w:val="TableText"/>
              <w:jc w:val="center"/>
            </w:pPr>
            <w:r w:rsidRPr="00F01473">
              <w:t>2053 – 57</w:t>
            </w:r>
          </w:p>
        </w:tc>
        <w:tc>
          <w:tcPr>
            <w:tcW w:w="1194" w:type="dxa"/>
            <w:shd w:val="clear" w:color="auto" w:fill="F2F2F2"/>
            <w:vAlign w:val="center"/>
          </w:tcPr>
          <w:p w:rsidR="00952F8C" w:rsidRPr="00F01473" w:rsidRDefault="00952F8C" w:rsidP="00FA3F4F">
            <w:pPr>
              <w:pStyle w:val="TableText"/>
              <w:jc w:val="center"/>
            </w:pPr>
            <w:r w:rsidRPr="00F01473">
              <w:t>50.0</w:t>
            </w:r>
          </w:p>
        </w:tc>
        <w:tc>
          <w:tcPr>
            <w:tcW w:w="1792" w:type="dxa"/>
            <w:shd w:val="clear" w:color="auto" w:fill="F2F2F2"/>
            <w:vAlign w:val="center"/>
          </w:tcPr>
          <w:p w:rsidR="00952F8C" w:rsidRPr="00F01473" w:rsidRDefault="00952F8C" w:rsidP="00FA3F4F">
            <w:pPr>
              <w:pStyle w:val="TableText"/>
              <w:jc w:val="center"/>
            </w:pPr>
            <w:r>
              <w:t>-1.2</w:t>
            </w:r>
          </w:p>
        </w:tc>
        <w:tc>
          <w:tcPr>
            <w:tcW w:w="1792" w:type="dxa"/>
            <w:shd w:val="clear" w:color="auto" w:fill="F2F2F2"/>
            <w:vAlign w:val="center"/>
          </w:tcPr>
          <w:p w:rsidR="00952F8C" w:rsidRPr="00F01473" w:rsidRDefault="00952F8C" w:rsidP="00FA3F4F">
            <w:pPr>
              <w:pStyle w:val="TableText"/>
              <w:jc w:val="center"/>
            </w:pPr>
            <w:r>
              <w:t>+1.0</w:t>
            </w:r>
          </w:p>
        </w:tc>
        <w:tc>
          <w:tcPr>
            <w:tcW w:w="1792" w:type="dxa"/>
            <w:shd w:val="clear" w:color="auto" w:fill="F2F2F2"/>
            <w:vAlign w:val="center"/>
          </w:tcPr>
          <w:p w:rsidR="00952F8C" w:rsidRPr="00F01473" w:rsidRDefault="00952F8C" w:rsidP="00FA3F4F">
            <w:pPr>
              <w:pStyle w:val="TableText"/>
              <w:jc w:val="center"/>
            </w:pPr>
            <w:r>
              <w:t>+3.2</w:t>
            </w:r>
          </w:p>
        </w:tc>
        <w:tc>
          <w:tcPr>
            <w:tcW w:w="1793" w:type="dxa"/>
            <w:shd w:val="clear" w:color="auto" w:fill="F2F2F2"/>
            <w:vAlign w:val="center"/>
          </w:tcPr>
          <w:p w:rsidR="00952F8C" w:rsidRPr="00F01473" w:rsidRDefault="00952F8C" w:rsidP="00FA3F4F">
            <w:pPr>
              <w:pStyle w:val="TableText"/>
              <w:jc w:val="center"/>
            </w:pPr>
            <w:r>
              <w:t>+5.0</w:t>
            </w:r>
          </w:p>
        </w:tc>
      </w:tr>
    </w:tbl>
    <w:p w:rsidR="00523897" w:rsidRDefault="00523897" w:rsidP="00240871"/>
    <w:p w:rsidR="00311C7E" w:rsidRDefault="00311C7E" w:rsidP="008D4B04">
      <w:r>
        <w:t xml:space="preserve">The impact of changes to the demographic assumptions has a much lesser impact in general on the unfunded liabilities and nominal outlays.  The PSS pension take up rate having the most </w:t>
      </w:r>
      <w:r w:rsidR="00351D37">
        <w:t>significant</w:t>
      </w:r>
      <w:r>
        <w:t xml:space="preserve"> impact.</w:t>
      </w:r>
    </w:p>
    <w:p w:rsidR="00311C7E" w:rsidRDefault="00311C7E" w:rsidP="008D4B04"/>
    <w:p w:rsidR="008D4B04" w:rsidRDefault="008D4B04" w:rsidP="008D4B04">
      <w:r>
        <w:t xml:space="preserve">The sensitivity of the </w:t>
      </w:r>
      <w:r w:rsidR="000421E5">
        <w:t xml:space="preserve">projected number of future </w:t>
      </w:r>
      <w:r>
        <w:t>years lived by an age retirement pensioner to the mortality rates and future improvements is demonstrated below:</w:t>
      </w:r>
    </w:p>
    <w:p w:rsidR="008D4B04" w:rsidRPr="00A73BBF" w:rsidRDefault="008D4B04" w:rsidP="008D4B04"/>
    <w:tbl>
      <w:tblPr>
        <w:tblW w:w="9618"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673"/>
        <w:gridCol w:w="2126"/>
        <w:gridCol w:w="1346"/>
        <w:gridCol w:w="2056"/>
        <w:gridCol w:w="1417"/>
      </w:tblGrid>
      <w:tr w:rsidR="008D4B04" w:rsidRPr="006B79AD" w:rsidTr="00827778">
        <w:trPr>
          <w:cantSplit/>
          <w:trHeight w:val="188"/>
          <w:tblHeader/>
        </w:trPr>
        <w:tc>
          <w:tcPr>
            <w:tcW w:w="2673" w:type="dxa"/>
            <w:shd w:val="clear" w:color="auto" w:fill="00A8C8"/>
            <w:hideMark/>
          </w:tcPr>
          <w:p w:rsidR="008D4B04" w:rsidRPr="006B79AD" w:rsidRDefault="008D4B04" w:rsidP="00827778">
            <w:pPr>
              <w:pStyle w:val="TableHeadingText"/>
              <w:rPr>
                <w:caps w:val="0"/>
                <w:lang w:val="en-US"/>
              </w:rPr>
            </w:pPr>
            <w:r>
              <w:rPr>
                <w:caps w:val="0"/>
                <w:lang w:val="en-US"/>
              </w:rPr>
              <w:t>Projected Future Life Expectancy</w:t>
            </w:r>
          </w:p>
        </w:tc>
        <w:tc>
          <w:tcPr>
            <w:tcW w:w="2126" w:type="dxa"/>
            <w:shd w:val="clear" w:color="auto" w:fill="00A8C8"/>
          </w:tcPr>
          <w:p w:rsidR="008D4B04" w:rsidRPr="006B79AD" w:rsidRDefault="008D4B04" w:rsidP="00827778">
            <w:pPr>
              <w:pStyle w:val="TableHeadingText"/>
              <w:jc w:val="center"/>
              <w:rPr>
                <w:caps w:val="0"/>
                <w:lang w:val="en-US"/>
              </w:rPr>
            </w:pPr>
            <w:r>
              <w:rPr>
                <w:caps w:val="0"/>
                <w:lang w:val="en-US"/>
              </w:rPr>
              <w:t>Male pensioner aged 65</w:t>
            </w:r>
          </w:p>
        </w:tc>
        <w:tc>
          <w:tcPr>
            <w:tcW w:w="1346" w:type="dxa"/>
            <w:shd w:val="clear" w:color="auto" w:fill="00A8C8"/>
          </w:tcPr>
          <w:p w:rsidR="008D4B04" w:rsidRPr="006B79AD" w:rsidRDefault="008D4B04" w:rsidP="00827778">
            <w:pPr>
              <w:pStyle w:val="TableHeadingText"/>
              <w:jc w:val="center"/>
              <w:rPr>
                <w:caps w:val="0"/>
                <w:lang w:val="en-US"/>
              </w:rPr>
            </w:pPr>
            <w:r>
              <w:rPr>
                <w:caps w:val="0"/>
                <w:lang w:val="en-US"/>
              </w:rPr>
              <w:t>% Change</w:t>
            </w:r>
          </w:p>
        </w:tc>
        <w:tc>
          <w:tcPr>
            <w:tcW w:w="2056" w:type="dxa"/>
            <w:shd w:val="clear" w:color="auto" w:fill="00A8C8"/>
          </w:tcPr>
          <w:p w:rsidR="008D4B04" w:rsidRPr="006B79AD" w:rsidRDefault="008D4B04" w:rsidP="00827778">
            <w:pPr>
              <w:pStyle w:val="TableHeadingText"/>
              <w:jc w:val="center"/>
              <w:rPr>
                <w:caps w:val="0"/>
                <w:lang w:val="en-US"/>
              </w:rPr>
            </w:pPr>
            <w:r>
              <w:rPr>
                <w:caps w:val="0"/>
                <w:lang w:val="en-US"/>
              </w:rPr>
              <w:t>Female pensioner aged 65</w:t>
            </w:r>
          </w:p>
        </w:tc>
        <w:tc>
          <w:tcPr>
            <w:tcW w:w="1417" w:type="dxa"/>
            <w:shd w:val="clear" w:color="auto" w:fill="00A8C8"/>
          </w:tcPr>
          <w:p w:rsidR="008D4B04" w:rsidRPr="006B79AD" w:rsidRDefault="008D4B04" w:rsidP="00827778">
            <w:pPr>
              <w:pStyle w:val="TableHeadingText"/>
              <w:jc w:val="center"/>
              <w:rPr>
                <w:caps w:val="0"/>
                <w:lang w:val="en-US"/>
              </w:rPr>
            </w:pPr>
            <w:r>
              <w:rPr>
                <w:caps w:val="0"/>
                <w:lang w:val="en-US"/>
              </w:rPr>
              <w:t>% Change</w:t>
            </w:r>
          </w:p>
        </w:tc>
      </w:tr>
      <w:tr w:rsidR="008D4B04" w:rsidRPr="009F47FB" w:rsidTr="00827778">
        <w:trPr>
          <w:cantSplit/>
        </w:trPr>
        <w:tc>
          <w:tcPr>
            <w:tcW w:w="2673" w:type="dxa"/>
            <w:shd w:val="clear" w:color="auto" w:fill="F2F2F2"/>
            <w:noWrap/>
            <w:hideMark/>
          </w:tcPr>
          <w:p w:rsidR="008D4B04" w:rsidRPr="009F47FB" w:rsidRDefault="008D4B04" w:rsidP="00827778">
            <w:pPr>
              <w:pStyle w:val="TableText"/>
            </w:pPr>
            <w:r>
              <w:t>Base case</w:t>
            </w:r>
          </w:p>
        </w:tc>
        <w:tc>
          <w:tcPr>
            <w:tcW w:w="2126" w:type="dxa"/>
            <w:shd w:val="clear" w:color="auto" w:fill="F2F2F2"/>
            <w:vAlign w:val="center"/>
          </w:tcPr>
          <w:p w:rsidR="008D4B04" w:rsidRPr="00331428" w:rsidRDefault="008D4B04" w:rsidP="00827778">
            <w:pPr>
              <w:pStyle w:val="TableText"/>
              <w:jc w:val="center"/>
            </w:pPr>
            <w:r w:rsidRPr="00331428">
              <w:t>22.8 years</w:t>
            </w:r>
          </w:p>
        </w:tc>
        <w:tc>
          <w:tcPr>
            <w:tcW w:w="1346" w:type="dxa"/>
            <w:shd w:val="clear" w:color="auto" w:fill="F2F2F2"/>
            <w:vAlign w:val="center"/>
          </w:tcPr>
          <w:p w:rsidR="008D4B04" w:rsidRPr="00331428" w:rsidRDefault="008D4B04" w:rsidP="00827778">
            <w:pPr>
              <w:pStyle w:val="TableText"/>
              <w:jc w:val="center"/>
            </w:pPr>
          </w:p>
        </w:tc>
        <w:tc>
          <w:tcPr>
            <w:tcW w:w="2056" w:type="dxa"/>
            <w:shd w:val="clear" w:color="auto" w:fill="F2F2F2"/>
            <w:vAlign w:val="center"/>
          </w:tcPr>
          <w:p w:rsidR="008D4B04" w:rsidRPr="00331428" w:rsidRDefault="008D4B04" w:rsidP="00827778">
            <w:pPr>
              <w:pStyle w:val="TableText"/>
              <w:jc w:val="center"/>
            </w:pPr>
            <w:r w:rsidRPr="00331428">
              <w:t>2</w:t>
            </w:r>
            <w:r>
              <w:t>5.6</w:t>
            </w:r>
            <w:r w:rsidRPr="00331428">
              <w:t xml:space="preserve"> years</w:t>
            </w:r>
          </w:p>
        </w:tc>
        <w:tc>
          <w:tcPr>
            <w:tcW w:w="1417" w:type="dxa"/>
            <w:shd w:val="clear" w:color="auto" w:fill="F2F2F2"/>
            <w:vAlign w:val="center"/>
          </w:tcPr>
          <w:p w:rsidR="008D4B04" w:rsidRPr="00331428" w:rsidRDefault="008D4B04" w:rsidP="00827778">
            <w:pPr>
              <w:pStyle w:val="TableText"/>
              <w:jc w:val="center"/>
            </w:pPr>
          </w:p>
        </w:tc>
      </w:tr>
      <w:tr w:rsidR="008D4B04" w:rsidRPr="009F47FB" w:rsidTr="00827778">
        <w:trPr>
          <w:cantSplit/>
        </w:trPr>
        <w:tc>
          <w:tcPr>
            <w:tcW w:w="2673" w:type="dxa"/>
            <w:shd w:val="clear" w:color="auto" w:fill="F2F2F2"/>
            <w:noWrap/>
          </w:tcPr>
          <w:p w:rsidR="008D4B04" w:rsidRPr="000943F1" w:rsidRDefault="008D4B04" w:rsidP="00827778">
            <w:pPr>
              <w:pStyle w:val="TableText"/>
            </w:pPr>
            <w:r>
              <w:t>5% higher pensioner mortality rates</w:t>
            </w:r>
          </w:p>
        </w:tc>
        <w:tc>
          <w:tcPr>
            <w:tcW w:w="2126" w:type="dxa"/>
            <w:shd w:val="clear" w:color="auto" w:fill="F2F2F2"/>
            <w:vAlign w:val="center"/>
          </w:tcPr>
          <w:p w:rsidR="008D4B04" w:rsidRPr="00331428" w:rsidRDefault="008D4B04" w:rsidP="00827778">
            <w:pPr>
              <w:pStyle w:val="TableText"/>
              <w:jc w:val="center"/>
            </w:pPr>
            <w:r w:rsidRPr="00331428">
              <w:t>2</w:t>
            </w:r>
            <w:r>
              <w:t>2.5</w:t>
            </w:r>
            <w:r w:rsidRPr="00331428">
              <w:t xml:space="preserve"> years</w:t>
            </w:r>
          </w:p>
        </w:tc>
        <w:tc>
          <w:tcPr>
            <w:tcW w:w="1346" w:type="dxa"/>
            <w:shd w:val="clear" w:color="auto" w:fill="F2F2F2"/>
            <w:vAlign w:val="center"/>
          </w:tcPr>
          <w:p w:rsidR="008D4B04" w:rsidRPr="00331428" w:rsidRDefault="008D4B04" w:rsidP="00827778">
            <w:pPr>
              <w:pStyle w:val="TableText"/>
              <w:jc w:val="center"/>
            </w:pPr>
            <w:r>
              <w:t>-1.3%</w:t>
            </w:r>
          </w:p>
        </w:tc>
        <w:tc>
          <w:tcPr>
            <w:tcW w:w="2056" w:type="dxa"/>
            <w:shd w:val="clear" w:color="auto" w:fill="F2F2F2"/>
            <w:vAlign w:val="center"/>
          </w:tcPr>
          <w:p w:rsidR="008D4B04" w:rsidRPr="00331428" w:rsidRDefault="008D4B04" w:rsidP="00827778">
            <w:pPr>
              <w:pStyle w:val="TableText"/>
              <w:jc w:val="center"/>
            </w:pPr>
            <w:r w:rsidRPr="00331428">
              <w:t>2</w:t>
            </w:r>
            <w:r>
              <w:t>5.3</w:t>
            </w:r>
            <w:r w:rsidRPr="00331428">
              <w:t xml:space="preserve"> years</w:t>
            </w:r>
          </w:p>
        </w:tc>
        <w:tc>
          <w:tcPr>
            <w:tcW w:w="1417" w:type="dxa"/>
            <w:shd w:val="clear" w:color="auto" w:fill="F2F2F2"/>
            <w:vAlign w:val="center"/>
          </w:tcPr>
          <w:p w:rsidR="008D4B04" w:rsidRPr="00331428" w:rsidRDefault="008D4B04" w:rsidP="00827778">
            <w:pPr>
              <w:pStyle w:val="TableText"/>
              <w:jc w:val="center"/>
            </w:pPr>
            <w:r>
              <w:t>-1.2%</w:t>
            </w:r>
          </w:p>
        </w:tc>
      </w:tr>
      <w:tr w:rsidR="008D4B04" w:rsidRPr="009F47FB" w:rsidTr="00827778">
        <w:trPr>
          <w:cantSplit/>
        </w:trPr>
        <w:tc>
          <w:tcPr>
            <w:tcW w:w="2673" w:type="dxa"/>
            <w:shd w:val="clear" w:color="auto" w:fill="F2F2F2"/>
            <w:noWrap/>
          </w:tcPr>
          <w:p w:rsidR="008D4B04" w:rsidRPr="000943F1" w:rsidRDefault="008D4B04" w:rsidP="00827778">
            <w:pPr>
              <w:pStyle w:val="TableText"/>
            </w:pPr>
            <w:r>
              <w:t>5% lower pensioner mortality rates</w:t>
            </w:r>
          </w:p>
        </w:tc>
        <w:tc>
          <w:tcPr>
            <w:tcW w:w="2126" w:type="dxa"/>
            <w:shd w:val="clear" w:color="auto" w:fill="F2F2F2"/>
            <w:vAlign w:val="center"/>
          </w:tcPr>
          <w:p w:rsidR="008D4B04" w:rsidRPr="00331428" w:rsidRDefault="008D4B04" w:rsidP="00827778">
            <w:pPr>
              <w:pStyle w:val="TableText"/>
              <w:jc w:val="center"/>
            </w:pPr>
            <w:r>
              <w:t>23.2</w:t>
            </w:r>
            <w:r w:rsidRPr="00331428">
              <w:t xml:space="preserve"> years</w:t>
            </w:r>
          </w:p>
        </w:tc>
        <w:tc>
          <w:tcPr>
            <w:tcW w:w="1346" w:type="dxa"/>
            <w:shd w:val="clear" w:color="auto" w:fill="F2F2F2"/>
            <w:vAlign w:val="center"/>
          </w:tcPr>
          <w:p w:rsidR="008D4B04" w:rsidRPr="00331428" w:rsidRDefault="008D4B04" w:rsidP="00827778">
            <w:pPr>
              <w:pStyle w:val="TableText"/>
              <w:jc w:val="center"/>
            </w:pPr>
            <w:r>
              <w:t>+1.8%</w:t>
            </w:r>
          </w:p>
        </w:tc>
        <w:tc>
          <w:tcPr>
            <w:tcW w:w="2056" w:type="dxa"/>
            <w:shd w:val="clear" w:color="auto" w:fill="F2F2F2"/>
            <w:vAlign w:val="center"/>
          </w:tcPr>
          <w:p w:rsidR="008D4B04" w:rsidRPr="00331428" w:rsidRDefault="008D4B04" w:rsidP="00827778">
            <w:pPr>
              <w:pStyle w:val="TableText"/>
              <w:jc w:val="center"/>
            </w:pPr>
            <w:r>
              <w:t>25.9</w:t>
            </w:r>
            <w:r w:rsidRPr="00331428">
              <w:t xml:space="preserve"> years</w:t>
            </w:r>
          </w:p>
        </w:tc>
        <w:tc>
          <w:tcPr>
            <w:tcW w:w="1417" w:type="dxa"/>
            <w:shd w:val="clear" w:color="auto" w:fill="F2F2F2"/>
            <w:vAlign w:val="center"/>
          </w:tcPr>
          <w:p w:rsidR="008D4B04" w:rsidRPr="00331428" w:rsidRDefault="008D4B04" w:rsidP="00827778">
            <w:pPr>
              <w:pStyle w:val="TableText"/>
              <w:jc w:val="center"/>
            </w:pPr>
            <w:r>
              <w:t>+1.2%</w:t>
            </w:r>
          </w:p>
        </w:tc>
      </w:tr>
      <w:tr w:rsidR="008D4B04" w:rsidRPr="009F47FB" w:rsidTr="00827778">
        <w:trPr>
          <w:cantSplit/>
        </w:trPr>
        <w:tc>
          <w:tcPr>
            <w:tcW w:w="2673" w:type="dxa"/>
            <w:shd w:val="clear" w:color="auto" w:fill="F2F2F2"/>
            <w:noWrap/>
          </w:tcPr>
          <w:p w:rsidR="008D4B04" w:rsidRPr="000943F1" w:rsidRDefault="008D4B04" w:rsidP="00827778">
            <w:pPr>
              <w:pStyle w:val="TableText"/>
            </w:pPr>
            <w:r>
              <w:t>25 year experience future mortality improvements</w:t>
            </w:r>
          </w:p>
        </w:tc>
        <w:tc>
          <w:tcPr>
            <w:tcW w:w="2126" w:type="dxa"/>
            <w:shd w:val="clear" w:color="auto" w:fill="F2F2F2"/>
            <w:vAlign w:val="center"/>
          </w:tcPr>
          <w:p w:rsidR="008D4B04" w:rsidRPr="00331428" w:rsidRDefault="008D4B04" w:rsidP="00827778">
            <w:pPr>
              <w:pStyle w:val="TableText"/>
              <w:jc w:val="center"/>
            </w:pPr>
            <w:r>
              <w:t>23.6</w:t>
            </w:r>
            <w:r w:rsidRPr="00331428">
              <w:t xml:space="preserve"> years</w:t>
            </w:r>
          </w:p>
        </w:tc>
        <w:tc>
          <w:tcPr>
            <w:tcW w:w="1346" w:type="dxa"/>
            <w:shd w:val="clear" w:color="auto" w:fill="F2F2F2"/>
            <w:vAlign w:val="center"/>
          </w:tcPr>
          <w:p w:rsidR="008D4B04" w:rsidRPr="00331428" w:rsidRDefault="008D4B04" w:rsidP="00827778">
            <w:pPr>
              <w:pStyle w:val="TableText"/>
              <w:jc w:val="center"/>
            </w:pPr>
            <w:r>
              <w:t>+3.5%</w:t>
            </w:r>
          </w:p>
        </w:tc>
        <w:tc>
          <w:tcPr>
            <w:tcW w:w="2056" w:type="dxa"/>
            <w:shd w:val="clear" w:color="auto" w:fill="F2F2F2"/>
            <w:vAlign w:val="center"/>
          </w:tcPr>
          <w:p w:rsidR="008D4B04" w:rsidRPr="00331428" w:rsidRDefault="008D4B04" w:rsidP="00827778">
            <w:pPr>
              <w:pStyle w:val="TableText"/>
              <w:jc w:val="center"/>
            </w:pPr>
            <w:r>
              <w:t>26.0</w:t>
            </w:r>
            <w:r w:rsidRPr="00331428">
              <w:t xml:space="preserve"> years</w:t>
            </w:r>
          </w:p>
        </w:tc>
        <w:tc>
          <w:tcPr>
            <w:tcW w:w="1417" w:type="dxa"/>
            <w:shd w:val="clear" w:color="auto" w:fill="F2F2F2"/>
            <w:vAlign w:val="center"/>
          </w:tcPr>
          <w:p w:rsidR="008D4B04" w:rsidRPr="00331428" w:rsidRDefault="008D4B04" w:rsidP="00827778">
            <w:pPr>
              <w:pStyle w:val="TableText"/>
              <w:jc w:val="center"/>
            </w:pPr>
            <w:r>
              <w:t>+1.6%</w:t>
            </w:r>
          </w:p>
        </w:tc>
      </w:tr>
    </w:tbl>
    <w:p w:rsidR="008D4B04" w:rsidRDefault="008D4B04" w:rsidP="008D4B04"/>
    <w:p w:rsidR="00FA3F4F" w:rsidRPr="004C2A34" w:rsidRDefault="00351D37" w:rsidP="00FA3F4F">
      <w:r>
        <w:t>T</w:t>
      </w:r>
      <w:r w:rsidR="00FA3F4F" w:rsidRPr="004C2A34">
        <w:t xml:space="preserve">he alternative results shown </w:t>
      </w:r>
      <w:r w:rsidR="00FA3F4F">
        <w:t>above</w:t>
      </w:r>
      <w:r w:rsidR="00FA3F4F" w:rsidRPr="004C2A34">
        <w:t xml:space="preserve"> are illustrations only, and show</w:t>
      </w:r>
      <w:r w:rsidR="00FA3F4F" w:rsidRPr="007A723F">
        <w:t xml:space="preserve"> </w:t>
      </w:r>
      <w:r w:rsidR="00FA3F4F" w:rsidRPr="004C2A34">
        <w:t xml:space="preserve">what may occur under future </w:t>
      </w:r>
      <w:r w:rsidR="00FA3F4F">
        <w:t>scenarios</w:t>
      </w:r>
      <w:r w:rsidR="00FA3F4F" w:rsidRPr="004C2A34">
        <w:t xml:space="preserve"> which differ from </w:t>
      </w:r>
      <w:r w:rsidR="00FA3F4F">
        <w:t>the</w:t>
      </w:r>
      <w:r w:rsidR="00FA3F4F" w:rsidRPr="004C2A34">
        <w:t xml:space="preserve"> base</w:t>
      </w:r>
      <w:r w:rsidR="00FA3F4F">
        <w:t xml:space="preserve"> case</w:t>
      </w:r>
      <w:r w:rsidR="00FA3F4F" w:rsidRPr="004C2A34">
        <w:t xml:space="preserve"> assumptions. These scenarios do not in any way constitute upper or lower bounds and the </w:t>
      </w:r>
      <w:r w:rsidR="00FA3F4F">
        <w:t>ultimate results</w:t>
      </w:r>
      <w:r w:rsidR="00FA3F4F" w:rsidRPr="004C2A34">
        <w:t xml:space="preserve"> may differ from the range</w:t>
      </w:r>
      <w:r w:rsidR="00FA3F4F">
        <w:t>s</w:t>
      </w:r>
      <w:r w:rsidR="00FA3F4F" w:rsidRPr="004C2A34">
        <w:t xml:space="preserve"> shown </w:t>
      </w:r>
      <w:r w:rsidR="00FA3F4F">
        <w:t>above,</w:t>
      </w:r>
      <w:r w:rsidR="00FA3F4F" w:rsidRPr="004C2A34">
        <w:t xml:space="preserve"> depending on actual future experience.</w:t>
      </w:r>
    </w:p>
    <w:p w:rsidR="00FA3F4F" w:rsidRDefault="00FA3F4F" w:rsidP="008D4B04"/>
    <w:p w:rsidR="00F102DD" w:rsidRDefault="00F102DD" w:rsidP="00F102DD">
      <w:pPr>
        <w:pStyle w:val="SectionStart"/>
        <w:pBdr>
          <w:bottom w:val="single" w:sz="12" w:space="1" w:color="auto"/>
        </w:pBdr>
        <w:spacing w:before="0" w:after="380"/>
      </w:pPr>
    </w:p>
    <w:p w:rsidR="00F102DD" w:rsidRPr="00E928CD" w:rsidRDefault="00F102DD" w:rsidP="00DA55B8">
      <w:pPr>
        <w:pStyle w:val="Heading1"/>
        <w:numPr>
          <w:ilvl w:val="0"/>
          <w:numId w:val="0"/>
        </w:numPr>
        <w:spacing w:after="240"/>
      </w:pPr>
      <w:bookmarkStart w:id="91" w:name="_Toc508267371"/>
      <w:bookmarkStart w:id="92" w:name="_Toc511313525"/>
      <w:bookmarkStart w:id="93" w:name="_Toc511315171"/>
      <w:bookmarkStart w:id="94" w:name="_Toc511385935"/>
      <w:bookmarkStart w:id="95" w:name="_Toc517706068"/>
      <w:r>
        <w:t>Actuary’s Certification</w:t>
      </w:r>
      <w:bookmarkEnd w:id="91"/>
      <w:bookmarkEnd w:id="92"/>
      <w:bookmarkEnd w:id="93"/>
      <w:bookmarkEnd w:id="94"/>
      <w:bookmarkEnd w:id="95"/>
    </w:p>
    <w:p w:rsidR="00F102DD" w:rsidRPr="00331A3B" w:rsidRDefault="00F102DD" w:rsidP="00331A3B">
      <w:pPr>
        <w:rPr>
          <w:caps/>
          <w:color w:val="002C77"/>
          <w:spacing w:val="40"/>
        </w:rPr>
      </w:pPr>
      <w:bookmarkStart w:id="96" w:name="_Toc508267372"/>
      <w:r w:rsidRPr="00331A3B">
        <w:rPr>
          <w:caps/>
          <w:color w:val="002C77"/>
          <w:spacing w:val="40"/>
        </w:rPr>
        <w:t>Professional standards and scope</w:t>
      </w:r>
      <w:bookmarkEnd w:id="96"/>
    </w:p>
    <w:p w:rsidR="00F102DD" w:rsidRPr="00E24FCE" w:rsidRDefault="00F102DD" w:rsidP="00F102DD"/>
    <w:p w:rsidR="00F102DD" w:rsidRDefault="00F102DD" w:rsidP="00F102DD">
      <w:r w:rsidRPr="00AA56D7">
        <w:t>This report satisfies the requirements of Professional Standard No. 40</w:t>
      </w:r>
      <w:r>
        <w:t>0</w:t>
      </w:r>
      <w:r w:rsidRPr="00AA56D7">
        <w:t xml:space="preserve"> of The Institute of Actuaries of Australia.  Professional Standard No. 40</w:t>
      </w:r>
      <w:r>
        <w:t>0</w:t>
      </w:r>
      <w:r w:rsidRPr="00AA56D7">
        <w:t xml:space="preserve"> relates to the preparation of reports commenting on the financial condition of defined benefit superannuation funds.</w:t>
      </w:r>
    </w:p>
    <w:p w:rsidR="00923A36" w:rsidRDefault="00923A36" w:rsidP="00F102DD"/>
    <w:p w:rsidR="00F102DD" w:rsidRPr="00331A3B" w:rsidRDefault="00F102DD" w:rsidP="00331A3B">
      <w:pPr>
        <w:rPr>
          <w:caps/>
          <w:color w:val="002C77"/>
          <w:spacing w:val="40"/>
        </w:rPr>
      </w:pPr>
      <w:bookmarkStart w:id="97" w:name="_Toc508267373"/>
      <w:r w:rsidRPr="00331A3B">
        <w:rPr>
          <w:caps/>
          <w:color w:val="002C77"/>
          <w:spacing w:val="40"/>
        </w:rPr>
        <w:t>Use of report</w:t>
      </w:r>
      <w:bookmarkEnd w:id="97"/>
    </w:p>
    <w:p w:rsidR="00F102DD" w:rsidRDefault="00F102DD" w:rsidP="00F102DD"/>
    <w:p w:rsidR="00F102DD" w:rsidRPr="00E24FCE" w:rsidRDefault="00F102DD" w:rsidP="00F102DD">
      <w:r w:rsidRPr="00E24FCE">
        <w:t xml:space="preserve">This investigation report should not be relied upon for any other purpose or by any party other than the </w:t>
      </w:r>
      <w:r w:rsidR="00E522E6">
        <w:t xml:space="preserve">Australian Government </w:t>
      </w:r>
      <w:r>
        <w:t xml:space="preserve">and the </w:t>
      </w:r>
      <w:r w:rsidR="00A51909">
        <w:t>s</w:t>
      </w:r>
      <w:r>
        <w:t>cheme</w:t>
      </w:r>
      <w:r w:rsidR="00A51909">
        <w:t>s</w:t>
      </w:r>
      <w:r w:rsidR="00433397">
        <w:t>’</w:t>
      </w:r>
      <w:r>
        <w:t xml:space="preserve"> trustee</w:t>
      </w:r>
      <w:r w:rsidRPr="00E24FCE">
        <w:t>. Mercer is not responsible for the consequences of any other use. This report should be considered in its entirety and not distributed in parts.</w:t>
      </w:r>
    </w:p>
    <w:p w:rsidR="00433397" w:rsidRDefault="00433397" w:rsidP="00F102DD"/>
    <w:p w:rsidR="00F102DD" w:rsidRPr="00E24FCE" w:rsidRDefault="00F102DD" w:rsidP="00F102DD">
      <w:r w:rsidRPr="00E24FCE">
        <w:t>The advice contained in this report is given in the context of Australian law and practice.  No allowance has been made for taxation, accountancy or other requirements in any other country.</w:t>
      </w:r>
    </w:p>
    <w:p w:rsidR="00F102DD" w:rsidRPr="00E24FCE" w:rsidRDefault="00F102DD" w:rsidP="00F102DD"/>
    <w:p w:rsidR="00A51909" w:rsidRPr="00331A3B" w:rsidRDefault="00A51909" w:rsidP="00A51909">
      <w:pPr>
        <w:rPr>
          <w:caps/>
          <w:color w:val="002C77"/>
          <w:spacing w:val="40"/>
        </w:rPr>
      </w:pPr>
      <w:bookmarkStart w:id="98" w:name="_Toc508267374"/>
      <w:r w:rsidRPr="00331A3B">
        <w:rPr>
          <w:caps/>
          <w:color w:val="002C77"/>
          <w:spacing w:val="40"/>
        </w:rPr>
        <w:t>Actuarial Uncertainty and Assumptions</w:t>
      </w:r>
      <w:bookmarkEnd w:id="98"/>
    </w:p>
    <w:p w:rsidR="00A51909" w:rsidRPr="00E24FCE" w:rsidRDefault="00A51909" w:rsidP="00A51909"/>
    <w:p w:rsidR="00A51909" w:rsidRPr="00E24FCE" w:rsidRDefault="00A51909" w:rsidP="00A51909">
      <w:r w:rsidRPr="00E24FCE">
        <w:t xml:space="preserve">An actuarial investigation </w:t>
      </w:r>
      <w:r>
        <w:t>provides</w:t>
      </w:r>
      <w:r w:rsidRPr="00E24FCE">
        <w:t xml:space="preserve"> a snapshot of a scheme’s financial condition at a particular point in time, and projections of </w:t>
      </w:r>
      <w:r>
        <w:t>a</w:t>
      </w:r>
      <w:r w:rsidRPr="00E24FCE">
        <w:t xml:space="preserve"> scheme’s estimated future financial position based on certain assumptions. It does not provide certainty in relation to a scheme’s future financial condition or its ability to pay benefits in the future.</w:t>
      </w:r>
    </w:p>
    <w:p w:rsidR="00A51909" w:rsidRPr="00E24FCE" w:rsidRDefault="00A51909" w:rsidP="00A51909"/>
    <w:p w:rsidR="00A51909" w:rsidRPr="00E24FCE" w:rsidRDefault="00A51909" w:rsidP="00A51909">
      <w:r w:rsidRPr="00E24FCE">
        <w:t xml:space="preserve">Future funding and actual costs relating to </w:t>
      </w:r>
      <w:r>
        <w:t>a</w:t>
      </w:r>
      <w:r w:rsidRPr="00E24FCE">
        <w:t xml:space="preserve"> scheme are primarily driven by the scheme’s benefit design, the actual rate of salary inflation and any discretions exercised by the </w:t>
      </w:r>
      <w:r>
        <w:t>t</w:t>
      </w:r>
      <w:r w:rsidRPr="00E24FCE">
        <w:t xml:space="preserve">rustee of the </w:t>
      </w:r>
      <w:r>
        <w:t>s</w:t>
      </w:r>
      <w:r w:rsidRPr="00E24FCE">
        <w:t xml:space="preserve">cheme or the Australian Government. The </w:t>
      </w:r>
      <w:r>
        <w:t>s</w:t>
      </w:r>
      <w:r w:rsidRPr="00E24FCE">
        <w:t xml:space="preserve">cheme’s actuary does not directly control or influence any of these factors in the context of an actuarial investigation. </w:t>
      </w:r>
    </w:p>
    <w:p w:rsidR="00A51909" w:rsidRPr="00E24FCE" w:rsidRDefault="00A51909" w:rsidP="00A51909"/>
    <w:p w:rsidR="00A51909" w:rsidRPr="00E24FCE" w:rsidRDefault="00A51909" w:rsidP="00A51909">
      <w:r>
        <w:t>A s</w:t>
      </w:r>
      <w:r w:rsidRPr="00E24FCE">
        <w:t xml:space="preserve">cheme’s future financial position and the estimated long term cost depend on a number of factors, including the amount of benefits the scheme pays, the cause and timing of member withdrawals, </w:t>
      </w:r>
      <w:r w:rsidR="0081311D">
        <w:t>scheme</w:t>
      </w:r>
      <w:r w:rsidR="0081311D" w:rsidRPr="00E24FCE">
        <w:t xml:space="preserve"> </w:t>
      </w:r>
      <w:r w:rsidRPr="00E24FCE">
        <w:t>expenses, the level of taxation and the amount earned on any assets invested to pay the benefits. These amounts and others are uncertain and unknowable at the valuation date, but are predicted to fall within a reasonable range of possibilities.</w:t>
      </w:r>
    </w:p>
    <w:p w:rsidR="00A51909" w:rsidRPr="00E24FCE" w:rsidRDefault="00A51909" w:rsidP="00A51909"/>
    <w:p w:rsidR="009F432F" w:rsidRDefault="009F432F">
      <w:pPr>
        <w:spacing w:line="240" w:lineRule="auto"/>
      </w:pPr>
      <w:r>
        <w:br w:type="page"/>
      </w:r>
    </w:p>
    <w:p w:rsidR="00A51909" w:rsidRPr="00E24FCE" w:rsidRDefault="00A51909" w:rsidP="00A51909">
      <w:r w:rsidRPr="00E24FCE">
        <w:lastRenderedPageBreak/>
        <w:t xml:space="preserve">To prepare this report, assumptions, as described in Section </w:t>
      </w:r>
      <w:r>
        <w:t>4</w:t>
      </w:r>
      <w:r w:rsidRPr="00E24FCE">
        <w:t xml:space="preserve">, are used to select a single scenario from the range of possibilities. The results of that single scenario are included in this report. </w:t>
      </w:r>
    </w:p>
    <w:p w:rsidR="00A51909" w:rsidRPr="00E24FCE" w:rsidRDefault="00A51909" w:rsidP="00A51909"/>
    <w:p w:rsidR="00A51909" w:rsidRPr="00E24FCE" w:rsidRDefault="00A51909" w:rsidP="00A51909">
      <w:r w:rsidRPr="00E24FCE">
        <w:t xml:space="preserve">However, the future is uncertain and </w:t>
      </w:r>
      <w:r>
        <w:t>a s</w:t>
      </w:r>
      <w:r w:rsidRPr="00E24FCE">
        <w:t>cheme’s actual experience will differ from those assumptions; these differences may be significant or material. In addition, different</w:t>
      </w:r>
      <w:r w:rsidRPr="00E24FCE">
        <w:rPr>
          <w:i/>
          <w:iCs/>
          <w:sz w:val="20"/>
        </w:rPr>
        <w:t xml:space="preserve"> </w:t>
      </w:r>
      <w:r w:rsidRPr="00E24FCE">
        <w:t xml:space="preserve">assumptions or scenarios may also be within the reasonable range and results based on those assumptions would be different. For this reason this report also shows the impact on the results of certain changes in assumptions. </w:t>
      </w:r>
    </w:p>
    <w:p w:rsidR="00A51909" w:rsidRPr="00E24FCE" w:rsidRDefault="00A51909" w:rsidP="00A51909"/>
    <w:p w:rsidR="00A51909" w:rsidRPr="00E24FCE" w:rsidRDefault="00A51909" w:rsidP="00A51909">
      <w:r w:rsidRPr="00E24FCE">
        <w:t>Actuarial assumptions may also be changed from one valuation to the next because of mandated requirements, scheme experience, changes in expectations about the future and other factors. We did not perform, and thus do not present, an analysis of the potential range of future possibilities and scenarios.</w:t>
      </w:r>
    </w:p>
    <w:p w:rsidR="00A51909" w:rsidRPr="00E24FCE" w:rsidRDefault="00A51909" w:rsidP="00A51909"/>
    <w:p w:rsidR="00A51909" w:rsidRDefault="00A51909" w:rsidP="00A51909">
      <w:r w:rsidRPr="00E24FCE">
        <w:t>Because actual scheme experience will differ from the assumptions, decisions about benefit changes, investment policy, funding amounts, benefit security and/or benefit related issues should be made only after careful consideration of alternative future financial conditions and scenarios, and not solely on the basis of a set of results.</w:t>
      </w:r>
    </w:p>
    <w:p w:rsidR="00A51909" w:rsidRDefault="00A51909" w:rsidP="00A51909"/>
    <w:p w:rsidR="00A51909" w:rsidRDefault="00A51909" w:rsidP="00A51909">
      <w:pPr>
        <w:rPr>
          <w:noProof/>
          <w:lang w:eastAsia="en-AU"/>
        </w:rPr>
      </w:pPr>
    </w:p>
    <w:p w:rsidR="00A51909" w:rsidRDefault="00A51909" w:rsidP="00A51909">
      <w:r>
        <w:t>Prepared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A51909" w:rsidTr="00A51909">
        <w:tc>
          <w:tcPr>
            <w:tcW w:w="4893" w:type="dxa"/>
          </w:tcPr>
          <w:p w:rsidR="00A51909" w:rsidRDefault="00A51909" w:rsidP="00A51909"/>
          <w:p w:rsidR="00A51909" w:rsidRDefault="00A51909" w:rsidP="00A51909"/>
          <w:p w:rsidR="00A51909" w:rsidRDefault="00A51909" w:rsidP="00A51909"/>
        </w:tc>
        <w:tc>
          <w:tcPr>
            <w:tcW w:w="4893" w:type="dxa"/>
            <w:vAlign w:val="bottom"/>
          </w:tcPr>
          <w:p w:rsidR="00A51909" w:rsidRDefault="00A51909" w:rsidP="00A51909"/>
        </w:tc>
      </w:tr>
      <w:tr w:rsidR="00A51909" w:rsidTr="00A51909">
        <w:tc>
          <w:tcPr>
            <w:tcW w:w="4893" w:type="dxa"/>
          </w:tcPr>
          <w:p w:rsidR="00A51909" w:rsidRPr="00052F73" w:rsidRDefault="00A51909" w:rsidP="00A51909">
            <w:pPr>
              <w:rPr>
                <w:b/>
              </w:rPr>
            </w:pPr>
            <w:bookmarkStart w:id="99" w:name="SignatoryName"/>
            <w:r w:rsidRPr="00052F73">
              <w:rPr>
                <w:b/>
              </w:rPr>
              <w:t>Richard Boyfield</w:t>
            </w:r>
            <w:bookmarkEnd w:id="99"/>
          </w:p>
          <w:p w:rsidR="00A51909" w:rsidRDefault="00A51909" w:rsidP="00A51909">
            <w:bookmarkStart w:id="100" w:name="SignatoryTitle"/>
            <w:r>
              <w:t>Fellow of the Institute of Actuaries of Australia</w:t>
            </w:r>
          </w:p>
          <w:p w:rsidR="00A51909" w:rsidRDefault="00A51909" w:rsidP="00A51909">
            <w:r>
              <w:t>Partner</w:t>
            </w:r>
            <w:bookmarkEnd w:id="100"/>
          </w:p>
        </w:tc>
        <w:tc>
          <w:tcPr>
            <w:tcW w:w="4893" w:type="dxa"/>
          </w:tcPr>
          <w:p w:rsidR="00A51909" w:rsidRPr="00052F73" w:rsidRDefault="00A51909" w:rsidP="00A51909">
            <w:pPr>
              <w:rPr>
                <w:b/>
              </w:rPr>
            </w:pPr>
            <w:r>
              <w:rPr>
                <w:b/>
              </w:rPr>
              <w:t>Guy Holley</w:t>
            </w:r>
          </w:p>
          <w:p w:rsidR="00A51909" w:rsidRDefault="00A51909" w:rsidP="00A51909">
            <w:r>
              <w:t>Fellow of the Institute of Actuaries of Australia</w:t>
            </w:r>
          </w:p>
          <w:p w:rsidR="00A51909" w:rsidRDefault="00A51909" w:rsidP="00A51909">
            <w:r>
              <w:t>Principal</w:t>
            </w:r>
          </w:p>
        </w:tc>
      </w:tr>
    </w:tbl>
    <w:p w:rsidR="00A51909" w:rsidRDefault="00A51909" w:rsidP="00A51909">
      <w:pPr>
        <w:rPr>
          <w:lang w:val="fr-FR"/>
        </w:rPr>
      </w:pPr>
    </w:p>
    <w:p w:rsidR="00A51909" w:rsidRDefault="00A51909" w:rsidP="00A51909"/>
    <w:p w:rsidR="00A51909" w:rsidRDefault="00A51909" w:rsidP="00A51909">
      <w:r>
        <w:t>Peer Reviewed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tblGrid>
      <w:tr w:rsidR="00A51909" w:rsidTr="00A51909">
        <w:tc>
          <w:tcPr>
            <w:tcW w:w="4893" w:type="dxa"/>
          </w:tcPr>
          <w:p w:rsidR="00A51909" w:rsidRDefault="00A51909" w:rsidP="00A51909"/>
          <w:p w:rsidR="00A51909" w:rsidRDefault="00A51909" w:rsidP="00A51909"/>
          <w:p w:rsidR="00A51909" w:rsidRDefault="00A51909" w:rsidP="00A51909"/>
        </w:tc>
      </w:tr>
      <w:tr w:rsidR="00A51909" w:rsidTr="00A51909">
        <w:tc>
          <w:tcPr>
            <w:tcW w:w="4893" w:type="dxa"/>
          </w:tcPr>
          <w:p w:rsidR="00A51909" w:rsidRPr="00052F73" w:rsidRDefault="00A51909" w:rsidP="00A51909">
            <w:pPr>
              <w:rPr>
                <w:b/>
              </w:rPr>
            </w:pPr>
            <w:r>
              <w:rPr>
                <w:b/>
              </w:rPr>
              <w:t xml:space="preserve">David </w:t>
            </w:r>
            <w:r w:rsidR="0081311D">
              <w:rPr>
                <w:b/>
              </w:rPr>
              <w:t>A Scott</w:t>
            </w:r>
          </w:p>
          <w:p w:rsidR="00A51909" w:rsidRDefault="00A51909" w:rsidP="00A51909">
            <w:r>
              <w:t>Fellow of the Institute of Actuaries of Australia</w:t>
            </w:r>
          </w:p>
          <w:p w:rsidR="00A51909" w:rsidRDefault="0081311D" w:rsidP="0081311D">
            <w:r>
              <w:t>Principal</w:t>
            </w:r>
          </w:p>
        </w:tc>
      </w:tr>
    </w:tbl>
    <w:p w:rsidR="00A51909" w:rsidRDefault="00A51909" w:rsidP="00A51909">
      <w:pPr>
        <w:rPr>
          <w:lang w:val="fr-FR"/>
        </w:rPr>
      </w:pPr>
    </w:p>
    <w:p w:rsidR="00F102DD" w:rsidRDefault="00F102DD" w:rsidP="00F102DD">
      <w:r>
        <w:fldChar w:fldCharType="begin"/>
      </w:r>
      <w:r>
        <w:instrText xml:space="preserve"> DATE  \@ "dd MMMM yyyy"  \* MERGEFORMAT </w:instrText>
      </w:r>
      <w:r>
        <w:fldChar w:fldCharType="separate"/>
      </w:r>
      <w:r w:rsidR="00846A4C">
        <w:rPr>
          <w:noProof/>
        </w:rPr>
        <w:t>04 July 2019</w:t>
      </w:r>
      <w:r>
        <w:fldChar w:fldCharType="end"/>
      </w:r>
    </w:p>
    <w:p w:rsidR="00BF3B60" w:rsidRPr="00E26DB5" w:rsidRDefault="00BF3B60" w:rsidP="00240871"/>
    <w:p w:rsidR="00BF3B60" w:rsidRDefault="00BF3B60" w:rsidP="00240871">
      <w:pPr>
        <w:pStyle w:val="AppendixStart"/>
        <w:numPr>
          <w:ilvl w:val="0"/>
          <w:numId w:val="2"/>
        </w:numPr>
        <w:pBdr>
          <w:bottom w:val="single" w:sz="12" w:space="0" w:color="auto"/>
        </w:pBdr>
        <w:spacing w:before="0" w:after="360"/>
      </w:pPr>
    </w:p>
    <w:p w:rsidR="00BF3B60" w:rsidRDefault="00433397" w:rsidP="00BF3B60">
      <w:pPr>
        <w:pStyle w:val="AppendixHeading1"/>
      </w:pPr>
      <w:bookmarkStart w:id="101" w:name="_Toc493666051"/>
      <w:bookmarkStart w:id="102" w:name="_Toc508267375"/>
      <w:bookmarkStart w:id="103" w:name="_Toc511313526"/>
      <w:bookmarkStart w:id="104" w:name="_Toc511315172"/>
      <w:bookmarkStart w:id="105" w:name="_Toc511385936"/>
      <w:bookmarkStart w:id="106" w:name="_Toc517706069"/>
      <w:r>
        <w:t xml:space="preserve">Summary of </w:t>
      </w:r>
      <w:r w:rsidR="00BF3B60">
        <w:t>Benefits</w:t>
      </w:r>
      <w:bookmarkEnd w:id="101"/>
      <w:bookmarkEnd w:id="102"/>
      <w:bookmarkEnd w:id="103"/>
      <w:bookmarkEnd w:id="104"/>
      <w:bookmarkEnd w:id="105"/>
      <w:bookmarkEnd w:id="106"/>
    </w:p>
    <w:p w:rsidR="00D21859" w:rsidRDefault="00D21859" w:rsidP="00D21859">
      <w:r>
        <w:t xml:space="preserve">The scheme’s benefit entitlements are complex and a </w:t>
      </w:r>
      <w:r w:rsidRPr="00D21859">
        <w:rPr>
          <w:b/>
        </w:rPr>
        <w:t>summary</w:t>
      </w:r>
      <w:r>
        <w:t xml:space="preserve"> of the principal provisions is set out below. This summary should not be used to calculate benefits for individuals.</w:t>
      </w:r>
    </w:p>
    <w:p w:rsidR="00D21859" w:rsidRPr="00D21859" w:rsidRDefault="00D21859" w:rsidP="00D21859"/>
    <w:p w:rsidR="003E3AB5" w:rsidRPr="00331428" w:rsidRDefault="003E3AB5" w:rsidP="003E3AB5">
      <w:pPr>
        <w:rPr>
          <w:caps/>
          <w:color w:val="002C77"/>
          <w:spacing w:val="40"/>
        </w:rPr>
      </w:pPr>
      <w:r w:rsidRPr="00331428">
        <w:rPr>
          <w:caps/>
          <w:color w:val="002C77"/>
          <w:spacing w:val="40"/>
        </w:rPr>
        <w:t>THE SUPERANNUATION ACT 1976</w:t>
      </w:r>
      <w:r w:rsidR="002326EC" w:rsidRPr="00331428">
        <w:rPr>
          <w:caps/>
          <w:color w:val="002C77"/>
          <w:spacing w:val="40"/>
        </w:rPr>
        <w:t xml:space="preserve"> </w:t>
      </w:r>
      <w:r w:rsidRPr="00331428">
        <w:rPr>
          <w:caps/>
          <w:color w:val="002C77"/>
          <w:spacing w:val="40"/>
        </w:rPr>
        <w:t>(CSS)</w:t>
      </w:r>
    </w:p>
    <w:p w:rsidR="003E3AB5" w:rsidRPr="00D21859" w:rsidRDefault="003E3AB5" w:rsidP="00D21859">
      <w:pPr>
        <w:spacing w:line="240" w:lineRule="auto"/>
        <w:rPr>
          <w:sz w:val="16"/>
          <w:szCs w:val="16"/>
        </w:rPr>
      </w:pPr>
    </w:p>
    <w:p w:rsidR="003E3AB5" w:rsidRPr="0018091D" w:rsidRDefault="003E3AB5" w:rsidP="003E3AB5">
      <w:pPr>
        <w:rPr>
          <w:i/>
        </w:rPr>
      </w:pPr>
      <w:r w:rsidRPr="0018091D">
        <w:rPr>
          <w:i/>
        </w:rPr>
        <w:t>Membership</w:t>
      </w:r>
    </w:p>
    <w:p w:rsidR="003E3AB5" w:rsidRPr="00D21859" w:rsidRDefault="003E3AB5" w:rsidP="00D21859">
      <w:pPr>
        <w:spacing w:line="240" w:lineRule="auto"/>
        <w:rPr>
          <w:sz w:val="16"/>
          <w:szCs w:val="16"/>
        </w:rPr>
      </w:pPr>
    </w:p>
    <w:p w:rsidR="003E3AB5" w:rsidRPr="0018091D" w:rsidRDefault="003E3AB5" w:rsidP="003E3AB5">
      <w:r w:rsidRPr="0018091D">
        <w:t>The CSS has been closed to new entrants since 1 July 1990.</w:t>
      </w:r>
    </w:p>
    <w:p w:rsidR="003E3AB5" w:rsidRPr="0018091D" w:rsidRDefault="003E3AB5" w:rsidP="003E3AB5"/>
    <w:p w:rsidR="003E3AB5" w:rsidRPr="0018091D" w:rsidRDefault="003E3AB5" w:rsidP="003E3AB5">
      <w:pPr>
        <w:rPr>
          <w:i/>
        </w:rPr>
      </w:pPr>
      <w:r w:rsidRPr="0018091D">
        <w:rPr>
          <w:i/>
        </w:rPr>
        <w:t>Salary</w:t>
      </w:r>
    </w:p>
    <w:p w:rsidR="003E3AB5" w:rsidRPr="00D21859" w:rsidRDefault="003E3AB5" w:rsidP="00D21859">
      <w:pPr>
        <w:spacing w:line="240" w:lineRule="auto"/>
        <w:rPr>
          <w:sz w:val="16"/>
          <w:szCs w:val="16"/>
        </w:rPr>
      </w:pPr>
    </w:p>
    <w:p w:rsidR="00A51909" w:rsidRDefault="00A51909" w:rsidP="00A51909">
      <w:r>
        <w:t xml:space="preserve">Salary for contribution purposes is the amount agreed between the member and employer through </w:t>
      </w:r>
      <w:r w:rsidR="006565F8">
        <w:t>an agreement such as an Enterprise Agremment</w:t>
      </w:r>
      <w:r>
        <w:t xml:space="preserve">. If no such agreement is in place, salary is </w:t>
      </w:r>
      <w:r w:rsidRPr="0018091D">
        <w:t xml:space="preserve">basic </w:t>
      </w:r>
      <w:r>
        <w:t xml:space="preserve">annual </w:t>
      </w:r>
      <w:r w:rsidRPr="0018091D">
        <w:t>salary plus any recognised allowances</w:t>
      </w:r>
      <w:r>
        <w:t xml:space="preserve"> on a member’s last birthday</w:t>
      </w:r>
      <w:r w:rsidRPr="0018091D">
        <w:t>.</w:t>
      </w:r>
    </w:p>
    <w:p w:rsidR="00A51909" w:rsidRPr="0018091D" w:rsidRDefault="00A51909" w:rsidP="00A51909"/>
    <w:p w:rsidR="003E3AB5" w:rsidRPr="0018091D" w:rsidRDefault="003E3AB5" w:rsidP="003E3AB5">
      <w:pPr>
        <w:rPr>
          <w:i/>
        </w:rPr>
      </w:pPr>
      <w:r w:rsidRPr="0018091D">
        <w:rPr>
          <w:i/>
        </w:rPr>
        <w:t>Final Salary</w:t>
      </w:r>
    </w:p>
    <w:p w:rsidR="003E3AB5" w:rsidRPr="00D21859" w:rsidRDefault="003E3AB5" w:rsidP="00D21859">
      <w:pPr>
        <w:spacing w:line="240" w:lineRule="auto"/>
        <w:rPr>
          <w:sz w:val="16"/>
          <w:szCs w:val="16"/>
        </w:rPr>
      </w:pPr>
    </w:p>
    <w:p w:rsidR="003E3AB5" w:rsidRPr="0018091D" w:rsidRDefault="003E3AB5" w:rsidP="003E3AB5">
      <w:r w:rsidRPr="0018091D">
        <w:t xml:space="preserve">The salary used for calculating benefits is, in most cases, the annual rate of salary on a member's </w:t>
      </w:r>
      <w:r w:rsidR="00497041">
        <w:t>last day of service</w:t>
      </w:r>
      <w:r w:rsidRPr="0018091D">
        <w:t>.</w:t>
      </w:r>
    </w:p>
    <w:p w:rsidR="003E3AB5" w:rsidRPr="0018091D" w:rsidRDefault="003E3AB5" w:rsidP="003E3AB5"/>
    <w:p w:rsidR="003E3AB5" w:rsidRPr="0018091D" w:rsidRDefault="003E3AB5" w:rsidP="003E3AB5">
      <w:pPr>
        <w:rPr>
          <w:i/>
        </w:rPr>
      </w:pPr>
      <w:r w:rsidRPr="0018091D">
        <w:rPr>
          <w:i/>
        </w:rPr>
        <w:t>Member Contributions</w:t>
      </w:r>
    </w:p>
    <w:p w:rsidR="003E3AB5" w:rsidRPr="00D21859" w:rsidRDefault="003E3AB5" w:rsidP="00D21859">
      <w:pPr>
        <w:spacing w:line="240" w:lineRule="auto"/>
        <w:rPr>
          <w:sz w:val="16"/>
          <w:szCs w:val="16"/>
        </w:rPr>
      </w:pPr>
    </w:p>
    <w:p w:rsidR="003E3AB5" w:rsidRPr="0018091D" w:rsidRDefault="003E3AB5" w:rsidP="003E3AB5">
      <w:r w:rsidRPr="0018091D">
        <w:t xml:space="preserve">Basic contributions are 5% of salary. </w:t>
      </w:r>
      <w:r w:rsidR="006565F8">
        <w:t>A member can also make s</w:t>
      </w:r>
      <w:r w:rsidRPr="0018091D">
        <w:t xml:space="preserve">upplementary </w:t>
      </w:r>
      <w:r w:rsidR="00497041">
        <w:t xml:space="preserve">(or voluntary) </w:t>
      </w:r>
      <w:r w:rsidRPr="0018091D">
        <w:t xml:space="preserve">contributions. Contributions are accumulated with </w:t>
      </w:r>
      <w:r w:rsidR="0081311D">
        <w:t>investment earnings</w:t>
      </w:r>
      <w:r w:rsidR="0081311D" w:rsidRPr="0018091D">
        <w:t xml:space="preserve"> </w:t>
      </w:r>
      <w:r w:rsidRPr="0018091D">
        <w:t>based on the crediting rates of the CSS. Members can also choose not to contribute to the CSS.</w:t>
      </w:r>
    </w:p>
    <w:p w:rsidR="003E3AB5" w:rsidRPr="0018091D" w:rsidRDefault="003E3AB5" w:rsidP="003E3AB5"/>
    <w:p w:rsidR="00CB2730" w:rsidRDefault="00CB2730" w:rsidP="003E3AB5">
      <w:pPr>
        <w:rPr>
          <w:i/>
        </w:rPr>
      </w:pPr>
      <w:r>
        <w:rPr>
          <w:i/>
        </w:rPr>
        <w:t>Productivity Contributions</w:t>
      </w:r>
    </w:p>
    <w:p w:rsidR="00497041" w:rsidRPr="00D21859" w:rsidRDefault="00497041" w:rsidP="00D21859">
      <w:pPr>
        <w:spacing w:line="240" w:lineRule="auto"/>
        <w:rPr>
          <w:sz w:val="16"/>
          <w:szCs w:val="16"/>
        </w:rPr>
      </w:pPr>
    </w:p>
    <w:p w:rsidR="00497041" w:rsidRDefault="00497041" w:rsidP="00497041">
      <w:r w:rsidRPr="00497041">
        <w:t xml:space="preserve">Most </w:t>
      </w:r>
      <w:r>
        <w:t xml:space="preserve">members have fortnightly employer productivity contributions paid to the CSS. The rate at which contributions are paid varies depending on income limits. The </w:t>
      </w:r>
      <w:r w:rsidR="00F85CAE">
        <w:t>2017-18 amounts are:</w:t>
      </w:r>
    </w:p>
    <w:p w:rsidR="00F85CAE" w:rsidRPr="00D21859" w:rsidRDefault="00F85CAE" w:rsidP="00D21859">
      <w:pPr>
        <w:spacing w:line="240" w:lineRule="auto"/>
        <w:rPr>
          <w:sz w:val="16"/>
          <w:szCs w:val="16"/>
        </w:rPr>
      </w:pPr>
    </w:p>
    <w:tbl>
      <w:tblPr>
        <w:tblStyle w:val="TableGrid"/>
        <w:tblW w:w="0" w:type="auto"/>
        <w:tblInd w:w="108" w:type="dxa"/>
        <w:tblLook w:val="04A0" w:firstRow="1" w:lastRow="0" w:firstColumn="1" w:lastColumn="0" w:noHBand="0" w:noVBand="1"/>
      </w:tblPr>
      <w:tblGrid>
        <w:gridCol w:w="3544"/>
        <w:gridCol w:w="3544"/>
      </w:tblGrid>
      <w:tr w:rsidR="00F85CAE" w:rsidRPr="00D21859" w:rsidTr="00A04D3C">
        <w:tc>
          <w:tcPr>
            <w:tcW w:w="3544" w:type="dxa"/>
          </w:tcPr>
          <w:p w:rsidR="00F85CAE" w:rsidRPr="00D21859" w:rsidRDefault="00F85CAE" w:rsidP="00827778">
            <w:pPr>
              <w:rPr>
                <w:b/>
                <w:sz w:val="20"/>
              </w:rPr>
            </w:pPr>
            <w:r w:rsidRPr="00D21859">
              <w:rPr>
                <w:b/>
                <w:sz w:val="20"/>
              </w:rPr>
              <w:t>Fortnightly rate of salary</w:t>
            </w:r>
          </w:p>
        </w:tc>
        <w:tc>
          <w:tcPr>
            <w:tcW w:w="3544" w:type="dxa"/>
          </w:tcPr>
          <w:p w:rsidR="00F85CAE" w:rsidRPr="00D21859" w:rsidRDefault="00F85CAE" w:rsidP="00827778">
            <w:pPr>
              <w:rPr>
                <w:b/>
                <w:sz w:val="20"/>
              </w:rPr>
            </w:pPr>
            <w:r w:rsidRPr="00D21859">
              <w:rPr>
                <w:b/>
                <w:sz w:val="20"/>
              </w:rPr>
              <w:t>Fortnightly productivity contribution</w:t>
            </w:r>
          </w:p>
        </w:tc>
      </w:tr>
      <w:tr w:rsidR="00F85CAE" w:rsidRPr="00D21859" w:rsidTr="00A04D3C">
        <w:tc>
          <w:tcPr>
            <w:tcW w:w="3544" w:type="dxa"/>
          </w:tcPr>
          <w:p w:rsidR="00F85CAE" w:rsidRPr="00D21859" w:rsidRDefault="00F85CAE" w:rsidP="00827778">
            <w:pPr>
              <w:rPr>
                <w:sz w:val="20"/>
              </w:rPr>
            </w:pPr>
            <w:r w:rsidRPr="00D21859">
              <w:rPr>
                <w:sz w:val="20"/>
              </w:rPr>
              <w:t>Less than $2,300.67</w:t>
            </w:r>
          </w:p>
        </w:tc>
        <w:tc>
          <w:tcPr>
            <w:tcW w:w="3544" w:type="dxa"/>
          </w:tcPr>
          <w:p w:rsidR="00F85CAE" w:rsidRPr="00D21859" w:rsidRDefault="00F85CAE" w:rsidP="00827778">
            <w:pPr>
              <w:rPr>
                <w:sz w:val="20"/>
              </w:rPr>
            </w:pPr>
            <w:r w:rsidRPr="00D21859">
              <w:rPr>
                <w:sz w:val="20"/>
              </w:rPr>
              <w:t>$69.02</w:t>
            </w:r>
          </w:p>
        </w:tc>
      </w:tr>
      <w:tr w:rsidR="00F85CAE" w:rsidRPr="00D21859" w:rsidTr="00A04D3C">
        <w:tc>
          <w:tcPr>
            <w:tcW w:w="3544" w:type="dxa"/>
          </w:tcPr>
          <w:p w:rsidR="00F85CAE" w:rsidRPr="00D21859" w:rsidRDefault="00F85CAE" w:rsidP="00827778">
            <w:pPr>
              <w:rPr>
                <w:sz w:val="20"/>
              </w:rPr>
            </w:pPr>
            <w:r w:rsidRPr="00D21859">
              <w:rPr>
                <w:sz w:val="20"/>
              </w:rPr>
              <w:t xml:space="preserve">$2,300.67 or more but less than </w:t>
            </w:r>
            <w:r w:rsidRPr="00D21859">
              <w:rPr>
                <w:sz w:val="20"/>
              </w:rPr>
              <w:br/>
              <w:t>$3,706.00</w:t>
            </w:r>
          </w:p>
        </w:tc>
        <w:tc>
          <w:tcPr>
            <w:tcW w:w="3544" w:type="dxa"/>
          </w:tcPr>
          <w:p w:rsidR="00F85CAE" w:rsidRPr="00D21859" w:rsidRDefault="00F85CAE" w:rsidP="00827778">
            <w:pPr>
              <w:rPr>
                <w:sz w:val="20"/>
              </w:rPr>
            </w:pPr>
            <w:r w:rsidRPr="00D21859">
              <w:rPr>
                <w:sz w:val="20"/>
              </w:rPr>
              <w:t>3% of salary</w:t>
            </w:r>
          </w:p>
        </w:tc>
      </w:tr>
      <w:tr w:rsidR="00F85CAE" w:rsidRPr="00D21859" w:rsidTr="00A04D3C">
        <w:tc>
          <w:tcPr>
            <w:tcW w:w="3544" w:type="dxa"/>
          </w:tcPr>
          <w:p w:rsidR="00F85CAE" w:rsidRPr="00D21859" w:rsidRDefault="00F85CAE" w:rsidP="00827778">
            <w:pPr>
              <w:rPr>
                <w:sz w:val="20"/>
              </w:rPr>
            </w:pPr>
            <w:r w:rsidRPr="00D21859">
              <w:rPr>
                <w:sz w:val="20"/>
              </w:rPr>
              <w:t xml:space="preserve">$3,706.00 or more but less than </w:t>
            </w:r>
            <w:r w:rsidRPr="00D21859">
              <w:rPr>
                <w:sz w:val="20"/>
              </w:rPr>
              <w:br/>
              <w:t>$5,559.00</w:t>
            </w:r>
          </w:p>
        </w:tc>
        <w:tc>
          <w:tcPr>
            <w:tcW w:w="3544" w:type="dxa"/>
          </w:tcPr>
          <w:p w:rsidR="00F85CAE" w:rsidRPr="00D21859" w:rsidRDefault="00F85CAE" w:rsidP="00827778">
            <w:pPr>
              <w:rPr>
                <w:sz w:val="20"/>
              </w:rPr>
            </w:pPr>
            <w:r w:rsidRPr="00D21859">
              <w:rPr>
                <w:sz w:val="20"/>
              </w:rPr>
              <w:t>$111.18</w:t>
            </w:r>
          </w:p>
        </w:tc>
      </w:tr>
      <w:tr w:rsidR="00F85CAE" w:rsidRPr="00D21859" w:rsidTr="00A04D3C">
        <w:tc>
          <w:tcPr>
            <w:tcW w:w="3544" w:type="dxa"/>
          </w:tcPr>
          <w:p w:rsidR="00F85CAE" w:rsidRPr="00D21859" w:rsidRDefault="00F85CAE" w:rsidP="00827778">
            <w:pPr>
              <w:rPr>
                <w:sz w:val="20"/>
              </w:rPr>
            </w:pPr>
            <w:r w:rsidRPr="00D21859">
              <w:rPr>
                <w:sz w:val="20"/>
              </w:rPr>
              <w:t>$5,559.00 or more</w:t>
            </w:r>
          </w:p>
        </w:tc>
        <w:tc>
          <w:tcPr>
            <w:tcW w:w="3544" w:type="dxa"/>
          </w:tcPr>
          <w:p w:rsidR="00F85CAE" w:rsidRPr="00D21859" w:rsidRDefault="00F85CAE" w:rsidP="00827778">
            <w:pPr>
              <w:rPr>
                <w:sz w:val="20"/>
              </w:rPr>
            </w:pPr>
            <w:r w:rsidRPr="00D21859">
              <w:rPr>
                <w:sz w:val="20"/>
              </w:rPr>
              <w:t>2% of salary</w:t>
            </w:r>
          </w:p>
        </w:tc>
      </w:tr>
    </w:tbl>
    <w:p w:rsidR="0081311D" w:rsidRDefault="0081311D" w:rsidP="00A04D3C">
      <w:pPr>
        <w:rPr>
          <w:caps/>
          <w:color w:val="002C77"/>
          <w:spacing w:val="40"/>
        </w:rPr>
      </w:pPr>
    </w:p>
    <w:p w:rsidR="00A04D3C" w:rsidRPr="00331428" w:rsidRDefault="00A04D3C" w:rsidP="00A04D3C">
      <w:pPr>
        <w:rPr>
          <w:caps/>
          <w:color w:val="002C77"/>
          <w:spacing w:val="40"/>
        </w:rPr>
      </w:pPr>
      <w:r w:rsidRPr="00331428">
        <w:rPr>
          <w:caps/>
          <w:color w:val="002C77"/>
          <w:spacing w:val="40"/>
        </w:rPr>
        <w:lastRenderedPageBreak/>
        <w:t xml:space="preserve">THE SUPERANNUATION ACT 1976 (CSS) </w:t>
      </w:r>
      <w:r w:rsidRPr="00331428">
        <w:rPr>
          <w:i/>
          <w:color w:val="002C77"/>
          <w:spacing w:val="40"/>
        </w:rPr>
        <w:t>continued</w:t>
      </w:r>
    </w:p>
    <w:p w:rsidR="00CB2730" w:rsidRPr="000A4957" w:rsidRDefault="00CB2730" w:rsidP="003E3AB5"/>
    <w:p w:rsidR="00A51909" w:rsidRPr="0018091D" w:rsidRDefault="00A51909" w:rsidP="00A51909">
      <w:pPr>
        <w:rPr>
          <w:i/>
        </w:rPr>
      </w:pPr>
      <w:r w:rsidRPr="0018091D">
        <w:rPr>
          <w:i/>
        </w:rPr>
        <w:t>Retirement Benefits</w:t>
      </w:r>
    </w:p>
    <w:p w:rsidR="00A51909" w:rsidRPr="0018091D" w:rsidRDefault="00A51909" w:rsidP="00A51909"/>
    <w:p w:rsidR="00A51909" w:rsidRPr="0018091D" w:rsidRDefault="00A51909" w:rsidP="00A51909">
      <w:r w:rsidRPr="0018091D">
        <w:t xml:space="preserve">Retirement benefits are payable upon retirement at maximum retirement age (usually age 65) or early retirement </w:t>
      </w:r>
      <w:r>
        <w:t xml:space="preserve">from minimum retirement age (usually </w:t>
      </w:r>
      <w:r w:rsidRPr="0018091D">
        <w:t>age 55</w:t>
      </w:r>
      <w:r>
        <w:t>), subject to general superannuation preservation rules.</w:t>
      </w:r>
    </w:p>
    <w:p w:rsidR="00A51909" w:rsidRPr="0018091D" w:rsidRDefault="00A51909" w:rsidP="00A51909"/>
    <w:p w:rsidR="00A51909" w:rsidRPr="0018091D" w:rsidRDefault="00A51909" w:rsidP="00A51909">
      <w:r w:rsidRPr="0018091D">
        <w:t xml:space="preserve">The retirement benefit </w:t>
      </w:r>
      <w:r>
        <w:t>comprises</w:t>
      </w:r>
      <w:r w:rsidRPr="0018091D">
        <w:t>:</w:t>
      </w:r>
    </w:p>
    <w:p w:rsidR="00A51909" w:rsidRPr="0018091D" w:rsidRDefault="00A51909" w:rsidP="00A51909">
      <w:pPr>
        <w:pStyle w:val="ListBullet"/>
      </w:pPr>
      <w:r>
        <w:t>a</w:t>
      </w:r>
      <w:r w:rsidRPr="00A4545C">
        <w:t xml:space="preserve">n </w:t>
      </w:r>
      <w:r w:rsidRPr="0018091D">
        <w:rPr>
          <w:u w:val="single"/>
        </w:rPr>
        <w:t xml:space="preserve">employer-financed indexed </w:t>
      </w:r>
      <w:r>
        <w:rPr>
          <w:u w:val="single"/>
        </w:rPr>
        <w:t xml:space="preserve">lifetime </w:t>
      </w:r>
      <w:r w:rsidRPr="0018091D">
        <w:rPr>
          <w:u w:val="single"/>
        </w:rPr>
        <w:t>pension</w:t>
      </w:r>
      <w:r w:rsidRPr="0018091D">
        <w:t xml:space="preserve"> being a percentage of final salary based on</w:t>
      </w:r>
      <w:r>
        <w:t xml:space="preserve"> </w:t>
      </w:r>
      <w:r w:rsidRPr="0018091D">
        <w:t>the period of contributory service and discounted for early retirement before age</w:t>
      </w:r>
      <w:r>
        <w:t xml:space="preserve"> </w:t>
      </w:r>
      <w:r w:rsidRPr="0018091D">
        <w:t>65</w:t>
      </w:r>
      <w:r>
        <w:t xml:space="preserve"> (t</w:t>
      </w:r>
      <w:r w:rsidRPr="0018091D">
        <w:t xml:space="preserve">he </w:t>
      </w:r>
      <w:r>
        <w:t xml:space="preserve">percentage is </w:t>
      </w:r>
      <w:r w:rsidRPr="0018091D">
        <w:t>based on years of contributory service and on whether the member</w:t>
      </w:r>
      <w:r>
        <w:t xml:space="preserve"> </w:t>
      </w:r>
      <w:r w:rsidRPr="0018091D">
        <w:t>transferred from the 1922 Scheme</w:t>
      </w:r>
      <w:r>
        <w:t xml:space="preserve"> or </w:t>
      </w:r>
      <w:r w:rsidRPr="0018091D">
        <w:t xml:space="preserve">joined the CSS </w:t>
      </w:r>
      <w:r>
        <w:t xml:space="preserve">before or after </w:t>
      </w:r>
      <w:r w:rsidRPr="0018091D">
        <w:t>30 June 1976</w:t>
      </w:r>
      <w:r>
        <w:t>)</w:t>
      </w:r>
      <w:r w:rsidRPr="0018091D">
        <w:t>;</w:t>
      </w:r>
    </w:p>
    <w:p w:rsidR="00A51909" w:rsidRPr="0018091D" w:rsidRDefault="00A51909" w:rsidP="00A51909">
      <w:pPr>
        <w:pStyle w:val="ListBullet"/>
      </w:pPr>
      <w:r>
        <w:t xml:space="preserve">a </w:t>
      </w:r>
      <w:r w:rsidRPr="0018091D">
        <w:rPr>
          <w:u w:val="single"/>
        </w:rPr>
        <w:t>productivity component</w:t>
      </w:r>
      <w:r w:rsidRPr="0018091D">
        <w:t xml:space="preserve"> made up of accumulated productivity contributions </w:t>
      </w:r>
      <w:r>
        <w:t xml:space="preserve">which can be taken as a lump sum or converted to </w:t>
      </w:r>
      <w:r w:rsidRPr="0018091D">
        <w:t xml:space="preserve">a non-indexed </w:t>
      </w:r>
      <w:r>
        <w:t xml:space="preserve">lifetime </w:t>
      </w:r>
      <w:r w:rsidRPr="0018091D">
        <w:t>pension; and</w:t>
      </w:r>
    </w:p>
    <w:p w:rsidR="00A51909" w:rsidRDefault="00A51909" w:rsidP="00A51909">
      <w:pPr>
        <w:pStyle w:val="ListBullet"/>
      </w:pPr>
      <w:r w:rsidRPr="00C87FA6">
        <w:t xml:space="preserve">a </w:t>
      </w:r>
      <w:r w:rsidRPr="0018091D">
        <w:rPr>
          <w:u w:val="single"/>
        </w:rPr>
        <w:t>member-financed component</w:t>
      </w:r>
      <w:r w:rsidRPr="0018091D">
        <w:t xml:space="preserve"> made up of accumulated basic and supplementary</w:t>
      </w:r>
      <w:r>
        <w:t xml:space="preserve"> </w:t>
      </w:r>
      <w:r w:rsidRPr="0018091D">
        <w:t xml:space="preserve">contributions </w:t>
      </w:r>
      <w:r>
        <w:t xml:space="preserve">which can be taken as a lump sum or converted to a </w:t>
      </w:r>
      <w:r w:rsidRPr="0018091D">
        <w:t xml:space="preserve">non-indexed </w:t>
      </w:r>
      <w:r>
        <w:t xml:space="preserve">lifetime </w:t>
      </w:r>
      <w:r w:rsidRPr="0018091D">
        <w:t>pension.</w:t>
      </w:r>
    </w:p>
    <w:p w:rsidR="00A51909" w:rsidRPr="00A2126F" w:rsidRDefault="00A51909" w:rsidP="00A51909"/>
    <w:p w:rsidR="00A51909" w:rsidRPr="0018091D" w:rsidRDefault="00A51909" w:rsidP="00A51909">
      <w:r w:rsidRPr="0018091D">
        <w:t xml:space="preserve">Generally, the accrual rates are 2% per annum for the first 20 years of </w:t>
      </w:r>
      <w:r>
        <w:t xml:space="preserve">contributory </w:t>
      </w:r>
      <w:r w:rsidRPr="0018091D">
        <w:t xml:space="preserve">membership, 1% per annum for the next 10 years, and 0.25% per annum for each of the next 10 years. </w:t>
      </w:r>
      <w:r>
        <w:t>A</w:t>
      </w:r>
      <w:r w:rsidRPr="0018091D">
        <w:t xml:space="preserve"> maximum percentage </w:t>
      </w:r>
      <w:r>
        <w:t>of</w:t>
      </w:r>
      <w:r w:rsidRPr="0018091D">
        <w:t xml:space="preserve"> 52.5% of salary</w:t>
      </w:r>
      <w:r>
        <w:t xml:space="preserve"> applies after 40 years of contributory membership</w:t>
      </w:r>
      <w:r w:rsidRPr="0018091D">
        <w:t>.</w:t>
      </w:r>
    </w:p>
    <w:p w:rsidR="00A51909" w:rsidRDefault="00A51909" w:rsidP="00A51909"/>
    <w:p w:rsidR="00A51909" w:rsidRDefault="00A51909" w:rsidP="00A51909">
      <w:r w:rsidRPr="0018091D">
        <w:t xml:space="preserve">The discount for retirement prior to age 65 </w:t>
      </w:r>
      <w:r>
        <w:t>depends on age</w:t>
      </w:r>
      <w:r w:rsidR="00692EE8">
        <w:t xml:space="preserve"> at the time that the pension commences</w:t>
      </w:r>
      <w:r>
        <w:t>:</w:t>
      </w:r>
    </w:p>
    <w:p w:rsidR="00A51909" w:rsidRPr="0018091D" w:rsidRDefault="00A51909" w:rsidP="00A51909"/>
    <w:tbl>
      <w:tblPr>
        <w:tblStyle w:val="TableGrid"/>
        <w:tblW w:w="0" w:type="auto"/>
        <w:tblInd w:w="108" w:type="dxa"/>
        <w:tblLook w:val="04A0" w:firstRow="1" w:lastRow="0" w:firstColumn="1" w:lastColumn="0" w:noHBand="0" w:noVBand="1"/>
      </w:tblPr>
      <w:tblGrid>
        <w:gridCol w:w="1772"/>
        <w:gridCol w:w="1772"/>
        <w:gridCol w:w="1772"/>
        <w:gridCol w:w="1772"/>
      </w:tblGrid>
      <w:tr w:rsidR="00A51909" w:rsidTr="00A51909">
        <w:tc>
          <w:tcPr>
            <w:tcW w:w="1772" w:type="dxa"/>
          </w:tcPr>
          <w:p w:rsidR="00A51909" w:rsidRPr="00F85CAE" w:rsidRDefault="00A51909" w:rsidP="00A51909">
            <w:pPr>
              <w:rPr>
                <w:b/>
              </w:rPr>
            </w:pPr>
            <w:r>
              <w:rPr>
                <w:b/>
              </w:rPr>
              <w:t>Age</w:t>
            </w:r>
          </w:p>
        </w:tc>
        <w:tc>
          <w:tcPr>
            <w:tcW w:w="1772" w:type="dxa"/>
          </w:tcPr>
          <w:p w:rsidR="00A51909" w:rsidRPr="00F85CAE" w:rsidRDefault="00A51909" w:rsidP="00A51909">
            <w:pPr>
              <w:rPr>
                <w:b/>
              </w:rPr>
            </w:pPr>
            <w:r>
              <w:rPr>
                <w:b/>
              </w:rPr>
              <w:t>Early Retirement Reduction</w:t>
            </w:r>
          </w:p>
        </w:tc>
        <w:tc>
          <w:tcPr>
            <w:tcW w:w="1772" w:type="dxa"/>
          </w:tcPr>
          <w:p w:rsidR="00A51909" w:rsidRPr="00F85CAE" w:rsidRDefault="00A51909" w:rsidP="00A51909">
            <w:pPr>
              <w:rPr>
                <w:b/>
              </w:rPr>
            </w:pPr>
            <w:r>
              <w:rPr>
                <w:b/>
              </w:rPr>
              <w:t>Age</w:t>
            </w:r>
          </w:p>
        </w:tc>
        <w:tc>
          <w:tcPr>
            <w:tcW w:w="1772" w:type="dxa"/>
          </w:tcPr>
          <w:p w:rsidR="00A51909" w:rsidRPr="00F85CAE" w:rsidRDefault="00A51909" w:rsidP="00A51909">
            <w:pPr>
              <w:rPr>
                <w:b/>
              </w:rPr>
            </w:pPr>
            <w:r>
              <w:rPr>
                <w:b/>
              </w:rPr>
              <w:t>Early Retirement Reduction</w:t>
            </w:r>
          </w:p>
        </w:tc>
      </w:tr>
      <w:tr w:rsidR="00A51909" w:rsidTr="00A51909">
        <w:tc>
          <w:tcPr>
            <w:tcW w:w="1772" w:type="dxa"/>
          </w:tcPr>
          <w:p w:rsidR="00A51909" w:rsidRDefault="00A51909" w:rsidP="00A51909">
            <w:r>
              <w:t>64</w:t>
            </w:r>
          </w:p>
        </w:tc>
        <w:tc>
          <w:tcPr>
            <w:tcW w:w="1772" w:type="dxa"/>
          </w:tcPr>
          <w:p w:rsidR="00A51909" w:rsidRDefault="00A51909" w:rsidP="00A51909">
            <w:r>
              <w:t>0.98</w:t>
            </w:r>
          </w:p>
        </w:tc>
        <w:tc>
          <w:tcPr>
            <w:tcW w:w="1772" w:type="dxa"/>
          </w:tcPr>
          <w:p w:rsidR="00A51909" w:rsidRDefault="00A51909" w:rsidP="00A51909">
            <w:r>
              <w:t>59</w:t>
            </w:r>
          </w:p>
        </w:tc>
        <w:tc>
          <w:tcPr>
            <w:tcW w:w="1772" w:type="dxa"/>
          </w:tcPr>
          <w:p w:rsidR="00A51909" w:rsidRDefault="00A51909" w:rsidP="00A51909">
            <w:r>
              <w:t>0.87</w:t>
            </w:r>
          </w:p>
        </w:tc>
      </w:tr>
      <w:tr w:rsidR="00A51909" w:rsidTr="00A51909">
        <w:tc>
          <w:tcPr>
            <w:tcW w:w="1772" w:type="dxa"/>
          </w:tcPr>
          <w:p w:rsidR="00A51909" w:rsidRDefault="00A51909" w:rsidP="00A51909">
            <w:r>
              <w:t>63</w:t>
            </w:r>
          </w:p>
        </w:tc>
        <w:tc>
          <w:tcPr>
            <w:tcW w:w="1772" w:type="dxa"/>
          </w:tcPr>
          <w:p w:rsidR="00A51909" w:rsidRDefault="00A51909" w:rsidP="00A51909">
            <w:r>
              <w:t>0.96</w:t>
            </w:r>
          </w:p>
        </w:tc>
        <w:tc>
          <w:tcPr>
            <w:tcW w:w="1772" w:type="dxa"/>
          </w:tcPr>
          <w:p w:rsidR="00A51909" w:rsidRDefault="00A51909" w:rsidP="00A51909">
            <w:r>
              <w:t>58</w:t>
            </w:r>
          </w:p>
        </w:tc>
        <w:tc>
          <w:tcPr>
            <w:tcW w:w="1772" w:type="dxa"/>
          </w:tcPr>
          <w:p w:rsidR="00A51909" w:rsidRDefault="00A51909" w:rsidP="00A51909">
            <w:r>
              <w:t>0.84</w:t>
            </w:r>
          </w:p>
        </w:tc>
      </w:tr>
      <w:tr w:rsidR="00A51909" w:rsidTr="00A51909">
        <w:tc>
          <w:tcPr>
            <w:tcW w:w="1772" w:type="dxa"/>
          </w:tcPr>
          <w:p w:rsidR="00A51909" w:rsidRDefault="00A51909" w:rsidP="00A51909">
            <w:r>
              <w:t>62</w:t>
            </w:r>
          </w:p>
        </w:tc>
        <w:tc>
          <w:tcPr>
            <w:tcW w:w="1772" w:type="dxa"/>
          </w:tcPr>
          <w:p w:rsidR="00A51909" w:rsidRDefault="00A51909" w:rsidP="00A51909">
            <w:r>
              <w:t>0.94</w:t>
            </w:r>
          </w:p>
        </w:tc>
        <w:tc>
          <w:tcPr>
            <w:tcW w:w="1772" w:type="dxa"/>
          </w:tcPr>
          <w:p w:rsidR="00A51909" w:rsidRDefault="00A51909" w:rsidP="00A51909">
            <w:r>
              <w:t>57</w:t>
            </w:r>
          </w:p>
        </w:tc>
        <w:tc>
          <w:tcPr>
            <w:tcW w:w="1772" w:type="dxa"/>
          </w:tcPr>
          <w:p w:rsidR="00A51909" w:rsidRDefault="00A51909" w:rsidP="00A51909">
            <w:r>
              <w:t>0.81</w:t>
            </w:r>
          </w:p>
        </w:tc>
      </w:tr>
      <w:tr w:rsidR="00A51909" w:rsidTr="00A51909">
        <w:tc>
          <w:tcPr>
            <w:tcW w:w="1772" w:type="dxa"/>
          </w:tcPr>
          <w:p w:rsidR="00A51909" w:rsidRDefault="00A51909" w:rsidP="00A51909">
            <w:r>
              <w:t>61</w:t>
            </w:r>
          </w:p>
        </w:tc>
        <w:tc>
          <w:tcPr>
            <w:tcW w:w="1772" w:type="dxa"/>
          </w:tcPr>
          <w:p w:rsidR="00A51909" w:rsidRDefault="00A51909" w:rsidP="00A51909">
            <w:r>
              <w:t>0.92</w:t>
            </w:r>
          </w:p>
        </w:tc>
        <w:tc>
          <w:tcPr>
            <w:tcW w:w="1772" w:type="dxa"/>
          </w:tcPr>
          <w:p w:rsidR="00A51909" w:rsidRDefault="00A51909" w:rsidP="00A51909">
            <w:r>
              <w:t>56</w:t>
            </w:r>
          </w:p>
        </w:tc>
        <w:tc>
          <w:tcPr>
            <w:tcW w:w="1772" w:type="dxa"/>
          </w:tcPr>
          <w:p w:rsidR="00A51909" w:rsidRDefault="00A51909" w:rsidP="00A51909">
            <w:r>
              <w:t>0.78</w:t>
            </w:r>
          </w:p>
        </w:tc>
      </w:tr>
      <w:tr w:rsidR="00A51909" w:rsidTr="00A51909">
        <w:tc>
          <w:tcPr>
            <w:tcW w:w="1772" w:type="dxa"/>
          </w:tcPr>
          <w:p w:rsidR="00A51909" w:rsidRDefault="00A51909" w:rsidP="00A51909">
            <w:r>
              <w:t>60</w:t>
            </w:r>
          </w:p>
        </w:tc>
        <w:tc>
          <w:tcPr>
            <w:tcW w:w="1772" w:type="dxa"/>
          </w:tcPr>
          <w:p w:rsidR="00A51909" w:rsidRDefault="00A51909" w:rsidP="00A51909">
            <w:r>
              <w:t>0.90</w:t>
            </w:r>
          </w:p>
        </w:tc>
        <w:tc>
          <w:tcPr>
            <w:tcW w:w="1772" w:type="dxa"/>
          </w:tcPr>
          <w:p w:rsidR="00A51909" w:rsidRDefault="00A51909" w:rsidP="00A51909">
            <w:r>
              <w:t>55</w:t>
            </w:r>
          </w:p>
        </w:tc>
        <w:tc>
          <w:tcPr>
            <w:tcW w:w="1772" w:type="dxa"/>
          </w:tcPr>
          <w:p w:rsidR="00A51909" w:rsidRDefault="00A51909" w:rsidP="00A51909">
            <w:r>
              <w:t>0.75</w:t>
            </w:r>
          </w:p>
        </w:tc>
      </w:tr>
    </w:tbl>
    <w:p w:rsidR="00A51909" w:rsidRDefault="00A51909" w:rsidP="00A51909"/>
    <w:p w:rsidR="00A51909" w:rsidRDefault="00A51909" w:rsidP="00A51909">
      <w:r w:rsidRPr="009B1E08">
        <w:t xml:space="preserve">The factors to convert the productivity component and member-financed component to a non-indexed lifetime pension are the same as for resignation (see below). Note that the non-indexed pension is limited to 20% of the final salary if a member retires at age 60 or more, with any excess required to </w:t>
      </w:r>
      <w:r>
        <w:t xml:space="preserve">be paid </w:t>
      </w:r>
      <w:r w:rsidRPr="009B1E08">
        <w:t xml:space="preserve">as a lump sum. The maximum </w:t>
      </w:r>
      <w:r>
        <w:t xml:space="preserve">non-indexed </w:t>
      </w:r>
      <w:r w:rsidRPr="009B1E08">
        <w:t>pension percentage is reduced for retirement before age 60.</w:t>
      </w:r>
    </w:p>
    <w:p w:rsidR="00A51909" w:rsidRDefault="00A51909" w:rsidP="00A51909"/>
    <w:p w:rsidR="00E86C17" w:rsidRDefault="00E86C17">
      <w:pPr>
        <w:spacing w:line="240" w:lineRule="auto"/>
        <w:rPr>
          <w:caps/>
          <w:color w:val="002C77"/>
          <w:spacing w:val="40"/>
        </w:rPr>
      </w:pPr>
      <w:r>
        <w:rPr>
          <w:caps/>
          <w:color w:val="002C77"/>
          <w:spacing w:val="40"/>
        </w:rPr>
        <w:br w:type="page"/>
      </w:r>
    </w:p>
    <w:p w:rsidR="00E86C17" w:rsidRPr="00331428" w:rsidRDefault="00E86C17" w:rsidP="00E86C17">
      <w:pPr>
        <w:rPr>
          <w:caps/>
          <w:color w:val="002C77"/>
          <w:spacing w:val="40"/>
        </w:rPr>
      </w:pPr>
      <w:r w:rsidRPr="00331428">
        <w:rPr>
          <w:caps/>
          <w:color w:val="002C77"/>
          <w:spacing w:val="40"/>
        </w:rPr>
        <w:lastRenderedPageBreak/>
        <w:t xml:space="preserve">THE SUPERANNUATION ACT 1976 (CSS) </w:t>
      </w:r>
      <w:r w:rsidRPr="00331428">
        <w:rPr>
          <w:i/>
          <w:color w:val="002C77"/>
          <w:spacing w:val="40"/>
        </w:rPr>
        <w:t>continued</w:t>
      </w:r>
    </w:p>
    <w:p w:rsidR="00E86C17" w:rsidRDefault="00E86C17" w:rsidP="00A51909"/>
    <w:p w:rsidR="00A51909" w:rsidRPr="0018091D" w:rsidRDefault="00A51909" w:rsidP="00A51909">
      <w:pPr>
        <w:rPr>
          <w:i/>
        </w:rPr>
      </w:pPr>
      <w:r w:rsidRPr="0018091D">
        <w:rPr>
          <w:i/>
        </w:rPr>
        <w:t>Resignation</w:t>
      </w:r>
    </w:p>
    <w:p w:rsidR="00A51909" w:rsidRPr="0018091D" w:rsidRDefault="00A51909" w:rsidP="00A51909"/>
    <w:p w:rsidR="00A51909" w:rsidRDefault="00A51909" w:rsidP="00A51909">
      <w:r w:rsidRPr="0018091D">
        <w:t>A</w:t>
      </w:r>
      <w:r>
        <w:t xml:space="preserve">n immediate </w:t>
      </w:r>
      <w:r w:rsidRPr="0018091D">
        <w:t>lump sum benefit is payable on resignation</w:t>
      </w:r>
      <w:r>
        <w:t xml:space="preserve"> equal to:</w:t>
      </w:r>
    </w:p>
    <w:p w:rsidR="00A51909" w:rsidRDefault="00A51909" w:rsidP="00A51909">
      <w:pPr>
        <w:pStyle w:val="ListBullet"/>
      </w:pPr>
      <w:r>
        <w:t xml:space="preserve">the </w:t>
      </w:r>
      <w:r w:rsidRPr="0018091D">
        <w:t>accumulated member and productivity contributions</w:t>
      </w:r>
      <w:r>
        <w:t>; plus</w:t>
      </w:r>
    </w:p>
    <w:p w:rsidR="00A51909" w:rsidRDefault="00A51909" w:rsidP="00A51909">
      <w:pPr>
        <w:pStyle w:val="ListBullet"/>
      </w:pPr>
      <w:r>
        <w:t xml:space="preserve">an </w:t>
      </w:r>
      <w:r w:rsidRPr="0018091D">
        <w:t xml:space="preserve">employer-financed </w:t>
      </w:r>
      <w:r>
        <w:t xml:space="preserve">top-up amount equal to the difference between the notional accumulation of minimum </w:t>
      </w:r>
      <w:r w:rsidRPr="0018091D">
        <w:t>S</w:t>
      </w:r>
      <w:r>
        <w:t xml:space="preserve">uperannuation </w:t>
      </w:r>
      <w:r w:rsidRPr="0018091D">
        <w:t>G</w:t>
      </w:r>
      <w:r>
        <w:t>uarantee contributions and the accumulated productivity contributions.</w:t>
      </w:r>
    </w:p>
    <w:p w:rsidR="00A51909" w:rsidRPr="0018091D" w:rsidRDefault="00A51909" w:rsidP="00A51909"/>
    <w:p w:rsidR="00A51909" w:rsidRPr="0018091D" w:rsidRDefault="00A51909" w:rsidP="00A51909">
      <w:r w:rsidRPr="0018091D">
        <w:t xml:space="preserve">Alternatively, </w:t>
      </w:r>
      <w:r>
        <w:t>a</w:t>
      </w:r>
      <w:r w:rsidRPr="0018091D">
        <w:t xml:space="preserve"> member may elect to </w:t>
      </w:r>
      <w:r>
        <w:t xml:space="preserve">defer receipt of the benefit by </w:t>
      </w:r>
      <w:r w:rsidRPr="0018091D">
        <w:t>preserv</w:t>
      </w:r>
      <w:r>
        <w:t>ing it within the CSS until</w:t>
      </w:r>
      <w:r w:rsidRPr="00B65A09">
        <w:t xml:space="preserve"> </w:t>
      </w:r>
      <w:r>
        <w:t>minimum retirement age.</w:t>
      </w:r>
      <w:r w:rsidRPr="0018091D">
        <w:t xml:space="preserve"> Under this option, </w:t>
      </w:r>
      <w:r>
        <w:t xml:space="preserve">after reaching preservation </w:t>
      </w:r>
      <w:r w:rsidRPr="0018091D">
        <w:t>age</w:t>
      </w:r>
      <w:r>
        <w:t xml:space="preserve"> </w:t>
      </w:r>
      <w:r w:rsidRPr="0018091D">
        <w:t>and having retired from the workforce, the member will receive:</w:t>
      </w:r>
    </w:p>
    <w:p w:rsidR="00A51909" w:rsidRPr="0018091D" w:rsidRDefault="00A51909" w:rsidP="00A51909">
      <w:pPr>
        <w:pStyle w:val="ListBullet"/>
      </w:pPr>
      <w:r>
        <w:t>a</w:t>
      </w:r>
      <w:r w:rsidRPr="00A4545C">
        <w:t xml:space="preserve">n </w:t>
      </w:r>
      <w:r w:rsidRPr="0018091D">
        <w:rPr>
          <w:u w:val="single"/>
        </w:rPr>
        <w:t xml:space="preserve">employer-financed indexed </w:t>
      </w:r>
      <w:r>
        <w:rPr>
          <w:u w:val="single"/>
        </w:rPr>
        <w:t xml:space="preserve">lifetime </w:t>
      </w:r>
      <w:r w:rsidRPr="0018091D">
        <w:rPr>
          <w:u w:val="single"/>
        </w:rPr>
        <w:t>pension</w:t>
      </w:r>
      <w:r w:rsidRPr="0018091D">
        <w:t xml:space="preserve"> </w:t>
      </w:r>
      <w:r>
        <w:t>based on 2.5 times the accumulated basic contributions at the date of payment</w:t>
      </w:r>
      <w:r w:rsidRPr="0018091D">
        <w:t>;</w:t>
      </w:r>
      <w:r>
        <w:t xml:space="preserve"> and</w:t>
      </w:r>
    </w:p>
    <w:p w:rsidR="00A51909" w:rsidRPr="0018091D" w:rsidRDefault="00A51909" w:rsidP="00A51909">
      <w:pPr>
        <w:pStyle w:val="ListBullet"/>
      </w:pPr>
      <w:r>
        <w:t xml:space="preserve">a </w:t>
      </w:r>
      <w:r w:rsidRPr="0018091D">
        <w:rPr>
          <w:u w:val="single"/>
        </w:rPr>
        <w:t>productivity component</w:t>
      </w:r>
      <w:r w:rsidRPr="0018091D">
        <w:t xml:space="preserve"> made up of accumulated productivity contributions </w:t>
      </w:r>
      <w:r>
        <w:t xml:space="preserve">which can be taken as a lump sum or converted to </w:t>
      </w:r>
      <w:r w:rsidRPr="0018091D">
        <w:t xml:space="preserve">a non-indexed </w:t>
      </w:r>
      <w:r>
        <w:t xml:space="preserve">lifetime </w:t>
      </w:r>
      <w:r w:rsidRPr="0018091D">
        <w:t>pension; and</w:t>
      </w:r>
    </w:p>
    <w:p w:rsidR="00A51909" w:rsidRDefault="00A51909" w:rsidP="00A51909">
      <w:pPr>
        <w:pStyle w:val="ListBullet"/>
      </w:pPr>
      <w:r w:rsidRPr="00C87FA6">
        <w:t xml:space="preserve">a </w:t>
      </w:r>
      <w:r w:rsidRPr="0018091D">
        <w:rPr>
          <w:u w:val="single"/>
        </w:rPr>
        <w:t>member-financed component</w:t>
      </w:r>
      <w:r w:rsidRPr="0018091D">
        <w:t xml:space="preserve"> made up of accumulated basic and supplementary</w:t>
      </w:r>
      <w:r>
        <w:t xml:space="preserve"> </w:t>
      </w:r>
      <w:r w:rsidRPr="0018091D">
        <w:t xml:space="preserve">contributions </w:t>
      </w:r>
      <w:r>
        <w:t xml:space="preserve">which can be taken as a lump sum or converted to a </w:t>
      </w:r>
      <w:r w:rsidRPr="0018091D">
        <w:t xml:space="preserve">non-indexed </w:t>
      </w:r>
      <w:r>
        <w:t xml:space="preserve">lifetime </w:t>
      </w:r>
      <w:r w:rsidRPr="0018091D">
        <w:t>pension.</w:t>
      </w:r>
    </w:p>
    <w:p w:rsidR="00A51909" w:rsidRDefault="00A51909" w:rsidP="00A51909"/>
    <w:p w:rsidR="00A51909" w:rsidRDefault="00A51909" w:rsidP="00A51909">
      <w:r>
        <w:t>The conversion factors used to calculate the lifetime pensions are:</w:t>
      </w:r>
    </w:p>
    <w:p w:rsidR="00A51909" w:rsidRDefault="00A51909" w:rsidP="00A51909"/>
    <w:tbl>
      <w:tblPr>
        <w:tblStyle w:val="TableGrid"/>
        <w:tblW w:w="0" w:type="auto"/>
        <w:tblInd w:w="108" w:type="dxa"/>
        <w:tblLook w:val="04A0" w:firstRow="1" w:lastRow="0" w:firstColumn="1" w:lastColumn="0" w:noHBand="0" w:noVBand="1"/>
      </w:tblPr>
      <w:tblGrid>
        <w:gridCol w:w="1772"/>
        <w:gridCol w:w="1772"/>
        <w:gridCol w:w="1772"/>
        <w:gridCol w:w="1772"/>
      </w:tblGrid>
      <w:tr w:rsidR="00A51909" w:rsidTr="00A51909">
        <w:tc>
          <w:tcPr>
            <w:tcW w:w="1772" w:type="dxa"/>
          </w:tcPr>
          <w:p w:rsidR="00A51909" w:rsidRPr="00F85CAE" w:rsidRDefault="00A51909" w:rsidP="00A51909">
            <w:pPr>
              <w:rPr>
                <w:b/>
              </w:rPr>
            </w:pPr>
            <w:r>
              <w:rPr>
                <w:b/>
              </w:rPr>
              <w:t>Age</w:t>
            </w:r>
          </w:p>
        </w:tc>
        <w:tc>
          <w:tcPr>
            <w:tcW w:w="1772" w:type="dxa"/>
          </w:tcPr>
          <w:p w:rsidR="00A51909" w:rsidRPr="00F85CAE" w:rsidRDefault="00A51909" w:rsidP="00A51909">
            <w:pPr>
              <w:rPr>
                <w:b/>
              </w:rPr>
            </w:pPr>
            <w:r>
              <w:rPr>
                <w:b/>
              </w:rPr>
              <w:t>Conversion Factor</w:t>
            </w:r>
          </w:p>
        </w:tc>
        <w:tc>
          <w:tcPr>
            <w:tcW w:w="1772" w:type="dxa"/>
          </w:tcPr>
          <w:p w:rsidR="00A51909" w:rsidRPr="00F85CAE" w:rsidRDefault="00A51909" w:rsidP="00A51909">
            <w:pPr>
              <w:rPr>
                <w:b/>
              </w:rPr>
            </w:pPr>
            <w:r>
              <w:rPr>
                <w:b/>
              </w:rPr>
              <w:t>Age</w:t>
            </w:r>
          </w:p>
        </w:tc>
        <w:tc>
          <w:tcPr>
            <w:tcW w:w="1772" w:type="dxa"/>
          </w:tcPr>
          <w:p w:rsidR="00A51909" w:rsidRPr="00F85CAE" w:rsidRDefault="00A51909" w:rsidP="00A51909">
            <w:pPr>
              <w:rPr>
                <w:b/>
              </w:rPr>
            </w:pPr>
            <w:r>
              <w:rPr>
                <w:b/>
              </w:rPr>
              <w:t>Conversion Factor</w:t>
            </w:r>
          </w:p>
        </w:tc>
      </w:tr>
      <w:tr w:rsidR="00A51909" w:rsidTr="00A51909">
        <w:tc>
          <w:tcPr>
            <w:tcW w:w="1772" w:type="dxa"/>
          </w:tcPr>
          <w:p w:rsidR="00A51909" w:rsidRDefault="00A51909" w:rsidP="00A51909">
            <w:r>
              <w:t>65</w:t>
            </w:r>
          </w:p>
        </w:tc>
        <w:tc>
          <w:tcPr>
            <w:tcW w:w="1772" w:type="dxa"/>
          </w:tcPr>
          <w:p w:rsidR="00A51909" w:rsidRDefault="00A51909" w:rsidP="00A51909">
            <w:r>
              <w:t>0.110</w:t>
            </w:r>
          </w:p>
        </w:tc>
        <w:tc>
          <w:tcPr>
            <w:tcW w:w="1772" w:type="dxa"/>
          </w:tcPr>
          <w:p w:rsidR="00A51909" w:rsidRDefault="00A51909" w:rsidP="00A51909">
            <w:r>
              <w:t>56</w:t>
            </w:r>
          </w:p>
        </w:tc>
        <w:tc>
          <w:tcPr>
            <w:tcW w:w="1772" w:type="dxa"/>
          </w:tcPr>
          <w:p w:rsidR="00A51909" w:rsidRDefault="00A51909" w:rsidP="00A51909">
            <w:r>
              <w:t>0.0940</w:t>
            </w:r>
          </w:p>
        </w:tc>
      </w:tr>
      <w:tr w:rsidR="00A51909" w:rsidTr="00A51909">
        <w:tc>
          <w:tcPr>
            <w:tcW w:w="1772" w:type="dxa"/>
          </w:tcPr>
          <w:p w:rsidR="00A51909" w:rsidRDefault="00A51909" w:rsidP="00A51909">
            <w:r>
              <w:t>64</w:t>
            </w:r>
          </w:p>
        </w:tc>
        <w:tc>
          <w:tcPr>
            <w:tcW w:w="1772" w:type="dxa"/>
          </w:tcPr>
          <w:p w:rsidR="00A51909" w:rsidRDefault="00A51909" w:rsidP="00A51909">
            <w:r>
              <w:t>0.108</w:t>
            </w:r>
          </w:p>
        </w:tc>
        <w:tc>
          <w:tcPr>
            <w:tcW w:w="1772" w:type="dxa"/>
          </w:tcPr>
          <w:p w:rsidR="00A51909" w:rsidRDefault="00A51909" w:rsidP="00A51909">
            <w:r>
              <w:t>55</w:t>
            </w:r>
          </w:p>
        </w:tc>
        <w:tc>
          <w:tcPr>
            <w:tcW w:w="1772" w:type="dxa"/>
          </w:tcPr>
          <w:p w:rsidR="00A51909" w:rsidRDefault="00A51909" w:rsidP="00A51909">
            <w:r>
              <w:t>0.0925</w:t>
            </w:r>
          </w:p>
        </w:tc>
      </w:tr>
      <w:tr w:rsidR="00A51909" w:rsidTr="00A51909">
        <w:tc>
          <w:tcPr>
            <w:tcW w:w="1772" w:type="dxa"/>
          </w:tcPr>
          <w:p w:rsidR="00A51909" w:rsidRDefault="00A51909" w:rsidP="00A51909">
            <w:r>
              <w:t>63</w:t>
            </w:r>
          </w:p>
        </w:tc>
        <w:tc>
          <w:tcPr>
            <w:tcW w:w="1772" w:type="dxa"/>
          </w:tcPr>
          <w:p w:rsidR="00A51909" w:rsidRDefault="00A51909" w:rsidP="00A51909">
            <w:r>
              <w:t>0.106</w:t>
            </w:r>
          </w:p>
        </w:tc>
        <w:tc>
          <w:tcPr>
            <w:tcW w:w="1772" w:type="dxa"/>
          </w:tcPr>
          <w:p w:rsidR="00A51909" w:rsidRDefault="00A51909" w:rsidP="00A51909">
            <w:r>
              <w:t>54</w:t>
            </w:r>
          </w:p>
        </w:tc>
        <w:tc>
          <w:tcPr>
            <w:tcW w:w="1772" w:type="dxa"/>
          </w:tcPr>
          <w:p w:rsidR="00A51909" w:rsidRDefault="00A51909" w:rsidP="00A51909">
            <w:r>
              <w:t>0.0910</w:t>
            </w:r>
          </w:p>
        </w:tc>
      </w:tr>
      <w:tr w:rsidR="00A51909" w:rsidTr="00A51909">
        <w:tc>
          <w:tcPr>
            <w:tcW w:w="1772" w:type="dxa"/>
          </w:tcPr>
          <w:p w:rsidR="00A51909" w:rsidRDefault="00A51909" w:rsidP="00A51909">
            <w:r>
              <w:t>62</w:t>
            </w:r>
          </w:p>
        </w:tc>
        <w:tc>
          <w:tcPr>
            <w:tcW w:w="1772" w:type="dxa"/>
          </w:tcPr>
          <w:p w:rsidR="00A51909" w:rsidRDefault="00A51909" w:rsidP="00A51909">
            <w:r>
              <w:t>0.104</w:t>
            </w:r>
          </w:p>
        </w:tc>
        <w:tc>
          <w:tcPr>
            <w:tcW w:w="1772" w:type="dxa"/>
          </w:tcPr>
          <w:p w:rsidR="00A51909" w:rsidRDefault="00A51909" w:rsidP="00A51909">
            <w:r>
              <w:t>55</w:t>
            </w:r>
          </w:p>
        </w:tc>
        <w:tc>
          <w:tcPr>
            <w:tcW w:w="1772" w:type="dxa"/>
          </w:tcPr>
          <w:p w:rsidR="00A51909" w:rsidRDefault="00A51909" w:rsidP="00A51909">
            <w:r>
              <w:t>0.0895</w:t>
            </w:r>
          </w:p>
        </w:tc>
      </w:tr>
      <w:tr w:rsidR="00A51909" w:rsidTr="00A51909">
        <w:tc>
          <w:tcPr>
            <w:tcW w:w="1772" w:type="dxa"/>
          </w:tcPr>
          <w:p w:rsidR="00A51909" w:rsidRDefault="00A51909" w:rsidP="00A51909">
            <w:r>
              <w:t>61</w:t>
            </w:r>
          </w:p>
        </w:tc>
        <w:tc>
          <w:tcPr>
            <w:tcW w:w="1772" w:type="dxa"/>
          </w:tcPr>
          <w:p w:rsidR="00A51909" w:rsidRDefault="00A51909" w:rsidP="00A51909">
            <w:r>
              <w:t>0.102</w:t>
            </w:r>
          </w:p>
        </w:tc>
        <w:tc>
          <w:tcPr>
            <w:tcW w:w="1772" w:type="dxa"/>
          </w:tcPr>
          <w:p w:rsidR="00A51909" w:rsidRDefault="00A51909" w:rsidP="00A51909">
            <w:r>
              <w:t>54</w:t>
            </w:r>
          </w:p>
        </w:tc>
        <w:tc>
          <w:tcPr>
            <w:tcW w:w="1772" w:type="dxa"/>
          </w:tcPr>
          <w:p w:rsidR="00A51909" w:rsidRDefault="00A51909" w:rsidP="00A51909">
            <w:r>
              <w:t>0.0910</w:t>
            </w:r>
          </w:p>
        </w:tc>
      </w:tr>
      <w:tr w:rsidR="00A51909" w:rsidTr="00A51909">
        <w:tc>
          <w:tcPr>
            <w:tcW w:w="1772" w:type="dxa"/>
          </w:tcPr>
          <w:p w:rsidR="00A51909" w:rsidRDefault="00A51909" w:rsidP="00A51909">
            <w:r>
              <w:t>60</w:t>
            </w:r>
          </w:p>
        </w:tc>
        <w:tc>
          <w:tcPr>
            <w:tcW w:w="1772" w:type="dxa"/>
          </w:tcPr>
          <w:p w:rsidR="00A51909" w:rsidRDefault="00A51909" w:rsidP="00A51909">
            <w:r>
              <w:t>0.100</w:t>
            </w:r>
          </w:p>
        </w:tc>
        <w:tc>
          <w:tcPr>
            <w:tcW w:w="1772" w:type="dxa"/>
          </w:tcPr>
          <w:p w:rsidR="00A51909" w:rsidRDefault="00A51909" w:rsidP="00A51909">
            <w:r>
              <w:t>53</w:t>
            </w:r>
          </w:p>
        </w:tc>
        <w:tc>
          <w:tcPr>
            <w:tcW w:w="1772" w:type="dxa"/>
          </w:tcPr>
          <w:p w:rsidR="00A51909" w:rsidRDefault="00A51909" w:rsidP="00A51909">
            <w:r>
              <w:t>0.0895</w:t>
            </w:r>
          </w:p>
        </w:tc>
      </w:tr>
      <w:tr w:rsidR="00A51909" w:rsidTr="00A51909">
        <w:tc>
          <w:tcPr>
            <w:tcW w:w="1772" w:type="dxa"/>
          </w:tcPr>
          <w:p w:rsidR="00A51909" w:rsidRDefault="00A51909" w:rsidP="00A51909">
            <w:r>
              <w:t>59</w:t>
            </w:r>
          </w:p>
        </w:tc>
        <w:tc>
          <w:tcPr>
            <w:tcW w:w="1772" w:type="dxa"/>
          </w:tcPr>
          <w:p w:rsidR="00A51909" w:rsidRDefault="00A51909" w:rsidP="00A51909">
            <w:r>
              <w:t>0.0985</w:t>
            </w:r>
          </w:p>
        </w:tc>
        <w:tc>
          <w:tcPr>
            <w:tcW w:w="1772" w:type="dxa"/>
          </w:tcPr>
          <w:p w:rsidR="00A51909" w:rsidRDefault="00A51909" w:rsidP="00A51909">
            <w:r>
              <w:t>52</w:t>
            </w:r>
          </w:p>
        </w:tc>
        <w:tc>
          <w:tcPr>
            <w:tcW w:w="1772" w:type="dxa"/>
          </w:tcPr>
          <w:p w:rsidR="00A51909" w:rsidRDefault="00A51909" w:rsidP="00A51909">
            <w:r>
              <w:t>0.0880</w:t>
            </w:r>
          </w:p>
        </w:tc>
      </w:tr>
      <w:tr w:rsidR="00A51909" w:rsidTr="00A51909">
        <w:tc>
          <w:tcPr>
            <w:tcW w:w="1772" w:type="dxa"/>
          </w:tcPr>
          <w:p w:rsidR="00A51909" w:rsidRDefault="00A51909" w:rsidP="00A51909">
            <w:r>
              <w:t>58</w:t>
            </w:r>
          </w:p>
        </w:tc>
        <w:tc>
          <w:tcPr>
            <w:tcW w:w="1772" w:type="dxa"/>
          </w:tcPr>
          <w:p w:rsidR="00A51909" w:rsidRDefault="00A51909" w:rsidP="00A51909">
            <w:r>
              <w:t>0.0970</w:t>
            </w:r>
          </w:p>
        </w:tc>
        <w:tc>
          <w:tcPr>
            <w:tcW w:w="1772" w:type="dxa"/>
          </w:tcPr>
          <w:p w:rsidR="00A51909" w:rsidRDefault="00A51909" w:rsidP="00A51909">
            <w:r>
              <w:t>51</w:t>
            </w:r>
          </w:p>
        </w:tc>
        <w:tc>
          <w:tcPr>
            <w:tcW w:w="1772" w:type="dxa"/>
          </w:tcPr>
          <w:p w:rsidR="00A51909" w:rsidRDefault="00A51909" w:rsidP="00A51909">
            <w:r>
              <w:t>0.0865</w:t>
            </w:r>
          </w:p>
        </w:tc>
      </w:tr>
      <w:tr w:rsidR="00A51909" w:rsidTr="00A51909">
        <w:tc>
          <w:tcPr>
            <w:tcW w:w="1772" w:type="dxa"/>
          </w:tcPr>
          <w:p w:rsidR="00A51909" w:rsidRDefault="00A51909" w:rsidP="00A51909">
            <w:r>
              <w:t>57</w:t>
            </w:r>
          </w:p>
        </w:tc>
        <w:tc>
          <w:tcPr>
            <w:tcW w:w="1772" w:type="dxa"/>
          </w:tcPr>
          <w:p w:rsidR="00A51909" w:rsidRDefault="00A51909" w:rsidP="00A51909">
            <w:r>
              <w:t>0.0955</w:t>
            </w:r>
          </w:p>
        </w:tc>
        <w:tc>
          <w:tcPr>
            <w:tcW w:w="1772" w:type="dxa"/>
          </w:tcPr>
          <w:p w:rsidR="00A51909" w:rsidRDefault="00A51909" w:rsidP="00A51909">
            <w:r>
              <w:t>50</w:t>
            </w:r>
          </w:p>
        </w:tc>
        <w:tc>
          <w:tcPr>
            <w:tcW w:w="1772" w:type="dxa"/>
          </w:tcPr>
          <w:p w:rsidR="00A51909" w:rsidRDefault="00A51909" w:rsidP="00A51909">
            <w:r>
              <w:t>0.0850</w:t>
            </w:r>
          </w:p>
        </w:tc>
      </w:tr>
    </w:tbl>
    <w:p w:rsidR="00A51909" w:rsidRPr="0018091D" w:rsidRDefault="00A51909" w:rsidP="00A51909"/>
    <w:p w:rsidR="00A51909" w:rsidRPr="0018091D" w:rsidRDefault="00A51909" w:rsidP="00A51909">
      <w:r w:rsidRPr="0018091D">
        <w:t>Alternatively, the member can choose to take a transfer value of 3.5 times the accumulated basic contributions</w:t>
      </w:r>
      <w:r>
        <w:t>,</w:t>
      </w:r>
      <w:r w:rsidRPr="0018091D">
        <w:t xml:space="preserve"> plus </w:t>
      </w:r>
      <w:r>
        <w:t xml:space="preserve">accumulated </w:t>
      </w:r>
      <w:r w:rsidRPr="0018091D">
        <w:t>supplementary and productivity contributions</w:t>
      </w:r>
      <w:r>
        <w:t>,</w:t>
      </w:r>
      <w:r w:rsidRPr="0018091D">
        <w:t xml:space="preserve"> to an eligible superannuation scheme.</w:t>
      </w:r>
    </w:p>
    <w:p w:rsidR="00A51909" w:rsidRDefault="00A51909" w:rsidP="00A51909"/>
    <w:p w:rsidR="00E86C17" w:rsidRDefault="00E86C17">
      <w:pPr>
        <w:spacing w:line="240" w:lineRule="auto"/>
        <w:rPr>
          <w:caps/>
          <w:color w:val="002C77"/>
          <w:spacing w:val="40"/>
        </w:rPr>
      </w:pPr>
      <w:r>
        <w:rPr>
          <w:caps/>
          <w:color w:val="002C77"/>
          <w:spacing w:val="40"/>
        </w:rPr>
        <w:br w:type="page"/>
      </w:r>
    </w:p>
    <w:p w:rsidR="00E86C17" w:rsidRPr="00E86C17" w:rsidRDefault="00E86C17" w:rsidP="00A51909">
      <w:pPr>
        <w:rPr>
          <w:caps/>
          <w:color w:val="002C77"/>
          <w:spacing w:val="40"/>
        </w:rPr>
      </w:pPr>
      <w:r w:rsidRPr="00331428">
        <w:rPr>
          <w:caps/>
          <w:color w:val="002C77"/>
          <w:spacing w:val="40"/>
        </w:rPr>
        <w:lastRenderedPageBreak/>
        <w:t xml:space="preserve">THE SUPERANNUATION ACT 1976 (CSS) </w:t>
      </w:r>
      <w:r w:rsidRPr="00331428">
        <w:rPr>
          <w:i/>
          <w:color w:val="002C77"/>
          <w:spacing w:val="40"/>
        </w:rPr>
        <w:t>continued</w:t>
      </w:r>
    </w:p>
    <w:p w:rsidR="00E86C17" w:rsidRDefault="00E86C17" w:rsidP="00A51909"/>
    <w:p w:rsidR="00A51909" w:rsidRPr="00C87FA6" w:rsidRDefault="00A51909" w:rsidP="00A51909">
      <w:pPr>
        <w:rPr>
          <w:i/>
        </w:rPr>
      </w:pPr>
      <w:r w:rsidRPr="00C87FA6">
        <w:rPr>
          <w:i/>
        </w:rPr>
        <w:t>Invalidity Retirement</w:t>
      </w:r>
    </w:p>
    <w:p w:rsidR="00A51909" w:rsidRPr="0018091D" w:rsidRDefault="00A51909" w:rsidP="00A51909"/>
    <w:p w:rsidR="00A51909" w:rsidRPr="0018091D" w:rsidRDefault="00A51909" w:rsidP="00A51909">
      <w:r w:rsidRPr="0018091D">
        <w:t xml:space="preserve">The following </w:t>
      </w:r>
      <w:r>
        <w:t xml:space="preserve">amounts </w:t>
      </w:r>
      <w:r w:rsidRPr="0018091D">
        <w:t>are payable on invalidity retirement:</w:t>
      </w:r>
    </w:p>
    <w:p w:rsidR="00A51909" w:rsidRDefault="00A51909" w:rsidP="00A51909">
      <w:pPr>
        <w:pStyle w:val="ListBullet"/>
      </w:pPr>
      <w:r w:rsidRPr="00A83115">
        <w:t xml:space="preserve">an employer-financed indexed </w:t>
      </w:r>
      <w:r>
        <w:t xml:space="preserve">lifetime </w:t>
      </w:r>
      <w:r w:rsidRPr="00A83115">
        <w:t xml:space="preserve">pension being a percentage of final salary depending on the period of prospective service to maximum retirement age, or the actual period of </w:t>
      </w:r>
      <w:r>
        <w:t>contributory service where this is over 30 years; and</w:t>
      </w:r>
    </w:p>
    <w:p w:rsidR="00A51909" w:rsidRDefault="00A51909" w:rsidP="00A51909">
      <w:pPr>
        <w:pStyle w:val="ListBullet"/>
      </w:pPr>
      <w:r w:rsidRPr="00A83115">
        <w:t xml:space="preserve">a lump sum of accumulated basic contributions or, at the member’s election, an additional non-indexed </w:t>
      </w:r>
      <w:r>
        <w:t xml:space="preserve">lifetime </w:t>
      </w:r>
      <w:r w:rsidRPr="00A83115">
        <w:t xml:space="preserve">pension </w:t>
      </w:r>
      <w:r w:rsidRPr="00EB12B7">
        <w:t>being a percentage of final salary based on the period of prospective service to maximum retirement</w:t>
      </w:r>
      <w:r w:rsidRPr="0018091D">
        <w:t xml:space="preserve"> age</w:t>
      </w:r>
      <w:r>
        <w:t>; and</w:t>
      </w:r>
    </w:p>
    <w:p w:rsidR="00A51909" w:rsidRPr="0018091D" w:rsidRDefault="00A51909" w:rsidP="00A51909">
      <w:pPr>
        <w:pStyle w:val="ListBullet"/>
      </w:pPr>
      <w:r w:rsidRPr="00163EA1">
        <w:t>a lump sum of accumulated supplementary and productivity contributions</w:t>
      </w:r>
      <w:r w:rsidRPr="0018091D">
        <w:t>.</w:t>
      </w:r>
    </w:p>
    <w:p w:rsidR="00A51909" w:rsidRDefault="00A51909" w:rsidP="00A51909"/>
    <w:p w:rsidR="00A51909" w:rsidRPr="0018091D" w:rsidRDefault="00A51909" w:rsidP="00A51909">
      <w:pPr>
        <w:rPr>
          <w:i/>
        </w:rPr>
      </w:pPr>
      <w:r w:rsidRPr="0018091D">
        <w:rPr>
          <w:i/>
        </w:rPr>
        <w:t>Death of a Contributor</w:t>
      </w:r>
    </w:p>
    <w:p w:rsidR="00A51909" w:rsidRPr="0018091D" w:rsidRDefault="00A51909" w:rsidP="00A51909"/>
    <w:p w:rsidR="00A51909" w:rsidRDefault="00A51909" w:rsidP="00A51909">
      <w:r w:rsidRPr="0018091D">
        <w:t xml:space="preserve">A </w:t>
      </w:r>
      <w:r>
        <w:t xml:space="preserve">spouse’s </w:t>
      </w:r>
      <w:r w:rsidRPr="0018091D">
        <w:t>pension payable at the rate of 67% of the invalidity pension that would have been payable to the deceased, plus 11% of the invalidity pension for each eligible child (until age 16 or</w:t>
      </w:r>
      <w:r>
        <w:t>,</w:t>
      </w:r>
      <w:r w:rsidRPr="0018091D">
        <w:t xml:space="preserve"> if a full-time student, until age 25) with </w:t>
      </w:r>
      <w:r>
        <w:t xml:space="preserve">the </w:t>
      </w:r>
      <w:r w:rsidRPr="0018091D">
        <w:t>total pension limited to 100% of the invalidity pension.</w:t>
      </w:r>
    </w:p>
    <w:p w:rsidR="00A51909" w:rsidRPr="0018091D" w:rsidRDefault="00A51909" w:rsidP="00A51909">
      <w:r>
        <w:t>No ongoing pension is payable if there is no spouse or eligible children.</w:t>
      </w:r>
    </w:p>
    <w:p w:rsidR="00A51909" w:rsidRPr="0018091D" w:rsidRDefault="00A51909" w:rsidP="00A51909"/>
    <w:p w:rsidR="00A51909" w:rsidRDefault="00A51909" w:rsidP="00A51909">
      <w:r>
        <w:t>A</w:t>
      </w:r>
      <w:r w:rsidRPr="00394AD2">
        <w:t>ccumulated productivity contributions and any supplementary contributions are payable</w:t>
      </w:r>
      <w:r>
        <w:t xml:space="preserve"> as a lump sum in addition to any ongoing pension benefit</w:t>
      </w:r>
      <w:r w:rsidRPr="0018091D">
        <w:t>.</w:t>
      </w:r>
    </w:p>
    <w:p w:rsidR="00A51909" w:rsidRDefault="00A51909" w:rsidP="00A51909"/>
    <w:p w:rsidR="00A51909" w:rsidRPr="0018091D" w:rsidRDefault="00A51909" w:rsidP="00A51909">
      <w:pPr>
        <w:rPr>
          <w:i/>
        </w:rPr>
      </w:pPr>
      <w:r w:rsidRPr="0018091D">
        <w:rPr>
          <w:i/>
        </w:rPr>
        <w:t>Death of a Pensioner</w:t>
      </w:r>
    </w:p>
    <w:p w:rsidR="00A51909" w:rsidRPr="0018091D" w:rsidRDefault="00A51909" w:rsidP="00A51909"/>
    <w:p w:rsidR="00A51909" w:rsidRDefault="00A70E65" w:rsidP="00A51909">
      <w:r>
        <w:t>A pension is payable to a surviving spouse and any eligible children of an amount equal to a</w:t>
      </w:r>
      <w:r w:rsidR="00A51909">
        <w:t xml:space="preserve"> percentage of the pension</w:t>
      </w:r>
      <w:r w:rsidR="00A51909" w:rsidRPr="0018091D">
        <w:t xml:space="preserve"> payable to the deceased at the time of death.</w:t>
      </w:r>
      <w:r w:rsidR="00A51909">
        <w:t xml:space="preserve"> The percentages are the same as for the death of a contributor.</w:t>
      </w:r>
    </w:p>
    <w:p w:rsidR="00A51909" w:rsidRDefault="00A51909" w:rsidP="00A51909"/>
    <w:p w:rsidR="00A51909" w:rsidRPr="0018091D" w:rsidRDefault="00A51909" w:rsidP="00A51909">
      <w:pPr>
        <w:rPr>
          <w:i/>
        </w:rPr>
      </w:pPr>
      <w:r>
        <w:rPr>
          <w:i/>
        </w:rPr>
        <w:t>Involuntary Retirement (</w:t>
      </w:r>
      <w:r w:rsidRPr="0018091D">
        <w:rPr>
          <w:i/>
        </w:rPr>
        <w:t>Redundancy</w:t>
      </w:r>
      <w:r>
        <w:rPr>
          <w:i/>
        </w:rPr>
        <w:t>)</w:t>
      </w:r>
    </w:p>
    <w:p w:rsidR="00A51909" w:rsidRPr="0018091D" w:rsidRDefault="00A51909" w:rsidP="00A51909"/>
    <w:p w:rsidR="00A51909" w:rsidRDefault="00A51909" w:rsidP="00A51909">
      <w:r w:rsidRPr="0018091D">
        <w:t>The benefit options available to a member who is made redundant are similar combinations of pension (based on age) and lump sum as are available on age retirement</w:t>
      </w:r>
      <w:r>
        <w:t xml:space="preserve"> or resignation</w:t>
      </w:r>
      <w:r w:rsidRPr="0018091D">
        <w:t>.</w:t>
      </w:r>
    </w:p>
    <w:p w:rsidR="0081311D" w:rsidRDefault="0081311D" w:rsidP="00A51909">
      <w:pPr>
        <w:rPr>
          <w:i/>
        </w:rPr>
      </w:pPr>
    </w:p>
    <w:p w:rsidR="00A51909" w:rsidRPr="0018091D" w:rsidRDefault="00A51909" w:rsidP="00A51909">
      <w:pPr>
        <w:rPr>
          <w:i/>
        </w:rPr>
      </w:pPr>
      <w:r w:rsidRPr="0018091D">
        <w:rPr>
          <w:i/>
        </w:rPr>
        <w:t>Indexation</w:t>
      </w:r>
    </w:p>
    <w:p w:rsidR="00A51909" w:rsidRDefault="00A51909" w:rsidP="00A51909"/>
    <w:p w:rsidR="00A51909" w:rsidRDefault="00A51909" w:rsidP="00A51909">
      <w:r>
        <w:t>Indexed pensions are indexed twice yearly (in January and July) in line with changes in the Consumer Price Index (CPI).</w:t>
      </w:r>
    </w:p>
    <w:p w:rsidR="00A51909" w:rsidRDefault="00A51909" w:rsidP="00A51909"/>
    <w:p w:rsidR="00E86C17" w:rsidRDefault="00E86C17">
      <w:pPr>
        <w:spacing w:line="240" w:lineRule="auto"/>
        <w:rPr>
          <w:caps/>
          <w:color w:val="002C77"/>
          <w:spacing w:val="40"/>
        </w:rPr>
      </w:pPr>
      <w:r>
        <w:rPr>
          <w:caps/>
          <w:color w:val="002C77"/>
          <w:spacing w:val="40"/>
        </w:rPr>
        <w:br w:type="page"/>
      </w:r>
    </w:p>
    <w:p w:rsidR="00BE0ACB" w:rsidRPr="00331428" w:rsidRDefault="00BE0ACB" w:rsidP="0018091D">
      <w:pPr>
        <w:rPr>
          <w:caps/>
          <w:color w:val="002C77"/>
          <w:spacing w:val="40"/>
        </w:rPr>
      </w:pPr>
      <w:r w:rsidRPr="00331428">
        <w:rPr>
          <w:caps/>
          <w:color w:val="002C77"/>
          <w:spacing w:val="40"/>
        </w:rPr>
        <w:lastRenderedPageBreak/>
        <w:t>THE SUPERANNUATION ACT 1990 (PSS)</w:t>
      </w:r>
    </w:p>
    <w:p w:rsidR="00BE0ACB" w:rsidRDefault="00BE0ACB" w:rsidP="00BE0ACB"/>
    <w:p w:rsidR="00BE0ACB" w:rsidRPr="00A15C86" w:rsidRDefault="00BE0ACB" w:rsidP="00BE0ACB">
      <w:pPr>
        <w:rPr>
          <w:i/>
        </w:rPr>
      </w:pPr>
      <w:r w:rsidRPr="00A15C86">
        <w:rPr>
          <w:i/>
        </w:rPr>
        <w:t>Membership</w:t>
      </w:r>
    </w:p>
    <w:p w:rsidR="00BE0ACB" w:rsidRDefault="00BE0ACB" w:rsidP="00BE0ACB"/>
    <w:p w:rsidR="00BE0ACB" w:rsidRDefault="00BE0ACB" w:rsidP="00BE0ACB">
      <w:r>
        <w:t xml:space="preserve">The PSS </w:t>
      </w:r>
      <w:r w:rsidR="008A6922">
        <w:t xml:space="preserve">has been closed </w:t>
      </w:r>
      <w:r>
        <w:t xml:space="preserve">to new entrants </w:t>
      </w:r>
      <w:r w:rsidR="008A6922">
        <w:t xml:space="preserve">since </w:t>
      </w:r>
      <w:r>
        <w:t>1 July 2005.</w:t>
      </w:r>
    </w:p>
    <w:p w:rsidR="00BE0ACB" w:rsidRDefault="00BE0ACB" w:rsidP="00BE0ACB"/>
    <w:p w:rsidR="00BE0ACB" w:rsidRPr="00A15C86" w:rsidRDefault="00BE0ACB" w:rsidP="00BE0ACB">
      <w:pPr>
        <w:rPr>
          <w:i/>
        </w:rPr>
      </w:pPr>
      <w:r w:rsidRPr="00A15C86">
        <w:rPr>
          <w:i/>
        </w:rPr>
        <w:t>Superannuation Salary</w:t>
      </w:r>
    </w:p>
    <w:p w:rsidR="00BE0ACB" w:rsidRDefault="00BE0ACB" w:rsidP="00BE0ACB"/>
    <w:p w:rsidR="00A51909" w:rsidRPr="0018091D" w:rsidRDefault="00A51909" w:rsidP="00A51909">
      <w:r>
        <w:t xml:space="preserve">Superannuation salary is the amount agreed between the member and employer through </w:t>
      </w:r>
      <w:r w:rsidR="006565F8">
        <w:t>an agreement such as an Enterprise Agreement</w:t>
      </w:r>
      <w:r>
        <w:t xml:space="preserve">. If no such agreement is in place, superannuation salary is generally </w:t>
      </w:r>
      <w:r w:rsidRPr="0018091D">
        <w:t xml:space="preserve">basic </w:t>
      </w:r>
      <w:r>
        <w:t xml:space="preserve">annual </w:t>
      </w:r>
      <w:r w:rsidRPr="0018091D">
        <w:t xml:space="preserve">salary </w:t>
      </w:r>
      <w:r>
        <w:t xml:space="preserve">plus any recognised allowances </w:t>
      </w:r>
      <w:r w:rsidRPr="0018091D">
        <w:t>on a member’s last birthday.</w:t>
      </w:r>
    </w:p>
    <w:p w:rsidR="00A51909" w:rsidRDefault="00A51909" w:rsidP="00A51909"/>
    <w:p w:rsidR="00BE0ACB" w:rsidRPr="00A15C86" w:rsidRDefault="00BE0ACB" w:rsidP="00BE0ACB">
      <w:pPr>
        <w:rPr>
          <w:i/>
        </w:rPr>
      </w:pPr>
      <w:r w:rsidRPr="00A15C86">
        <w:rPr>
          <w:i/>
        </w:rPr>
        <w:t>Final Average Salary</w:t>
      </w:r>
    </w:p>
    <w:p w:rsidR="00BE0ACB" w:rsidRDefault="00BE0ACB" w:rsidP="00BE0ACB"/>
    <w:p w:rsidR="00BE0ACB" w:rsidRDefault="00BE0ACB" w:rsidP="00BE0ACB">
      <w:r>
        <w:t>Final Average Salary (FAS) is</w:t>
      </w:r>
      <w:r w:rsidR="008A6922">
        <w:t xml:space="preserve"> </w:t>
      </w:r>
      <w:r>
        <w:t>the average superannuation salary on the three birthdays before leaving the PSS.</w:t>
      </w:r>
    </w:p>
    <w:p w:rsidR="00BE0ACB" w:rsidRDefault="00BE0ACB" w:rsidP="00BE0ACB"/>
    <w:p w:rsidR="00BE0ACB" w:rsidRPr="00A15C86" w:rsidRDefault="00BE0ACB" w:rsidP="00BE0ACB">
      <w:pPr>
        <w:rPr>
          <w:i/>
        </w:rPr>
      </w:pPr>
      <w:r w:rsidRPr="00A15C86">
        <w:rPr>
          <w:i/>
        </w:rPr>
        <w:t>Member Contributions</w:t>
      </w:r>
    </w:p>
    <w:p w:rsidR="00BE0ACB" w:rsidRDefault="00BE0ACB" w:rsidP="00BE0ACB"/>
    <w:p w:rsidR="00BE0ACB" w:rsidRDefault="00BE0ACB" w:rsidP="00BE0ACB">
      <w:r>
        <w:t>Members can choose to contribute at any rate between 2% and 10% of superannuation salary. Members can also choose not to contribute to the PSS. The rate of contribution can be varied at any time.</w:t>
      </w:r>
    </w:p>
    <w:p w:rsidR="00BE0ACB" w:rsidRDefault="00BE0ACB" w:rsidP="00BE0ACB"/>
    <w:p w:rsidR="005409C0" w:rsidRPr="00743C53" w:rsidRDefault="005409C0" w:rsidP="00BE0ACB">
      <w:pPr>
        <w:rPr>
          <w:i/>
        </w:rPr>
      </w:pPr>
      <w:r w:rsidRPr="00743C53">
        <w:rPr>
          <w:i/>
        </w:rPr>
        <w:t>Productivity Contributions</w:t>
      </w:r>
    </w:p>
    <w:p w:rsidR="005409C0" w:rsidRDefault="005409C0" w:rsidP="00BE0ACB"/>
    <w:p w:rsidR="00EB12B7" w:rsidRDefault="00EB12B7" w:rsidP="00EB12B7">
      <w:r w:rsidRPr="00497041">
        <w:t>M</w:t>
      </w:r>
      <w:r>
        <w:t xml:space="preserve">embers have fortnightly employer productivity contributions paid to the </w:t>
      </w:r>
      <w:r w:rsidR="007377A0">
        <w:t>P</w:t>
      </w:r>
      <w:r>
        <w:t>SS. The rate at which contributions are paid varies depending on income limits. The 2017-18 amounts are:</w:t>
      </w:r>
    </w:p>
    <w:p w:rsidR="00EB12B7" w:rsidRDefault="00EB12B7" w:rsidP="00EB12B7"/>
    <w:tbl>
      <w:tblPr>
        <w:tblStyle w:val="TableGrid"/>
        <w:tblW w:w="0" w:type="auto"/>
        <w:tblInd w:w="108" w:type="dxa"/>
        <w:tblLook w:val="04A0" w:firstRow="1" w:lastRow="0" w:firstColumn="1" w:lastColumn="0" w:noHBand="0" w:noVBand="1"/>
      </w:tblPr>
      <w:tblGrid>
        <w:gridCol w:w="3544"/>
        <w:gridCol w:w="3544"/>
      </w:tblGrid>
      <w:tr w:rsidR="00EB12B7" w:rsidRPr="00D21859" w:rsidTr="00827778">
        <w:tc>
          <w:tcPr>
            <w:tcW w:w="3544" w:type="dxa"/>
          </w:tcPr>
          <w:p w:rsidR="00EB12B7" w:rsidRPr="00D21859" w:rsidRDefault="00EB12B7" w:rsidP="00827778">
            <w:pPr>
              <w:rPr>
                <w:b/>
                <w:sz w:val="20"/>
              </w:rPr>
            </w:pPr>
            <w:r w:rsidRPr="00D21859">
              <w:rPr>
                <w:b/>
                <w:sz w:val="20"/>
              </w:rPr>
              <w:t>Fortnightly rate of salary</w:t>
            </w:r>
          </w:p>
        </w:tc>
        <w:tc>
          <w:tcPr>
            <w:tcW w:w="3544" w:type="dxa"/>
          </w:tcPr>
          <w:p w:rsidR="00EB12B7" w:rsidRPr="00D21859" w:rsidRDefault="00EB12B7" w:rsidP="00827778">
            <w:pPr>
              <w:rPr>
                <w:b/>
                <w:sz w:val="20"/>
              </w:rPr>
            </w:pPr>
            <w:r w:rsidRPr="00D21859">
              <w:rPr>
                <w:b/>
                <w:sz w:val="20"/>
              </w:rPr>
              <w:t>Fortnightly productivity contribution</w:t>
            </w:r>
          </w:p>
        </w:tc>
      </w:tr>
      <w:tr w:rsidR="00EB12B7" w:rsidRPr="00D21859" w:rsidTr="00827778">
        <w:tc>
          <w:tcPr>
            <w:tcW w:w="3544" w:type="dxa"/>
          </w:tcPr>
          <w:p w:rsidR="00EB12B7" w:rsidRPr="00D21859" w:rsidRDefault="00EB12B7" w:rsidP="00827778">
            <w:pPr>
              <w:rPr>
                <w:sz w:val="20"/>
              </w:rPr>
            </w:pPr>
            <w:r w:rsidRPr="00D21859">
              <w:rPr>
                <w:sz w:val="20"/>
              </w:rPr>
              <w:t>Less than $2,300.67</w:t>
            </w:r>
          </w:p>
        </w:tc>
        <w:tc>
          <w:tcPr>
            <w:tcW w:w="3544" w:type="dxa"/>
          </w:tcPr>
          <w:p w:rsidR="00EB12B7" w:rsidRPr="00D21859" w:rsidRDefault="00EB12B7" w:rsidP="00827778">
            <w:pPr>
              <w:rPr>
                <w:sz w:val="20"/>
              </w:rPr>
            </w:pPr>
            <w:r w:rsidRPr="00D21859">
              <w:rPr>
                <w:sz w:val="20"/>
              </w:rPr>
              <w:t>$69.02</w:t>
            </w:r>
          </w:p>
        </w:tc>
      </w:tr>
      <w:tr w:rsidR="00EB12B7" w:rsidRPr="00D21859" w:rsidTr="00827778">
        <w:tc>
          <w:tcPr>
            <w:tcW w:w="3544" w:type="dxa"/>
          </w:tcPr>
          <w:p w:rsidR="00EB12B7" w:rsidRPr="00D21859" w:rsidRDefault="00EB12B7" w:rsidP="00827778">
            <w:pPr>
              <w:rPr>
                <w:sz w:val="20"/>
              </w:rPr>
            </w:pPr>
            <w:r w:rsidRPr="00D21859">
              <w:rPr>
                <w:sz w:val="20"/>
              </w:rPr>
              <w:t xml:space="preserve">$2,300.67 or more but less than </w:t>
            </w:r>
            <w:r w:rsidRPr="00D21859">
              <w:rPr>
                <w:sz w:val="20"/>
              </w:rPr>
              <w:br/>
              <w:t>$3,706.00</w:t>
            </w:r>
          </w:p>
        </w:tc>
        <w:tc>
          <w:tcPr>
            <w:tcW w:w="3544" w:type="dxa"/>
          </w:tcPr>
          <w:p w:rsidR="00EB12B7" w:rsidRPr="00D21859" w:rsidRDefault="00EB12B7" w:rsidP="00827778">
            <w:pPr>
              <w:rPr>
                <w:sz w:val="20"/>
              </w:rPr>
            </w:pPr>
            <w:r w:rsidRPr="00D21859">
              <w:rPr>
                <w:sz w:val="20"/>
              </w:rPr>
              <w:t>3% of salary</w:t>
            </w:r>
          </w:p>
        </w:tc>
      </w:tr>
      <w:tr w:rsidR="00EB12B7" w:rsidRPr="00D21859" w:rsidTr="00827778">
        <w:tc>
          <w:tcPr>
            <w:tcW w:w="3544" w:type="dxa"/>
          </w:tcPr>
          <w:p w:rsidR="00EB12B7" w:rsidRPr="00D21859" w:rsidRDefault="00EB12B7" w:rsidP="00827778">
            <w:pPr>
              <w:rPr>
                <w:sz w:val="20"/>
              </w:rPr>
            </w:pPr>
            <w:r w:rsidRPr="00D21859">
              <w:rPr>
                <w:sz w:val="20"/>
              </w:rPr>
              <w:t xml:space="preserve">$3,706.00 or more but less than </w:t>
            </w:r>
            <w:r w:rsidRPr="00D21859">
              <w:rPr>
                <w:sz w:val="20"/>
              </w:rPr>
              <w:br/>
              <w:t>$5,559.00</w:t>
            </w:r>
          </w:p>
        </w:tc>
        <w:tc>
          <w:tcPr>
            <w:tcW w:w="3544" w:type="dxa"/>
          </w:tcPr>
          <w:p w:rsidR="00EB12B7" w:rsidRPr="00D21859" w:rsidRDefault="00EB12B7" w:rsidP="00827778">
            <w:pPr>
              <w:rPr>
                <w:sz w:val="20"/>
              </w:rPr>
            </w:pPr>
            <w:r w:rsidRPr="00D21859">
              <w:rPr>
                <w:sz w:val="20"/>
              </w:rPr>
              <w:t>$111.18</w:t>
            </w:r>
          </w:p>
        </w:tc>
      </w:tr>
      <w:tr w:rsidR="00EB12B7" w:rsidRPr="00D21859" w:rsidTr="00827778">
        <w:tc>
          <w:tcPr>
            <w:tcW w:w="3544" w:type="dxa"/>
          </w:tcPr>
          <w:p w:rsidR="00EB12B7" w:rsidRPr="00D21859" w:rsidRDefault="00EB12B7" w:rsidP="00827778">
            <w:pPr>
              <w:rPr>
                <w:sz w:val="20"/>
              </w:rPr>
            </w:pPr>
            <w:r w:rsidRPr="00D21859">
              <w:rPr>
                <w:sz w:val="20"/>
              </w:rPr>
              <w:t>$5,559.00 or more</w:t>
            </w:r>
          </w:p>
        </w:tc>
        <w:tc>
          <w:tcPr>
            <w:tcW w:w="3544" w:type="dxa"/>
          </w:tcPr>
          <w:p w:rsidR="00EB12B7" w:rsidRPr="00D21859" w:rsidRDefault="00EB12B7" w:rsidP="00827778">
            <w:pPr>
              <w:rPr>
                <w:sz w:val="20"/>
              </w:rPr>
            </w:pPr>
            <w:r w:rsidRPr="00D21859">
              <w:rPr>
                <w:sz w:val="20"/>
              </w:rPr>
              <w:t>2% of salary</w:t>
            </w:r>
          </w:p>
        </w:tc>
      </w:tr>
    </w:tbl>
    <w:p w:rsidR="00BE0ACB" w:rsidRDefault="00BE0ACB" w:rsidP="00BE0ACB"/>
    <w:p w:rsidR="00E86C17" w:rsidRDefault="00E86C17">
      <w:pPr>
        <w:spacing w:line="240" w:lineRule="auto"/>
        <w:rPr>
          <w:caps/>
          <w:color w:val="002C77"/>
          <w:spacing w:val="40"/>
        </w:rPr>
      </w:pPr>
      <w:r>
        <w:rPr>
          <w:caps/>
          <w:color w:val="002C77"/>
          <w:spacing w:val="40"/>
        </w:rPr>
        <w:br w:type="page"/>
      </w:r>
    </w:p>
    <w:p w:rsidR="00A51909" w:rsidRPr="00331428" w:rsidRDefault="00A51909" w:rsidP="00A51909">
      <w:pPr>
        <w:rPr>
          <w:caps/>
          <w:color w:val="002C77"/>
          <w:spacing w:val="40"/>
        </w:rPr>
      </w:pPr>
      <w:r w:rsidRPr="00331428">
        <w:rPr>
          <w:caps/>
          <w:color w:val="002C77"/>
          <w:spacing w:val="40"/>
        </w:rPr>
        <w:lastRenderedPageBreak/>
        <w:t xml:space="preserve">THE SUPERANNUATION ACT 1990 (PSS) </w:t>
      </w:r>
      <w:r w:rsidRPr="00331428">
        <w:rPr>
          <w:i/>
          <w:color w:val="002C77"/>
          <w:spacing w:val="40"/>
        </w:rPr>
        <w:t>continued</w:t>
      </w:r>
    </w:p>
    <w:p w:rsidR="00A51909" w:rsidRDefault="00A51909" w:rsidP="00A51909"/>
    <w:p w:rsidR="00A51909" w:rsidRPr="00A15C86" w:rsidRDefault="00A51909" w:rsidP="00A51909">
      <w:pPr>
        <w:rPr>
          <w:i/>
        </w:rPr>
      </w:pPr>
      <w:r>
        <w:rPr>
          <w:i/>
        </w:rPr>
        <w:t xml:space="preserve">Total </w:t>
      </w:r>
      <w:r w:rsidRPr="00A15C86">
        <w:rPr>
          <w:i/>
        </w:rPr>
        <w:t>Benefit</w:t>
      </w:r>
    </w:p>
    <w:p w:rsidR="00A51909" w:rsidRDefault="00A51909" w:rsidP="00A51909"/>
    <w:p w:rsidR="00A51909" w:rsidRDefault="00A51909" w:rsidP="00A51909">
      <w:r>
        <w:t>A member's Total Benefit is calculated by multiplying the member's Benefit Multiple by their FAS. The Total Benefit consists of three parts:</w:t>
      </w:r>
    </w:p>
    <w:p w:rsidR="00A51909" w:rsidRDefault="00A51909" w:rsidP="00A51909">
      <w:pPr>
        <w:pStyle w:val="ListBullet"/>
      </w:pPr>
      <w:r w:rsidRPr="00627526">
        <w:t xml:space="preserve">the </w:t>
      </w:r>
      <w:r w:rsidRPr="00A15C86">
        <w:rPr>
          <w:u w:val="single"/>
        </w:rPr>
        <w:t>employer-financed component</w:t>
      </w:r>
      <w:r>
        <w:rPr>
          <w:u w:val="single"/>
        </w:rPr>
        <w:t>,</w:t>
      </w:r>
      <w:r>
        <w:t xml:space="preserve"> determined as the Total Benefit less the productivity and member-financed component;</w:t>
      </w:r>
    </w:p>
    <w:p w:rsidR="00A51909" w:rsidRDefault="00A51909" w:rsidP="00A51909">
      <w:pPr>
        <w:pStyle w:val="ListBullet"/>
      </w:pPr>
      <w:r w:rsidRPr="00627526">
        <w:t xml:space="preserve">the </w:t>
      </w:r>
      <w:r w:rsidRPr="00A15C86">
        <w:rPr>
          <w:u w:val="single"/>
        </w:rPr>
        <w:t>productivity component</w:t>
      </w:r>
      <w:r>
        <w:rPr>
          <w:u w:val="single"/>
        </w:rPr>
        <w:t>,</w:t>
      </w:r>
      <w:r>
        <w:t xml:space="preserve"> made up of accumulated productivity contributions; and</w:t>
      </w:r>
    </w:p>
    <w:p w:rsidR="00A51909" w:rsidRDefault="00A51909" w:rsidP="00A51909">
      <w:pPr>
        <w:pStyle w:val="ListBullet"/>
      </w:pPr>
      <w:r w:rsidRPr="00627526">
        <w:t xml:space="preserve">the </w:t>
      </w:r>
      <w:r w:rsidRPr="00A15C86">
        <w:rPr>
          <w:u w:val="single"/>
        </w:rPr>
        <w:t>member-financed component</w:t>
      </w:r>
      <w:r>
        <w:rPr>
          <w:u w:val="single"/>
        </w:rPr>
        <w:t>,</w:t>
      </w:r>
      <w:r>
        <w:t xml:space="preserve"> made up of accumulated member contributions.</w:t>
      </w:r>
    </w:p>
    <w:p w:rsidR="00A51909" w:rsidRDefault="00A51909" w:rsidP="00A51909"/>
    <w:p w:rsidR="00A51909" w:rsidRPr="00A15C86" w:rsidRDefault="00A51909" w:rsidP="00A51909">
      <w:pPr>
        <w:rPr>
          <w:i/>
        </w:rPr>
      </w:pPr>
      <w:r>
        <w:rPr>
          <w:i/>
        </w:rPr>
        <w:t>Benefit Multiple</w:t>
      </w:r>
    </w:p>
    <w:p w:rsidR="00A51909" w:rsidRDefault="00A51909" w:rsidP="00A51909"/>
    <w:p w:rsidR="00A51909" w:rsidRDefault="00A51909" w:rsidP="00A51909">
      <w:r>
        <w:t>A member's Benefit Multiple is equal to the aggregate of:</w:t>
      </w:r>
    </w:p>
    <w:p w:rsidR="00A51909" w:rsidRDefault="00A51909" w:rsidP="00A51909">
      <w:pPr>
        <w:pStyle w:val="ListBullet"/>
      </w:pPr>
      <w:r>
        <w:t>11% for each year of service; and</w:t>
      </w:r>
    </w:p>
    <w:p w:rsidR="00A51909" w:rsidRDefault="00A51909" w:rsidP="00A51909">
      <w:pPr>
        <w:pStyle w:val="ListBullet"/>
      </w:pPr>
      <w:r>
        <w:t>2 x the Member’s Contribution Rate (aggregated over the total period of service)</w:t>
      </w:r>
      <w:r w:rsidR="00E86C17">
        <w:t>.</w:t>
      </w:r>
    </w:p>
    <w:p w:rsidR="00A51909" w:rsidRDefault="00A51909" w:rsidP="00A51909"/>
    <w:p w:rsidR="00A51909" w:rsidRDefault="00A51909" w:rsidP="00A51909">
      <w:r>
        <w:t>For example, the Benefit Multiple for a member contributing 5% of salary is 21% per annum.</w:t>
      </w:r>
    </w:p>
    <w:p w:rsidR="00A51909" w:rsidRDefault="00A51909" w:rsidP="00A51909"/>
    <w:p w:rsidR="00A51909" w:rsidRPr="00A15C86" w:rsidRDefault="00A51909" w:rsidP="00A51909">
      <w:pPr>
        <w:rPr>
          <w:i/>
        </w:rPr>
      </w:pPr>
      <w:r w:rsidRPr="00A15C86">
        <w:rPr>
          <w:i/>
        </w:rPr>
        <w:t>10 year Rule – Restriction on Employer's Share of Benefit Multiple</w:t>
      </w:r>
    </w:p>
    <w:p w:rsidR="00A51909" w:rsidRDefault="00A51909" w:rsidP="00A51909"/>
    <w:p w:rsidR="00A51909" w:rsidRDefault="00A51909" w:rsidP="00A51909">
      <w:r>
        <w:t>The maximum employer component of the Benefit Multiple cannot be greater than that which would have accrued if member contributions had been made at 5% for the first 10 years of membership and 10% for membership in excess of 10 years.</w:t>
      </w:r>
    </w:p>
    <w:p w:rsidR="00A51909" w:rsidRDefault="00A51909" w:rsidP="00A51909"/>
    <w:p w:rsidR="00A51909" w:rsidRPr="00A15C86" w:rsidRDefault="00A51909" w:rsidP="00A51909">
      <w:pPr>
        <w:rPr>
          <w:i/>
        </w:rPr>
      </w:pPr>
      <w:r w:rsidRPr="00A15C86">
        <w:rPr>
          <w:i/>
        </w:rPr>
        <w:t>Maximum Benefit</w:t>
      </w:r>
    </w:p>
    <w:p w:rsidR="00A51909" w:rsidRDefault="00A51909" w:rsidP="00A51909"/>
    <w:p w:rsidR="00A51909" w:rsidRDefault="00A51909" w:rsidP="00A51909">
      <w:r>
        <w:t>The maximum benefit allowable under the PSS is known as the Maximum Benefit Limit (MBL). For most members, the MBL is 10 times their Final Average Salary. On reaching the MBL, member and productivity contributions to the PSS will cease.</w:t>
      </w:r>
    </w:p>
    <w:p w:rsidR="00A51909" w:rsidRDefault="00A51909" w:rsidP="00A51909"/>
    <w:p w:rsidR="00A51909" w:rsidRPr="00A15C86" w:rsidRDefault="00A51909" w:rsidP="00A51909">
      <w:pPr>
        <w:rPr>
          <w:i/>
        </w:rPr>
      </w:pPr>
      <w:r w:rsidRPr="00A15C86">
        <w:rPr>
          <w:i/>
        </w:rPr>
        <w:t>Retirement Benefits</w:t>
      </w:r>
    </w:p>
    <w:p w:rsidR="00A51909" w:rsidRDefault="00A51909" w:rsidP="00A51909"/>
    <w:p w:rsidR="00A51909" w:rsidRDefault="00A51909" w:rsidP="00A51909">
      <w:r>
        <w:t>Retirement benefits are payable upon retirement on or after minimum retiring age, subject to general superannuation preservation rules.</w:t>
      </w:r>
    </w:p>
    <w:p w:rsidR="00A51909" w:rsidRDefault="00A51909" w:rsidP="00A51909"/>
    <w:p w:rsidR="00A51909" w:rsidRDefault="00A51909" w:rsidP="00A51909">
      <w:r>
        <w:t>The four options on retirement are:</w:t>
      </w:r>
    </w:p>
    <w:p w:rsidR="00A51909" w:rsidRDefault="00A51909" w:rsidP="00A51909">
      <w:pPr>
        <w:pStyle w:val="ListBullet"/>
      </w:pPr>
      <w:r>
        <w:rPr>
          <w:u w:val="single"/>
        </w:rPr>
        <w:t>P</w:t>
      </w:r>
      <w:r w:rsidRPr="00A15C86">
        <w:rPr>
          <w:u w:val="single"/>
        </w:rPr>
        <w:t>ension</w:t>
      </w:r>
      <w:r>
        <w:rPr>
          <w:u w:val="single"/>
        </w:rPr>
        <w:t xml:space="preserve"> benefit</w:t>
      </w:r>
      <w:r>
        <w:t xml:space="preserve"> – The Total Benefit is taken in the form of an indexed lifetime pension;</w:t>
      </w:r>
    </w:p>
    <w:p w:rsidR="00A51909" w:rsidRDefault="00A51909" w:rsidP="00A51909">
      <w:pPr>
        <w:pStyle w:val="ListBullet"/>
      </w:pPr>
      <w:r w:rsidRPr="00A15C86">
        <w:rPr>
          <w:u w:val="single"/>
        </w:rPr>
        <w:t>Lump sum benefit</w:t>
      </w:r>
      <w:r>
        <w:t xml:space="preserve"> – The Total Benefit is taken as an immediate lump sum;</w:t>
      </w:r>
    </w:p>
    <w:p w:rsidR="00A51909" w:rsidRDefault="00A51909" w:rsidP="00A51909">
      <w:pPr>
        <w:pStyle w:val="ListBullet"/>
      </w:pPr>
      <w:r w:rsidRPr="00A15C86">
        <w:rPr>
          <w:u w:val="single"/>
        </w:rPr>
        <w:t>Lump sum plus pension benefit</w:t>
      </w:r>
      <w:r>
        <w:t xml:space="preserve"> – The benefits are taken as a combination of indexed lifetime pension (subject to a minimum of 50% of the Total Benefit) and an immediate lump sum;</w:t>
      </w:r>
    </w:p>
    <w:p w:rsidR="00A51909" w:rsidRDefault="00A51909" w:rsidP="00A51909">
      <w:pPr>
        <w:pStyle w:val="ListBullet"/>
      </w:pPr>
      <w:r w:rsidRPr="00A15C86">
        <w:rPr>
          <w:u w:val="single"/>
        </w:rPr>
        <w:t xml:space="preserve">Preserve </w:t>
      </w:r>
      <w:r>
        <w:rPr>
          <w:u w:val="single"/>
        </w:rPr>
        <w:t>b</w:t>
      </w:r>
      <w:r w:rsidRPr="00A15C86">
        <w:rPr>
          <w:u w:val="single"/>
        </w:rPr>
        <w:t>enefit</w:t>
      </w:r>
      <w:r>
        <w:t xml:space="preserve"> – The benefits are preserved within the PSS and later taken as a lump sum, indexed lifetime pension or a combination of both.</w:t>
      </w:r>
    </w:p>
    <w:p w:rsidR="00A51909" w:rsidRDefault="00A51909" w:rsidP="00A51909"/>
    <w:p w:rsidR="00E86C17" w:rsidRPr="00331428" w:rsidRDefault="00E86C17" w:rsidP="00E86C17">
      <w:pPr>
        <w:rPr>
          <w:caps/>
          <w:color w:val="002C77"/>
          <w:spacing w:val="40"/>
        </w:rPr>
      </w:pPr>
      <w:r w:rsidRPr="00331428">
        <w:rPr>
          <w:caps/>
          <w:color w:val="002C77"/>
          <w:spacing w:val="40"/>
        </w:rPr>
        <w:lastRenderedPageBreak/>
        <w:t xml:space="preserve">THE SUPERANNUATION ACT 1990 (PSS) </w:t>
      </w:r>
      <w:r w:rsidRPr="00331428">
        <w:rPr>
          <w:i/>
          <w:color w:val="002C77"/>
          <w:spacing w:val="40"/>
        </w:rPr>
        <w:t>continued</w:t>
      </w:r>
    </w:p>
    <w:p w:rsidR="00E86C17" w:rsidRDefault="00E86C17" w:rsidP="00E86C17"/>
    <w:p w:rsidR="00BE0ACB" w:rsidRDefault="00764B71" w:rsidP="00BE0ACB">
      <w:r>
        <w:t xml:space="preserve">Any employer-financed component preserved within the PSS is indexed </w:t>
      </w:r>
      <w:r w:rsidR="00233196">
        <w:t xml:space="preserve">to changes in the Consumer Price Index (CPI). The member-financed and productivity components are adjusted with </w:t>
      </w:r>
      <w:r w:rsidR="00DF23AF">
        <w:t>PSS investment earning</w:t>
      </w:r>
      <w:r w:rsidR="00453D0E">
        <w:t>s</w:t>
      </w:r>
      <w:r w:rsidR="00BE0ACB">
        <w:t>.</w:t>
      </w:r>
    </w:p>
    <w:p w:rsidR="003E3AB5" w:rsidRDefault="003E3AB5" w:rsidP="00BE0ACB"/>
    <w:p w:rsidR="004B6CE2" w:rsidRDefault="00126602" w:rsidP="004B6CE2">
      <w:r>
        <w:t xml:space="preserve">Lump sums </w:t>
      </w:r>
      <w:r w:rsidR="001E0606">
        <w:t>can be</w:t>
      </w:r>
      <w:r>
        <w:t xml:space="preserve"> converted to indexed pensions by dividing by age-based factors</w:t>
      </w:r>
      <w:r w:rsidR="004B6CE2">
        <w:t>:</w:t>
      </w:r>
    </w:p>
    <w:p w:rsidR="004B6CE2" w:rsidRPr="00E86C17" w:rsidRDefault="004B6CE2" w:rsidP="00E86C17">
      <w:pPr>
        <w:spacing w:line="240" w:lineRule="auto"/>
        <w:rPr>
          <w:sz w:val="16"/>
        </w:rPr>
      </w:pPr>
    </w:p>
    <w:tbl>
      <w:tblPr>
        <w:tblStyle w:val="TableGrid"/>
        <w:tblW w:w="0" w:type="auto"/>
        <w:tblInd w:w="108" w:type="dxa"/>
        <w:tblLook w:val="04A0" w:firstRow="1" w:lastRow="0" w:firstColumn="1" w:lastColumn="0" w:noHBand="0" w:noVBand="1"/>
      </w:tblPr>
      <w:tblGrid>
        <w:gridCol w:w="1772"/>
        <w:gridCol w:w="1772"/>
        <w:gridCol w:w="1772"/>
        <w:gridCol w:w="1772"/>
      </w:tblGrid>
      <w:tr w:rsidR="004B6CE2" w:rsidTr="00150787">
        <w:tc>
          <w:tcPr>
            <w:tcW w:w="1772" w:type="dxa"/>
          </w:tcPr>
          <w:p w:rsidR="004B6CE2" w:rsidRPr="00F85CAE" w:rsidRDefault="004B6CE2" w:rsidP="00150787">
            <w:pPr>
              <w:rPr>
                <w:b/>
              </w:rPr>
            </w:pPr>
            <w:r>
              <w:rPr>
                <w:b/>
              </w:rPr>
              <w:t>Age</w:t>
            </w:r>
          </w:p>
        </w:tc>
        <w:tc>
          <w:tcPr>
            <w:tcW w:w="1772" w:type="dxa"/>
          </w:tcPr>
          <w:p w:rsidR="004B6CE2" w:rsidRPr="00F85CAE" w:rsidRDefault="004B6CE2" w:rsidP="00150787">
            <w:pPr>
              <w:rPr>
                <w:b/>
              </w:rPr>
            </w:pPr>
            <w:r>
              <w:rPr>
                <w:b/>
              </w:rPr>
              <w:t>Conversion Factor</w:t>
            </w:r>
          </w:p>
        </w:tc>
        <w:tc>
          <w:tcPr>
            <w:tcW w:w="1772" w:type="dxa"/>
          </w:tcPr>
          <w:p w:rsidR="004B6CE2" w:rsidRPr="00F85CAE" w:rsidRDefault="004B6CE2" w:rsidP="00150787">
            <w:pPr>
              <w:rPr>
                <w:b/>
              </w:rPr>
            </w:pPr>
            <w:r>
              <w:rPr>
                <w:b/>
              </w:rPr>
              <w:t>Age</w:t>
            </w:r>
          </w:p>
        </w:tc>
        <w:tc>
          <w:tcPr>
            <w:tcW w:w="1772" w:type="dxa"/>
          </w:tcPr>
          <w:p w:rsidR="004B6CE2" w:rsidRPr="00F85CAE" w:rsidRDefault="004B6CE2" w:rsidP="00150787">
            <w:pPr>
              <w:rPr>
                <w:b/>
              </w:rPr>
            </w:pPr>
            <w:r>
              <w:rPr>
                <w:b/>
              </w:rPr>
              <w:t>Conversion Factor</w:t>
            </w:r>
          </w:p>
        </w:tc>
      </w:tr>
      <w:tr w:rsidR="004B6CE2" w:rsidTr="00150787">
        <w:tc>
          <w:tcPr>
            <w:tcW w:w="1772" w:type="dxa"/>
          </w:tcPr>
          <w:p w:rsidR="004B6CE2" w:rsidRDefault="004B6CE2" w:rsidP="00150787">
            <w:r>
              <w:t>70</w:t>
            </w:r>
          </w:p>
        </w:tc>
        <w:tc>
          <w:tcPr>
            <w:tcW w:w="1772" w:type="dxa"/>
          </w:tcPr>
          <w:p w:rsidR="004B6CE2" w:rsidRDefault="004B6CE2" w:rsidP="00150787">
            <w:r>
              <w:t>9.0</w:t>
            </w:r>
          </w:p>
        </w:tc>
        <w:tc>
          <w:tcPr>
            <w:tcW w:w="1772" w:type="dxa"/>
          </w:tcPr>
          <w:p w:rsidR="004B6CE2" w:rsidRDefault="004B6CE2" w:rsidP="00150787">
            <w:r>
              <w:t>62</w:t>
            </w:r>
          </w:p>
        </w:tc>
        <w:tc>
          <w:tcPr>
            <w:tcW w:w="1772" w:type="dxa"/>
          </w:tcPr>
          <w:p w:rsidR="004B6CE2" w:rsidRDefault="004B6CE2" w:rsidP="00150787">
            <w:r>
              <w:t>10.6</w:t>
            </w:r>
          </w:p>
        </w:tc>
      </w:tr>
      <w:tr w:rsidR="004B6CE2" w:rsidTr="00150787">
        <w:tc>
          <w:tcPr>
            <w:tcW w:w="1772" w:type="dxa"/>
          </w:tcPr>
          <w:p w:rsidR="004B6CE2" w:rsidRDefault="004B6CE2" w:rsidP="00150787">
            <w:r>
              <w:t>69</w:t>
            </w:r>
          </w:p>
        </w:tc>
        <w:tc>
          <w:tcPr>
            <w:tcW w:w="1772" w:type="dxa"/>
          </w:tcPr>
          <w:p w:rsidR="004B6CE2" w:rsidRDefault="004B6CE2" w:rsidP="00150787">
            <w:r>
              <w:t>9.2</w:t>
            </w:r>
          </w:p>
        </w:tc>
        <w:tc>
          <w:tcPr>
            <w:tcW w:w="1772" w:type="dxa"/>
          </w:tcPr>
          <w:p w:rsidR="004B6CE2" w:rsidRDefault="004B6CE2" w:rsidP="00150787">
            <w:r>
              <w:t>61</w:t>
            </w:r>
          </w:p>
        </w:tc>
        <w:tc>
          <w:tcPr>
            <w:tcW w:w="1772" w:type="dxa"/>
          </w:tcPr>
          <w:p w:rsidR="004B6CE2" w:rsidRDefault="004B6CE2" w:rsidP="00150787">
            <w:r>
              <w:t>10.8</w:t>
            </w:r>
          </w:p>
        </w:tc>
      </w:tr>
      <w:tr w:rsidR="004B6CE2" w:rsidTr="00150787">
        <w:tc>
          <w:tcPr>
            <w:tcW w:w="1772" w:type="dxa"/>
          </w:tcPr>
          <w:p w:rsidR="004B6CE2" w:rsidRDefault="004B6CE2" w:rsidP="00150787">
            <w:r>
              <w:t>68</w:t>
            </w:r>
          </w:p>
        </w:tc>
        <w:tc>
          <w:tcPr>
            <w:tcW w:w="1772" w:type="dxa"/>
          </w:tcPr>
          <w:p w:rsidR="004B6CE2" w:rsidRDefault="004B6CE2" w:rsidP="00150787">
            <w:r>
              <w:t>9.4</w:t>
            </w:r>
          </w:p>
        </w:tc>
        <w:tc>
          <w:tcPr>
            <w:tcW w:w="1772" w:type="dxa"/>
          </w:tcPr>
          <w:p w:rsidR="004B6CE2" w:rsidRDefault="004B6CE2" w:rsidP="00150787">
            <w:r>
              <w:t>60</w:t>
            </w:r>
          </w:p>
        </w:tc>
        <w:tc>
          <w:tcPr>
            <w:tcW w:w="1772" w:type="dxa"/>
          </w:tcPr>
          <w:p w:rsidR="004B6CE2" w:rsidRDefault="004B6CE2" w:rsidP="00150787">
            <w:r>
              <w:t>11.0</w:t>
            </w:r>
          </w:p>
        </w:tc>
      </w:tr>
      <w:tr w:rsidR="004B6CE2" w:rsidTr="00150787">
        <w:tc>
          <w:tcPr>
            <w:tcW w:w="1772" w:type="dxa"/>
          </w:tcPr>
          <w:p w:rsidR="004B6CE2" w:rsidRDefault="004B6CE2" w:rsidP="00150787">
            <w:r>
              <w:t>67</w:t>
            </w:r>
          </w:p>
        </w:tc>
        <w:tc>
          <w:tcPr>
            <w:tcW w:w="1772" w:type="dxa"/>
          </w:tcPr>
          <w:p w:rsidR="004B6CE2" w:rsidRDefault="004B6CE2" w:rsidP="00150787">
            <w:r>
              <w:t>9.6</w:t>
            </w:r>
          </w:p>
        </w:tc>
        <w:tc>
          <w:tcPr>
            <w:tcW w:w="1772" w:type="dxa"/>
          </w:tcPr>
          <w:p w:rsidR="004B6CE2" w:rsidRDefault="004B6CE2" w:rsidP="00150787">
            <w:r>
              <w:t>59</w:t>
            </w:r>
          </w:p>
        </w:tc>
        <w:tc>
          <w:tcPr>
            <w:tcW w:w="1772" w:type="dxa"/>
          </w:tcPr>
          <w:p w:rsidR="004B6CE2" w:rsidRDefault="004B6CE2" w:rsidP="00150787">
            <w:r>
              <w:t>11.2</w:t>
            </w:r>
          </w:p>
        </w:tc>
      </w:tr>
      <w:tr w:rsidR="004B6CE2" w:rsidTr="00150787">
        <w:tc>
          <w:tcPr>
            <w:tcW w:w="1772" w:type="dxa"/>
          </w:tcPr>
          <w:p w:rsidR="004B6CE2" w:rsidRDefault="004B6CE2" w:rsidP="00150787">
            <w:r>
              <w:t>66</w:t>
            </w:r>
          </w:p>
        </w:tc>
        <w:tc>
          <w:tcPr>
            <w:tcW w:w="1772" w:type="dxa"/>
          </w:tcPr>
          <w:p w:rsidR="004B6CE2" w:rsidRDefault="004B6CE2" w:rsidP="00150787">
            <w:r>
              <w:t>9.8</w:t>
            </w:r>
          </w:p>
        </w:tc>
        <w:tc>
          <w:tcPr>
            <w:tcW w:w="1772" w:type="dxa"/>
          </w:tcPr>
          <w:p w:rsidR="004B6CE2" w:rsidRDefault="004B6CE2" w:rsidP="00150787">
            <w:r>
              <w:t>58</w:t>
            </w:r>
          </w:p>
        </w:tc>
        <w:tc>
          <w:tcPr>
            <w:tcW w:w="1772" w:type="dxa"/>
          </w:tcPr>
          <w:p w:rsidR="004B6CE2" w:rsidRDefault="004B6CE2" w:rsidP="00150787">
            <w:r>
              <w:t>11.4</w:t>
            </w:r>
          </w:p>
        </w:tc>
      </w:tr>
      <w:tr w:rsidR="004B6CE2" w:rsidTr="00150787">
        <w:tc>
          <w:tcPr>
            <w:tcW w:w="1772" w:type="dxa"/>
          </w:tcPr>
          <w:p w:rsidR="004B6CE2" w:rsidRDefault="004B6CE2" w:rsidP="00150787">
            <w:r>
              <w:t>65</w:t>
            </w:r>
          </w:p>
        </w:tc>
        <w:tc>
          <w:tcPr>
            <w:tcW w:w="1772" w:type="dxa"/>
          </w:tcPr>
          <w:p w:rsidR="004B6CE2" w:rsidRDefault="004B6CE2" w:rsidP="00150787">
            <w:r>
              <w:t>10.0</w:t>
            </w:r>
          </w:p>
        </w:tc>
        <w:tc>
          <w:tcPr>
            <w:tcW w:w="1772" w:type="dxa"/>
          </w:tcPr>
          <w:p w:rsidR="004B6CE2" w:rsidRDefault="004B6CE2" w:rsidP="00150787">
            <w:r>
              <w:t>57</w:t>
            </w:r>
          </w:p>
        </w:tc>
        <w:tc>
          <w:tcPr>
            <w:tcW w:w="1772" w:type="dxa"/>
          </w:tcPr>
          <w:p w:rsidR="004B6CE2" w:rsidRDefault="004B6CE2" w:rsidP="00150787">
            <w:r>
              <w:t>11.6</w:t>
            </w:r>
          </w:p>
        </w:tc>
      </w:tr>
      <w:tr w:rsidR="004B6CE2" w:rsidTr="00150787">
        <w:tc>
          <w:tcPr>
            <w:tcW w:w="1772" w:type="dxa"/>
          </w:tcPr>
          <w:p w:rsidR="004B6CE2" w:rsidRDefault="004B6CE2" w:rsidP="00150787">
            <w:r>
              <w:t>64</w:t>
            </w:r>
          </w:p>
        </w:tc>
        <w:tc>
          <w:tcPr>
            <w:tcW w:w="1772" w:type="dxa"/>
          </w:tcPr>
          <w:p w:rsidR="004B6CE2" w:rsidRDefault="004B6CE2" w:rsidP="00150787">
            <w:r>
              <w:t>10.2</w:t>
            </w:r>
          </w:p>
        </w:tc>
        <w:tc>
          <w:tcPr>
            <w:tcW w:w="1772" w:type="dxa"/>
          </w:tcPr>
          <w:p w:rsidR="004B6CE2" w:rsidRDefault="004B6CE2" w:rsidP="00150787">
            <w:r>
              <w:t>56</w:t>
            </w:r>
          </w:p>
        </w:tc>
        <w:tc>
          <w:tcPr>
            <w:tcW w:w="1772" w:type="dxa"/>
          </w:tcPr>
          <w:p w:rsidR="004B6CE2" w:rsidRDefault="004B6CE2" w:rsidP="00150787">
            <w:r>
              <w:t>11.8</w:t>
            </w:r>
          </w:p>
        </w:tc>
      </w:tr>
      <w:tr w:rsidR="004B6CE2" w:rsidTr="00150787">
        <w:tc>
          <w:tcPr>
            <w:tcW w:w="1772" w:type="dxa"/>
          </w:tcPr>
          <w:p w:rsidR="004B6CE2" w:rsidRDefault="004B6CE2" w:rsidP="00150787">
            <w:r>
              <w:t>63</w:t>
            </w:r>
          </w:p>
        </w:tc>
        <w:tc>
          <w:tcPr>
            <w:tcW w:w="1772" w:type="dxa"/>
          </w:tcPr>
          <w:p w:rsidR="004B6CE2" w:rsidRDefault="004B6CE2" w:rsidP="00150787">
            <w:r>
              <w:t>10.4</w:t>
            </w:r>
          </w:p>
        </w:tc>
        <w:tc>
          <w:tcPr>
            <w:tcW w:w="1772" w:type="dxa"/>
          </w:tcPr>
          <w:p w:rsidR="004B6CE2" w:rsidRDefault="004B6CE2" w:rsidP="00150787">
            <w:r>
              <w:t>55</w:t>
            </w:r>
          </w:p>
        </w:tc>
        <w:tc>
          <w:tcPr>
            <w:tcW w:w="1772" w:type="dxa"/>
          </w:tcPr>
          <w:p w:rsidR="004B6CE2" w:rsidRDefault="004B6CE2" w:rsidP="00150787">
            <w:r>
              <w:t>12.0</w:t>
            </w:r>
          </w:p>
        </w:tc>
      </w:tr>
    </w:tbl>
    <w:p w:rsidR="00126602" w:rsidRDefault="00126602" w:rsidP="00BE0ACB"/>
    <w:p w:rsidR="008D2CD7" w:rsidRPr="00892B6B" w:rsidRDefault="008D2CD7" w:rsidP="008D2CD7">
      <w:pPr>
        <w:rPr>
          <w:i/>
        </w:rPr>
      </w:pPr>
      <w:r w:rsidRPr="00892B6B">
        <w:rPr>
          <w:i/>
        </w:rPr>
        <w:t>Resignation</w:t>
      </w:r>
    </w:p>
    <w:p w:rsidR="008D2CD7" w:rsidRDefault="008D2CD7" w:rsidP="008D2CD7"/>
    <w:p w:rsidR="008D2CD7" w:rsidRDefault="008D2CD7" w:rsidP="008D2CD7">
      <w:r>
        <w:t>There are three benefit options:</w:t>
      </w:r>
    </w:p>
    <w:p w:rsidR="008D2CD7" w:rsidRDefault="00892B6B" w:rsidP="008D2CD7">
      <w:pPr>
        <w:pStyle w:val="ListBullet"/>
      </w:pPr>
      <w:r>
        <w:t>p</w:t>
      </w:r>
      <w:r w:rsidR="008D2CD7">
        <w:t>reserve the Total Benefit within the PSS until early retirement age and then retirement pension options are available;</w:t>
      </w:r>
    </w:p>
    <w:p w:rsidR="008D2CD7" w:rsidRDefault="00892B6B" w:rsidP="008D2CD7">
      <w:pPr>
        <w:pStyle w:val="ListBullet"/>
      </w:pPr>
      <w:r>
        <w:t>i</w:t>
      </w:r>
      <w:r w:rsidR="008D2CD7">
        <w:t xml:space="preserve">mmediate refund of </w:t>
      </w:r>
      <w:r>
        <w:t xml:space="preserve">the </w:t>
      </w:r>
      <w:r w:rsidR="008D2CD7">
        <w:t xml:space="preserve">member-financed component, up to the limit allowed under superannuation preservation rules, and preserve </w:t>
      </w:r>
      <w:r>
        <w:t xml:space="preserve">the </w:t>
      </w:r>
      <w:r w:rsidR="008D2CD7">
        <w:t>employer-financed and productivity components within the PSS (due to general superannuation preservation requirements, all post 1 July 1999 contributions are preserved under most circumstances); and</w:t>
      </w:r>
    </w:p>
    <w:p w:rsidR="008D2CD7" w:rsidRDefault="00892B6B" w:rsidP="008D2CD7">
      <w:pPr>
        <w:pStyle w:val="ListBullet"/>
      </w:pPr>
      <w:r>
        <w:t>t</w:t>
      </w:r>
      <w:r w:rsidR="008D2CD7">
        <w:t>ransfer the Total Benefit to an eligible superannuation scheme.</w:t>
      </w:r>
    </w:p>
    <w:p w:rsidR="008D2CD7" w:rsidRDefault="008D2CD7" w:rsidP="008D2CD7"/>
    <w:p w:rsidR="008D2CD7" w:rsidRPr="00AB1920" w:rsidRDefault="008D2CD7" w:rsidP="008D2CD7">
      <w:pPr>
        <w:rPr>
          <w:i/>
        </w:rPr>
      </w:pPr>
      <w:r w:rsidRPr="00AB1920">
        <w:rPr>
          <w:i/>
        </w:rPr>
        <w:t>Invalidity Retirement</w:t>
      </w:r>
    </w:p>
    <w:p w:rsidR="008D2CD7" w:rsidRDefault="008D2CD7" w:rsidP="008D2CD7"/>
    <w:p w:rsidR="00AB1920" w:rsidRDefault="00AB1920" w:rsidP="008D2CD7">
      <w:r>
        <w:t>On retirement on medical grounds before age 60, the Total Benefit is calculated based on potential service to age 60 (assuming that the member will continue to contribute at their rate at retirement or 5% if more, but subject to a maximum average contribution of 5% for the first 10 years of service). The Total Benefit is converted to an indexed pension using the same factors for age retirement but assuming that the member is aged 60 at the time of invalidity. The member-financed component may be taken as a lump sum.</w:t>
      </w:r>
    </w:p>
    <w:p w:rsidR="00AB1920" w:rsidRDefault="00AB1920" w:rsidP="008D2CD7"/>
    <w:p w:rsidR="00AB1920" w:rsidRDefault="00AB1920">
      <w:pPr>
        <w:spacing w:line="240" w:lineRule="auto"/>
      </w:pPr>
      <w:r>
        <w:br w:type="page"/>
      </w:r>
    </w:p>
    <w:p w:rsidR="00F37090" w:rsidRPr="00331428" w:rsidRDefault="00F37090" w:rsidP="00F37090">
      <w:pPr>
        <w:rPr>
          <w:caps/>
          <w:color w:val="002C77"/>
          <w:spacing w:val="40"/>
        </w:rPr>
      </w:pPr>
      <w:r w:rsidRPr="00331428">
        <w:rPr>
          <w:caps/>
          <w:color w:val="002C77"/>
          <w:spacing w:val="40"/>
        </w:rPr>
        <w:lastRenderedPageBreak/>
        <w:t xml:space="preserve">THE SUPERANNUATION ACT 1990 (PSS) </w:t>
      </w:r>
      <w:r w:rsidRPr="00331428">
        <w:rPr>
          <w:i/>
          <w:color w:val="002C77"/>
          <w:spacing w:val="40"/>
        </w:rPr>
        <w:t>continued</w:t>
      </w:r>
    </w:p>
    <w:p w:rsidR="00F37090" w:rsidRDefault="00F37090" w:rsidP="008D2CD7"/>
    <w:p w:rsidR="008D2CD7" w:rsidRPr="00384166" w:rsidRDefault="008D2CD7" w:rsidP="008D2CD7">
      <w:pPr>
        <w:rPr>
          <w:i/>
        </w:rPr>
      </w:pPr>
      <w:r w:rsidRPr="00384166">
        <w:rPr>
          <w:i/>
        </w:rPr>
        <w:t>Death of a Contributor</w:t>
      </w:r>
    </w:p>
    <w:p w:rsidR="008D2CD7" w:rsidRDefault="008D2CD7" w:rsidP="008D2CD7"/>
    <w:p w:rsidR="00384166" w:rsidRPr="0018091D" w:rsidRDefault="0019120B" w:rsidP="00384166">
      <w:r w:rsidRPr="0018091D">
        <w:t xml:space="preserve">A </w:t>
      </w:r>
      <w:r>
        <w:t xml:space="preserve">spouse’s </w:t>
      </w:r>
      <w:r w:rsidRPr="0018091D">
        <w:t>pension payable at the rate of 67% of the invalidity pension that would have been payable to the deceased, plus 11% of the invalidity pension for each eligible child (until age 16 or</w:t>
      </w:r>
      <w:r>
        <w:t>,</w:t>
      </w:r>
      <w:r w:rsidRPr="0018091D">
        <w:t xml:space="preserve"> if a full-time student, until age 25) with </w:t>
      </w:r>
      <w:r>
        <w:t xml:space="preserve">the </w:t>
      </w:r>
      <w:r w:rsidRPr="0018091D">
        <w:t>total pension limited to 100% of the invalidity pension.</w:t>
      </w:r>
      <w:r w:rsidR="00384166">
        <w:t xml:space="preserve"> </w:t>
      </w:r>
      <w:r>
        <w:t>The spouse can convert up to half of the pension to a lump sum or receive the full amount as a lump sum with no ongoing pension.</w:t>
      </w:r>
      <w:r w:rsidR="00384166">
        <w:t xml:space="preserve"> No ongoing pension is payable if there is no spouse or eligible children.</w:t>
      </w:r>
    </w:p>
    <w:p w:rsidR="008D2CD7" w:rsidRDefault="008D2CD7" w:rsidP="008D2CD7"/>
    <w:p w:rsidR="008D2CD7" w:rsidRPr="00A15C86" w:rsidRDefault="008D2CD7" w:rsidP="008D2CD7">
      <w:pPr>
        <w:rPr>
          <w:i/>
        </w:rPr>
      </w:pPr>
      <w:r w:rsidRPr="00A15C86">
        <w:rPr>
          <w:i/>
        </w:rPr>
        <w:t>Death of a Pensioner</w:t>
      </w:r>
    </w:p>
    <w:p w:rsidR="008D2CD7" w:rsidRDefault="008D2CD7" w:rsidP="008D2CD7"/>
    <w:p w:rsidR="008D2CD7" w:rsidRDefault="008D2CD7" w:rsidP="008D2CD7">
      <w:r>
        <w:t xml:space="preserve">A </w:t>
      </w:r>
      <w:r w:rsidR="00A70E65">
        <w:t xml:space="preserve">pension is payable to a surviving spouse and any eligible children of an amount equal to a </w:t>
      </w:r>
      <w:r>
        <w:t>percentage of the pension</w:t>
      </w:r>
      <w:r w:rsidRPr="0018091D">
        <w:t xml:space="preserve"> payable to the deceased at the time of death</w:t>
      </w:r>
      <w:r w:rsidR="00A70E65">
        <w:t>.</w:t>
      </w:r>
      <w:r>
        <w:t xml:space="preserve"> The percentages are the same as for the death of a contributor.</w:t>
      </w:r>
    </w:p>
    <w:p w:rsidR="008D2CD7" w:rsidRDefault="008D2CD7" w:rsidP="008D2CD7"/>
    <w:p w:rsidR="008D2CD7" w:rsidRPr="00A15C86" w:rsidRDefault="008D2CD7" w:rsidP="008D2CD7">
      <w:pPr>
        <w:rPr>
          <w:i/>
        </w:rPr>
      </w:pPr>
      <w:r w:rsidRPr="00A15C86">
        <w:rPr>
          <w:i/>
        </w:rPr>
        <w:t>Redundancy</w:t>
      </w:r>
    </w:p>
    <w:p w:rsidR="008D2CD7" w:rsidRDefault="008D2CD7" w:rsidP="008D2CD7"/>
    <w:p w:rsidR="008D2CD7" w:rsidRDefault="008D2CD7" w:rsidP="008D2CD7">
      <w:r>
        <w:t>The following benefit options are available to a member who is made redundant:</w:t>
      </w:r>
    </w:p>
    <w:p w:rsidR="008D2CD7" w:rsidRDefault="008D2CD7" w:rsidP="008D2CD7">
      <w:pPr>
        <w:pStyle w:val="ListBullet"/>
      </w:pPr>
      <w:r>
        <w:t>receive the Total Benefit in the form of an immediate, non-commutable, indexed lifetime pension;</w:t>
      </w:r>
    </w:p>
    <w:p w:rsidR="008D2CD7" w:rsidRDefault="008D2CD7" w:rsidP="008D2CD7">
      <w:pPr>
        <w:pStyle w:val="ListBullet"/>
      </w:pPr>
      <w:r>
        <w:t>immediate refund of member-financed component, up to the limit allowed under superannuation preservation rules, and receive the remainder as an immediate, non-commutable, indexed lifetime pension;</w:t>
      </w:r>
    </w:p>
    <w:p w:rsidR="008D2CD7" w:rsidRDefault="008D2CD7" w:rsidP="008D2CD7">
      <w:pPr>
        <w:pStyle w:val="ListBullet"/>
      </w:pPr>
      <w:r>
        <w:t>preserve all benefits within the PSS until early retirement age and then pension options are available;</w:t>
      </w:r>
    </w:p>
    <w:p w:rsidR="008D2CD7" w:rsidRDefault="008D2CD7" w:rsidP="008D2CD7">
      <w:pPr>
        <w:pStyle w:val="ListBullet"/>
      </w:pPr>
      <w:r>
        <w:t>immediate refund of member-financed component, up to the limit allowed under superannuation preservation rules, and preserve employer-financed and productivity components within the PSS; and</w:t>
      </w:r>
    </w:p>
    <w:p w:rsidR="008D2CD7" w:rsidRDefault="008D2CD7" w:rsidP="008D2CD7">
      <w:pPr>
        <w:pStyle w:val="ListBullet"/>
      </w:pPr>
      <w:r>
        <w:t>transfer the Total Benefit to an eligible superannuation scheme.</w:t>
      </w:r>
    </w:p>
    <w:p w:rsidR="008D2CD7" w:rsidRDefault="008D2CD7" w:rsidP="008D2CD7"/>
    <w:p w:rsidR="008D2CD7" w:rsidRPr="0018091D" w:rsidRDefault="008D2CD7" w:rsidP="008D2CD7">
      <w:pPr>
        <w:rPr>
          <w:i/>
        </w:rPr>
      </w:pPr>
      <w:r w:rsidRPr="0018091D">
        <w:rPr>
          <w:i/>
        </w:rPr>
        <w:t>Indexation</w:t>
      </w:r>
    </w:p>
    <w:p w:rsidR="008D2CD7" w:rsidRDefault="008D2CD7" w:rsidP="008D2CD7"/>
    <w:p w:rsidR="008D2CD7" w:rsidRDefault="008D2CD7" w:rsidP="008D2CD7">
      <w:r>
        <w:t>Pensions are indexed twice yearly (in January and July) in line with changes in the Consumer Price Index (CPI).</w:t>
      </w:r>
    </w:p>
    <w:p w:rsidR="00A73BBF" w:rsidRPr="0018091D" w:rsidRDefault="00A73BBF" w:rsidP="00E32FD9"/>
    <w:p w:rsidR="00E32FD9" w:rsidRDefault="00E32FD9" w:rsidP="00E32FD9">
      <w:pPr>
        <w:pStyle w:val="AppendixStart"/>
        <w:numPr>
          <w:ilvl w:val="0"/>
          <w:numId w:val="2"/>
        </w:numPr>
        <w:pBdr>
          <w:bottom w:val="single" w:sz="12" w:space="0" w:color="auto"/>
        </w:pBdr>
        <w:spacing w:before="0" w:after="360"/>
      </w:pPr>
    </w:p>
    <w:p w:rsidR="00E32FD9" w:rsidRDefault="00E32FD9" w:rsidP="00E32FD9">
      <w:pPr>
        <w:pStyle w:val="AppendixHeading1"/>
      </w:pPr>
      <w:bookmarkStart w:id="107" w:name="_Toc511315173"/>
      <w:bookmarkStart w:id="108" w:name="_Toc511313527"/>
      <w:bookmarkStart w:id="109" w:name="_Toc511385937"/>
      <w:bookmarkStart w:id="110" w:name="_Toc517706070"/>
      <w:r>
        <w:t>Details of Membership Data</w:t>
      </w:r>
      <w:bookmarkEnd w:id="107"/>
      <w:bookmarkEnd w:id="108"/>
      <w:bookmarkEnd w:id="109"/>
      <w:bookmarkEnd w:id="110"/>
    </w:p>
    <w:p w:rsidR="00E32FD9" w:rsidRPr="00331A3B" w:rsidRDefault="00E32FD9" w:rsidP="00E32FD9">
      <w:pPr>
        <w:rPr>
          <w:caps/>
          <w:color w:val="002C77"/>
          <w:spacing w:val="40"/>
        </w:rPr>
      </w:pPr>
      <w:r w:rsidRPr="00331A3B">
        <w:rPr>
          <w:caps/>
          <w:color w:val="002C77"/>
          <w:spacing w:val="40"/>
        </w:rPr>
        <w:t>Contributors</w:t>
      </w:r>
    </w:p>
    <w:p w:rsidR="00E32FD9" w:rsidRDefault="00E32FD9" w:rsidP="00E32FD9"/>
    <w:p w:rsidR="0074307F" w:rsidRDefault="0074307F" w:rsidP="00E32FD9">
      <w:r>
        <w:t>Contributor members’ statistics as at 30 June 2017 are:</w:t>
      </w:r>
    </w:p>
    <w:p w:rsidR="0074307F" w:rsidRDefault="0074307F" w:rsidP="00E32FD9"/>
    <w:tbl>
      <w:tblPr>
        <w:tblStyle w:val="TableGrid"/>
        <w:tblW w:w="0" w:type="auto"/>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18"/>
        <w:gridCol w:w="1417"/>
        <w:gridCol w:w="1417"/>
        <w:gridCol w:w="1418"/>
        <w:gridCol w:w="1323"/>
        <w:gridCol w:w="1323"/>
        <w:gridCol w:w="1323"/>
      </w:tblGrid>
      <w:tr w:rsidR="00E32FD9" w:rsidRPr="00E3054F" w:rsidTr="00EC0997">
        <w:trPr>
          <w:cantSplit/>
          <w:trHeight w:val="323"/>
          <w:tblHeader/>
        </w:trPr>
        <w:tc>
          <w:tcPr>
            <w:tcW w:w="1418" w:type="dxa"/>
            <w:vMerge w:val="restart"/>
            <w:shd w:val="clear" w:color="auto" w:fill="00A8C8"/>
            <w:vAlign w:val="center"/>
          </w:tcPr>
          <w:p w:rsidR="00E32FD9" w:rsidRPr="00E3054F" w:rsidRDefault="00E32FD9" w:rsidP="00EC0997">
            <w:pPr>
              <w:pStyle w:val="TableHeadingText"/>
              <w:rPr>
                <w:caps w:val="0"/>
              </w:rPr>
            </w:pPr>
            <w:r>
              <w:rPr>
                <w:caps w:val="0"/>
              </w:rPr>
              <w:t xml:space="preserve">As at </w:t>
            </w:r>
            <w:r>
              <w:rPr>
                <w:caps w:val="0"/>
              </w:rPr>
              <w:br/>
              <w:t>30/06/17</w:t>
            </w:r>
          </w:p>
        </w:tc>
        <w:tc>
          <w:tcPr>
            <w:tcW w:w="4252" w:type="dxa"/>
            <w:gridSpan w:val="3"/>
            <w:shd w:val="clear" w:color="auto" w:fill="00A8C8"/>
            <w:vAlign w:val="center"/>
          </w:tcPr>
          <w:p w:rsidR="00E32FD9" w:rsidRPr="00E3054F" w:rsidRDefault="00E32FD9" w:rsidP="00EC0997">
            <w:pPr>
              <w:pStyle w:val="TableHeadingText"/>
              <w:jc w:val="center"/>
              <w:rPr>
                <w:caps w:val="0"/>
              </w:rPr>
            </w:pPr>
            <w:r>
              <w:rPr>
                <w:caps w:val="0"/>
              </w:rPr>
              <w:t>Headcount</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Age</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Service</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Annual Salary</w:t>
            </w:r>
          </w:p>
        </w:tc>
      </w:tr>
      <w:tr w:rsidR="00E32FD9" w:rsidRPr="00E3054F" w:rsidTr="00EC0997">
        <w:trPr>
          <w:cantSplit/>
          <w:trHeight w:val="322"/>
          <w:tblHeader/>
        </w:trPr>
        <w:tc>
          <w:tcPr>
            <w:tcW w:w="1418" w:type="dxa"/>
            <w:vMerge/>
            <w:shd w:val="clear" w:color="auto" w:fill="00A8C8"/>
          </w:tcPr>
          <w:p w:rsidR="00E32FD9" w:rsidRDefault="00E32FD9" w:rsidP="00EC0997">
            <w:pPr>
              <w:pStyle w:val="TableHeadingText"/>
              <w:rPr>
                <w:caps w:val="0"/>
              </w:rPr>
            </w:pPr>
          </w:p>
        </w:tc>
        <w:tc>
          <w:tcPr>
            <w:tcW w:w="1417" w:type="dxa"/>
            <w:shd w:val="clear" w:color="auto" w:fill="00A8C8"/>
            <w:vAlign w:val="center"/>
          </w:tcPr>
          <w:p w:rsidR="00E32FD9" w:rsidRPr="00E3054F" w:rsidRDefault="00E32FD9" w:rsidP="00EC0997">
            <w:pPr>
              <w:pStyle w:val="TableHeadingText"/>
              <w:jc w:val="center"/>
              <w:rPr>
                <w:caps w:val="0"/>
              </w:rPr>
            </w:pPr>
            <w:r>
              <w:rPr>
                <w:caps w:val="0"/>
              </w:rPr>
              <w:t>Males</w:t>
            </w:r>
          </w:p>
        </w:tc>
        <w:tc>
          <w:tcPr>
            <w:tcW w:w="1417" w:type="dxa"/>
            <w:shd w:val="clear" w:color="auto" w:fill="00A8C8"/>
            <w:vAlign w:val="center"/>
          </w:tcPr>
          <w:p w:rsidR="00E32FD9" w:rsidRPr="00E3054F" w:rsidRDefault="00E32FD9" w:rsidP="00EC0997">
            <w:pPr>
              <w:pStyle w:val="TableHeadingText"/>
              <w:jc w:val="center"/>
              <w:rPr>
                <w:caps w:val="0"/>
              </w:rPr>
            </w:pPr>
            <w:r>
              <w:rPr>
                <w:caps w:val="0"/>
              </w:rPr>
              <w:t>Females</w:t>
            </w:r>
          </w:p>
        </w:tc>
        <w:tc>
          <w:tcPr>
            <w:tcW w:w="1418" w:type="dxa"/>
            <w:shd w:val="clear" w:color="auto" w:fill="00A8C8"/>
            <w:vAlign w:val="center"/>
          </w:tcPr>
          <w:p w:rsidR="00E32FD9" w:rsidRPr="00E3054F" w:rsidRDefault="00E32FD9" w:rsidP="00EC0997">
            <w:pPr>
              <w:pStyle w:val="TableHeadingText"/>
              <w:jc w:val="center"/>
              <w:rPr>
                <w:caps w:val="0"/>
              </w:rPr>
            </w:pPr>
            <w:r>
              <w:rPr>
                <w:caps w:val="0"/>
              </w:rPr>
              <w:t>Total</w:t>
            </w:r>
          </w:p>
        </w:tc>
        <w:tc>
          <w:tcPr>
            <w:tcW w:w="1323" w:type="dxa"/>
            <w:vMerge/>
            <w:shd w:val="clear" w:color="auto" w:fill="00A8C8"/>
            <w:vAlign w:val="center"/>
          </w:tcPr>
          <w:p w:rsidR="00E32FD9" w:rsidRPr="00E3054F" w:rsidRDefault="00E32FD9" w:rsidP="00EC0997">
            <w:pPr>
              <w:pStyle w:val="TableHeadingText"/>
              <w:jc w:val="center"/>
              <w:rPr>
                <w:caps w:val="0"/>
              </w:rPr>
            </w:pPr>
          </w:p>
        </w:tc>
        <w:tc>
          <w:tcPr>
            <w:tcW w:w="1323" w:type="dxa"/>
            <w:vMerge/>
            <w:shd w:val="clear" w:color="auto" w:fill="00A8C8"/>
            <w:vAlign w:val="center"/>
          </w:tcPr>
          <w:p w:rsidR="00E32FD9" w:rsidRPr="00E3054F" w:rsidRDefault="00E32FD9" w:rsidP="00EC0997">
            <w:pPr>
              <w:pStyle w:val="TableHeadingText"/>
              <w:jc w:val="center"/>
              <w:rPr>
                <w:caps w:val="0"/>
              </w:rPr>
            </w:pPr>
          </w:p>
        </w:tc>
        <w:tc>
          <w:tcPr>
            <w:tcW w:w="1323" w:type="dxa"/>
            <w:vMerge/>
            <w:shd w:val="clear" w:color="auto" w:fill="00A8C8"/>
            <w:vAlign w:val="center"/>
          </w:tcPr>
          <w:p w:rsidR="00E32FD9" w:rsidRPr="00E3054F" w:rsidRDefault="00E32FD9" w:rsidP="00EC0997">
            <w:pPr>
              <w:pStyle w:val="TableHeadingText"/>
              <w:jc w:val="center"/>
              <w:rPr>
                <w:caps w:val="0"/>
              </w:rPr>
            </w:pPr>
          </w:p>
        </w:tc>
      </w:tr>
      <w:tr w:rsidR="00500098" w:rsidRPr="00E3054F" w:rsidTr="00EC0997">
        <w:trPr>
          <w:cantSplit/>
        </w:trPr>
        <w:tc>
          <w:tcPr>
            <w:tcW w:w="1418" w:type="dxa"/>
            <w:shd w:val="clear" w:color="auto" w:fill="F2F2F2"/>
          </w:tcPr>
          <w:p w:rsidR="00500098" w:rsidRPr="00E3054F" w:rsidRDefault="00500098" w:rsidP="00EC0997">
            <w:pPr>
              <w:pStyle w:val="TableText"/>
            </w:pPr>
            <w:r>
              <w:t>CSS</w:t>
            </w:r>
          </w:p>
        </w:tc>
        <w:tc>
          <w:tcPr>
            <w:tcW w:w="1417" w:type="dxa"/>
            <w:shd w:val="clear" w:color="auto" w:fill="F2F2F2"/>
          </w:tcPr>
          <w:p w:rsidR="00500098" w:rsidRPr="00E3054F" w:rsidRDefault="00500098" w:rsidP="00EC0997">
            <w:pPr>
              <w:pStyle w:val="TableText"/>
              <w:jc w:val="center"/>
            </w:pPr>
            <w:r>
              <w:t>3,655</w:t>
            </w:r>
          </w:p>
        </w:tc>
        <w:tc>
          <w:tcPr>
            <w:tcW w:w="1417" w:type="dxa"/>
            <w:shd w:val="clear" w:color="auto" w:fill="F2F2F2"/>
          </w:tcPr>
          <w:p w:rsidR="00500098" w:rsidRPr="00E3054F" w:rsidRDefault="00500098" w:rsidP="00EC0997">
            <w:pPr>
              <w:pStyle w:val="TableText"/>
              <w:jc w:val="center"/>
            </w:pPr>
            <w:r>
              <w:t>2,132</w:t>
            </w:r>
          </w:p>
        </w:tc>
        <w:tc>
          <w:tcPr>
            <w:tcW w:w="1418" w:type="dxa"/>
            <w:shd w:val="clear" w:color="auto" w:fill="F2F2F2"/>
          </w:tcPr>
          <w:p w:rsidR="00500098" w:rsidRPr="00E3054F" w:rsidRDefault="00500098" w:rsidP="00EC0997">
            <w:pPr>
              <w:pStyle w:val="TableText"/>
              <w:jc w:val="center"/>
            </w:pPr>
            <w:r>
              <w:t>5,787</w:t>
            </w:r>
          </w:p>
        </w:tc>
        <w:tc>
          <w:tcPr>
            <w:tcW w:w="1323" w:type="dxa"/>
            <w:shd w:val="clear" w:color="auto" w:fill="F2F2F2"/>
          </w:tcPr>
          <w:p w:rsidR="00500098" w:rsidRPr="00E3054F" w:rsidRDefault="00500098" w:rsidP="00EC0997">
            <w:pPr>
              <w:pStyle w:val="TableText"/>
              <w:jc w:val="center"/>
            </w:pPr>
            <w:r>
              <w:t>55.7</w:t>
            </w:r>
          </w:p>
        </w:tc>
        <w:tc>
          <w:tcPr>
            <w:tcW w:w="1323" w:type="dxa"/>
            <w:shd w:val="clear" w:color="auto" w:fill="F2F2F2"/>
          </w:tcPr>
          <w:p w:rsidR="00500098" w:rsidRPr="00E3054F" w:rsidRDefault="00500098" w:rsidP="00EC0997">
            <w:pPr>
              <w:pStyle w:val="TableText"/>
              <w:jc w:val="center"/>
            </w:pPr>
            <w:r>
              <w:t>30.5</w:t>
            </w:r>
          </w:p>
        </w:tc>
        <w:tc>
          <w:tcPr>
            <w:tcW w:w="1323" w:type="dxa"/>
            <w:shd w:val="clear" w:color="auto" w:fill="F2F2F2"/>
          </w:tcPr>
          <w:p w:rsidR="00500098" w:rsidRPr="00E3054F" w:rsidRDefault="00394AD2" w:rsidP="00EC0997">
            <w:pPr>
              <w:pStyle w:val="TableText"/>
              <w:jc w:val="center"/>
            </w:pPr>
            <w:r>
              <w:t>$</w:t>
            </w:r>
            <w:r w:rsidR="00500098">
              <w:t>120,192</w:t>
            </w:r>
          </w:p>
        </w:tc>
      </w:tr>
      <w:tr w:rsidR="00500098" w:rsidRPr="00E3054F" w:rsidTr="00EC0997">
        <w:trPr>
          <w:cantSplit/>
        </w:trPr>
        <w:tc>
          <w:tcPr>
            <w:tcW w:w="1418" w:type="dxa"/>
            <w:shd w:val="clear" w:color="auto" w:fill="F2F2F2"/>
          </w:tcPr>
          <w:p w:rsidR="00500098" w:rsidRPr="00E3054F" w:rsidRDefault="00500098" w:rsidP="00EC0997">
            <w:pPr>
              <w:pStyle w:val="TableText"/>
            </w:pPr>
            <w:r>
              <w:t>PSS</w:t>
            </w:r>
          </w:p>
        </w:tc>
        <w:tc>
          <w:tcPr>
            <w:tcW w:w="1417" w:type="dxa"/>
            <w:shd w:val="clear" w:color="auto" w:fill="F2F2F2"/>
          </w:tcPr>
          <w:p w:rsidR="00500098" w:rsidRPr="00E3054F" w:rsidRDefault="00500098" w:rsidP="00EC0997">
            <w:pPr>
              <w:pStyle w:val="TableText"/>
              <w:jc w:val="center"/>
            </w:pPr>
            <w:r>
              <w:t>32,770</w:t>
            </w:r>
          </w:p>
        </w:tc>
        <w:tc>
          <w:tcPr>
            <w:tcW w:w="1417" w:type="dxa"/>
            <w:shd w:val="clear" w:color="auto" w:fill="F2F2F2"/>
          </w:tcPr>
          <w:p w:rsidR="00500098" w:rsidRPr="00E3054F" w:rsidRDefault="00500098" w:rsidP="00EC0997">
            <w:pPr>
              <w:pStyle w:val="TableText"/>
              <w:jc w:val="center"/>
            </w:pPr>
            <w:r>
              <w:t>46,141</w:t>
            </w:r>
          </w:p>
        </w:tc>
        <w:tc>
          <w:tcPr>
            <w:tcW w:w="1418" w:type="dxa"/>
            <w:shd w:val="clear" w:color="auto" w:fill="F2F2F2"/>
          </w:tcPr>
          <w:p w:rsidR="00500098" w:rsidRPr="00E3054F" w:rsidRDefault="00500098" w:rsidP="00EC0997">
            <w:pPr>
              <w:pStyle w:val="TableText"/>
              <w:jc w:val="center"/>
            </w:pPr>
            <w:r>
              <w:t>78,911</w:t>
            </w:r>
          </w:p>
        </w:tc>
        <w:tc>
          <w:tcPr>
            <w:tcW w:w="1323" w:type="dxa"/>
            <w:shd w:val="clear" w:color="auto" w:fill="F2F2F2"/>
          </w:tcPr>
          <w:p w:rsidR="00500098" w:rsidRPr="00E3054F" w:rsidRDefault="00500098" w:rsidP="00EC0997">
            <w:pPr>
              <w:pStyle w:val="TableText"/>
              <w:jc w:val="center"/>
            </w:pPr>
            <w:r>
              <w:t>49.3</w:t>
            </w:r>
          </w:p>
        </w:tc>
        <w:tc>
          <w:tcPr>
            <w:tcW w:w="1323" w:type="dxa"/>
            <w:shd w:val="clear" w:color="auto" w:fill="F2F2F2"/>
          </w:tcPr>
          <w:p w:rsidR="00500098" w:rsidRPr="00E3054F" w:rsidRDefault="00500098" w:rsidP="00EC0997">
            <w:pPr>
              <w:pStyle w:val="TableText"/>
              <w:jc w:val="center"/>
            </w:pPr>
            <w:r>
              <w:t>17.6</w:t>
            </w:r>
          </w:p>
        </w:tc>
        <w:tc>
          <w:tcPr>
            <w:tcW w:w="1323" w:type="dxa"/>
            <w:shd w:val="clear" w:color="auto" w:fill="F2F2F2"/>
          </w:tcPr>
          <w:p w:rsidR="00500098" w:rsidRPr="00E3054F" w:rsidRDefault="00394AD2" w:rsidP="00EC0997">
            <w:pPr>
              <w:pStyle w:val="TableText"/>
              <w:jc w:val="center"/>
            </w:pPr>
            <w:r>
              <w:t>$</w:t>
            </w:r>
            <w:r w:rsidR="00500098">
              <w:t>101,296</w:t>
            </w:r>
          </w:p>
        </w:tc>
      </w:tr>
      <w:tr w:rsidR="00500098" w:rsidRPr="003A6A90" w:rsidTr="00EC0997">
        <w:trPr>
          <w:cantSplit/>
        </w:trPr>
        <w:tc>
          <w:tcPr>
            <w:tcW w:w="1418" w:type="dxa"/>
            <w:shd w:val="clear" w:color="auto" w:fill="F2F2F2"/>
          </w:tcPr>
          <w:p w:rsidR="00500098" w:rsidRPr="003A6A90" w:rsidRDefault="00500098" w:rsidP="00EC0997">
            <w:pPr>
              <w:pStyle w:val="TableText"/>
              <w:rPr>
                <w:b/>
              </w:rPr>
            </w:pPr>
            <w:r>
              <w:rPr>
                <w:b/>
              </w:rPr>
              <w:t>T</w:t>
            </w:r>
            <w:r w:rsidRPr="003A6A90">
              <w:rPr>
                <w:b/>
              </w:rPr>
              <w:t>otal</w:t>
            </w:r>
          </w:p>
        </w:tc>
        <w:tc>
          <w:tcPr>
            <w:tcW w:w="1417" w:type="dxa"/>
            <w:shd w:val="clear" w:color="auto" w:fill="F2F2F2"/>
          </w:tcPr>
          <w:p w:rsidR="00500098" w:rsidRPr="003A6A90" w:rsidRDefault="00500098" w:rsidP="00EC0997">
            <w:pPr>
              <w:pStyle w:val="TableText"/>
              <w:jc w:val="center"/>
              <w:rPr>
                <w:b/>
              </w:rPr>
            </w:pPr>
            <w:r w:rsidRPr="003A6A90">
              <w:rPr>
                <w:b/>
              </w:rPr>
              <w:t>36,425</w:t>
            </w:r>
          </w:p>
        </w:tc>
        <w:tc>
          <w:tcPr>
            <w:tcW w:w="1417" w:type="dxa"/>
            <w:shd w:val="clear" w:color="auto" w:fill="F2F2F2"/>
          </w:tcPr>
          <w:p w:rsidR="00500098" w:rsidRPr="003A6A90" w:rsidRDefault="00500098" w:rsidP="00EC0997">
            <w:pPr>
              <w:pStyle w:val="TableText"/>
              <w:jc w:val="center"/>
              <w:rPr>
                <w:b/>
              </w:rPr>
            </w:pPr>
            <w:r w:rsidRPr="003A6A90">
              <w:rPr>
                <w:b/>
              </w:rPr>
              <w:t>48,273</w:t>
            </w:r>
          </w:p>
        </w:tc>
        <w:tc>
          <w:tcPr>
            <w:tcW w:w="1418" w:type="dxa"/>
            <w:shd w:val="clear" w:color="auto" w:fill="F2F2F2"/>
          </w:tcPr>
          <w:p w:rsidR="00500098" w:rsidRPr="003A6A90" w:rsidRDefault="00500098" w:rsidP="00EC0997">
            <w:pPr>
              <w:pStyle w:val="TableText"/>
              <w:jc w:val="center"/>
              <w:rPr>
                <w:b/>
              </w:rPr>
            </w:pPr>
            <w:r w:rsidRPr="003A6A90">
              <w:rPr>
                <w:b/>
              </w:rPr>
              <w:t>84,698</w:t>
            </w:r>
          </w:p>
        </w:tc>
        <w:tc>
          <w:tcPr>
            <w:tcW w:w="1323" w:type="dxa"/>
            <w:shd w:val="clear" w:color="auto" w:fill="F2F2F2"/>
          </w:tcPr>
          <w:p w:rsidR="00500098" w:rsidRPr="003A6A90" w:rsidRDefault="00500098" w:rsidP="00EC0997">
            <w:pPr>
              <w:pStyle w:val="TableText"/>
              <w:jc w:val="center"/>
              <w:rPr>
                <w:b/>
              </w:rPr>
            </w:pPr>
            <w:r w:rsidRPr="003A6A90">
              <w:rPr>
                <w:b/>
              </w:rPr>
              <w:t>49.7</w:t>
            </w:r>
          </w:p>
        </w:tc>
        <w:tc>
          <w:tcPr>
            <w:tcW w:w="1323" w:type="dxa"/>
            <w:shd w:val="clear" w:color="auto" w:fill="F2F2F2"/>
          </w:tcPr>
          <w:p w:rsidR="00500098" w:rsidRPr="003A6A90" w:rsidRDefault="00500098" w:rsidP="00EC0997">
            <w:pPr>
              <w:pStyle w:val="TableText"/>
              <w:jc w:val="center"/>
              <w:rPr>
                <w:b/>
              </w:rPr>
            </w:pPr>
            <w:r w:rsidRPr="003A6A90">
              <w:rPr>
                <w:b/>
              </w:rPr>
              <w:t>18.5</w:t>
            </w:r>
          </w:p>
        </w:tc>
        <w:tc>
          <w:tcPr>
            <w:tcW w:w="1323" w:type="dxa"/>
            <w:shd w:val="clear" w:color="auto" w:fill="F2F2F2"/>
          </w:tcPr>
          <w:p w:rsidR="00500098" w:rsidRPr="003A6A90" w:rsidRDefault="00394AD2" w:rsidP="00EC0997">
            <w:pPr>
              <w:pStyle w:val="TableText"/>
              <w:jc w:val="center"/>
              <w:rPr>
                <w:b/>
              </w:rPr>
            </w:pPr>
            <w:r>
              <w:rPr>
                <w:b/>
              </w:rPr>
              <w:t>$</w:t>
            </w:r>
            <w:r w:rsidR="00500098" w:rsidRPr="003A6A90">
              <w:rPr>
                <w:b/>
              </w:rPr>
              <w:t>102,587</w:t>
            </w:r>
          </w:p>
        </w:tc>
      </w:tr>
    </w:tbl>
    <w:p w:rsidR="00E32FD9" w:rsidRDefault="00E32FD9" w:rsidP="00E32FD9"/>
    <w:p w:rsidR="0074307F" w:rsidRDefault="0074307F" w:rsidP="0074307F">
      <w:r>
        <w:t>The equivalent statistics for contributor members as at 30 June 2014 are shown below:</w:t>
      </w:r>
    </w:p>
    <w:p w:rsidR="0074307F" w:rsidRDefault="0074307F" w:rsidP="00E32FD9"/>
    <w:tbl>
      <w:tblPr>
        <w:tblStyle w:val="TableGrid"/>
        <w:tblW w:w="0" w:type="auto"/>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18"/>
        <w:gridCol w:w="1417"/>
        <w:gridCol w:w="1417"/>
        <w:gridCol w:w="1418"/>
        <w:gridCol w:w="1323"/>
        <w:gridCol w:w="1323"/>
        <w:gridCol w:w="1323"/>
      </w:tblGrid>
      <w:tr w:rsidR="00E32FD9" w:rsidRPr="00E3054F" w:rsidTr="00EC0997">
        <w:trPr>
          <w:cantSplit/>
          <w:trHeight w:val="323"/>
          <w:tblHeader/>
        </w:trPr>
        <w:tc>
          <w:tcPr>
            <w:tcW w:w="1418" w:type="dxa"/>
            <w:vMerge w:val="restart"/>
            <w:shd w:val="clear" w:color="auto" w:fill="00A8C8"/>
            <w:vAlign w:val="center"/>
          </w:tcPr>
          <w:p w:rsidR="00E32FD9" w:rsidRPr="00E3054F" w:rsidRDefault="00E32FD9" w:rsidP="00E32FD9">
            <w:pPr>
              <w:pStyle w:val="TableHeadingText"/>
              <w:rPr>
                <w:caps w:val="0"/>
              </w:rPr>
            </w:pPr>
            <w:r>
              <w:rPr>
                <w:caps w:val="0"/>
              </w:rPr>
              <w:t xml:space="preserve">As at </w:t>
            </w:r>
            <w:r>
              <w:rPr>
                <w:caps w:val="0"/>
              </w:rPr>
              <w:br/>
              <w:t>30/06/14</w:t>
            </w:r>
          </w:p>
        </w:tc>
        <w:tc>
          <w:tcPr>
            <w:tcW w:w="4252" w:type="dxa"/>
            <w:gridSpan w:val="3"/>
            <w:shd w:val="clear" w:color="auto" w:fill="00A8C8"/>
            <w:vAlign w:val="center"/>
          </w:tcPr>
          <w:p w:rsidR="00E32FD9" w:rsidRPr="00E3054F" w:rsidRDefault="00E32FD9" w:rsidP="00EC0997">
            <w:pPr>
              <w:pStyle w:val="TableHeadingText"/>
              <w:jc w:val="center"/>
              <w:rPr>
                <w:caps w:val="0"/>
              </w:rPr>
            </w:pPr>
            <w:r>
              <w:rPr>
                <w:caps w:val="0"/>
              </w:rPr>
              <w:t>Headcount</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Age</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Service</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Annual Salary</w:t>
            </w:r>
          </w:p>
        </w:tc>
      </w:tr>
      <w:tr w:rsidR="00E32FD9" w:rsidRPr="00E3054F" w:rsidTr="00EC0997">
        <w:trPr>
          <w:cantSplit/>
          <w:trHeight w:val="322"/>
          <w:tblHeader/>
        </w:trPr>
        <w:tc>
          <w:tcPr>
            <w:tcW w:w="1418" w:type="dxa"/>
            <w:vMerge/>
            <w:shd w:val="clear" w:color="auto" w:fill="00A8C8"/>
          </w:tcPr>
          <w:p w:rsidR="00E32FD9" w:rsidRDefault="00E32FD9" w:rsidP="00EC0997">
            <w:pPr>
              <w:pStyle w:val="TableHeadingText"/>
              <w:rPr>
                <w:caps w:val="0"/>
              </w:rPr>
            </w:pPr>
          </w:p>
        </w:tc>
        <w:tc>
          <w:tcPr>
            <w:tcW w:w="1417" w:type="dxa"/>
            <w:shd w:val="clear" w:color="auto" w:fill="00A8C8"/>
            <w:vAlign w:val="center"/>
          </w:tcPr>
          <w:p w:rsidR="00E32FD9" w:rsidRPr="00E3054F" w:rsidRDefault="00E32FD9" w:rsidP="00EC0997">
            <w:pPr>
              <w:pStyle w:val="TableHeadingText"/>
              <w:jc w:val="center"/>
              <w:rPr>
                <w:caps w:val="0"/>
              </w:rPr>
            </w:pPr>
            <w:r>
              <w:rPr>
                <w:caps w:val="0"/>
              </w:rPr>
              <w:t>Males</w:t>
            </w:r>
          </w:p>
        </w:tc>
        <w:tc>
          <w:tcPr>
            <w:tcW w:w="1417" w:type="dxa"/>
            <w:shd w:val="clear" w:color="auto" w:fill="00A8C8"/>
            <w:vAlign w:val="center"/>
          </w:tcPr>
          <w:p w:rsidR="00E32FD9" w:rsidRPr="00E3054F" w:rsidRDefault="00E32FD9" w:rsidP="00EC0997">
            <w:pPr>
              <w:pStyle w:val="TableHeadingText"/>
              <w:jc w:val="center"/>
              <w:rPr>
                <w:caps w:val="0"/>
              </w:rPr>
            </w:pPr>
            <w:r>
              <w:rPr>
                <w:caps w:val="0"/>
              </w:rPr>
              <w:t>Females</w:t>
            </w:r>
          </w:p>
        </w:tc>
        <w:tc>
          <w:tcPr>
            <w:tcW w:w="1418" w:type="dxa"/>
            <w:shd w:val="clear" w:color="auto" w:fill="00A8C8"/>
            <w:vAlign w:val="center"/>
          </w:tcPr>
          <w:p w:rsidR="00E32FD9" w:rsidRPr="00E3054F" w:rsidRDefault="00E32FD9" w:rsidP="00EC0997">
            <w:pPr>
              <w:pStyle w:val="TableHeadingText"/>
              <w:jc w:val="center"/>
              <w:rPr>
                <w:caps w:val="0"/>
              </w:rPr>
            </w:pPr>
            <w:r>
              <w:rPr>
                <w:caps w:val="0"/>
              </w:rPr>
              <w:t>Total</w:t>
            </w:r>
          </w:p>
        </w:tc>
        <w:tc>
          <w:tcPr>
            <w:tcW w:w="1323" w:type="dxa"/>
            <w:vMerge/>
            <w:shd w:val="clear" w:color="auto" w:fill="00A8C8"/>
            <w:vAlign w:val="center"/>
          </w:tcPr>
          <w:p w:rsidR="00E32FD9" w:rsidRPr="00E3054F" w:rsidRDefault="00E32FD9" w:rsidP="00EC0997">
            <w:pPr>
              <w:pStyle w:val="TableHeadingText"/>
              <w:jc w:val="center"/>
              <w:rPr>
                <w:caps w:val="0"/>
              </w:rPr>
            </w:pPr>
          </w:p>
        </w:tc>
        <w:tc>
          <w:tcPr>
            <w:tcW w:w="1323" w:type="dxa"/>
            <w:vMerge/>
            <w:shd w:val="clear" w:color="auto" w:fill="00A8C8"/>
            <w:vAlign w:val="center"/>
          </w:tcPr>
          <w:p w:rsidR="00E32FD9" w:rsidRPr="00E3054F" w:rsidRDefault="00E32FD9" w:rsidP="00EC0997">
            <w:pPr>
              <w:pStyle w:val="TableHeadingText"/>
              <w:jc w:val="center"/>
              <w:rPr>
                <w:caps w:val="0"/>
              </w:rPr>
            </w:pPr>
          </w:p>
        </w:tc>
        <w:tc>
          <w:tcPr>
            <w:tcW w:w="1323" w:type="dxa"/>
            <w:vMerge/>
            <w:shd w:val="clear" w:color="auto" w:fill="00A8C8"/>
            <w:vAlign w:val="center"/>
          </w:tcPr>
          <w:p w:rsidR="00E32FD9" w:rsidRPr="00E3054F" w:rsidRDefault="00E32FD9" w:rsidP="00EC0997">
            <w:pPr>
              <w:pStyle w:val="TableHeadingText"/>
              <w:jc w:val="center"/>
              <w:rPr>
                <w:caps w:val="0"/>
              </w:rPr>
            </w:pPr>
          </w:p>
        </w:tc>
      </w:tr>
      <w:tr w:rsidR="00500098" w:rsidRPr="00E3054F" w:rsidTr="00EC0997">
        <w:trPr>
          <w:cantSplit/>
        </w:trPr>
        <w:tc>
          <w:tcPr>
            <w:tcW w:w="1418" w:type="dxa"/>
            <w:shd w:val="clear" w:color="auto" w:fill="F2F2F2"/>
          </w:tcPr>
          <w:p w:rsidR="00500098" w:rsidRPr="00E3054F" w:rsidRDefault="00500098" w:rsidP="00EC0997">
            <w:pPr>
              <w:pStyle w:val="TableText"/>
            </w:pPr>
            <w:r>
              <w:t>CSS</w:t>
            </w:r>
          </w:p>
        </w:tc>
        <w:tc>
          <w:tcPr>
            <w:tcW w:w="1417" w:type="dxa"/>
            <w:shd w:val="clear" w:color="auto" w:fill="F2F2F2"/>
          </w:tcPr>
          <w:p w:rsidR="00500098" w:rsidRPr="00E3054F" w:rsidRDefault="00500098" w:rsidP="00EC0997">
            <w:pPr>
              <w:pStyle w:val="TableText"/>
              <w:jc w:val="center"/>
            </w:pPr>
            <w:r>
              <w:t>6,793</w:t>
            </w:r>
          </w:p>
        </w:tc>
        <w:tc>
          <w:tcPr>
            <w:tcW w:w="1417" w:type="dxa"/>
            <w:shd w:val="clear" w:color="auto" w:fill="F2F2F2"/>
          </w:tcPr>
          <w:p w:rsidR="00500098" w:rsidRPr="00E3054F" w:rsidRDefault="00500098" w:rsidP="00EC0997">
            <w:pPr>
              <w:pStyle w:val="TableText"/>
              <w:jc w:val="center"/>
            </w:pPr>
            <w:r>
              <w:t>3,755</w:t>
            </w:r>
          </w:p>
        </w:tc>
        <w:tc>
          <w:tcPr>
            <w:tcW w:w="1418" w:type="dxa"/>
            <w:shd w:val="clear" w:color="auto" w:fill="F2F2F2"/>
          </w:tcPr>
          <w:p w:rsidR="00500098" w:rsidRPr="00E3054F" w:rsidRDefault="00500098" w:rsidP="00EC0997">
            <w:pPr>
              <w:pStyle w:val="TableText"/>
              <w:jc w:val="center"/>
            </w:pPr>
            <w:r>
              <w:t>10,548</w:t>
            </w:r>
          </w:p>
        </w:tc>
        <w:tc>
          <w:tcPr>
            <w:tcW w:w="1323" w:type="dxa"/>
            <w:shd w:val="clear" w:color="auto" w:fill="F2F2F2"/>
          </w:tcPr>
          <w:p w:rsidR="00500098" w:rsidRPr="00E3054F" w:rsidRDefault="00500098" w:rsidP="00EC0997">
            <w:pPr>
              <w:pStyle w:val="TableText"/>
              <w:jc w:val="center"/>
            </w:pPr>
            <w:r>
              <w:t>54.4</w:t>
            </w:r>
          </w:p>
        </w:tc>
        <w:tc>
          <w:tcPr>
            <w:tcW w:w="1323" w:type="dxa"/>
            <w:shd w:val="clear" w:color="auto" w:fill="F2F2F2"/>
          </w:tcPr>
          <w:p w:rsidR="00500098" w:rsidRPr="00E3054F" w:rsidRDefault="00500098" w:rsidP="00EC0997">
            <w:pPr>
              <w:pStyle w:val="TableText"/>
              <w:jc w:val="center"/>
            </w:pPr>
            <w:r>
              <w:t>28.6</w:t>
            </w:r>
          </w:p>
        </w:tc>
        <w:tc>
          <w:tcPr>
            <w:tcW w:w="1323" w:type="dxa"/>
            <w:shd w:val="clear" w:color="auto" w:fill="F2F2F2"/>
          </w:tcPr>
          <w:p w:rsidR="00500098" w:rsidRPr="00E3054F" w:rsidRDefault="00394AD2" w:rsidP="00EC0997">
            <w:pPr>
              <w:pStyle w:val="TableText"/>
              <w:jc w:val="center"/>
            </w:pPr>
            <w:r>
              <w:t>$</w:t>
            </w:r>
            <w:r w:rsidR="00500098">
              <w:t>114,718</w:t>
            </w:r>
          </w:p>
        </w:tc>
      </w:tr>
      <w:tr w:rsidR="00500098" w:rsidRPr="00E3054F" w:rsidTr="00EC0997">
        <w:trPr>
          <w:cantSplit/>
        </w:trPr>
        <w:tc>
          <w:tcPr>
            <w:tcW w:w="1418" w:type="dxa"/>
            <w:shd w:val="clear" w:color="auto" w:fill="F2F2F2"/>
          </w:tcPr>
          <w:p w:rsidR="00500098" w:rsidRPr="00E3054F" w:rsidRDefault="00500098" w:rsidP="00EC0997">
            <w:pPr>
              <w:pStyle w:val="TableText"/>
            </w:pPr>
            <w:r>
              <w:t>PSS</w:t>
            </w:r>
          </w:p>
        </w:tc>
        <w:tc>
          <w:tcPr>
            <w:tcW w:w="1417" w:type="dxa"/>
            <w:shd w:val="clear" w:color="auto" w:fill="F2F2F2"/>
          </w:tcPr>
          <w:p w:rsidR="00500098" w:rsidRPr="00E3054F" w:rsidRDefault="00500098" w:rsidP="00EC0997">
            <w:pPr>
              <w:pStyle w:val="TableText"/>
              <w:jc w:val="center"/>
            </w:pPr>
            <w:r>
              <w:t>40,313</w:t>
            </w:r>
          </w:p>
        </w:tc>
        <w:tc>
          <w:tcPr>
            <w:tcW w:w="1417" w:type="dxa"/>
            <w:shd w:val="clear" w:color="auto" w:fill="F2F2F2"/>
          </w:tcPr>
          <w:p w:rsidR="00500098" w:rsidRPr="00E3054F" w:rsidRDefault="00500098" w:rsidP="00EC0997">
            <w:pPr>
              <w:pStyle w:val="TableText"/>
              <w:jc w:val="center"/>
            </w:pPr>
            <w:r>
              <w:t>55,736</w:t>
            </w:r>
          </w:p>
        </w:tc>
        <w:tc>
          <w:tcPr>
            <w:tcW w:w="1418" w:type="dxa"/>
            <w:shd w:val="clear" w:color="auto" w:fill="F2F2F2"/>
          </w:tcPr>
          <w:p w:rsidR="00500098" w:rsidRPr="00E3054F" w:rsidRDefault="00500098" w:rsidP="00EC0997">
            <w:pPr>
              <w:pStyle w:val="TableText"/>
              <w:jc w:val="center"/>
            </w:pPr>
            <w:r>
              <w:t>96,049</w:t>
            </w:r>
          </w:p>
        </w:tc>
        <w:tc>
          <w:tcPr>
            <w:tcW w:w="1323" w:type="dxa"/>
            <w:shd w:val="clear" w:color="auto" w:fill="F2F2F2"/>
          </w:tcPr>
          <w:p w:rsidR="00500098" w:rsidRPr="00E3054F" w:rsidRDefault="00500098" w:rsidP="00EC0997">
            <w:pPr>
              <w:pStyle w:val="TableText"/>
              <w:jc w:val="center"/>
            </w:pPr>
            <w:r>
              <w:t>47.7</w:t>
            </w:r>
          </w:p>
        </w:tc>
        <w:tc>
          <w:tcPr>
            <w:tcW w:w="1323" w:type="dxa"/>
            <w:shd w:val="clear" w:color="auto" w:fill="F2F2F2"/>
          </w:tcPr>
          <w:p w:rsidR="00500098" w:rsidRPr="00E3054F" w:rsidRDefault="00500098" w:rsidP="00EC0997">
            <w:pPr>
              <w:pStyle w:val="TableText"/>
              <w:jc w:val="center"/>
            </w:pPr>
            <w:r>
              <w:t>15.5</w:t>
            </w:r>
          </w:p>
        </w:tc>
        <w:tc>
          <w:tcPr>
            <w:tcW w:w="1323" w:type="dxa"/>
            <w:shd w:val="clear" w:color="auto" w:fill="F2F2F2"/>
          </w:tcPr>
          <w:p w:rsidR="00500098" w:rsidRPr="00E3054F" w:rsidRDefault="00394AD2" w:rsidP="00EC0997">
            <w:pPr>
              <w:pStyle w:val="TableText"/>
              <w:jc w:val="center"/>
            </w:pPr>
            <w:r>
              <w:t>$</w:t>
            </w:r>
            <w:r w:rsidR="00500098">
              <w:t>96,198</w:t>
            </w:r>
          </w:p>
        </w:tc>
      </w:tr>
      <w:tr w:rsidR="00500098" w:rsidRPr="003A6A90" w:rsidTr="00EC0997">
        <w:trPr>
          <w:cantSplit/>
        </w:trPr>
        <w:tc>
          <w:tcPr>
            <w:tcW w:w="1418" w:type="dxa"/>
            <w:shd w:val="clear" w:color="auto" w:fill="F2F2F2"/>
          </w:tcPr>
          <w:p w:rsidR="00500098" w:rsidRPr="003A6A90" w:rsidRDefault="00500098" w:rsidP="00EC0997">
            <w:pPr>
              <w:pStyle w:val="TableText"/>
              <w:rPr>
                <w:b/>
              </w:rPr>
            </w:pPr>
            <w:r>
              <w:rPr>
                <w:b/>
              </w:rPr>
              <w:t>T</w:t>
            </w:r>
            <w:r w:rsidRPr="003A6A90">
              <w:rPr>
                <w:b/>
              </w:rPr>
              <w:t>otal</w:t>
            </w:r>
          </w:p>
        </w:tc>
        <w:tc>
          <w:tcPr>
            <w:tcW w:w="1417" w:type="dxa"/>
            <w:shd w:val="clear" w:color="auto" w:fill="F2F2F2"/>
          </w:tcPr>
          <w:p w:rsidR="00500098" w:rsidRPr="003A6A90" w:rsidRDefault="00500098" w:rsidP="00EC0997">
            <w:pPr>
              <w:pStyle w:val="TableText"/>
              <w:jc w:val="center"/>
              <w:rPr>
                <w:b/>
              </w:rPr>
            </w:pPr>
            <w:r>
              <w:rPr>
                <w:b/>
              </w:rPr>
              <w:t>47,106</w:t>
            </w:r>
          </w:p>
        </w:tc>
        <w:tc>
          <w:tcPr>
            <w:tcW w:w="1417" w:type="dxa"/>
            <w:shd w:val="clear" w:color="auto" w:fill="F2F2F2"/>
          </w:tcPr>
          <w:p w:rsidR="00500098" w:rsidRPr="003A6A90" w:rsidRDefault="00500098" w:rsidP="00EC0997">
            <w:pPr>
              <w:pStyle w:val="TableText"/>
              <w:jc w:val="center"/>
              <w:rPr>
                <w:b/>
              </w:rPr>
            </w:pPr>
            <w:r>
              <w:rPr>
                <w:b/>
              </w:rPr>
              <w:t>59,491</w:t>
            </w:r>
          </w:p>
        </w:tc>
        <w:tc>
          <w:tcPr>
            <w:tcW w:w="1418" w:type="dxa"/>
            <w:shd w:val="clear" w:color="auto" w:fill="F2F2F2"/>
          </w:tcPr>
          <w:p w:rsidR="00500098" w:rsidRPr="003A6A90" w:rsidRDefault="00500098" w:rsidP="00EC0997">
            <w:pPr>
              <w:pStyle w:val="TableText"/>
              <w:jc w:val="center"/>
              <w:rPr>
                <w:b/>
              </w:rPr>
            </w:pPr>
            <w:r>
              <w:rPr>
                <w:b/>
              </w:rPr>
              <w:t>106,597</w:t>
            </w:r>
          </w:p>
        </w:tc>
        <w:tc>
          <w:tcPr>
            <w:tcW w:w="1323" w:type="dxa"/>
            <w:shd w:val="clear" w:color="auto" w:fill="F2F2F2"/>
          </w:tcPr>
          <w:p w:rsidR="00500098" w:rsidRPr="003A6A90" w:rsidRDefault="00500098" w:rsidP="00EC0997">
            <w:pPr>
              <w:pStyle w:val="TableText"/>
              <w:jc w:val="center"/>
              <w:rPr>
                <w:b/>
              </w:rPr>
            </w:pPr>
            <w:r>
              <w:rPr>
                <w:b/>
              </w:rPr>
              <w:t>48.4</w:t>
            </w:r>
          </w:p>
        </w:tc>
        <w:tc>
          <w:tcPr>
            <w:tcW w:w="1323" w:type="dxa"/>
            <w:shd w:val="clear" w:color="auto" w:fill="F2F2F2"/>
          </w:tcPr>
          <w:p w:rsidR="00500098" w:rsidRPr="003A6A90" w:rsidRDefault="00500098" w:rsidP="00EC0997">
            <w:pPr>
              <w:pStyle w:val="TableText"/>
              <w:jc w:val="center"/>
              <w:rPr>
                <w:b/>
              </w:rPr>
            </w:pPr>
            <w:r>
              <w:rPr>
                <w:b/>
              </w:rPr>
              <w:t>16.8</w:t>
            </w:r>
          </w:p>
        </w:tc>
        <w:tc>
          <w:tcPr>
            <w:tcW w:w="1323" w:type="dxa"/>
            <w:shd w:val="clear" w:color="auto" w:fill="F2F2F2"/>
          </w:tcPr>
          <w:p w:rsidR="00500098" w:rsidRPr="003A6A90" w:rsidRDefault="00394AD2" w:rsidP="00EC0997">
            <w:pPr>
              <w:pStyle w:val="TableText"/>
              <w:jc w:val="center"/>
              <w:rPr>
                <w:b/>
              </w:rPr>
            </w:pPr>
            <w:r>
              <w:rPr>
                <w:b/>
              </w:rPr>
              <w:t>$</w:t>
            </w:r>
            <w:r w:rsidR="00500098">
              <w:rPr>
                <w:b/>
              </w:rPr>
              <w:t>98,030</w:t>
            </w:r>
          </w:p>
        </w:tc>
      </w:tr>
    </w:tbl>
    <w:p w:rsidR="0074307F" w:rsidRDefault="0074307F" w:rsidP="00500098"/>
    <w:p w:rsidR="009F432F" w:rsidRDefault="009F432F">
      <w:pPr>
        <w:spacing w:line="240" w:lineRule="auto"/>
      </w:pPr>
      <w:r>
        <w:br w:type="page"/>
      </w:r>
    </w:p>
    <w:p w:rsidR="00500098" w:rsidRDefault="00500098" w:rsidP="00500098">
      <w:r>
        <w:lastRenderedPageBreak/>
        <w:t xml:space="preserve">The distribution of contributors by age </w:t>
      </w:r>
      <w:r w:rsidR="0074307F">
        <w:t xml:space="preserve">as at 30 June 2017 is </w:t>
      </w:r>
      <w:r>
        <w:t>shown in the chart below</w:t>
      </w:r>
      <w:r w:rsidR="0074307F">
        <w:t>.</w:t>
      </w:r>
      <w:r>
        <w:t xml:space="preserve"> There are more females, and at younger ages, than males.</w:t>
      </w:r>
    </w:p>
    <w:p w:rsidR="00500098" w:rsidRDefault="00500098" w:rsidP="00E32FD9"/>
    <w:p w:rsidR="00E32FD9" w:rsidRDefault="00E32FD9" w:rsidP="00E32FD9">
      <w:r>
        <w:rPr>
          <w:noProof/>
          <w:lang w:eastAsia="en-AU"/>
        </w:rPr>
        <w:drawing>
          <wp:inline distT="0" distB="0" distL="0" distR="0" wp14:anchorId="4F4A2EDC" wp14:editId="6BF486A2">
            <wp:extent cx="5760000" cy="2853044"/>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000" cy="2853044"/>
                    </a:xfrm>
                    <a:prstGeom prst="rect">
                      <a:avLst/>
                    </a:prstGeom>
                    <a:noFill/>
                  </pic:spPr>
                </pic:pic>
              </a:graphicData>
            </a:graphic>
          </wp:inline>
        </w:drawing>
      </w:r>
    </w:p>
    <w:p w:rsidR="00E32FD9" w:rsidRDefault="00E32FD9" w:rsidP="00E32FD9"/>
    <w:p w:rsidR="00E32FD9" w:rsidRPr="00331A3B" w:rsidRDefault="00E32FD9" w:rsidP="00E32FD9">
      <w:pPr>
        <w:rPr>
          <w:caps/>
          <w:color w:val="002C77"/>
          <w:spacing w:val="40"/>
        </w:rPr>
      </w:pPr>
      <w:r>
        <w:rPr>
          <w:caps/>
          <w:color w:val="002C77"/>
          <w:spacing w:val="40"/>
        </w:rPr>
        <w:t>Deferred / Preserved Members</w:t>
      </w:r>
    </w:p>
    <w:p w:rsidR="00E32FD9" w:rsidRDefault="00E32FD9" w:rsidP="00E32FD9"/>
    <w:p w:rsidR="0074307F" w:rsidRDefault="0074307F" w:rsidP="0074307F">
      <w:r>
        <w:t>Statistics for deferred CSS and preserved PSS members as at 30 June 2017 are:</w:t>
      </w:r>
    </w:p>
    <w:p w:rsidR="0074307F" w:rsidRDefault="0074307F" w:rsidP="00E32FD9"/>
    <w:tbl>
      <w:tblPr>
        <w:tblStyle w:val="TableGrid"/>
        <w:tblW w:w="0" w:type="auto"/>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18"/>
        <w:gridCol w:w="1417"/>
        <w:gridCol w:w="1417"/>
        <w:gridCol w:w="1418"/>
        <w:gridCol w:w="1323"/>
        <w:gridCol w:w="1323"/>
      </w:tblGrid>
      <w:tr w:rsidR="00E32FD9" w:rsidRPr="00E3054F" w:rsidTr="00EC0997">
        <w:trPr>
          <w:cantSplit/>
          <w:trHeight w:val="323"/>
          <w:tblHeader/>
        </w:trPr>
        <w:tc>
          <w:tcPr>
            <w:tcW w:w="1418" w:type="dxa"/>
            <w:vMerge w:val="restart"/>
            <w:shd w:val="clear" w:color="auto" w:fill="00A8C8"/>
            <w:vAlign w:val="center"/>
          </w:tcPr>
          <w:p w:rsidR="00E32FD9" w:rsidRPr="00E3054F" w:rsidRDefault="00E32FD9" w:rsidP="00EC0997">
            <w:pPr>
              <w:pStyle w:val="TableHeadingText"/>
              <w:rPr>
                <w:caps w:val="0"/>
              </w:rPr>
            </w:pPr>
            <w:r>
              <w:rPr>
                <w:caps w:val="0"/>
              </w:rPr>
              <w:t xml:space="preserve">As at </w:t>
            </w:r>
            <w:r>
              <w:rPr>
                <w:caps w:val="0"/>
              </w:rPr>
              <w:br/>
              <w:t>30/06/17</w:t>
            </w:r>
          </w:p>
        </w:tc>
        <w:tc>
          <w:tcPr>
            <w:tcW w:w="4252" w:type="dxa"/>
            <w:gridSpan w:val="3"/>
            <w:shd w:val="clear" w:color="auto" w:fill="00A8C8"/>
            <w:vAlign w:val="center"/>
          </w:tcPr>
          <w:p w:rsidR="00E32FD9" w:rsidRPr="00E3054F" w:rsidRDefault="00E32FD9" w:rsidP="00EC0997">
            <w:pPr>
              <w:pStyle w:val="TableHeadingText"/>
              <w:jc w:val="center"/>
              <w:rPr>
                <w:caps w:val="0"/>
              </w:rPr>
            </w:pPr>
            <w:r>
              <w:rPr>
                <w:caps w:val="0"/>
              </w:rPr>
              <w:t>Headcount</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Age</w:t>
            </w:r>
          </w:p>
        </w:tc>
        <w:tc>
          <w:tcPr>
            <w:tcW w:w="1323" w:type="dxa"/>
            <w:vMerge w:val="restart"/>
            <w:shd w:val="clear" w:color="auto" w:fill="00A8C8"/>
            <w:vAlign w:val="center"/>
          </w:tcPr>
          <w:p w:rsidR="00E32FD9" w:rsidRPr="00E3054F" w:rsidRDefault="00E32FD9" w:rsidP="00EC0997">
            <w:pPr>
              <w:pStyle w:val="TableHeadingText"/>
              <w:jc w:val="center"/>
              <w:rPr>
                <w:caps w:val="0"/>
              </w:rPr>
            </w:pPr>
            <w:r>
              <w:rPr>
                <w:caps w:val="0"/>
              </w:rPr>
              <w:t>Average Service</w:t>
            </w:r>
          </w:p>
        </w:tc>
      </w:tr>
      <w:tr w:rsidR="00E32FD9" w:rsidRPr="00E3054F" w:rsidTr="00EC0997">
        <w:trPr>
          <w:cantSplit/>
          <w:trHeight w:val="322"/>
          <w:tblHeader/>
        </w:trPr>
        <w:tc>
          <w:tcPr>
            <w:tcW w:w="1418" w:type="dxa"/>
            <w:vMerge/>
            <w:shd w:val="clear" w:color="auto" w:fill="00A8C8"/>
          </w:tcPr>
          <w:p w:rsidR="00E32FD9" w:rsidRDefault="00E32FD9" w:rsidP="00EC0997">
            <w:pPr>
              <w:pStyle w:val="TableHeadingText"/>
              <w:rPr>
                <w:caps w:val="0"/>
              </w:rPr>
            </w:pPr>
          </w:p>
        </w:tc>
        <w:tc>
          <w:tcPr>
            <w:tcW w:w="1417" w:type="dxa"/>
            <w:shd w:val="clear" w:color="auto" w:fill="00A8C8"/>
            <w:vAlign w:val="center"/>
          </w:tcPr>
          <w:p w:rsidR="00E32FD9" w:rsidRPr="00E3054F" w:rsidRDefault="00E32FD9" w:rsidP="00EC0997">
            <w:pPr>
              <w:pStyle w:val="TableHeadingText"/>
              <w:jc w:val="center"/>
              <w:rPr>
                <w:caps w:val="0"/>
              </w:rPr>
            </w:pPr>
            <w:r>
              <w:rPr>
                <w:caps w:val="0"/>
              </w:rPr>
              <w:t>Males</w:t>
            </w:r>
          </w:p>
        </w:tc>
        <w:tc>
          <w:tcPr>
            <w:tcW w:w="1417" w:type="dxa"/>
            <w:shd w:val="clear" w:color="auto" w:fill="00A8C8"/>
            <w:vAlign w:val="center"/>
          </w:tcPr>
          <w:p w:rsidR="00E32FD9" w:rsidRPr="00E3054F" w:rsidRDefault="00E32FD9" w:rsidP="00EC0997">
            <w:pPr>
              <w:pStyle w:val="TableHeadingText"/>
              <w:jc w:val="center"/>
              <w:rPr>
                <w:caps w:val="0"/>
              </w:rPr>
            </w:pPr>
            <w:r>
              <w:rPr>
                <w:caps w:val="0"/>
              </w:rPr>
              <w:t>Females</w:t>
            </w:r>
          </w:p>
        </w:tc>
        <w:tc>
          <w:tcPr>
            <w:tcW w:w="1418" w:type="dxa"/>
            <w:shd w:val="clear" w:color="auto" w:fill="00A8C8"/>
            <w:vAlign w:val="center"/>
          </w:tcPr>
          <w:p w:rsidR="00E32FD9" w:rsidRPr="00E3054F" w:rsidRDefault="00E32FD9" w:rsidP="00EC0997">
            <w:pPr>
              <w:pStyle w:val="TableHeadingText"/>
              <w:jc w:val="center"/>
              <w:rPr>
                <w:caps w:val="0"/>
              </w:rPr>
            </w:pPr>
            <w:r>
              <w:rPr>
                <w:caps w:val="0"/>
              </w:rPr>
              <w:t>Total</w:t>
            </w:r>
          </w:p>
        </w:tc>
        <w:tc>
          <w:tcPr>
            <w:tcW w:w="1323" w:type="dxa"/>
            <w:vMerge/>
            <w:shd w:val="clear" w:color="auto" w:fill="00A8C8"/>
            <w:vAlign w:val="center"/>
          </w:tcPr>
          <w:p w:rsidR="00E32FD9" w:rsidRPr="00E3054F" w:rsidRDefault="00E32FD9" w:rsidP="00EC0997">
            <w:pPr>
              <w:pStyle w:val="TableHeadingText"/>
              <w:jc w:val="center"/>
              <w:rPr>
                <w:caps w:val="0"/>
              </w:rPr>
            </w:pPr>
          </w:p>
        </w:tc>
        <w:tc>
          <w:tcPr>
            <w:tcW w:w="1323" w:type="dxa"/>
            <w:vMerge/>
            <w:shd w:val="clear" w:color="auto" w:fill="00A8C8"/>
            <w:vAlign w:val="center"/>
          </w:tcPr>
          <w:p w:rsidR="00E32FD9" w:rsidRPr="00E3054F" w:rsidRDefault="00E32FD9" w:rsidP="00EC0997">
            <w:pPr>
              <w:pStyle w:val="TableHeadingText"/>
              <w:jc w:val="center"/>
              <w:rPr>
                <w:caps w:val="0"/>
              </w:rPr>
            </w:pPr>
          </w:p>
        </w:tc>
      </w:tr>
      <w:tr w:rsidR="00500098" w:rsidRPr="00E3054F" w:rsidTr="00EC0997">
        <w:trPr>
          <w:cantSplit/>
        </w:trPr>
        <w:tc>
          <w:tcPr>
            <w:tcW w:w="1418" w:type="dxa"/>
            <w:shd w:val="clear" w:color="auto" w:fill="F2F2F2"/>
          </w:tcPr>
          <w:p w:rsidR="00500098" w:rsidRPr="00E3054F" w:rsidRDefault="00500098" w:rsidP="00EC0997">
            <w:pPr>
              <w:pStyle w:val="TableText"/>
            </w:pPr>
            <w:r>
              <w:t>CSS</w:t>
            </w:r>
          </w:p>
        </w:tc>
        <w:tc>
          <w:tcPr>
            <w:tcW w:w="1417" w:type="dxa"/>
            <w:shd w:val="clear" w:color="auto" w:fill="F2F2F2"/>
          </w:tcPr>
          <w:p w:rsidR="00500098" w:rsidRPr="00E3054F" w:rsidRDefault="00500098" w:rsidP="00EC0997">
            <w:pPr>
              <w:pStyle w:val="TableText"/>
              <w:jc w:val="center"/>
            </w:pPr>
            <w:r>
              <w:t>3,053</w:t>
            </w:r>
          </w:p>
        </w:tc>
        <w:tc>
          <w:tcPr>
            <w:tcW w:w="1417" w:type="dxa"/>
            <w:shd w:val="clear" w:color="auto" w:fill="F2F2F2"/>
          </w:tcPr>
          <w:p w:rsidR="00500098" w:rsidRPr="00E3054F" w:rsidRDefault="00500098" w:rsidP="00EC0997">
            <w:pPr>
              <w:pStyle w:val="TableText"/>
              <w:jc w:val="center"/>
            </w:pPr>
            <w:r>
              <w:t>1,783</w:t>
            </w:r>
          </w:p>
        </w:tc>
        <w:tc>
          <w:tcPr>
            <w:tcW w:w="1418" w:type="dxa"/>
            <w:shd w:val="clear" w:color="auto" w:fill="F2F2F2"/>
          </w:tcPr>
          <w:p w:rsidR="00500098" w:rsidRPr="00E3054F" w:rsidRDefault="00500098" w:rsidP="00EC0997">
            <w:pPr>
              <w:pStyle w:val="TableText"/>
              <w:jc w:val="center"/>
            </w:pPr>
            <w:r>
              <w:t>4,836</w:t>
            </w:r>
          </w:p>
        </w:tc>
        <w:tc>
          <w:tcPr>
            <w:tcW w:w="1323" w:type="dxa"/>
            <w:shd w:val="clear" w:color="auto" w:fill="F2F2F2"/>
          </w:tcPr>
          <w:p w:rsidR="00500098" w:rsidRPr="00E3054F" w:rsidRDefault="00500098" w:rsidP="00EC0997">
            <w:pPr>
              <w:pStyle w:val="TableText"/>
              <w:jc w:val="center"/>
            </w:pPr>
            <w:r>
              <w:t>55.8</w:t>
            </w:r>
          </w:p>
        </w:tc>
        <w:tc>
          <w:tcPr>
            <w:tcW w:w="1323" w:type="dxa"/>
            <w:shd w:val="clear" w:color="auto" w:fill="F2F2F2"/>
          </w:tcPr>
          <w:p w:rsidR="00500098" w:rsidRPr="00E3054F" w:rsidRDefault="00500098" w:rsidP="00EC0997">
            <w:pPr>
              <w:pStyle w:val="TableText"/>
              <w:jc w:val="center"/>
            </w:pPr>
            <w:r>
              <w:t>14.3</w:t>
            </w:r>
          </w:p>
        </w:tc>
      </w:tr>
      <w:tr w:rsidR="00500098" w:rsidRPr="00E3054F" w:rsidTr="00EC0997">
        <w:trPr>
          <w:cantSplit/>
        </w:trPr>
        <w:tc>
          <w:tcPr>
            <w:tcW w:w="1418" w:type="dxa"/>
            <w:shd w:val="clear" w:color="auto" w:fill="F2F2F2"/>
          </w:tcPr>
          <w:p w:rsidR="00500098" w:rsidRPr="00E3054F" w:rsidRDefault="00500098" w:rsidP="00EC0997">
            <w:pPr>
              <w:pStyle w:val="TableText"/>
            </w:pPr>
            <w:r>
              <w:t>PSS</w:t>
            </w:r>
          </w:p>
        </w:tc>
        <w:tc>
          <w:tcPr>
            <w:tcW w:w="1417" w:type="dxa"/>
            <w:shd w:val="clear" w:color="auto" w:fill="F2F2F2"/>
          </w:tcPr>
          <w:p w:rsidR="00500098" w:rsidRPr="00E3054F" w:rsidRDefault="00500098" w:rsidP="00EC0997">
            <w:pPr>
              <w:pStyle w:val="TableText"/>
              <w:jc w:val="center"/>
            </w:pPr>
            <w:r>
              <w:t>39,918</w:t>
            </w:r>
          </w:p>
        </w:tc>
        <w:tc>
          <w:tcPr>
            <w:tcW w:w="1417" w:type="dxa"/>
            <w:shd w:val="clear" w:color="auto" w:fill="F2F2F2"/>
          </w:tcPr>
          <w:p w:rsidR="00500098" w:rsidRPr="00E3054F" w:rsidRDefault="00500098" w:rsidP="00EC0997">
            <w:pPr>
              <w:pStyle w:val="TableText"/>
              <w:jc w:val="center"/>
            </w:pPr>
            <w:r>
              <w:t>60,511</w:t>
            </w:r>
          </w:p>
        </w:tc>
        <w:tc>
          <w:tcPr>
            <w:tcW w:w="1418" w:type="dxa"/>
            <w:shd w:val="clear" w:color="auto" w:fill="F2F2F2"/>
          </w:tcPr>
          <w:p w:rsidR="00500098" w:rsidRPr="00E3054F" w:rsidRDefault="00500098" w:rsidP="00EC0997">
            <w:pPr>
              <w:pStyle w:val="TableText"/>
              <w:jc w:val="center"/>
            </w:pPr>
            <w:r>
              <w:t>100,429</w:t>
            </w:r>
          </w:p>
        </w:tc>
        <w:tc>
          <w:tcPr>
            <w:tcW w:w="1323" w:type="dxa"/>
            <w:shd w:val="clear" w:color="auto" w:fill="F2F2F2"/>
          </w:tcPr>
          <w:p w:rsidR="00500098" w:rsidRPr="00E3054F" w:rsidRDefault="00500098" w:rsidP="00EC0997">
            <w:pPr>
              <w:pStyle w:val="TableText"/>
              <w:jc w:val="center"/>
            </w:pPr>
            <w:r>
              <w:t>48.8</w:t>
            </w:r>
          </w:p>
        </w:tc>
        <w:tc>
          <w:tcPr>
            <w:tcW w:w="1323" w:type="dxa"/>
            <w:shd w:val="clear" w:color="auto" w:fill="F2F2F2"/>
          </w:tcPr>
          <w:p w:rsidR="00500098" w:rsidRPr="00E3054F" w:rsidRDefault="00500098" w:rsidP="00EC0997">
            <w:pPr>
              <w:pStyle w:val="TableText"/>
              <w:jc w:val="center"/>
            </w:pPr>
            <w:r>
              <w:t>5.6</w:t>
            </w:r>
          </w:p>
        </w:tc>
      </w:tr>
      <w:tr w:rsidR="00500098" w:rsidRPr="003A6A90" w:rsidTr="00EC0997">
        <w:trPr>
          <w:cantSplit/>
        </w:trPr>
        <w:tc>
          <w:tcPr>
            <w:tcW w:w="1418" w:type="dxa"/>
            <w:shd w:val="clear" w:color="auto" w:fill="F2F2F2"/>
          </w:tcPr>
          <w:p w:rsidR="00500098" w:rsidRPr="003A6A90" w:rsidRDefault="00500098" w:rsidP="00EC0997">
            <w:pPr>
              <w:pStyle w:val="TableText"/>
              <w:rPr>
                <w:b/>
              </w:rPr>
            </w:pPr>
            <w:r>
              <w:rPr>
                <w:b/>
              </w:rPr>
              <w:t>T</w:t>
            </w:r>
            <w:r w:rsidRPr="003A6A90">
              <w:rPr>
                <w:b/>
              </w:rPr>
              <w:t>otal</w:t>
            </w:r>
          </w:p>
        </w:tc>
        <w:tc>
          <w:tcPr>
            <w:tcW w:w="1417" w:type="dxa"/>
            <w:shd w:val="clear" w:color="auto" w:fill="F2F2F2"/>
          </w:tcPr>
          <w:p w:rsidR="00500098" w:rsidRPr="003A6A90" w:rsidRDefault="00500098" w:rsidP="00EC0997">
            <w:pPr>
              <w:pStyle w:val="TableText"/>
              <w:jc w:val="center"/>
              <w:rPr>
                <w:b/>
              </w:rPr>
            </w:pPr>
            <w:r>
              <w:rPr>
                <w:b/>
              </w:rPr>
              <w:t>42,971</w:t>
            </w:r>
          </w:p>
        </w:tc>
        <w:tc>
          <w:tcPr>
            <w:tcW w:w="1417" w:type="dxa"/>
            <w:shd w:val="clear" w:color="auto" w:fill="F2F2F2"/>
          </w:tcPr>
          <w:p w:rsidR="00500098" w:rsidRPr="003A6A90" w:rsidRDefault="00500098" w:rsidP="00EC0997">
            <w:pPr>
              <w:pStyle w:val="TableText"/>
              <w:jc w:val="center"/>
              <w:rPr>
                <w:b/>
              </w:rPr>
            </w:pPr>
            <w:r>
              <w:rPr>
                <w:b/>
              </w:rPr>
              <w:t>62,294</w:t>
            </w:r>
          </w:p>
        </w:tc>
        <w:tc>
          <w:tcPr>
            <w:tcW w:w="1418" w:type="dxa"/>
            <w:shd w:val="clear" w:color="auto" w:fill="F2F2F2"/>
          </w:tcPr>
          <w:p w:rsidR="00500098" w:rsidRPr="003A6A90" w:rsidRDefault="00500098" w:rsidP="00EC0997">
            <w:pPr>
              <w:pStyle w:val="TableText"/>
              <w:jc w:val="center"/>
              <w:rPr>
                <w:b/>
              </w:rPr>
            </w:pPr>
            <w:r>
              <w:rPr>
                <w:b/>
              </w:rPr>
              <w:t>105,265</w:t>
            </w:r>
          </w:p>
        </w:tc>
        <w:tc>
          <w:tcPr>
            <w:tcW w:w="1323" w:type="dxa"/>
            <w:shd w:val="clear" w:color="auto" w:fill="F2F2F2"/>
          </w:tcPr>
          <w:p w:rsidR="00500098" w:rsidRPr="003A6A90" w:rsidRDefault="00500098" w:rsidP="00EC0997">
            <w:pPr>
              <w:pStyle w:val="TableText"/>
              <w:jc w:val="center"/>
              <w:rPr>
                <w:b/>
              </w:rPr>
            </w:pPr>
            <w:r>
              <w:rPr>
                <w:b/>
              </w:rPr>
              <w:t>49.1</w:t>
            </w:r>
          </w:p>
        </w:tc>
        <w:tc>
          <w:tcPr>
            <w:tcW w:w="1323" w:type="dxa"/>
            <w:shd w:val="clear" w:color="auto" w:fill="F2F2F2"/>
          </w:tcPr>
          <w:p w:rsidR="00500098" w:rsidRPr="003A6A90" w:rsidRDefault="00500098" w:rsidP="00EC0997">
            <w:pPr>
              <w:pStyle w:val="TableText"/>
              <w:jc w:val="center"/>
              <w:rPr>
                <w:b/>
              </w:rPr>
            </w:pPr>
            <w:r>
              <w:rPr>
                <w:b/>
              </w:rPr>
              <w:t>6.0</w:t>
            </w:r>
          </w:p>
        </w:tc>
      </w:tr>
    </w:tbl>
    <w:p w:rsidR="00500098" w:rsidRDefault="00500098" w:rsidP="00500098"/>
    <w:p w:rsidR="0074307F" w:rsidRDefault="0074307F" w:rsidP="0074307F">
      <w:r>
        <w:t>The equivalent statistics for deferred/preserved members as at 30 June 2014 are:</w:t>
      </w:r>
    </w:p>
    <w:p w:rsidR="0074307F" w:rsidRDefault="0074307F" w:rsidP="00500098"/>
    <w:tbl>
      <w:tblPr>
        <w:tblStyle w:val="TableGrid"/>
        <w:tblW w:w="0" w:type="auto"/>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18"/>
        <w:gridCol w:w="1417"/>
        <w:gridCol w:w="1417"/>
        <w:gridCol w:w="1418"/>
        <w:gridCol w:w="1323"/>
        <w:gridCol w:w="1323"/>
      </w:tblGrid>
      <w:tr w:rsidR="00500098" w:rsidRPr="00E3054F" w:rsidTr="00EC0997">
        <w:trPr>
          <w:cantSplit/>
          <w:trHeight w:val="323"/>
          <w:tblHeader/>
        </w:trPr>
        <w:tc>
          <w:tcPr>
            <w:tcW w:w="1418" w:type="dxa"/>
            <w:vMerge w:val="restart"/>
            <w:shd w:val="clear" w:color="auto" w:fill="00A8C8"/>
            <w:vAlign w:val="center"/>
          </w:tcPr>
          <w:p w:rsidR="00500098" w:rsidRPr="00E3054F" w:rsidRDefault="00500098" w:rsidP="00500098">
            <w:pPr>
              <w:pStyle w:val="TableHeadingText"/>
              <w:rPr>
                <w:caps w:val="0"/>
              </w:rPr>
            </w:pPr>
            <w:r>
              <w:rPr>
                <w:caps w:val="0"/>
              </w:rPr>
              <w:t xml:space="preserve">As at </w:t>
            </w:r>
            <w:r>
              <w:rPr>
                <w:caps w:val="0"/>
              </w:rPr>
              <w:br/>
              <w:t>30/06/14</w:t>
            </w:r>
          </w:p>
        </w:tc>
        <w:tc>
          <w:tcPr>
            <w:tcW w:w="4252" w:type="dxa"/>
            <w:gridSpan w:val="3"/>
            <w:shd w:val="clear" w:color="auto" w:fill="00A8C8"/>
            <w:vAlign w:val="center"/>
          </w:tcPr>
          <w:p w:rsidR="00500098" w:rsidRPr="00E3054F" w:rsidRDefault="00500098" w:rsidP="00EC0997">
            <w:pPr>
              <w:pStyle w:val="TableHeadingText"/>
              <w:jc w:val="center"/>
              <w:rPr>
                <w:caps w:val="0"/>
              </w:rPr>
            </w:pPr>
            <w:r>
              <w:rPr>
                <w:caps w:val="0"/>
              </w:rPr>
              <w:t>Headcount</w:t>
            </w:r>
          </w:p>
        </w:tc>
        <w:tc>
          <w:tcPr>
            <w:tcW w:w="1323" w:type="dxa"/>
            <w:vMerge w:val="restart"/>
            <w:shd w:val="clear" w:color="auto" w:fill="00A8C8"/>
            <w:vAlign w:val="center"/>
          </w:tcPr>
          <w:p w:rsidR="00500098" w:rsidRPr="00E3054F" w:rsidRDefault="00500098" w:rsidP="00EC0997">
            <w:pPr>
              <w:pStyle w:val="TableHeadingText"/>
              <w:jc w:val="center"/>
              <w:rPr>
                <w:caps w:val="0"/>
              </w:rPr>
            </w:pPr>
            <w:r>
              <w:rPr>
                <w:caps w:val="0"/>
              </w:rPr>
              <w:t>Average Age</w:t>
            </w:r>
          </w:p>
        </w:tc>
        <w:tc>
          <w:tcPr>
            <w:tcW w:w="1323" w:type="dxa"/>
            <w:vMerge w:val="restart"/>
            <w:shd w:val="clear" w:color="auto" w:fill="00A8C8"/>
            <w:vAlign w:val="center"/>
          </w:tcPr>
          <w:p w:rsidR="00500098" w:rsidRPr="00E3054F" w:rsidRDefault="00500098" w:rsidP="00EC0997">
            <w:pPr>
              <w:pStyle w:val="TableHeadingText"/>
              <w:jc w:val="center"/>
              <w:rPr>
                <w:caps w:val="0"/>
              </w:rPr>
            </w:pPr>
            <w:r>
              <w:rPr>
                <w:caps w:val="0"/>
              </w:rPr>
              <w:t>Average Service</w:t>
            </w:r>
          </w:p>
        </w:tc>
      </w:tr>
      <w:tr w:rsidR="00500098" w:rsidRPr="00E3054F" w:rsidTr="00EC0997">
        <w:trPr>
          <w:cantSplit/>
          <w:trHeight w:val="322"/>
          <w:tblHeader/>
        </w:trPr>
        <w:tc>
          <w:tcPr>
            <w:tcW w:w="1418" w:type="dxa"/>
            <w:vMerge/>
            <w:shd w:val="clear" w:color="auto" w:fill="00A8C8"/>
          </w:tcPr>
          <w:p w:rsidR="00500098" w:rsidRDefault="00500098" w:rsidP="00EC0997">
            <w:pPr>
              <w:pStyle w:val="TableHeadingText"/>
              <w:rPr>
                <w:caps w:val="0"/>
              </w:rPr>
            </w:pPr>
          </w:p>
        </w:tc>
        <w:tc>
          <w:tcPr>
            <w:tcW w:w="1417" w:type="dxa"/>
            <w:shd w:val="clear" w:color="auto" w:fill="00A8C8"/>
            <w:vAlign w:val="center"/>
          </w:tcPr>
          <w:p w:rsidR="00500098" w:rsidRPr="00E3054F" w:rsidRDefault="00500098" w:rsidP="00EC0997">
            <w:pPr>
              <w:pStyle w:val="TableHeadingText"/>
              <w:jc w:val="center"/>
              <w:rPr>
                <w:caps w:val="0"/>
              </w:rPr>
            </w:pPr>
            <w:r>
              <w:rPr>
                <w:caps w:val="0"/>
              </w:rPr>
              <w:t>Males</w:t>
            </w:r>
          </w:p>
        </w:tc>
        <w:tc>
          <w:tcPr>
            <w:tcW w:w="1417" w:type="dxa"/>
            <w:shd w:val="clear" w:color="auto" w:fill="00A8C8"/>
            <w:vAlign w:val="center"/>
          </w:tcPr>
          <w:p w:rsidR="00500098" w:rsidRPr="00E3054F" w:rsidRDefault="00500098" w:rsidP="00EC0997">
            <w:pPr>
              <w:pStyle w:val="TableHeadingText"/>
              <w:jc w:val="center"/>
              <w:rPr>
                <w:caps w:val="0"/>
              </w:rPr>
            </w:pPr>
            <w:r>
              <w:rPr>
                <w:caps w:val="0"/>
              </w:rPr>
              <w:t>Females</w:t>
            </w:r>
          </w:p>
        </w:tc>
        <w:tc>
          <w:tcPr>
            <w:tcW w:w="1418" w:type="dxa"/>
            <w:shd w:val="clear" w:color="auto" w:fill="00A8C8"/>
            <w:vAlign w:val="center"/>
          </w:tcPr>
          <w:p w:rsidR="00500098" w:rsidRPr="00E3054F" w:rsidRDefault="00500098" w:rsidP="00EC0997">
            <w:pPr>
              <w:pStyle w:val="TableHeadingText"/>
              <w:jc w:val="center"/>
              <w:rPr>
                <w:caps w:val="0"/>
              </w:rPr>
            </w:pPr>
            <w:r>
              <w:rPr>
                <w:caps w:val="0"/>
              </w:rPr>
              <w:t>Total</w:t>
            </w:r>
          </w:p>
        </w:tc>
        <w:tc>
          <w:tcPr>
            <w:tcW w:w="1323" w:type="dxa"/>
            <w:vMerge/>
            <w:shd w:val="clear" w:color="auto" w:fill="00A8C8"/>
            <w:vAlign w:val="center"/>
          </w:tcPr>
          <w:p w:rsidR="00500098" w:rsidRPr="00E3054F" w:rsidRDefault="00500098" w:rsidP="00EC0997">
            <w:pPr>
              <w:pStyle w:val="TableHeadingText"/>
              <w:jc w:val="center"/>
              <w:rPr>
                <w:caps w:val="0"/>
              </w:rPr>
            </w:pPr>
          </w:p>
        </w:tc>
        <w:tc>
          <w:tcPr>
            <w:tcW w:w="1323" w:type="dxa"/>
            <w:vMerge/>
            <w:shd w:val="clear" w:color="auto" w:fill="00A8C8"/>
            <w:vAlign w:val="center"/>
          </w:tcPr>
          <w:p w:rsidR="00500098" w:rsidRPr="00E3054F" w:rsidRDefault="00500098" w:rsidP="00EC0997">
            <w:pPr>
              <w:pStyle w:val="TableHeadingText"/>
              <w:jc w:val="center"/>
              <w:rPr>
                <w:caps w:val="0"/>
              </w:rPr>
            </w:pPr>
          </w:p>
        </w:tc>
      </w:tr>
      <w:tr w:rsidR="00500098" w:rsidRPr="00E3054F" w:rsidTr="00EC0997">
        <w:trPr>
          <w:cantSplit/>
        </w:trPr>
        <w:tc>
          <w:tcPr>
            <w:tcW w:w="1418" w:type="dxa"/>
            <w:shd w:val="clear" w:color="auto" w:fill="F2F2F2"/>
          </w:tcPr>
          <w:p w:rsidR="00500098" w:rsidRPr="00E3054F" w:rsidRDefault="00500098" w:rsidP="00EC0997">
            <w:pPr>
              <w:pStyle w:val="TableText"/>
            </w:pPr>
            <w:r>
              <w:t>CSS</w:t>
            </w:r>
          </w:p>
        </w:tc>
        <w:tc>
          <w:tcPr>
            <w:tcW w:w="1417" w:type="dxa"/>
            <w:shd w:val="clear" w:color="auto" w:fill="F2F2F2"/>
          </w:tcPr>
          <w:p w:rsidR="00500098" w:rsidRPr="00E3054F" w:rsidRDefault="00500098" w:rsidP="00EC0997">
            <w:pPr>
              <w:pStyle w:val="TableText"/>
              <w:jc w:val="center"/>
            </w:pPr>
            <w:r>
              <w:t>4,455</w:t>
            </w:r>
          </w:p>
        </w:tc>
        <w:tc>
          <w:tcPr>
            <w:tcW w:w="1417" w:type="dxa"/>
            <w:shd w:val="clear" w:color="auto" w:fill="F2F2F2"/>
          </w:tcPr>
          <w:p w:rsidR="00500098" w:rsidRPr="00E3054F" w:rsidRDefault="00500098" w:rsidP="00EC0997">
            <w:pPr>
              <w:pStyle w:val="TableText"/>
              <w:jc w:val="center"/>
            </w:pPr>
            <w:r>
              <w:t>2,239</w:t>
            </w:r>
          </w:p>
        </w:tc>
        <w:tc>
          <w:tcPr>
            <w:tcW w:w="1418" w:type="dxa"/>
            <w:shd w:val="clear" w:color="auto" w:fill="F2F2F2"/>
          </w:tcPr>
          <w:p w:rsidR="00500098" w:rsidRPr="00E3054F" w:rsidRDefault="00500098" w:rsidP="00EC0997">
            <w:pPr>
              <w:pStyle w:val="TableText"/>
              <w:jc w:val="center"/>
            </w:pPr>
            <w:r>
              <w:t>6,694</w:t>
            </w:r>
          </w:p>
        </w:tc>
        <w:tc>
          <w:tcPr>
            <w:tcW w:w="1323" w:type="dxa"/>
            <w:shd w:val="clear" w:color="auto" w:fill="F2F2F2"/>
          </w:tcPr>
          <w:p w:rsidR="00500098" w:rsidRPr="00E3054F" w:rsidRDefault="00500098" w:rsidP="00EC0997">
            <w:pPr>
              <w:pStyle w:val="TableText"/>
              <w:jc w:val="center"/>
            </w:pPr>
            <w:r>
              <w:t>54.4</w:t>
            </w:r>
          </w:p>
        </w:tc>
        <w:tc>
          <w:tcPr>
            <w:tcW w:w="1323" w:type="dxa"/>
            <w:shd w:val="clear" w:color="auto" w:fill="F2F2F2"/>
          </w:tcPr>
          <w:p w:rsidR="00500098" w:rsidRPr="00E3054F" w:rsidRDefault="00500098" w:rsidP="00EC0997">
            <w:pPr>
              <w:pStyle w:val="TableText"/>
              <w:jc w:val="center"/>
            </w:pPr>
            <w:r>
              <w:t>14.8</w:t>
            </w:r>
          </w:p>
        </w:tc>
      </w:tr>
      <w:tr w:rsidR="00500098" w:rsidRPr="00E3054F" w:rsidTr="00EC0997">
        <w:trPr>
          <w:cantSplit/>
        </w:trPr>
        <w:tc>
          <w:tcPr>
            <w:tcW w:w="1418" w:type="dxa"/>
            <w:shd w:val="clear" w:color="auto" w:fill="F2F2F2"/>
          </w:tcPr>
          <w:p w:rsidR="00500098" w:rsidRPr="00E3054F" w:rsidRDefault="00500098" w:rsidP="00EC0997">
            <w:pPr>
              <w:pStyle w:val="TableText"/>
            </w:pPr>
            <w:r>
              <w:t>PSS</w:t>
            </w:r>
          </w:p>
        </w:tc>
        <w:tc>
          <w:tcPr>
            <w:tcW w:w="1417" w:type="dxa"/>
            <w:shd w:val="clear" w:color="auto" w:fill="F2F2F2"/>
          </w:tcPr>
          <w:p w:rsidR="00500098" w:rsidRPr="00E3054F" w:rsidRDefault="00500098" w:rsidP="00EC0997">
            <w:pPr>
              <w:pStyle w:val="TableText"/>
              <w:jc w:val="center"/>
            </w:pPr>
            <w:r>
              <w:t>41,417</w:t>
            </w:r>
          </w:p>
        </w:tc>
        <w:tc>
          <w:tcPr>
            <w:tcW w:w="1417" w:type="dxa"/>
            <w:shd w:val="clear" w:color="auto" w:fill="F2F2F2"/>
          </w:tcPr>
          <w:p w:rsidR="00500098" w:rsidRPr="00E3054F" w:rsidRDefault="00500098" w:rsidP="00EC0997">
            <w:pPr>
              <w:pStyle w:val="TableText"/>
              <w:jc w:val="center"/>
            </w:pPr>
            <w:r>
              <w:t>61,489</w:t>
            </w:r>
          </w:p>
        </w:tc>
        <w:tc>
          <w:tcPr>
            <w:tcW w:w="1418" w:type="dxa"/>
            <w:shd w:val="clear" w:color="auto" w:fill="F2F2F2"/>
          </w:tcPr>
          <w:p w:rsidR="00500098" w:rsidRPr="00E3054F" w:rsidRDefault="00500098" w:rsidP="00EC0997">
            <w:pPr>
              <w:pStyle w:val="TableText"/>
              <w:jc w:val="center"/>
            </w:pPr>
            <w:r>
              <w:t>102,906</w:t>
            </w:r>
          </w:p>
        </w:tc>
        <w:tc>
          <w:tcPr>
            <w:tcW w:w="1323" w:type="dxa"/>
            <w:shd w:val="clear" w:color="auto" w:fill="F2F2F2"/>
          </w:tcPr>
          <w:p w:rsidR="00500098" w:rsidRPr="00E3054F" w:rsidRDefault="00500098" w:rsidP="00EC0997">
            <w:pPr>
              <w:pStyle w:val="TableText"/>
              <w:jc w:val="center"/>
            </w:pPr>
            <w:r>
              <w:t>46.7</w:t>
            </w:r>
          </w:p>
        </w:tc>
        <w:tc>
          <w:tcPr>
            <w:tcW w:w="1323" w:type="dxa"/>
            <w:shd w:val="clear" w:color="auto" w:fill="F2F2F2"/>
          </w:tcPr>
          <w:p w:rsidR="00500098" w:rsidRPr="00E3054F" w:rsidRDefault="00500098" w:rsidP="00EC0997">
            <w:pPr>
              <w:pStyle w:val="TableText"/>
              <w:jc w:val="center"/>
            </w:pPr>
            <w:r>
              <w:t>5.2</w:t>
            </w:r>
          </w:p>
        </w:tc>
      </w:tr>
      <w:tr w:rsidR="00500098" w:rsidRPr="003A6A90" w:rsidTr="00EC0997">
        <w:trPr>
          <w:cantSplit/>
        </w:trPr>
        <w:tc>
          <w:tcPr>
            <w:tcW w:w="1418" w:type="dxa"/>
            <w:shd w:val="clear" w:color="auto" w:fill="F2F2F2"/>
          </w:tcPr>
          <w:p w:rsidR="00500098" w:rsidRPr="003A6A90" w:rsidRDefault="00500098" w:rsidP="00EC0997">
            <w:pPr>
              <w:pStyle w:val="TableText"/>
              <w:rPr>
                <w:b/>
              </w:rPr>
            </w:pPr>
            <w:r>
              <w:rPr>
                <w:b/>
              </w:rPr>
              <w:t>T</w:t>
            </w:r>
            <w:r w:rsidRPr="003A6A90">
              <w:rPr>
                <w:b/>
              </w:rPr>
              <w:t>otal</w:t>
            </w:r>
          </w:p>
        </w:tc>
        <w:tc>
          <w:tcPr>
            <w:tcW w:w="1417" w:type="dxa"/>
            <w:shd w:val="clear" w:color="auto" w:fill="F2F2F2"/>
          </w:tcPr>
          <w:p w:rsidR="00500098" w:rsidRPr="003A6A90" w:rsidRDefault="00500098" w:rsidP="00EC0997">
            <w:pPr>
              <w:pStyle w:val="TableText"/>
              <w:jc w:val="center"/>
              <w:rPr>
                <w:b/>
              </w:rPr>
            </w:pPr>
            <w:r>
              <w:rPr>
                <w:b/>
              </w:rPr>
              <w:t>45,872</w:t>
            </w:r>
          </w:p>
        </w:tc>
        <w:tc>
          <w:tcPr>
            <w:tcW w:w="1417" w:type="dxa"/>
            <w:shd w:val="clear" w:color="auto" w:fill="F2F2F2"/>
          </w:tcPr>
          <w:p w:rsidR="00500098" w:rsidRPr="003A6A90" w:rsidRDefault="00500098" w:rsidP="00EC0997">
            <w:pPr>
              <w:pStyle w:val="TableText"/>
              <w:jc w:val="center"/>
              <w:rPr>
                <w:b/>
              </w:rPr>
            </w:pPr>
            <w:r>
              <w:rPr>
                <w:b/>
              </w:rPr>
              <w:t>63,728</w:t>
            </w:r>
          </w:p>
        </w:tc>
        <w:tc>
          <w:tcPr>
            <w:tcW w:w="1418" w:type="dxa"/>
            <w:shd w:val="clear" w:color="auto" w:fill="F2F2F2"/>
          </w:tcPr>
          <w:p w:rsidR="00500098" w:rsidRPr="003A6A90" w:rsidRDefault="00500098" w:rsidP="00EC0997">
            <w:pPr>
              <w:pStyle w:val="TableText"/>
              <w:jc w:val="center"/>
              <w:rPr>
                <w:b/>
              </w:rPr>
            </w:pPr>
            <w:r>
              <w:rPr>
                <w:b/>
              </w:rPr>
              <w:t>109,600</w:t>
            </w:r>
          </w:p>
        </w:tc>
        <w:tc>
          <w:tcPr>
            <w:tcW w:w="1323" w:type="dxa"/>
            <w:shd w:val="clear" w:color="auto" w:fill="F2F2F2"/>
          </w:tcPr>
          <w:p w:rsidR="00500098" w:rsidRPr="003A6A90" w:rsidRDefault="00500098" w:rsidP="00EC0997">
            <w:pPr>
              <w:pStyle w:val="TableText"/>
              <w:jc w:val="center"/>
              <w:rPr>
                <w:b/>
              </w:rPr>
            </w:pPr>
            <w:r>
              <w:rPr>
                <w:b/>
              </w:rPr>
              <w:t>47.2</w:t>
            </w:r>
          </w:p>
        </w:tc>
        <w:tc>
          <w:tcPr>
            <w:tcW w:w="1323" w:type="dxa"/>
            <w:shd w:val="clear" w:color="auto" w:fill="F2F2F2"/>
          </w:tcPr>
          <w:p w:rsidR="00500098" w:rsidRPr="003A6A90" w:rsidRDefault="00500098" w:rsidP="00EC0997">
            <w:pPr>
              <w:pStyle w:val="TableText"/>
              <w:jc w:val="center"/>
              <w:rPr>
                <w:b/>
              </w:rPr>
            </w:pPr>
            <w:r>
              <w:rPr>
                <w:b/>
              </w:rPr>
              <w:t>5.8</w:t>
            </w:r>
          </w:p>
        </w:tc>
      </w:tr>
    </w:tbl>
    <w:p w:rsidR="00500098" w:rsidRDefault="00500098" w:rsidP="00500098"/>
    <w:p w:rsidR="0074307F" w:rsidRDefault="0074307F">
      <w:pPr>
        <w:spacing w:line="240" w:lineRule="auto"/>
      </w:pPr>
      <w:r>
        <w:br w:type="page"/>
      </w:r>
    </w:p>
    <w:p w:rsidR="0074307F" w:rsidRDefault="0074307F" w:rsidP="0074307F">
      <w:r>
        <w:lastRenderedPageBreak/>
        <w:t>The distribution of deferred/preserved members by age as at 30 June 2017 is shown in the chart below.</w:t>
      </w:r>
    </w:p>
    <w:p w:rsidR="0074307F" w:rsidRDefault="0074307F" w:rsidP="00500098"/>
    <w:p w:rsidR="00E32FD9" w:rsidRDefault="00E32FD9" w:rsidP="00E32FD9">
      <w:r>
        <w:rPr>
          <w:noProof/>
          <w:lang w:eastAsia="en-AU"/>
        </w:rPr>
        <w:drawing>
          <wp:inline distT="0" distB="0" distL="0" distR="0" wp14:anchorId="1EDDF774" wp14:editId="446AE7B2">
            <wp:extent cx="5760000" cy="2854800"/>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000" cy="2854800"/>
                    </a:xfrm>
                    <a:prstGeom prst="rect">
                      <a:avLst/>
                    </a:prstGeom>
                    <a:noFill/>
                  </pic:spPr>
                </pic:pic>
              </a:graphicData>
            </a:graphic>
          </wp:inline>
        </w:drawing>
      </w:r>
    </w:p>
    <w:p w:rsidR="00E32FD9" w:rsidRDefault="00E32FD9" w:rsidP="00E32FD9"/>
    <w:p w:rsidR="00E32FD9" w:rsidRPr="00331A3B" w:rsidRDefault="00E32FD9" w:rsidP="00E32FD9">
      <w:pPr>
        <w:rPr>
          <w:caps/>
          <w:color w:val="002C77"/>
          <w:spacing w:val="40"/>
        </w:rPr>
      </w:pPr>
      <w:r w:rsidRPr="00331A3B">
        <w:rPr>
          <w:caps/>
          <w:color w:val="002C77"/>
          <w:spacing w:val="40"/>
        </w:rPr>
        <w:t>Pensioners</w:t>
      </w:r>
    </w:p>
    <w:p w:rsidR="0074307F" w:rsidRDefault="0074307F" w:rsidP="0074307F"/>
    <w:p w:rsidR="00F80D03" w:rsidRDefault="00F80D03" w:rsidP="00F80D03">
      <w:r>
        <w:t xml:space="preserve">Statistics for </w:t>
      </w:r>
      <w:r w:rsidR="003869F2">
        <w:t xml:space="preserve">age and invalidity </w:t>
      </w:r>
      <w:r w:rsidR="00D72C77">
        <w:t xml:space="preserve">retiree </w:t>
      </w:r>
      <w:r>
        <w:t>pensioners as at 30 June 2017 are:</w:t>
      </w:r>
    </w:p>
    <w:p w:rsidR="0000472B" w:rsidRDefault="0000472B" w:rsidP="0000472B">
      <w:pPr>
        <w:spacing w:line="240" w:lineRule="auto"/>
      </w:pPr>
    </w:p>
    <w:tbl>
      <w:tblPr>
        <w:tblStyle w:val="TableGrid"/>
        <w:tblW w:w="9639"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84"/>
        <w:gridCol w:w="2551"/>
        <w:gridCol w:w="1418"/>
        <w:gridCol w:w="1417"/>
        <w:gridCol w:w="1276"/>
        <w:gridCol w:w="1418"/>
        <w:gridCol w:w="1275"/>
      </w:tblGrid>
      <w:tr w:rsidR="0000472B" w:rsidRPr="00E3054F" w:rsidTr="00E57B26">
        <w:trPr>
          <w:cantSplit/>
          <w:trHeight w:val="323"/>
          <w:tblHeader/>
        </w:trPr>
        <w:tc>
          <w:tcPr>
            <w:tcW w:w="2835" w:type="dxa"/>
            <w:gridSpan w:val="2"/>
            <w:vMerge w:val="restart"/>
            <w:shd w:val="clear" w:color="auto" w:fill="00A8C8"/>
            <w:vAlign w:val="center"/>
          </w:tcPr>
          <w:p w:rsidR="0000472B" w:rsidRDefault="0000472B" w:rsidP="00E57B26">
            <w:pPr>
              <w:pStyle w:val="TableHeadingText"/>
              <w:rPr>
                <w:caps w:val="0"/>
              </w:rPr>
            </w:pPr>
            <w:r>
              <w:rPr>
                <w:caps w:val="0"/>
              </w:rPr>
              <w:t xml:space="preserve">As at </w:t>
            </w:r>
            <w:r>
              <w:rPr>
                <w:caps w:val="0"/>
              </w:rPr>
              <w:br/>
              <w:t>30/06/17</w:t>
            </w:r>
          </w:p>
        </w:tc>
        <w:tc>
          <w:tcPr>
            <w:tcW w:w="4111" w:type="dxa"/>
            <w:gridSpan w:val="3"/>
            <w:shd w:val="clear" w:color="auto" w:fill="00A8C8"/>
            <w:vAlign w:val="center"/>
          </w:tcPr>
          <w:p w:rsidR="0000472B" w:rsidRPr="00E3054F" w:rsidRDefault="0000472B" w:rsidP="00E57B26">
            <w:pPr>
              <w:pStyle w:val="TableHeadingText"/>
              <w:jc w:val="center"/>
              <w:rPr>
                <w:caps w:val="0"/>
              </w:rPr>
            </w:pPr>
            <w:r>
              <w:rPr>
                <w:caps w:val="0"/>
              </w:rPr>
              <w:t>Headcount</w:t>
            </w:r>
          </w:p>
        </w:tc>
        <w:tc>
          <w:tcPr>
            <w:tcW w:w="1418" w:type="dxa"/>
            <w:vMerge w:val="restart"/>
            <w:shd w:val="clear" w:color="auto" w:fill="00A8C8"/>
            <w:vAlign w:val="center"/>
          </w:tcPr>
          <w:p w:rsidR="0000472B" w:rsidRPr="00E3054F" w:rsidRDefault="0000472B" w:rsidP="00E57B26">
            <w:pPr>
              <w:pStyle w:val="TableHeadingText"/>
              <w:jc w:val="center"/>
              <w:rPr>
                <w:caps w:val="0"/>
              </w:rPr>
            </w:pPr>
            <w:r>
              <w:rPr>
                <w:caps w:val="0"/>
              </w:rPr>
              <w:t>Average Age</w:t>
            </w:r>
          </w:p>
        </w:tc>
        <w:tc>
          <w:tcPr>
            <w:tcW w:w="1275" w:type="dxa"/>
            <w:vMerge w:val="restart"/>
            <w:shd w:val="clear" w:color="auto" w:fill="00A8C8"/>
            <w:vAlign w:val="center"/>
          </w:tcPr>
          <w:p w:rsidR="0000472B" w:rsidRPr="00E3054F" w:rsidRDefault="0000472B" w:rsidP="00E57B26">
            <w:pPr>
              <w:pStyle w:val="TableHeadingText"/>
              <w:jc w:val="center"/>
              <w:rPr>
                <w:caps w:val="0"/>
              </w:rPr>
            </w:pPr>
            <w:r>
              <w:rPr>
                <w:caps w:val="0"/>
              </w:rPr>
              <w:t>Average Annual Pension</w:t>
            </w:r>
          </w:p>
        </w:tc>
      </w:tr>
      <w:tr w:rsidR="0000472B" w:rsidRPr="00E3054F" w:rsidTr="00E57B26">
        <w:trPr>
          <w:cantSplit/>
          <w:trHeight w:val="322"/>
          <w:tblHeader/>
        </w:trPr>
        <w:tc>
          <w:tcPr>
            <w:tcW w:w="2835" w:type="dxa"/>
            <w:gridSpan w:val="2"/>
            <w:vMerge/>
            <w:shd w:val="clear" w:color="auto" w:fill="00A8C8"/>
          </w:tcPr>
          <w:p w:rsidR="0000472B" w:rsidRDefault="0000472B" w:rsidP="00E57B26">
            <w:pPr>
              <w:pStyle w:val="TableHeadingText"/>
              <w:jc w:val="center"/>
              <w:rPr>
                <w:caps w:val="0"/>
              </w:rPr>
            </w:pPr>
          </w:p>
        </w:tc>
        <w:tc>
          <w:tcPr>
            <w:tcW w:w="1418" w:type="dxa"/>
            <w:shd w:val="clear" w:color="auto" w:fill="00A8C8"/>
            <w:vAlign w:val="center"/>
          </w:tcPr>
          <w:p w:rsidR="0000472B" w:rsidRPr="00E3054F" w:rsidRDefault="0000472B" w:rsidP="00E57B26">
            <w:pPr>
              <w:pStyle w:val="TableHeadingText"/>
              <w:jc w:val="center"/>
              <w:rPr>
                <w:caps w:val="0"/>
              </w:rPr>
            </w:pPr>
            <w:r>
              <w:rPr>
                <w:caps w:val="0"/>
              </w:rPr>
              <w:t>Males</w:t>
            </w:r>
          </w:p>
        </w:tc>
        <w:tc>
          <w:tcPr>
            <w:tcW w:w="1417" w:type="dxa"/>
            <w:shd w:val="clear" w:color="auto" w:fill="00A8C8"/>
            <w:vAlign w:val="center"/>
          </w:tcPr>
          <w:p w:rsidR="0000472B" w:rsidRPr="00E3054F" w:rsidRDefault="0000472B" w:rsidP="00E57B26">
            <w:pPr>
              <w:pStyle w:val="TableHeadingText"/>
              <w:jc w:val="center"/>
              <w:rPr>
                <w:caps w:val="0"/>
              </w:rPr>
            </w:pPr>
            <w:r>
              <w:rPr>
                <w:caps w:val="0"/>
              </w:rPr>
              <w:t>Females</w:t>
            </w:r>
          </w:p>
        </w:tc>
        <w:tc>
          <w:tcPr>
            <w:tcW w:w="1276" w:type="dxa"/>
            <w:shd w:val="clear" w:color="auto" w:fill="00A8C8"/>
            <w:vAlign w:val="center"/>
          </w:tcPr>
          <w:p w:rsidR="0000472B" w:rsidRPr="00E3054F" w:rsidRDefault="0000472B" w:rsidP="00E57B26">
            <w:pPr>
              <w:pStyle w:val="TableHeadingText"/>
              <w:jc w:val="center"/>
              <w:rPr>
                <w:caps w:val="0"/>
              </w:rPr>
            </w:pPr>
            <w:r>
              <w:rPr>
                <w:caps w:val="0"/>
              </w:rPr>
              <w:t>Total</w:t>
            </w:r>
          </w:p>
        </w:tc>
        <w:tc>
          <w:tcPr>
            <w:tcW w:w="1418" w:type="dxa"/>
            <w:vMerge/>
            <w:shd w:val="clear" w:color="auto" w:fill="00A8C8"/>
            <w:vAlign w:val="center"/>
          </w:tcPr>
          <w:p w:rsidR="0000472B" w:rsidRPr="00E3054F" w:rsidRDefault="0000472B" w:rsidP="00E57B26">
            <w:pPr>
              <w:pStyle w:val="TableHeadingText"/>
              <w:jc w:val="center"/>
              <w:rPr>
                <w:caps w:val="0"/>
              </w:rPr>
            </w:pPr>
          </w:p>
        </w:tc>
        <w:tc>
          <w:tcPr>
            <w:tcW w:w="1275" w:type="dxa"/>
            <w:vMerge/>
            <w:shd w:val="clear" w:color="auto" w:fill="00A8C8"/>
            <w:vAlign w:val="center"/>
          </w:tcPr>
          <w:p w:rsidR="0000472B" w:rsidRPr="00E3054F" w:rsidRDefault="0000472B" w:rsidP="00E57B26">
            <w:pPr>
              <w:pStyle w:val="TableHeadingText"/>
              <w:jc w:val="center"/>
              <w:rPr>
                <w:caps w:val="0"/>
              </w:rPr>
            </w:pPr>
          </w:p>
        </w:tc>
      </w:tr>
      <w:tr w:rsidR="0000472B" w:rsidRPr="00E3054F" w:rsidTr="00E57B26">
        <w:trPr>
          <w:cantSplit/>
        </w:trPr>
        <w:tc>
          <w:tcPr>
            <w:tcW w:w="2835" w:type="dxa"/>
            <w:gridSpan w:val="2"/>
            <w:shd w:val="clear" w:color="auto" w:fill="F2F2F2"/>
          </w:tcPr>
          <w:p w:rsidR="0000472B" w:rsidRPr="00E3054F" w:rsidRDefault="0000472B" w:rsidP="00E57B26">
            <w:pPr>
              <w:pStyle w:val="TableText"/>
            </w:pPr>
            <w:r>
              <w:t>Primary Pensioners</w:t>
            </w:r>
          </w:p>
        </w:tc>
        <w:tc>
          <w:tcPr>
            <w:tcW w:w="6804" w:type="dxa"/>
            <w:gridSpan w:val="5"/>
            <w:shd w:val="clear" w:color="auto" w:fill="F2F2F2"/>
          </w:tcPr>
          <w:p w:rsidR="0000472B" w:rsidRPr="00E3054F" w:rsidRDefault="0000472B" w:rsidP="00E57B26">
            <w:pPr>
              <w:pStyle w:val="TableText"/>
            </w:pPr>
          </w:p>
        </w:tc>
      </w:tr>
      <w:tr w:rsidR="0000472B" w:rsidRPr="00B42A4D" w:rsidTr="00E57B26">
        <w:trPr>
          <w:cantSplit/>
        </w:trPr>
        <w:tc>
          <w:tcPr>
            <w:tcW w:w="284" w:type="dxa"/>
            <w:shd w:val="clear" w:color="auto" w:fill="F2F2F2"/>
          </w:tcPr>
          <w:p w:rsidR="0000472B" w:rsidRPr="00E3054F" w:rsidRDefault="0000472B" w:rsidP="00E57B26">
            <w:pPr>
              <w:pStyle w:val="TableText"/>
            </w:pPr>
          </w:p>
        </w:tc>
        <w:tc>
          <w:tcPr>
            <w:tcW w:w="2551" w:type="dxa"/>
            <w:shd w:val="clear" w:color="auto" w:fill="F2F2F2"/>
            <w:vAlign w:val="center"/>
          </w:tcPr>
          <w:p w:rsidR="0000472B" w:rsidRPr="00B42A4D" w:rsidRDefault="0000472B" w:rsidP="00E57B26">
            <w:pPr>
              <w:pStyle w:val="TableText"/>
            </w:pPr>
            <w:r w:rsidRPr="00B42A4D">
              <w:t>1922</w:t>
            </w:r>
            <w:r w:rsidR="00D72C77">
              <w:t xml:space="preserve"> Scheme</w:t>
            </w:r>
          </w:p>
        </w:tc>
        <w:tc>
          <w:tcPr>
            <w:tcW w:w="1418" w:type="dxa"/>
            <w:shd w:val="clear" w:color="auto" w:fill="F2F2F2"/>
          </w:tcPr>
          <w:p w:rsidR="0000472B" w:rsidRPr="00B42A4D" w:rsidRDefault="0000472B" w:rsidP="00E57B26">
            <w:pPr>
              <w:pStyle w:val="TableText"/>
              <w:jc w:val="center"/>
            </w:pPr>
            <w:r w:rsidRPr="00B42A4D">
              <w:t>404</w:t>
            </w:r>
          </w:p>
        </w:tc>
        <w:tc>
          <w:tcPr>
            <w:tcW w:w="1417" w:type="dxa"/>
            <w:shd w:val="clear" w:color="auto" w:fill="F2F2F2"/>
          </w:tcPr>
          <w:p w:rsidR="0000472B" w:rsidRPr="00B42A4D" w:rsidRDefault="0000472B" w:rsidP="00E57B26">
            <w:pPr>
              <w:pStyle w:val="TableText"/>
              <w:jc w:val="center"/>
            </w:pPr>
            <w:r w:rsidRPr="00B42A4D">
              <w:t>175</w:t>
            </w:r>
          </w:p>
        </w:tc>
        <w:tc>
          <w:tcPr>
            <w:tcW w:w="1276" w:type="dxa"/>
            <w:shd w:val="clear" w:color="auto" w:fill="F2F2F2"/>
          </w:tcPr>
          <w:p w:rsidR="0000472B" w:rsidRPr="00B42A4D" w:rsidRDefault="0000472B" w:rsidP="00E57B26">
            <w:pPr>
              <w:pStyle w:val="TableText"/>
              <w:jc w:val="center"/>
            </w:pPr>
            <w:r w:rsidRPr="00B42A4D">
              <w:t>579</w:t>
            </w:r>
          </w:p>
        </w:tc>
        <w:tc>
          <w:tcPr>
            <w:tcW w:w="1418" w:type="dxa"/>
            <w:shd w:val="clear" w:color="auto" w:fill="F2F2F2"/>
          </w:tcPr>
          <w:p w:rsidR="0000472B" w:rsidRPr="00B42A4D" w:rsidRDefault="0000472B" w:rsidP="00E57B26">
            <w:pPr>
              <w:pStyle w:val="TableText"/>
              <w:jc w:val="center"/>
            </w:pPr>
            <w:r w:rsidRPr="00B42A4D">
              <w:t>80.0</w:t>
            </w:r>
          </w:p>
        </w:tc>
        <w:tc>
          <w:tcPr>
            <w:tcW w:w="1275" w:type="dxa"/>
            <w:shd w:val="clear" w:color="auto" w:fill="F2F2F2"/>
          </w:tcPr>
          <w:p w:rsidR="0000472B" w:rsidRPr="00B42A4D" w:rsidRDefault="0000472B" w:rsidP="00E57B26">
            <w:pPr>
              <w:pStyle w:val="TableText"/>
              <w:jc w:val="center"/>
            </w:pPr>
            <w:r>
              <w:t>$</w:t>
            </w:r>
            <w:r w:rsidRPr="00B42A4D">
              <w:t>37,617</w:t>
            </w:r>
          </w:p>
        </w:tc>
      </w:tr>
      <w:tr w:rsidR="0000472B" w:rsidRPr="00B42A4D"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D72C77" w:rsidP="00E57B26">
            <w:pPr>
              <w:pStyle w:val="TableText"/>
            </w:pPr>
            <w:r>
              <w:t>CSS</w:t>
            </w:r>
          </w:p>
        </w:tc>
        <w:tc>
          <w:tcPr>
            <w:tcW w:w="1418" w:type="dxa"/>
            <w:shd w:val="clear" w:color="auto" w:fill="F2F2F2"/>
          </w:tcPr>
          <w:p w:rsidR="0000472B" w:rsidRPr="00B42A4D" w:rsidRDefault="0000472B" w:rsidP="00E57B26">
            <w:pPr>
              <w:pStyle w:val="TableText"/>
              <w:jc w:val="center"/>
            </w:pPr>
            <w:r w:rsidRPr="00B42A4D">
              <w:t>58,881</w:t>
            </w:r>
          </w:p>
        </w:tc>
        <w:tc>
          <w:tcPr>
            <w:tcW w:w="1417" w:type="dxa"/>
            <w:shd w:val="clear" w:color="auto" w:fill="F2F2F2"/>
          </w:tcPr>
          <w:p w:rsidR="0000472B" w:rsidRPr="00B42A4D" w:rsidRDefault="0000472B" w:rsidP="00E57B26">
            <w:pPr>
              <w:pStyle w:val="TableText"/>
              <w:jc w:val="center"/>
            </w:pPr>
            <w:r w:rsidRPr="00B42A4D">
              <w:t>24,382</w:t>
            </w:r>
          </w:p>
        </w:tc>
        <w:tc>
          <w:tcPr>
            <w:tcW w:w="1276" w:type="dxa"/>
            <w:shd w:val="clear" w:color="auto" w:fill="F2F2F2"/>
          </w:tcPr>
          <w:p w:rsidR="0000472B" w:rsidRPr="00B42A4D" w:rsidRDefault="0000472B" w:rsidP="00E57B26">
            <w:pPr>
              <w:pStyle w:val="TableText"/>
              <w:jc w:val="center"/>
            </w:pPr>
            <w:r w:rsidRPr="00B42A4D">
              <w:t>83,263</w:t>
            </w:r>
          </w:p>
        </w:tc>
        <w:tc>
          <w:tcPr>
            <w:tcW w:w="1418" w:type="dxa"/>
            <w:shd w:val="clear" w:color="auto" w:fill="F2F2F2"/>
          </w:tcPr>
          <w:p w:rsidR="0000472B" w:rsidRPr="00B42A4D" w:rsidRDefault="0000472B" w:rsidP="00E57B26">
            <w:pPr>
              <w:pStyle w:val="TableText"/>
              <w:jc w:val="center"/>
            </w:pPr>
            <w:r w:rsidRPr="00B42A4D">
              <w:t>72.8</w:t>
            </w:r>
          </w:p>
        </w:tc>
        <w:tc>
          <w:tcPr>
            <w:tcW w:w="1275" w:type="dxa"/>
            <w:shd w:val="clear" w:color="auto" w:fill="F2F2F2"/>
          </w:tcPr>
          <w:p w:rsidR="0000472B" w:rsidRPr="00B42A4D" w:rsidRDefault="0000472B" w:rsidP="00E57B26">
            <w:pPr>
              <w:pStyle w:val="TableText"/>
              <w:jc w:val="center"/>
            </w:pPr>
            <w:r>
              <w:t>$</w:t>
            </w:r>
            <w:r w:rsidRPr="00B42A4D">
              <w:t>42,201</w:t>
            </w:r>
          </w:p>
        </w:tc>
      </w:tr>
      <w:tr w:rsidR="0000472B" w:rsidRPr="00B42A4D"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D72C77" w:rsidP="00E57B26">
            <w:pPr>
              <w:pStyle w:val="TableText"/>
            </w:pPr>
            <w:r>
              <w:t>PSS</w:t>
            </w:r>
          </w:p>
        </w:tc>
        <w:tc>
          <w:tcPr>
            <w:tcW w:w="1418" w:type="dxa"/>
            <w:shd w:val="clear" w:color="auto" w:fill="F2F2F2"/>
          </w:tcPr>
          <w:p w:rsidR="0000472B" w:rsidRPr="00B42A4D" w:rsidRDefault="0000472B" w:rsidP="00E57B26">
            <w:pPr>
              <w:pStyle w:val="TableText"/>
              <w:jc w:val="center"/>
            </w:pPr>
            <w:r w:rsidRPr="00B42A4D">
              <w:t>21,411</w:t>
            </w:r>
          </w:p>
        </w:tc>
        <w:tc>
          <w:tcPr>
            <w:tcW w:w="1417" w:type="dxa"/>
            <w:shd w:val="clear" w:color="auto" w:fill="F2F2F2"/>
          </w:tcPr>
          <w:p w:rsidR="0000472B" w:rsidRPr="00B42A4D" w:rsidRDefault="0000472B" w:rsidP="00E57B26">
            <w:pPr>
              <w:pStyle w:val="TableText"/>
              <w:jc w:val="center"/>
            </w:pPr>
            <w:r w:rsidRPr="00B42A4D">
              <w:t>24,780</w:t>
            </w:r>
          </w:p>
        </w:tc>
        <w:tc>
          <w:tcPr>
            <w:tcW w:w="1276" w:type="dxa"/>
            <w:shd w:val="clear" w:color="auto" w:fill="F2F2F2"/>
          </w:tcPr>
          <w:p w:rsidR="0000472B" w:rsidRPr="00B42A4D" w:rsidRDefault="0000472B" w:rsidP="00E57B26">
            <w:pPr>
              <w:pStyle w:val="TableText"/>
              <w:jc w:val="center"/>
            </w:pPr>
            <w:r w:rsidRPr="00B42A4D">
              <w:t>46,191</w:t>
            </w:r>
          </w:p>
        </w:tc>
        <w:tc>
          <w:tcPr>
            <w:tcW w:w="1418" w:type="dxa"/>
            <w:shd w:val="clear" w:color="auto" w:fill="F2F2F2"/>
          </w:tcPr>
          <w:p w:rsidR="0000472B" w:rsidRPr="00B42A4D" w:rsidRDefault="0000472B" w:rsidP="00E57B26">
            <w:pPr>
              <w:pStyle w:val="TableText"/>
              <w:jc w:val="center"/>
            </w:pPr>
            <w:r w:rsidRPr="00B42A4D">
              <w:t>63.7</w:t>
            </w:r>
          </w:p>
        </w:tc>
        <w:tc>
          <w:tcPr>
            <w:tcW w:w="1275" w:type="dxa"/>
            <w:shd w:val="clear" w:color="auto" w:fill="F2F2F2"/>
          </w:tcPr>
          <w:p w:rsidR="0000472B" w:rsidRPr="00B42A4D" w:rsidRDefault="0000472B" w:rsidP="00E57B26">
            <w:pPr>
              <w:pStyle w:val="TableText"/>
              <w:jc w:val="center"/>
            </w:pPr>
            <w:r>
              <w:t>$</w:t>
            </w:r>
            <w:r w:rsidRPr="00B42A4D">
              <w:t>32,218</w:t>
            </w:r>
          </w:p>
        </w:tc>
      </w:tr>
      <w:tr w:rsidR="0000472B" w:rsidRPr="00B42A4D" w:rsidTr="00E57B26">
        <w:trPr>
          <w:cantSplit/>
        </w:trPr>
        <w:tc>
          <w:tcPr>
            <w:tcW w:w="2835" w:type="dxa"/>
            <w:gridSpan w:val="2"/>
            <w:shd w:val="clear" w:color="auto" w:fill="F2F2F2"/>
          </w:tcPr>
          <w:p w:rsidR="0000472B" w:rsidRPr="00B42A4D" w:rsidRDefault="0000472B" w:rsidP="00E57B26">
            <w:pPr>
              <w:pStyle w:val="TableText"/>
              <w:rPr>
                <w:b/>
              </w:rPr>
            </w:pPr>
            <w:r>
              <w:rPr>
                <w:b/>
              </w:rPr>
              <w:t>T</w:t>
            </w:r>
            <w:r w:rsidRPr="00B42A4D">
              <w:rPr>
                <w:b/>
              </w:rPr>
              <w:t>otal</w:t>
            </w:r>
          </w:p>
        </w:tc>
        <w:tc>
          <w:tcPr>
            <w:tcW w:w="1418" w:type="dxa"/>
            <w:shd w:val="clear" w:color="auto" w:fill="F2F2F2"/>
          </w:tcPr>
          <w:p w:rsidR="0000472B" w:rsidRPr="00B42A4D" w:rsidRDefault="0000472B" w:rsidP="00E57B26">
            <w:pPr>
              <w:pStyle w:val="TableText"/>
              <w:jc w:val="center"/>
              <w:rPr>
                <w:b/>
              </w:rPr>
            </w:pPr>
            <w:r w:rsidRPr="00B42A4D">
              <w:rPr>
                <w:b/>
              </w:rPr>
              <w:t>80,696</w:t>
            </w:r>
          </w:p>
        </w:tc>
        <w:tc>
          <w:tcPr>
            <w:tcW w:w="1417" w:type="dxa"/>
            <w:shd w:val="clear" w:color="auto" w:fill="F2F2F2"/>
          </w:tcPr>
          <w:p w:rsidR="0000472B" w:rsidRPr="00B42A4D" w:rsidRDefault="0000472B" w:rsidP="00E57B26">
            <w:pPr>
              <w:pStyle w:val="TableText"/>
              <w:jc w:val="center"/>
              <w:rPr>
                <w:b/>
              </w:rPr>
            </w:pPr>
            <w:r w:rsidRPr="00B42A4D">
              <w:rPr>
                <w:b/>
              </w:rPr>
              <w:t>49,337</w:t>
            </w:r>
          </w:p>
        </w:tc>
        <w:tc>
          <w:tcPr>
            <w:tcW w:w="1276" w:type="dxa"/>
            <w:shd w:val="clear" w:color="auto" w:fill="F2F2F2"/>
          </w:tcPr>
          <w:p w:rsidR="0000472B" w:rsidRPr="00B42A4D" w:rsidRDefault="0000472B" w:rsidP="00E57B26">
            <w:pPr>
              <w:pStyle w:val="TableText"/>
              <w:jc w:val="center"/>
              <w:rPr>
                <w:b/>
              </w:rPr>
            </w:pPr>
            <w:r w:rsidRPr="00B42A4D">
              <w:rPr>
                <w:b/>
              </w:rPr>
              <w:t>130,033</w:t>
            </w:r>
          </w:p>
        </w:tc>
        <w:tc>
          <w:tcPr>
            <w:tcW w:w="1418" w:type="dxa"/>
            <w:shd w:val="clear" w:color="auto" w:fill="F2F2F2"/>
          </w:tcPr>
          <w:p w:rsidR="0000472B" w:rsidRPr="00B42A4D" w:rsidRDefault="0000472B" w:rsidP="00E57B26">
            <w:pPr>
              <w:pStyle w:val="TableText"/>
              <w:jc w:val="center"/>
              <w:rPr>
                <w:b/>
              </w:rPr>
            </w:pPr>
            <w:r w:rsidRPr="00B42A4D">
              <w:rPr>
                <w:b/>
              </w:rPr>
              <w:t>69.6</w:t>
            </w:r>
          </w:p>
        </w:tc>
        <w:tc>
          <w:tcPr>
            <w:tcW w:w="1275" w:type="dxa"/>
            <w:shd w:val="clear" w:color="auto" w:fill="F2F2F2"/>
          </w:tcPr>
          <w:p w:rsidR="0000472B" w:rsidRPr="00B42A4D" w:rsidRDefault="0000472B" w:rsidP="00E57B26">
            <w:pPr>
              <w:pStyle w:val="TableText"/>
              <w:jc w:val="center"/>
              <w:rPr>
                <w:b/>
              </w:rPr>
            </w:pPr>
            <w:r>
              <w:rPr>
                <w:b/>
              </w:rPr>
              <w:t>$</w:t>
            </w:r>
            <w:r w:rsidRPr="00B42A4D">
              <w:rPr>
                <w:b/>
              </w:rPr>
              <w:t>38,634</w:t>
            </w:r>
          </w:p>
        </w:tc>
      </w:tr>
      <w:tr w:rsidR="0000472B" w:rsidRPr="00B42A4D" w:rsidTr="00E57B26">
        <w:trPr>
          <w:cantSplit/>
        </w:trPr>
        <w:tc>
          <w:tcPr>
            <w:tcW w:w="2835" w:type="dxa"/>
            <w:gridSpan w:val="2"/>
            <w:shd w:val="clear" w:color="auto" w:fill="F2F2F2"/>
            <w:vAlign w:val="center"/>
          </w:tcPr>
          <w:p w:rsidR="0000472B" w:rsidRPr="00B42A4D" w:rsidRDefault="0000472B" w:rsidP="00E57B26">
            <w:pPr>
              <w:pStyle w:val="TableText"/>
            </w:pPr>
            <w:r w:rsidRPr="00B42A4D">
              <w:t>Dependant Pensioners</w:t>
            </w:r>
          </w:p>
        </w:tc>
        <w:tc>
          <w:tcPr>
            <w:tcW w:w="6804" w:type="dxa"/>
            <w:gridSpan w:val="5"/>
            <w:shd w:val="clear" w:color="auto" w:fill="F2F2F2"/>
          </w:tcPr>
          <w:p w:rsidR="0000472B" w:rsidRPr="00B42A4D" w:rsidRDefault="0000472B" w:rsidP="00E57B26">
            <w:pPr>
              <w:pStyle w:val="TableText"/>
            </w:pPr>
          </w:p>
        </w:tc>
      </w:tr>
      <w:tr w:rsidR="0000472B" w:rsidRPr="00B42A4D"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00472B" w:rsidP="00E57B26">
            <w:pPr>
              <w:pStyle w:val="TableText"/>
            </w:pPr>
            <w:r w:rsidRPr="00B42A4D">
              <w:t>1922</w:t>
            </w:r>
            <w:r w:rsidR="00D72C77">
              <w:t xml:space="preserve"> Scheme</w:t>
            </w:r>
          </w:p>
        </w:tc>
        <w:tc>
          <w:tcPr>
            <w:tcW w:w="1418" w:type="dxa"/>
            <w:shd w:val="clear" w:color="auto" w:fill="F2F2F2"/>
          </w:tcPr>
          <w:p w:rsidR="0000472B" w:rsidRPr="00B42A4D" w:rsidRDefault="0000472B" w:rsidP="00E57B26">
            <w:pPr>
              <w:pStyle w:val="TableText"/>
              <w:jc w:val="center"/>
            </w:pPr>
            <w:r w:rsidRPr="00B42A4D">
              <w:t>25</w:t>
            </w:r>
          </w:p>
        </w:tc>
        <w:tc>
          <w:tcPr>
            <w:tcW w:w="1417" w:type="dxa"/>
            <w:shd w:val="clear" w:color="auto" w:fill="F2F2F2"/>
          </w:tcPr>
          <w:p w:rsidR="0000472B" w:rsidRPr="00B42A4D" w:rsidRDefault="0000472B" w:rsidP="00E57B26">
            <w:pPr>
              <w:pStyle w:val="TableText"/>
              <w:jc w:val="center"/>
            </w:pPr>
            <w:r w:rsidRPr="00B42A4D">
              <w:t>1,961</w:t>
            </w:r>
          </w:p>
        </w:tc>
        <w:tc>
          <w:tcPr>
            <w:tcW w:w="1276" w:type="dxa"/>
            <w:shd w:val="clear" w:color="auto" w:fill="F2F2F2"/>
          </w:tcPr>
          <w:p w:rsidR="0000472B" w:rsidRPr="00B42A4D" w:rsidRDefault="0000472B" w:rsidP="00E57B26">
            <w:pPr>
              <w:pStyle w:val="TableText"/>
              <w:jc w:val="center"/>
            </w:pPr>
            <w:r w:rsidRPr="00B42A4D">
              <w:t>1,986</w:t>
            </w:r>
          </w:p>
        </w:tc>
        <w:tc>
          <w:tcPr>
            <w:tcW w:w="1418" w:type="dxa"/>
            <w:shd w:val="clear" w:color="auto" w:fill="F2F2F2"/>
          </w:tcPr>
          <w:p w:rsidR="0000472B" w:rsidRPr="00B42A4D" w:rsidRDefault="0000472B" w:rsidP="00E57B26">
            <w:pPr>
              <w:pStyle w:val="TableText"/>
              <w:jc w:val="center"/>
            </w:pPr>
            <w:r w:rsidRPr="00B42A4D">
              <w:t>86.9</w:t>
            </w:r>
          </w:p>
        </w:tc>
        <w:tc>
          <w:tcPr>
            <w:tcW w:w="1275" w:type="dxa"/>
            <w:shd w:val="clear" w:color="auto" w:fill="F2F2F2"/>
          </w:tcPr>
          <w:p w:rsidR="0000472B" w:rsidRPr="00B42A4D" w:rsidRDefault="0000472B" w:rsidP="00E57B26">
            <w:pPr>
              <w:pStyle w:val="TableText"/>
              <w:jc w:val="center"/>
            </w:pPr>
            <w:r>
              <w:t>$</w:t>
            </w:r>
            <w:r w:rsidRPr="00B42A4D">
              <w:t>28,485</w:t>
            </w:r>
          </w:p>
        </w:tc>
      </w:tr>
      <w:tr w:rsidR="0000472B" w:rsidRPr="00E3054F"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D72C77" w:rsidP="00E57B26">
            <w:pPr>
              <w:pStyle w:val="TableText"/>
            </w:pPr>
            <w:r>
              <w:t>CSS</w:t>
            </w:r>
          </w:p>
        </w:tc>
        <w:tc>
          <w:tcPr>
            <w:tcW w:w="1418" w:type="dxa"/>
            <w:shd w:val="clear" w:color="auto" w:fill="F2F2F2"/>
          </w:tcPr>
          <w:p w:rsidR="0000472B" w:rsidRPr="00B42A4D" w:rsidRDefault="0000472B" w:rsidP="00E57B26">
            <w:pPr>
              <w:pStyle w:val="TableText"/>
              <w:jc w:val="center"/>
            </w:pPr>
            <w:r w:rsidRPr="00B42A4D">
              <w:t>1,584</w:t>
            </w:r>
          </w:p>
        </w:tc>
        <w:tc>
          <w:tcPr>
            <w:tcW w:w="1417" w:type="dxa"/>
            <w:shd w:val="clear" w:color="auto" w:fill="F2F2F2"/>
          </w:tcPr>
          <w:p w:rsidR="0000472B" w:rsidRPr="00B42A4D" w:rsidRDefault="0000472B" w:rsidP="00E57B26">
            <w:pPr>
              <w:pStyle w:val="TableText"/>
              <w:jc w:val="center"/>
            </w:pPr>
            <w:r w:rsidRPr="00B42A4D">
              <w:t>22,491</w:t>
            </w:r>
          </w:p>
        </w:tc>
        <w:tc>
          <w:tcPr>
            <w:tcW w:w="1276" w:type="dxa"/>
            <w:shd w:val="clear" w:color="auto" w:fill="F2F2F2"/>
          </w:tcPr>
          <w:p w:rsidR="0000472B" w:rsidRPr="00B42A4D" w:rsidRDefault="0000472B" w:rsidP="00E57B26">
            <w:pPr>
              <w:pStyle w:val="TableText"/>
              <w:jc w:val="center"/>
            </w:pPr>
            <w:r w:rsidRPr="00B42A4D">
              <w:t>24,075</w:t>
            </w:r>
          </w:p>
        </w:tc>
        <w:tc>
          <w:tcPr>
            <w:tcW w:w="1418" w:type="dxa"/>
            <w:shd w:val="clear" w:color="auto" w:fill="F2F2F2"/>
          </w:tcPr>
          <w:p w:rsidR="0000472B" w:rsidRPr="00B42A4D" w:rsidRDefault="0000472B" w:rsidP="00E57B26">
            <w:pPr>
              <w:pStyle w:val="TableText"/>
              <w:jc w:val="center"/>
            </w:pPr>
            <w:r w:rsidRPr="00B42A4D">
              <w:t>80.7</w:t>
            </w:r>
          </w:p>
        </w:tc>
        <w:tc>
          <w:tcPr>
            <w:tcW w:w="1275" w:type="dxa"/>
            <w:shd w:val="clear" w:color="auto" w:fill="F2F2F2"/>
          </w:tcPr>
          <w:p w:rsidR="0000472B" w:rsidRPr="00B42A4D" w:rsidRDefault="0000472B" w:rsidP="00E57B26">
            <w:pPr>
              <w:pStyle w:val="TableText"/>
              <w:jc w:val="center"/>
            </w:pPr>
            <w:r>
              <w:t>$</w:t>
            </w:r>
            <w:r w:rsidRPr="00B42A4D">
              <w:t>22,836</w:t>
            </w:r>
          </w:p>
        </w:tc>
      </w:tr>
      <w:tr w:rsidR="0000472B" w:rsidRPr="00E3054F" w:rsidTr="00E57B26">
        <w:trPr>
          <w:cantSplit/>
        </w:trPr>
        <w:tc>
          <w:tcPr>
            <w:tcW w:w="284" w:type="dxa"/>
            <w:shd w:val="clear" w:color="auto" w:fill="F2F2F2"/>
          </w:tcPr>
          <w:p w:rsidR="0000472B" w:rsidRPr="00E3054F" w:rsidRDefault="0000472B" w:rsidP="00E57B26">
            <w:pPr>
              <w:pStyle w:val="TableText"/>
            </w:pPr>
          </w:p>
        </w:tc>
        <w:tc>
          <w:tcPr>
            <w:tcW w:w="2551" w:type="dxa"/>
            <w:shd w:val="clear" w:color="auto" w:fill="F2F2F2"/>
            <w:vAlign w:val="center"/>
          </w:tcPr>
          <w:p w:rsidR="0000472B" w:rsidRDefault="00D72C77" w:rsidP="00E57B26">
            <w:pPr>
              <w:pStyle w:val="TableText"/>
            </w:pPr>
            <w:r>
              <w:t>PSS</w:t>
            </w:r>
          </w:p>
        </w:tc>
        <w:tc>
          <w:tcPr>
            <w:tcW w:w="1418" w:type="dxa"/>
            <w:shd w:val="clear" w:color="auto" w:fill="F2F2F2"/>
          </w:tcPr>
          <w:p w:rsidR="0000472B" w:rsidRPr="00E3054F" w:rsidRDefault="0000472B" w:rsidP="00E57B26">
            <w:pPr>
              <w:pStyle w:val="TableText"/>
              <w:jc w:val="center"/>
            </w:pPr>
            <w:r>
              <w:t>617</w:t>
            </w:r>
          </w:p>
        </w:tc>
        <w:tc>
          <w:tcPr>
            <w:tcW w:w="1417" w:type="dxa"/>
            <w:shd w:val="clear" w:color="auto" w:fill="F2F2F2"/>
          </w:tcPr>
          <w:p w:rsidR="0000472B" w:rsidRPr="00E3054F" w:rsidRDefault="0000472B" w:rsidP="00E57B26">
            <w:pPr>
              <w:pStyle w:val="TableText"/>
              <w:jc w:val="center"/>
            </w:pPr>
            <w:r>
              <w:t>1,343</w:t>
            </w:r>
          </w:p>
        </w:tc>
        <w:tc>
          <w:tcPr>
            <w:tcW w:w="1276" w:type="dxa"/>
            <w:shd w:val="clear" w:color="auto" w:fill="F2F2F2"/>
          </w:tcPr>
          <w:p w:rsidR="0000472B" w:rsidRPr="00E3054F" w:rsidRDefault="0000472B" w:rsidP="00E57B26">
            <w:pPr>
              <w:pStyle w:val="TableText"/>
              <w:jc w:val="center"/>
            </w:pPr>
            <w:r>
              <w:t>1,960</w:t>
            </w:r>
          </w:p>
        </w:tc>
        <w:tc>
          <w:tcPr>
            <w:tcW w:w="1418" w:type="dxa"/>
            <w:shd w:val="clear" w:color="auto" w:fill="F2F2F2"/>
          </w:tcPr>
          <w:p w:rsidR="0000472B" w:rsidRPr="00E3054F" w:rsidRDefault="0000472B" w:rsidP="00E57B26">
            <w:pPr>
              <w:pStyle w:val="TableText"/>
              <w:jc w:val="center"/>
            </w:pPr>
            <w:r>
              <w:t>63.3</w:t>
            </w:r>
          </w:p>
        </w:tc>
        <w:tc>
          <w:tcPr>
            <w:tcW w:w="1275" w:type="dxa"/>
            <w:shd w:val="clear" w:color="auto" w:fill="F2F2F2"/>
          </w:tcPr>
          <w:p w:rsidR="0000472B" w:rsidRPr="00E3054F" w:rsidRDefault="0000472B" w:rsidP="00E57B26">
            <w:pPr>
              <w:pStyle w:val="TableText"/>
              <w:jc w:val="center"/>
            </w:pPr>
            <w:r>
              <w:t>$18,958</w:t>
            </w:r>
          </w:p>
        </w:tc>
      </w:tr>
      <w:tr w:rsidR="0000472B" w:rsidRPr="003A6A90" w:rsidTr="00E57B26">
        <w:trPr>
          <w:cantSplit/>
        </w:trPr>
        <w:tc>
          <w:tcPr>
            <w:tcW w:w="2835" w:type="dxa"/>
            <w:gridSpan w:val="2"/>
            <w:shd w:val="clear" w:color="auto" w:fill="F2F2F2"/>
          </w:tcPr>
          <w:p w:rsidR="0000472B" w:rsidRDefault="0000472B" w:rsidP="00E57B26">
            <w:pPr>
              <w:pStyle w:val="TableText"/>
              <w:rPr>
                <w:b/>
              </w:rPr>
            </w:pPr>
            <w:r>
              <w:rPr>
                <w:b/>
              </w:rPr>
              <w:t>T</w:t>
            </w:r>
            <w:r w:rsidRPr="003A6A90">
              <w:rPr>
                <w:b/>
              </w:rPr>
              <w:t>otal</w:t>
            </w:r>
          </w:p>
        </w:tc>
        <w:tc>
          <w:tcPr>
            <w:tcW w:w="1418" w:type="dxa"/>
            <w:shd w:val="clear" w:color="auto" w:fill="F2F2F2"/>
          </w:tcPr>
          <w:p w:rsidR="0000472B" w:rsidRPr="003A6A90" w:rsidRDefault="0000472B" w:rsidP="00E57B26">
            <w:pPr>
              <w:pStyle w:val="TableText"/>
              <w:jc w:val="center"/>
              <w:rPr>
                <w:b/>
              </w:rPr>
            </w:pPr>
            <w:r>
              <w:rPr>
                <w:b/>
              </w:rPr>
              <w:t>2,226</w:t>
            </w:r>
          </w:p>
        </w:tc>
        <w:tc>
          <w:tcPr>
            <w:tcW w:w="1417" w:type="dxa"/>
            <w:shd w:val="clear" w:color="auto" w:fill="F2F2F2"/>
          </w:tcPr>
          <w:p w:rsidR="0000472B" w:rsidRPr="003A6A90" w:rsidRDefault="0000472B" w:rsidP="00E57B26">
            <w:pPr>
              <w:pStyle w:val="TableText"/>
              <w:jc w:val="center"/>
              <w:rPr>
                <w:b/>
              </w:rPr>
            </w:pPr>
            <w:r>
              <w:rPr>
                <w:b/>
              </w:rPr>
              <w:t>25,795</w:t>
            </w:r>
          </w:p>
        </w:tc>
        <w:tc>
          <w:tcPr>
            <w:tcW w:w="1276" w:type="dxa"/>
            <w:shd w:val="clear" w:color="auto" w:fill="F2F2F2"/>
          </w:tcPr>
          <w:p w:rsidR="0000472B" w:rsidRPr="003A6A90" w:rsidRDefault="0000472B" w:rsidP="00E57B26">
            <w:pPr>
              <w:pStyle w:val="TableText"/>
              <w:jc w:val="center"/>
              <w:rPr>
                <w:b/>
              </w:rPr>
            </w:pPr>
            <w:r>
              <w:rPr>
                <w:b/>
              </w:rPr>
              <w:t>28,021</w:t>
            </w:r>
          </w:p>
        </w:tc>
        <w:tc>
          <w:tcPr>
            <w:tcW w:w="1418" w:type="dxa"/>
            <w:shd w:val="clear" w:color="auto" w:fill="F2F2F2"/>
          </w:tcPr>
          <w:p w:rsidR="0000472B" w:rsidRPr="003A6A90" w:rsidRDefault="0000472B" w:rsidP="00E57B26">
            <w:pPr>
              <w:pStyle w:val="TableText"/>
              <w:jc w:val="center"/>
              <w:rPr>
                <w:b/>
              </w:rPr>
            </w:pPr>
            <w:r>
              <w:rPr>
                <w:b/>
              </w:rPr>
              <w:t>79.9</w:t>
            </w:r>
          </w:p>
        </w:tc>
        <w:tc>
          <w:tcPr>
            <w:tcW w:w="1275" w:type="dxa"/>
            <w:shd w:val="clear" w:color="auto" w:fill="F2F2F2"/>
          </w:tcPr>
          <w:p w:rsidR="0000472B" w:rsidRPr="003A6A90" w:rsidRDefault="0000472B" w:rsidP="00E57B26">
            <w:pPr>
              <w:pStyle w:val="TableText"/>
              <w:jc w:val="center"/>
              <w:rPr>
                <w:b/>
              </w:rPr>
            </w:pPr>
            <w:r>
              <w:rPr>
                <w:b/>
              </w:rPr>
              <w:t>$22,966</w:t>
            </w:r>
          </w:p>
        </w:tc>
      </w:tr>
    </w:tbl>
    <w:p w:rsidR="0000472B" w:rsidRDefault="0000472B" w:rsidP="0000472B"/>
    <w:p w:rsidR="007C48BF" w:rsidRDefault="007C48BF" w:rsidP="00E32FD9"/>
    <w:p w:rsidR="0000472B" w:rsidRDefault="0000472B">
      <w:pPr>
        <w:spacing w:line="240" w:lineRule="auto"/>
      </w:pPr>
      <w:r>
        <w:br w:type="page"/>
      </w:r>
    </w:p>
    <w:p w:rsidR="00F80D03" w:rsidRDefault="00F80D03" w:rsidP="00F80D03">
      <w:r>
        <w:lastRenderedPageBreak/>
        <w:t>The equivalent statistics for pensioners as at 30 June 2014 are shown below:</w:t>
      </w:r>
    </w:p>
    <w:p w:rsidR="0000472B" w:rsidRDefault="0000472B" w:rsidP="0000472B">
      <w:pPr>
        <w:spacing w:line="240" w:lineRule="auto"/>
      </w:pPr>
    </w:p>
    <w:tbl>
      <w:tblPr>
        <w:tblStyle w:val="TableGrid"/>
        <w:tblW w:w="9639"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84"/>
        <w:gridCol w:w="2551"/>
        <w:gridCol w:w="1418"/>
        <w:gridCol w:w="1417"/>
        <w:gridCol w:w="1276"/>
        <w:gridCol w:w="1418"/>
        <w:gridCol w:w="1275"/>
      </w:tblGrid>
      <w:tr w:rsidR="0000472B" w:rsidRPr="00E3054F" w:rsidTr="00E57B26">
        <w:trPr>
          <w:cantSplit/>
          <w:trHeight w:val="323"/>
          <w:tblHeader/>
        </w:trPr>
        <w:tc>
          <w:tcPr>
            <w:tcW w:w="2835" w:type="dxa"/>
            <w:gridSpan w:val="2"/>
            <w:vMerge w:val="restart"/>
            <w:shd w:val="clear" w:color="auto" w:fill="00A8C8"/>
            <w:vAlign w:val="center"/>
          </w:tcPr>
          <w:p w:rsidR="0000472B" w:rsidRDefault="0000472B" w:rsidP="0000472B">
            <w:pPr>
              <w:pStyle w:val="TableHeadingText"/>
              <w:rPr>
                <w:caps w:val="0"/>
              </w:rPr>
            </w:pPr>
            <w:r>
              <w:rPr>
                <w:caps w:val="0"/>
              </w:rPr>
              <w:t xml:space="preserve">As at </w:t>
            </w:r>
            <w:r>
              <w:rPr>
                <w:caps w:val="0"/>
              </w:rPr>
              <w:br/>
              <w:t>30/06/14</w:t>
            </w:r>
          </w:p>
        </w:tc>
        <w:tc>
          <w:tcPr>
            <w:tcW w:w="4111" w:type="dxa"/>
            <w:gridSpan w:val="3"/>
            <w:shd w:val="clear" w:color="auto" w:fill="00A8C8"/>
            <w:vAlign w:val="center"/>
          </w:tcPr>
          <w:p w:rsidR="0000472B" w:rsidRPr="00E3054F" w:rsidRDefault="0000472B" w:rsidP="00E57B26">
            <w:pPr>
              <w:pStyle w:val="TableHeadingText"/>
              <w:jc w:val="center"/>
              <w:rPr>
                <w:caps w:val="0"/>
              </w:rPr>
            </w:pPr>
            <w:r>
              <w:rPr>
                <w:caps w:val="0"/>
              </w:rPr>
              <w:t>Headcount</w:t>
            </w:r>
          </w:p>
        </w:tc>
        <w:tc>
          <w:tcPr>
            <w:tcW w:w="1418" w:type="dxa"/>
            <w:vMerge w:val="restart"/>
            <w:shd w:val="clear" w:color="auto" w:fill="00A8C8"/>
            <w:vAlign w:val="center"/>
          </w:tcPr>
          <w:p w:rsidR="0000472B" w:rsidRPr="00E3054F" w:rsidRDefault="0000472B" w:rsidP="00E57B26">
            <w:pPr>
              <w:pStyle w:val="TableHeadingText"/>
              <w:jc w:val="center"/>
              <w:rPr>
                <w:caps w:val="0"/>
              </w:rPr>
            </w:pPr>
            <w:r>
              <w:rPr>
                <w:caps w:val="0"/>
              </w:rPr>
              <w:t>Average Age</w:t>
            </w:r>
          </w:p>
        </w:tc>
        <w:tc>
          <w:tcPr>
            <w:tcW w:w="1275" w:type="dxa"/>
            <w:vMerge w:val="restart"/>
            <w:shd w:val="clear" w:color="auto" w:fill="00A8C8"/>
            <w:vAlign w:val="center"/>
          </w:tcPr>
          <w:p w:rsidR="0000472B" w:rsidRPr="00E3054F" w:rsidRDefault="0000472B" w:rsidP="00E57B26">
            <w:pPr>
              <w:pStyle w:val="TableHeadingText"/>
              <w:jc w:val="center"/>
              <w:rPr>
                <w:caps w:val="0"/>
              </w:rPr>
            </w:pPr>
            <w:r>
              <w:rPr>
                <w:caps w:val="0"/>
              </w:rPr>
              <w:t>Average Annual Pension</w:t>
            </w:r>
          </w:p>
        </w:tc>
      </w:tr>
      <w:tr w:rsidR="0000472B" w:rsidRPr="00E3054F" w:rsidTr="00E57B26">
        <w:trPr>
          <w:cantSplit/>
          <w:trHeight w:val="322"/>
          <w:tblHeader/>
        </w:trPr>
        <w:tc>
          <w:tcPr>
            <w:tcW w:w="2835" w:type="dxa"/>
            <w:gridSpan w:val="2"/>
            <w:vMerge/>
            <w:shd w:val="clear" w:color="auto" w:fill="00A8C8"/>
          </w:tcPr>
          <w:p w:rsidR="0000472B" w:rsidRDefault="0000472B" w:rsidP="00E57B26">
            <w:pPr>
              <w:pStyle w:val="TableHeadingText"/>
              <w:jc w:val="center"/>
              <w:rPr>
                <w:caps w:val="0"/>
              </w:rPr>
            </w:pPr>
          </w:p>
        </w:tc>
        <w:tc>
          <w:tcPr>
            <w:tcW w:w="1418" w:type="dxa"/>
            <w:shd w:val="clear" w:color="auto" w:fill="00A8C8"/>
            <w:vAlign w:val="center"/>
          </w:tcPr>
          <w:p w:rsidR="0000472B" w:rsidRPr="00E3054F" w:rsidRDefault="0000472B" w:rsidP="00E57B26">
            <w:pPr>
              <w:pStyle w:val="TableHeadingText"/>
              <w:jc w:val="center"/>
              <w:rPr>
                <w:caps w:val="0"/>
              </w:rPr>
            </w:pPr>
            <w:r>
              <w:rPr>
                <w:caps w:val="0"/>
              </w:rPr>
              <w:t>Males</w:t>
            </w:r>
          </w:p>
        </w:tc>
        <w:tc>
          <w:tcPr>
            <w:tcW w:w="1417" w:type="dxa"/>
            <w:shd w:val="clear" w:color="auto" w:fill="00A8C8"/>
            <w:vAlign w:val="center"/>
          </w:tcPr>
          <w:p w:rsidR="0000472B" w:rsidRPr="00E3054F" w:rsidRDefault="0000472B" w:rsidP="00E57B26">
            <w:pPr>
              <w:pStyle w:val="TableHeadingText"/>
              <w:jc w:val="center"/>
              <w:rPr>
                <w:caps w:val="0"/>
              </w:rPr>
            </w:pPr>
            <w:r>
              <w:rPr>
                <w:caps w:val="0"/>
              </w:rPr>
              <w:t>Females</w:t>
            </w:r>
          </w:p>
        </w:tc>
        <w:tc>
          <w:tcPr>
            <w:tcW w:w="1276" w:type="dxa"/>
            <w:shd w:val="clear" w:color="auto" w:fill="00A8C8"/>
            <w:vAlign w:val="center"/>
          </w:tcPr>
          <w:p w:rsidR="0000472B" w:rsidRPr="00E3054F" w:rsidRDefault="0000472B" w:rsidP="00E57B26">
            <w:pPr>
              <w:pStyle w:val="TableHeadingText"/>
              <w:jc w:val="center"/>
              <w:rPr>
                <w:caps w:val="0"/>
              </w:rPr>
            </w:pPr>
            <w:r>
              <w:rPr>
                <w:caps w:val="0"/>
              </w:rPr>
              <w:t>Total</w:t>
            </w:r>
          </w:p>
        </w:tc>
        <w:tc>
          <w:tcPr>
            <w:tcW w:w="1418" w:type="dxa"/>
            <w:vMerge/>
            <w:shd w:val="clear" w:color="auto" w:fill="00A8C8"/>
            <w:vAlign w:val="center"/>
          </w:tcPr>
          <w:p w:rsidR="0000472B" w:rsidRPr="00E3054F" w:rsidRDefault="0000472B" w:rsidP="00E57B26">
            <w:pPr>
              <w:pStyle w:val="TableHeadingText"/>
              <w:jc w:val="center"/>
              <w:rPr>
                <w:caps w:val="0"/>
              </w:rPr>
            </w:pPr>
          </w:p>
        </w:tc>
        <w:tc>
          <w:tcPr>
            <w:tcW w:w="1275" w:type="dxa"/>
            <w:vMerge/>
            <w:shd w:val="clear" w:color="auto" w:fill="00A8C8"/>
            <w:vAlign w:val="center"/>
          </w:tcPr>
          <w:p w:rsidR="0000472B" w:rsidRPr="00E3054F" w:rsidRDefault="0000472B" w:rsidP="00E57B26">
            <w:pPr>
              <w:pStyle w:val="TableHeadingText"/>
              <w:jc w:val="center"/>
              <w:rPr>
                <w:caps w:val="0"/>
              </w:rPr>
            </w:pPr>
          </w:p>
        </w:tc>
      </w:tr>
      <w:tr w:rsidR="0000472B" w:rsidRPr="00E3054F" w:rsidTr="00E57B26">
        <w:trPr>
          <w:cantSplit/>
        </w:trPr>
        <w:tc>
          <w:tcPr>
            <w:tcW w:w="2835" w:type="dxa"/>
            <w:gridSpan w:val="2"/>
            <w:shd w:val="clear" w:color="auto" w:fill="F2F2F2"/>
          </w:tcPr>
          <w:p w:rsidR="0000472B" w:rsidRPr="00E3054F" w:rsidRDefault="0000472B" w:rsidP="00E57B26">
            <w:pPr>
              <w:pStyle w:val="TableText"/>
            </w:pPr>
            <w:r>
              <w:t>Primary Pensioners</w:t>
            </w:r>
          </w:p>
        </w:tc>
        <w:tc>
          <w:tcPr>
            <w:tcW w:w="6804" w:type="dxa"/>
            <w:gridSpan w:val="5"/>
            <w:shd w:val="clear" w:color="auto" w:fill="F2F2F2"/>
          </w:tcPr>
          <w:p w:rsidR="0000472B" w:rsidRPr="00E3054F" w:rsidRDefault="0000472B" w:rsidP="00E57B26">
            <w:pPr>
              <w:pStyle w:val="TableText"/>
            </w:pPr>
          </w:p>
        </w:tc>
      </w:tr>
      <w:tr w:rsidR="0000472B" w:rsidRPr="00B42A4D" w:rsidTr="00E57B26">
        <w:trPr>
          <w:cantSplit/>
        </w:trPr>
        <w:tc>
          <w:tcPr>
            <w:tcW w:w="284" w:type="dxa"/>
            <w:shd w:val="clear" w:color="auto" w:fill="F2F2F2"/>
          </w:tcPr>
          <w:p w:rsidR="0000472B" w:rsidRPr="00E3054F" w:rsidRDefault="0000472B" w:rsidP="00E57B26">
            <w:pPr>
              <w:pStyle w:val="TableText"/>
            </w:pPr>
          </w:p>
        </w:tc>
        <w:tc>
          <w:tcPr>
            <w:tcW w:w="2551" w:type="dxa"/>
            <w:shd w:val="clear" w:color="auto" w:fill="F2F2F2"/>
            <w:vAlign w:val="center"/>
          </w:tcPr>
          <w:p w:rsidR="0000472B" w:rsidRPr="00B42A4D" w:rsidRDefault="0000472B" w:rsidP="00E57B26">
            <w:pPr>
              <w:pStyle w:val="TableText"/>
            </w:pPr>
            <w:r w:rsidRPr="00B42A4D">
              <w:t>1922</w:t>
            </w:r>
            <w:r w:rsidR="00D72C77">
              <w:t xml:space="preserve"> Scheme</w:t>
            </w:r>
          </w:p>
        </w:tc>
        <w:tc>
          <w:tcPr>
            <w:tcW w:w="1418" w:type="dxa"/>
            <w:shd w:val="clear" w:color="auto" w:fill="F2F2F2"/>
          </w:tcPr>
          <w:p w:rsidR="0000472B" w:rsidRPr="00B42A4D" w:rsidRDefault="00FA4321" w:rsidP="00E57B26">
            <w:pPr>
              <w:pStyle w:val="TableText"/>
              <w:jc w:val="center"/>
            </w:pPr>
            <w:r>
              <w:t>571</w:t>
            </w:r>
          </w:p>
        </w:tc>
        <w:tc>
          <w:tcPr>
            <w:tcW w:w="1417" w:type="dxa"/>
            <w:shd w:val="clear" w:color="auto" w:fill="F2F2F2"/>
          </w:tcPr>
          <w:p w:rsidR="0000472B" w:rsidRPr="00B42A4D" w:rsidRDefault="00FA4321" w:rsidP="00E57B26">
            <w:pPr>
              <w:pStyle w:val="TableText"/>
              <w:jc w:val="center"/>
            </w:pPr>
            <w:r>
              <w:t>217</w:t>
            </w:r>
          </w:p>
        </w:tc>
        <w:tc>
          <w:tcPr>
            <w:tcW w:w="1276" w:type="dxa"/>
            <w:shd w:val="clear" w:color="auto" w:fill="F2F2F2"/>
          </w:tcPr>
          <w:p w:rsidR="0000472B" w:rsidRPr="00B42A4D" w:rsidRDefault="00FA4321" w:rsidP="00E57B26">
            <w:pPr>
              <w:pStyle w:val="TableText"/>
              <w:jc w:val="center"/>
            </w:pPr>
            <w:r>
              <w:t>788</w:t>
            </w:r>
          </w:p>
        </w:tc>
        <w:tc>
          <w:tcPr>
            <w:tcW w:w="1418" w:type="dxa"/>
            <w:shd w:val="clear" w:color="auto" w:fill="F2F2F2"/>
          </w:tcPr>
          <w:p w:rsidR="0000472B" w:rsidRPr="00B42A4D" w:rsidRDefault="00FA4321" w:rsidP="00E57B26">
            <w:pPr>
              <w:pStyle w:val="TableText"/>
              <w:jc w:val="center"/>
            </w:pPr>
            <w:r>
              <w:t>80.2</w:t>
            </w:r>
          </w:p>
        </w:tc>
        <w:tc>
          <w:tcPr>
            <w:tcW w:w="1275" w:type="dxa"/>
            <w:shd w:val="clear" w:color="auto" w:fill="F2F2F2"/>
          </w:tcPr>
          <w:p w:rsidR="0000472B" w:rsidRPr="00B42A4D" w:rsidRDefault="00FA4321" w:rsidP="00E57B26">
            <w:pPr>
              <w:pStyle w:val="TableText"/>
              <w:jc w:val="center"/>
            </w:pPr>
            <w:r>
              <w:t>$37,258</w:t>
            </w:r>
          </w:p>
        </w:tc>
      </w:tr>
      <w:tr w:rsidR="0000472B" w:rsidRPr="00B42A4D"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D72C77" w:rsidP="00E57B26">
            <w:pPr>
              <w:pStyle w:val="TableText"/>
            </w:pPr>
            <w:r>
              <w:t>CSS</w:t>
            </w:r>
          </w:p>
        </w:tc>
        <w:tc>
          <w:tcPr>
            <w:tcW w:w="1418" w:type="dxa"/>
            <w:shd w:val="clear" w:color="auto" w:fill="F2F2F2"/>
          </w:tcPr>
          <w:p w:rsidR="0000472B" w:rsidRPr="00B42A4D" w:rsidRDefault="00FA4321" w:rsidP="00E57B26">
            <w:pPr>
              <w:pStyle w:val="TableText"/>
              <w:jc w:val="center"/>
            </w:pPr>
            <w:r>
              <w:t>60,922</w:t>
            </w:r>
          </w:p>
        </w:tc>
        <w:tc>
          <w:tcPr>
            <w:tcW w:w="1417" w:type="dxa"/>
            <w:shd w:val="clear" w:color="auto" w:fill="F2F2F2"/>
          </w:tcPr>
          <w:p w:rsidR="0000472B" w:rsidRPr="00B42A4D" w:rsidRDefault="00FA4321" w:rsidP="00E57B26">
            <w:pPr>
              <w:pStyle w:val="TableText"/>
              <w:jc w:val="center"/>
            </w:pPr>
            <w:r>
              <w:t>24,154</w:t>
            </w:r>
          </w:p>
        </w:tc>
        <w:tc>
          <w:tcPr>
            <w:tcW w:w="1276" w:type="dxa"/>
            <w:shd w:val="clear" w:color="auto" w:fill="F2F2F2"/>
          </w:tcPr>
          <w:p w:rsidR="0000472B" w:rsidRPr="00B42A4D" w:rsidRDefault="00FA4321" w:rsidP="00E57B26">
            <w:pPr>
              <w:pStyle w:val="TableText"/>
              <w:jc w:val="center"/>
            </w:pPr>
            <w:r>
              <w:t>85,076</w:t>
            </w:r>
          </w:p>
        </w:tc>
        <w:tc>
          <w:tcPr>
            <w:tcW w:w="1418" w:type="dxa"/>
            <w:shd w:val="clear" w:color="auto" w:fill="F2F2F2"/>
          </w:tcPr>
          <w:p w:rsidR="0000472B" w:rsidRPr="00B42A4D" w:rsidRDefault="00FA4321" w:rsidP="00E57B26">
            <w:pPr>
              <w:pStyle w:val="TableText"/>
              <w:jc w:val="center"/>
            </w:pPr>
            <w:r>
              <w:t>72.1</w:t>
            </w:r>
          </w:p>
        </w:tc>
        <w:tc>
          <w:tcPr>
            <w:tcW w:w="1275" w:type="dxa"/>
            <w:shd w:val="clear" w:color="auto" w:fill="F2F2F2"/>
          </w:tcPr>
          <w:p w:rsidR="0000472B" w:rsidRPr="00B42A4D" w:rsidRDefault="00FA4321" w:rsidP="00E57B26">
            <w:pPr>
              <w:pStyle w:val="TableText"/>
              <w:jc w:val="center"/>
            </w:pPr>
            <w:r>
              <w:t>$37,388</w:t>
            </w:r>
          </w:p>
        </w:tc>
      </w:tr>
      <w:tr w:rsidR="0000472B" w:rsidRPr="00B42A4D"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D72C77" w:rsidP="00E57B26">
            <w:pPr>
              <w:pStyle w:val="TableText"/>
            </w:pPr>
            <w:r>
              <w:t>PSS</w:t>
            </w:r>
          </w:p>
        </w:tc>
        <w:tc>
          <w:tcPr>
            <w:tcW w:w="1418" w:type="dxa"/>
            <w:shd w:val="clear" w:color="auto" w:fill="F2F2F2"/>
          </w:tcPr>
          <w:p w:rsidR="0000472B" w:rsidRPr="00B42A4D" w:rsidRDefault="00FA4321" w:rsidP="00E57B26">
            <w:pPr>
              <w:pStyle w:val="TableText"/>
              <w:jc w:val="center"/>
            </w:pPr>
            <w:r>
              <w:t>15,529</w:t>
            </w:r>
          </w:p>
        </w:tc>
        <w:tc>
          <w:tcPr>
            <w:tcW w:w="1417" w:type="dxa"/>
            <w:shd w:val="clear" w:color="auto" w:fill="F2F2F2"/>
          </w:tcPr>
          <w:p w:rsidR="0000472B" w:rsidRPr="00B42A4D" w:rsidRDefault="00FA4321" w:rsidP="00E57B26">
            <w:pPr>
              <w:pStyle w:val="TableText"/>
              <w:jc w:val="center"/>
            </w:pPr>
            <w:r>
              <w:t>17,362</w:t>
            </w:r>
          </w:p>
        </w:tc>
        <w:tc>
          <w:tcPr>
            <w:tcW w:w="1276" w:type="dxa"/>
            <w:shd w:val="clear" w:color="auto" w:fill="F2F2F2"/>
          </w:tcPr>
          <w:p w:rsidR="0000472B" w:rsidRPr="00B42A4D" w:rsidRDefault="00FA4321" w:rsidP="00E57B26">
            <w:pPr>
              <w:pStyle w:val="TableText"/>
              <w:jc w:val="center"/>
            </w:pPr>
            <w:r>
              <w:t>32,891</w:t>
            </w:r>
          </w:p>
        </w:tc>
        <w:tc>
          <w:tcPr>
            <w:tcW w:w="1418" w:type="dxa"/>
            <w:shd w:val="clear" w:color="auto" w:fill="F2F2F2"/>
          </w:tcPr>
          <w:p w:rsidR="0000472B" w:rsidRPr="00B42A4D" w:rsidRDefault="00FA4321" w:rsidP="00E57B26">
            <w:pPr>
              <w:pStyle w:val="TableText"/>
              <w:jc w:val="center"/>
            </w:pPr>
            <w:r>
              <w:t>62.6</w:t>
            </w:r>
          </w:p>
        </w:tc>
        <w:tc>
          <w:tcPr>
            <w:tcW w:w="1275" w:type="dxa"/>
            <w:shd w:val="clear" w:color="auto" w:fill="F2F2F2"/>
          </w:tcPr>
          <w:p w:rsidR="0000472B" w:rsidRPr="00B42A4D" w:rsidRDefault="00FA4321" w:rsidP="00E57B26">
            <w:pPr>
              <w:pStyle w:val="TableText"/>
              <w:jc w:val="center"/>
            </w:pPr>
            <w:r>
              <w:t>$27,422</w:t>
            </w:r>
          </w:p>
        </w:tc>
      </w:tr>
      <w:tr w:rsidR="0000472B" w:rsidRPr="00B42A4D" w:rsidTr="00E57B26">
        <w:trPr>
          <w:cantSplit/>
        </w:trPr>
        <w:tc>
          <w:tcPr>
            <w:tcW w:w="2835" w:type="dxa"/>
            <w:gridSpan w:val="2"/>
            <w:shd w:val="clear" w:color="auto" w:fill="F2F2F2"/>
          </w:tcPr>
          <w:p w:rsidR="0000472B" w:rsidRPr="00B42A4D" w:rsidRDefault="0000472B" w:rsidP="00E57B26">
            <w:pPr>
              <w:pStyle w:val="TableText"/>
              <w:rPr>
                <w:b/>
              </w:rPr>
            </w:pPr>
            <w:r>
              <w:rPr>
                <w:b/>
              </w:rPr>
              <w:t>T</w:t>
            </w:r>
            <w:r w:rsidRPr="00B42A4D">
              <w:rPr>
                <w:b/>
              </w:rPr>
              <w:t>otal</w:t>
            </w:r>
          </w:p>
        </w:tc>
        <w:tc>
          <w:tcPr>
            <w:tcW w:w="1418" w:type="dxa"/>
            <w:shd w:val="clear" w:color="auto" w:fill="F2F2F2"/>
          </w:tcPr>
          <w:p w:rsidR="0000472B" w:rsidRPr="00B42A4D" w:rsidRDefault="00FA4321" w:rsidP="00E57B26">
            <w:pPr>
              <w:pStyle w:val="TableText"/>
              <w:jc w:val="center"/>
              <w:rPr>
                <w:b/>
              </w:rPr>
            </w:pPr>
            <w:r>
              <w:rPr>
                <w:b/>
              </w:rPr>
              <w:t>77,022</w:t>
            </w:r>
          </w:p>
        </w:tc>
        <w:tc>
          <w:tcPr>
            <w:tcW w:w="1417" w:type="dxa"/>
            <w:shd w:val="clear" w:color="auto" w:fill="F2F2F2"/>
          </w:tcPr>
          <w:p w:rsidR="0000472B" w:rsidRPr="00B42A4D" w:rsidRDefault="00FA4321" w:rsidP="00E57B26">
            <w:pPr>
              <w:pStyle w:val="TableText"/>
              <w:jc w:val="center"/>
              <w:rPr>
                <w:b/>
              </w:rPr>
            </w:pPr>
            <w:r>
              <w:rPr>
                <w:b/>
              </w:rPr>
              <w:t>41,733</w:t>
            </w:r>
          </w:p>
        </w:tc>
        <w:tc>
          <w:tcPr>
            <w:tcW w:w="1276" w:type="dxa"/>
            <w:shd w:val="clear" w:color="auto" w:fill="F2F2F2"/>
          </w:tcPr>
          <w:p w:rsidR="0000472B" w:rsidRPr="00B42A4D" w:rsidRDefault="00FA4321" w:rsidP="00E57B26">
            <w:pPr>
              <w:pStyle w:val="TableText"/>
              <w:jc w:val="center"/>
              <w:rPr>
                <w:b/>
              </w:rPr>
            </w:pPr>
            <w:r>
              <w:rPr>
                <w:b/>
              </w:rPr>
              <w:t>118,755</w:t>
            </w:r>
          </w:p>
        </w:tc>
        <w:tc>
          <w:tcPr>
            <w:tcW w:w="1418" w:type="dxa"/>
            <w:shd w:val="clear" w:color="auto" w:fill="F2F2F2"/>
          </w:tcPr>
          <w:p w:rsidR="0000472B" w:rsidRPr="00B42A4D" w:rsidRDefault="00FA4321" w:rsidP="00E57B26">
            <w:pPr>
              <w:pStyle w:val="TableText"/>
              <w:jc w:val="center"/>
              <w:rPr>
                <w:b/>
              </w:rPr>
            </w:pPr>
            <w:r>
              <w:rPr>
                <w:b/>
              </w:rPr>
              <w:t>69.5</w:t>
            </w:r>
          </w:p>
        </w:tc>
        <w:tc>
          <w:tcPr>
            <w:tcW w:w="1275" w:type="dxa"/>
            <w:shd w:val="clear" w:color="auto" w:fill="F2F2F2"/>
          </w:tcPr>
          <w:p w:rsidR="0000472B" w:rsidRPr="00B42A4D" w:rsidRDefault="00FA4321" w:rsidP="00E57B26">
            <w:pPr>
              <w:pStyle w:val="TableText"/>
              <w:jc w:val="center"/>
              <w:rPr>
                <w:b/>
              </w:rPr>
            </w:pPr>
            <w:r>
              <w:rPr>
                <w:b/>
              </w:rPr>
              <w:t>$34,627</w:t>
            </w:r>
          </w:p>
        </w:tc>
      </w:tr>
      <w:tr w:rsidR="0000472B" w:rsidRPr="00B42A4D" w:rsidTr="00E57B26">
        <w:trPr>
          <w:cantSplit/>
        </w:trPr>
        <w:tc>
          <w:tcPr>
            <w:tcW w:w="2835" w:type="dxa"/>
            <w:gridSpan w:val="2"/>
            <w:shd w:val="clear" w:color="auto" w:fill="F2F2F2"/>
            <w:vAlign w:val="center"/>
          </w:tcPr>
          <w:p w:rsidR="0000472B" w:rsidRPr="00B42A4D" w:rsidRDefault="0000472B" w:rsidP="00E57B26">
            <w:pPr>
              <w:pStyle w:val="TableText"/>
            </w:pPr>
            <w:r w:rsidRPr="00B42A4D">
              <w:t>Dependant Pensioners</w:t>
            </w:r>
          </w:p>
        </w:tc>
        <w:tc>
          <w:tcPr>
            <w:tcW w:w="6804" w:type="dxa"/>
            <w:gridSpan w:val="5"/>
            <w:shd w:val="clear" w:color="auto" w:fill="F2F2F2"/>
          </w:tcPr>
          <w:p w:rsidR="0000472B" w:rsidRPr="00B42A4D" w:rsidRDefault="0000472B" w:rsidP="00E57B26">
            <w:pPr>
              <w:pStyle w:val="TableText"/>
            </w:pPr>
          </w:p>
        </w:tc>
      </w:tr>
      <w:tr w:rsidR="0000472B" w:rsidRPr="00B42A4D"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00472B" w:rsidP="00E57B26">
            <w:pPr>
              <w:pStyle w:val="TableText"/>
            </w:pPr>
            <w:r w:rsidRPr="00B42A4D">
              <w:t>1922</w:t>
            </w:r>
            <w:r w:rsidR="00D72C77">
              <w:t xml:space="preserve"> Scheme</w:t>
            </w:r>
          </w:p>
        </w:tc>
        <w:tc>
          <w:tcPr>
            <w:tcW w:w="1418" w:type="dxa"/>
            <w:shd w:val="clear" w:color="auto" w:fill="F2F2F2"/>
          </w:tcPr>
          <w:p w:rsidR="0000472B" w:rsidRPr="00B42A4D" w:rsidRDefault="00FA4321" w:rsidP="00E57B26">
            <w:pPr>
              <w:pStyle w:val="TableText"/>
              <w:jc w:val="center"/>
            </w:pPr>
            <w:r>
              <w:t>24</w:t>
            </w:r>
          </w:p>
        </w:tc>
        <w:tc>
          <w:tcPr>
            <w:tcW w:w="1417" w:type="dxa"/>
            <w:shd w:val="clear" w:color="auto" w:fill="F2F2F2"/>
          </w:tcPr>
          <w:p w:rsidR="0000472B" w:rsidRPr="00B42A4D" w:rsidRDefault="00FA4321" w:rsidP="00E57B26">
            <w:pPr>
              <w:pStyle w:val="TableText"/>
              <w:jc w:val="center"/>
            </w:pPr>
            <w:r>
              <w:t>2,789</w:t>
            </w:r>
          </w:p>
        </w:tc>
        <w:tc>
          <w:tcPr>
            <w:tcW w:w="1276" w:type="dxa"/>
            <w:shd w:val="clear" w:color="auto" w:fill="F2F2F2"/>
          </w:tcPr>
          <w:p w:rsidR="0000472B" w:rsidRPr="00B42A4D" w:rsidRDefault="00FA4321" w:rsidP="00E57B26">
            <w:pPr>
              <w:pStyle w:val="TableText"/>
              <w:jc w:val="center"/>
            </w:pPr>
            <w:r>
              <w:t>2,813</w:t>
            </w:r>
          </w:p>
        </w:tc>
        <w:tc>
          <w:tcPr>
            <w:tcW w:w="1418" w:type="dxa"/>
            <w:shd w:val="clear" w:color="auto" w:fill="F2F2F2"/>
          </w:tcPr>
          <w:p w:rsidR="0000472B" w:rsidRPr="00B42A4D" w:rsidRDefault="00FA4321" w:rsidP="00E57B26">
            <w:pPr>
              <w:pStyle w:val="TableText"/>
              <w:jc w:val="center"/>
            </w:pPr>
            <w:r>
              <w:t>86.4</w:t>
            </w:r>
          </w:p>
        </w:tc>
        <w:tc>
          <w:tcPr>
            <w:tcW w:w="1275" w:type="dxa"/>
            <w:shd w:val="clear" w:color="auto" w:fill="F2F2F2"/>
          </w:tcPr>
          <w:p w:rsidR="0000472B" w:rsidRPr="00B42A4D" w:rsidRDefault="00FA4321" w:rsidP="00E57B26">
            <w:pPr>
              <w:pStyle w:val="TableText"/>
              <w:jc w:val="center"/>
            </w:pPr>
            <w:r>
              <w:t>$26,964</w:t>
            </w:r>
          </w:p>
        </w:tc>
      </w:tr>
      <w:tr w:rsidR="0000472B" w:rsidRPr="00E3054F" w:rsidTr="00E57B26">
        <w:trPr>
          <w:cantSplit/>
        </w:trPr>
        <w:tc>
          <w:tcPr>
            <w:tcW w:w="284" w:type="dxa"/>
            <w:shd w:val="clear" w:color="auto" w:fill="F2F2F2"/>
          </w:tcPr>
          <w:p w:rsidR="0000472B" w:rsidRPr="00B42A4D" w:rsidRDefault="0000472B" w:rsidP="00E57B26">
            <w:pPr>
              <w:pStyle w:val="TableText"/>
            </w:pPr>
          </w:p>
        </w:tc>
        <w:tc>
          <w:tcPr>
            <w:tcW w:w="2551" w:type="dxa"/>
            <w:shd w:val="clear" w:color="auto" w:fill="F2F2F2"/>
            <w:vAlign w:val="center"/>
          </w:tcPr>
          <w:p w:rsidR="0000472B" w:rsidRPr="00B42A4D" w:rsidRDefault="00D72C77" w:rsidP="00E57B26">
            <w:pPr>
              <w:pStyle w:val="TableText"/>
            </w:pPr>
            <w:r>
              <w:t>CSS</w:t>
            </w:r>
          </w:p>
        </w:tc>
        <w:tc>
          <w:tcPr>
            <w:tcW w:w="1418" w:type="dxa"/>
            <w:shd w:val="clear" w:color="auto" w:fill="F2F2F2"/>
          </w:tcPr>
          <w:p w:rsidR="0000472B" w:rsidRPr="00B42A4D" w:rsidRDefault="00FA4321" w:rsidP="00E57B26">
            <w:pPr>
              <w:pStyle w:val="TableText"/>
              <w:jc w:val="center"/>
            </w:pPr>
            <w:r>
              <w:t>1,526</w:t>
            </w:r>
          </w:p>
        </w:tc>
        <w:tc>
          <w:tcPr>
            <w:tcW w:w="1417" w:type="dxa"/>
            <w:shd w:val="clear" w:color="auto" w:fill="F2F2F2"/>
          </w:tcPr>
          <w:p w:rsidR="0000472B" w:rsidRPr="00B42A4D" w:rsidRDefault="00FA4321" w:rsidP="00E57B26">
            <w:pPr>
              <w:pStyle w:val="TableText"/>
              <w:jc w:val="center"/>
            </w:pPr>
            <w:r>
              <w:t>23,107</w:t>
            </w:r>
          </w:p>
        </w:tc>
        <w:tc>
          <w:tcPr>
            <w:tcW w:w="1276" w:type="dxa"/>
            <w:shd w:val="clear" w:color="auto" w:fill="F2F2F2"/>
          </w:tcPr>
          <w:p w:rsidR="0000472B" w:rsidRPr="00B42A4D" w:rsidRDefault="00FA4321" w:rsidP="00E57B26">
            <w:pPr>
              <w:pStyle w:val="TableText"/>
              <w:jc w:val="center"/>
            </w:pPr>
            <w:r>
              <w:t>24,633</w:t>
            </w:r>
          </w:p>
        </w:tc>
        <w:tc>
          <w:tcPr>
            <w:tcW w:w="1418" w:type="dxa"/>
            <w:shd w:val="clear" w:color="auto" w:fill="F2F2F2"/>
          </w:tcPr>
          <w:p w:rsidR="0000472B" w:rsidRPr="00B42A4D" w:rsidRDefault="00FA4321" w:rsidP="00E57B26">
            <w:pPr>
              <w:pStyle w:val="TableText"/>
              <w:jc w:val="center"/>
            </w:pPr>
            <w:r>
              <w:t>80.0</w:t>
            </w:r>
          </w:p>
        </w:tc>
        <w:tc>
          <w:tcPr>
            <w:tcW w:w="1275" w:type="dxa"/>
            <w:shd w:val="clear" w:color="auto" w:fill="F2F2F2"/>
          </w:tcPr>
          <w:p w:rsidR="0000472B" w:rsidRPr="00B42A4D" w:rsidRDefault="00FA4321" w:rsidP="00E57B26">
            <w:pPr>
              <w:pStyle w:val="TableText"/>
              <w:jc w:val="center"/>
            </w:pPr>
            <w:r>
              <w:t>$21,600</w:t>
            </w:r>
          </w:p>
        </w:tc>
      </w:tr>
      <w:tr w:rsidR="0000472B" w:rsidRPr="00E3054F" w:rsidTr="00E57B26">
        <w:trPr>
          <w:cantSplit/>
        </w:trPr>
        <w:tc>
          <w:tcPr>
            <w:tcW w:w="284" w:type="dxa"/>
            <w:shd w:val="clear" w:color="auto" w:fill="F2F2F2"/>
          </w:tcPr>
          <w:p w:rsidR="0000472B" w:rsidRPr="00E3054F" w:rsidRDefault="0000472B" w:rsidP="00E57B26">
            <w:pPr>
              <w:pStyle w:val="TableText"/>
            </w:pPr>
          </w:p>
        </w:tc>
        <w:tc>
          <w:tcPr>
            <w:tcW w:w="2551" w:type="dxa"/>
            <w:shd w:val="clear" w:color="auto" w:fill="F2F2F2"/>
            <w:vAlign w:val="center"/>
          </w:tcPr>
          <w:p w:rsidR="0000472B" w:rsidRDefault="00D72C77" w:rsidP="00E57B26">
            <w:pPr>
              <w:pStyle w:val="TableText"/>
            </w:pPr>
            <w:r>
              <w:t>PSS</w:t>
            </w:r>
          </w:p>
        </w:tc>
        <w:tc>
          <w:tcPr>
            <w:tcW w:w="1418" w:type="dxa"/>
            <w:shd w:val="clear" w:color="auto" w:fill="F2F2F2"/>
          </w:tcPr>
          <w:p w:rsidR="0000472B" w:rsidRPr="00E3054F" w:rsidRDefault="00FA4321" w:rsidP="00E57B26">
            <w:pPr>
              <w:pStyle w:val="TableText"/>
              <w:jc w:val="center"/>
            </w:pPr>
            <w:r>
              <w:t>434</w:t>
            </w:r>
          </w:p>
        </w:tc>
        <w:tc>
          <w:tcPr>
            <w:tcW w:w="1417" w:type="dxa"/>
            <w:shd w:val="clear" w:color="auto" w:fill="F2F2F2"/>
          </w:tcPr>
          <w:p w:rsidR="0000472B" w:rsidRPr="00E3054F" w:rsidRDefault="00FA4321" w:rsidP="00E57B26">
            <w:pPr>
              <w:pStyle w:val="TableText"/>
              <w:jc w:val="center"/>
            </w:pPr>
            <w:r>
              <w:t>989</w:t>
            </w:r>
          </w:p>
        </w:tc>
        <w:tc>
          <w:tcPr>
            <w:tcW w:w="1276" w:type="dxa"/>
            <w:shd w:val="clear" w:color="auto" w:fill="F2F2F2"/>
          </w:tcPr>
          <w:p w:rsidR="0000472B" w:rsidRPr="00E3054F" w:rsidRDefault="00FA4321" w:rsidP="00E57B26">
            <w:pPr>
              <w:pStyle w:val="TableText"/>
              <w:jc w:val="center"/>
            </w:pPr>
            <w:r>
              <w:t>1,423</w:t>
            </w:r>
          </w:p>
        </w:tc>
        <w:tc>
          <w:tcPr>
            <w:tcW w:w="1418" w:type="dxa"/>
            <w:shd w:val="clear" w:color="auto" w:fill="F2F2F2"/>
          </w:tcPr>
          <w:p w:rsidR="0000472B" w:rsidRPr="00E3054F" w:rsidRDefault="00FA4321" w:rsidP="00E57B26">
            <w:pPr>
              <w:pStyle w:val="TableText"/>
              <w:jc w:val="center"/>
            </w:pPr>
            <w:r>
              <w:t>60.2</w:t>
            </w:r>
          </w:p>
        </w:tc>
        <w:tc>
          <w:tcPr>
            <w:tcW w:w="1275" w:type="dxa"/>
            <w:shd w:val="clear" w:color="auto" w:fill="F2F2F2"/>
          </w:tcPr>
          <w:p w:rsidR="0000472B" w:rsidRPr="00E3054F" w:rsidRDefault="00FA4321" w:rsidP="00E57B26">
            <w:pPr>
              <w:pStyle w:val="TableText"/>
              <w:jc w:val="center"/>
            </w:pPr>
            <w:r>
              <w:t>$17,882</w:t>
            </w:r>
          </w:p>
        </w:tc>
      </w:tr>
      <w:tr w:rsidR="0000472B" w:rsidRPr="003A6A90" w:rsidTr="00E57B26">
        <w:trPr>
          <w:cantSplit/>
        </w:trPr>
        <w:tc>
          <w:tcPr>
            <w:tcW w:w="2835" w:type="dxa"/>
            <w:gridSpan w:val="2"/>
            <w:shd w:val="clear" w:color="auto" w:fill="F2F2F2"/>
          </w:tcPr>
          <w:p w:rsidR="0000472B" w:rsidRDefault="0000472B" w:rsidP="00E57B26">
            <w:pPr>
              <w:pStyle w:val="TableText"/>
              <w:rPr>
                <w:b/>
              </w:rPr>
            </w:pPr>
            <w:r>
              <w:rPr>
                <w:b/>
              </w:rPr>
              <w:t>T</w:t>
            </w:r>
            <w:r w:rsidRPr="003A6A90">
              <w:rPr>
                <w:b/>
              </w:rPr>
              <w:t>otal</w:t>
            </w:r>
          </w:p>
        </w:tc>
        <w:tc>
          <w:tcPr>
            <w:tcW w:w="1418" w:type="dxa"/>
            <w:shd w:val="clear" w:color="auto" w:fill="F2F2F2"/>
          </w:tcPr>
          <w:p w:rsidR="0000472B" w:rsidRPr="003A6A90" w:rsidRDefault="0081311D" w:rsidP="0081311D">
            <w:pPr>
              <w:pStyle w:val="TableText"/>
              <w:jc w:val="center"/>
              <w:rPr>
                <w:b/>
              </w:rPr>
            </w:pPr>
            <w:r>
              <w:rPr>
                <w:b/>
              </w:rPr>
              <w:t>1,984</w:t>
            </w:r>
          </w:p>
        </w:tc>
        <w:tc>
          <w:tcPr>
            <w:tcW w:w="1417" w:type="dxa"/>
            <w:shd w:val="clear" w:color="auto" w:fill="F2F2F2"/>
          </w:tcPr>
          <w:p w:rsidR="0000472B" w:rsidRPr="003A6A90" w:rsidRDefault="00FA4321" w:rsidP="00E57B26">
            <w:pPr>
              <w:pStyle w:val="TableText"/>
              <w:jc w:val="center"/>
              <w:rPr>
                <w:b/>
              </w:rPr>
            </w:pPr>
            <w:r>
              <w:rPr>
                <w:b/>
              </w:rPr>
              <w:t>26,885</w:t>
            </w:r>
          </w:p>
        </w:tc>
        <w:tc>
          <w:tcPr>
            <w:tcW w:w="1276" w:type="dxa"/>
            <w:shd w:val="clear" w:color="auto" w:fill="F2F2F2"/>
          </w:tcPr>
          <w:p w:rsidR="0000472B" w:rsidRPr="003A6A90" w:rsidRDefault="00FA4321" w:rsidP="00D76F0D">
            <w:pPr>
              <w:pStyle w:val="TableText"/>
              <w:jc w:val="center"/>
              <w:rPr>
                <w:b/>
              </w:rPr>
            </w:pPr>
            <w:r>
              <w:rPr>
                <w:b/>
              </w:rPr>
              <w:t>28,</w:t>
            </w:r>
            <w:r w:rsidR="00D01443">
              <w:rPr>
                <w:b/>
              </w:rPr>
              <w:t>869</w:t>
            </w:r>
          </w:p>
        </w:tc>
        <w:tc>
          <w:tcPr>
            <w:tcW w:w="1418" w:type="dxa"/>
            <w:shd w:val="clear" w:color="auto" w:fill="F2F2F2"/>
          </w:tcPr>
          <w:p w:rsidR="0000472B" w:rsidRPr="003A6A90" w:rsidRDefault="00FA4321" w:rsidP="00E57B26">
            <w:pPr>
              <w:pStyle w:val="TableText"/>
              <w:jc w:val="center"/>
              <w:rPr>
                <w:b/>
              </w:rPr>
            </w:pPr>
            <w:r>
              <w:rPr>
                <w:b/>
              </w:rPr>
              <w:t>79.7</w:t>
            </w:r>
          </w:p>
        </w:tc>
        <w:tc>
          <w:tcPr>
            <w:tcW w:w="1275" w:type="dxa"/>
            <w:shd w:val="clear" w:color="auto" w:fill="F2F2F2"/>
          </w:tcPr>
          <w:p w:rsidR="0000472B" w:rsidRPr="003A6A90" w:rsidRDefault="00FA4321" w:rsidP="00E57B26">
            <w:pPr>
              <w:pStyle w:val="TableText"/>
              <w:jc w:val="center"/>
              <w:rPr>
                <w:b/>
              </w:rPr>
            </w:pPr>
            <w:r>
              <w:rPr>
                <w:b/>
              </w:rPr>
              <w:t>$21,934</w:t>
            </w:r>
          </w:p>
        </w:tc>
      </w:tr>
    </w:tbl>
    <w:p w:rsidR="0000472B" w:rsidRDefault="0000472B" w:rsidP="0000472B"/>
    <w:p w:rsidR="00F80D03" w:rsidRDefault="00F80D03" w:rsidP="00F80D03">
      <w:r>
        <w:t>The distribution of primary pensioners by age as at 30 June 2017</w:t>
      </w:r>
      <w:r w:rsidR="008D2CD7">
        <w:t>:</w:t>
      </w:r>
    </w:p>
    <w:p w:rsidR="00F80D03" w:rsidRDefault="00F80D03" w:rsidP="00E32FD9"/>
    <w:p w:rsidR="00E32FD9" w:rsidRDefault="00E32FD9" w:rsidP="00E32FD9">
      <w:r>
        <w:rPr>
          <w:noProof/>
          <w:lang w:eastAsia="en-AU"/>
        </w:rPr>
        <w:drawing>
          <wp:inline distT="0" distB="0" distL="0" distR="0" wp14:anchorId="5447673D" wp14:editId="52506541">
            <wp:extent cx="5760000" cy="2853044"/>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000" cy="2853044"/>
                    </a:xfrm>
                    <a:prstGeom prst="rect">
                      <a:avLst/>
                    </a:prstGeom>
                    <a:noFill/>
                  </pic:spPr>
                </pic:pic>
              </a:graphicData>
            </a:graphic>
          </wp:inline>
        </w:drawing>
      </w:r>
    </w:p>
    <w:p w:rsidR="00E32FD9" w:rsidRDefault="00E32FD9" w:rsidP="00E32FD9"/>
    <w:p w:rsidR="0000472B" w:rsidRDefault="0000472B">
      <w:pPr>
        <w:spacing w:line="240" w:lineRule="auto"/>
      </w:pPr>
      <w:r>
        <w:br w:type="page"/>
      </w:r>
    </w:p>
    <w:p w:rsidR="00F80D03" w:rsidRDefault="00F80D03" w:rsidP="00F80D03">
      <w:r>
        <w:lastRenderedPageBreak/>
        <w:t>The distribution of dependant pensioners by age as at 30 June 2017 is</w:t>
      </w:r>
      <w:r w:rsidR="008D2CD7">
        <w:t>:</w:t>
      </w:r>
    </w:p>
    <w:p w:rsidR="00F80D03" w:rsidRDefault="00F80D03" w:rsidP="00E32FD9"/>
    <w:p w:rsidR="00E32FD9" w:rsidRDefault="00E32FD9" w:rsidP="00E32FD9">
      <w:r>
        <w:rPr>
          <w:noProof/>
          <w:lang w:eastAsia="en-AU"/>
        </w:rPr>
        <w:drawing>
          <wp:inline distT="0" distB="0" distL="0" distR="0" wp14:anchorId="71493D23" wp14:editId="21BB4F58">
            <wp:extent cx="5760000" cy="2854800"/>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00" cy="2854800"/>
                    </a:xfrm>
                    <a:prstGeom prst="rect">
                      <a:avLst/>
                    </a:prstGeom>
                    <a:noFill/>
                  </pic:spPr>
                </pic:pic>
              </a:graphicData>
            </a:graphic>
          </wp:inline>
        </w:drawing>
      </w:r>
    </w:p>
    <w:p w:rsidR="0000472B" w:rsidRDefault="0000472B" w:rsidP="00394AD2"/>
    <w:p w:rsidR="0000472B" w:rsidRPr="00331A3B" w:rsidRDefault="0000472B" w:rsidP="0000472B">
      <w:pPr>
        <w:rPr>
          <w:caps/>
          <w:color w:val="002C77"/>
          <w:spacing w:val="40"/>
        </w:rPr>
      </w:pPr>
      <w:r>
        <w:rPr>
          <w:caps/>
          <w:color w:val="002C77"/>
          <w:spacing w:val="40"/>
        </w:rPr>
        <w:t>Reconciliation of Membership Movements</w:t>
      </w:r>
    </w:p>
    <w:p w:rsidR="0000472B" w:rsidRDefault="0000472B" w:rsidP="0000472B"/>
    <w:tbl>
      <w:tblPr>
        <w:tblStyle w:val="TableGrid"/>
        <w:tblW w:w="8364"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560"/>
        <w:gridCol w:w="1701"/>
        <w:gridCol w:w="1701"/>
        <w:gridCol w:w="1701"/>
        <w:gridCol w:w="1701"/>
      </w:tblGrid>
      <w:tr w:rsidR="0000472B" w:rsidRPr="00E3054F" w:rsidTr="00E57B26">
        <w:trPr>
          <w:cantSplit/>
          <w:trHeight w:val="323"/>
          <w:tblHeader/>
        </w:trPr>
        <w:tc>
          <w:tcPr>
            <w:tcW w:w="1560" w:type="dxa"/>
            <w:vMerge w:val="restart"/>
            <w:shd w:val="clear" w:color="auto" w:fill="00A8C8"/>
            <w:vAlign w:val="center"/>
          </w:tcPr>
          <w:p w:rsidR="0000472B" w:rsidRPr="00E3054F" w:rsidRDefault="0000472B" w:rsidP="00E57B26">
            <w:pPr>
              <w:pStyle w:val="TableHeadingText"/>
              <w:rPr>
                <w:caps w:val="0"/>
              </w:rPr>
            </w:pPr>
          </w:p>
        </w:tc>
        <w:tc>
          <w:tcPr>
            <w:tcW w:w="6804" w:type="dxa"/>
            <w:gridSpan w:val="4"/>
            <w:shd w:val="clear" w:color="auto" w:fill="00A8C8"/>
            <w:vAlign w:val="center"/>
          </w:tcPr>
          <w:p w:rsidR="0000472B" w:rsidRPr="00E3054F" w:rsidRDefault="0000472B" w:rsidP="00E57B26">
            <w:pPr>
              <w:pStyle w:val="TableHeadingText"/>
              <w:jc w:val="center"/>
              <w:rPr>
                <w:caps w:val="0"/>
              </w:rPr>
            </w:pPr>
            <w:r>
              <w:rPr>
                <w:caps w:val="0"/>
              </w:rPr>
              <w:t>CSS (including 1922 Scheme pensioners)</w:t>
            </w:r>
          </w:p>
        </w:tc>
      </w:tr>
      <w:tr w:rsidR="0000472B" w:rsidRPr="00E3054F" w:rsidTr="00E57B26">
        <w:trPr>
          <w:cantSplit/>
          <w:trHeight w:val="322"/>
          <w:tblHeader/>
        </w:trPr>
        <w:tc>
          <w:tcPr>
            <w:tcW w:w="1560" w:type="dxa"/>
            <w:vMerge/>
            <w:shd w:val="clear" w:color="auto" w:fill="00A8C8"/>
          </w:tcPr>
          <w:p w:rsidR="0000472B" w:rsidRDefault="0000472B" w:rsidP="00E57B26">
            <w:pPr>
              <w:pStyle w:val="TableHeadingText"/>
              <w:rPr>
                <w:caps w:val="0"/>
              </w:rPr>
            </w:pP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sidRPr="00282E25">
              <w:rPr>
                <w:caps w:val="0"/>
                <w:sz w:val="18"/>
                <w:szCs w:val="18"/>
              </w:rPr>
              <w:t>Contributor</w:t>
            </w: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sidRPr="00282E25">
              <w:rPr>
                <w:caps w:val="0"/>
                <w:sz w:val="18"/>
                <w:szCs w:val="18"/>
              </w:rPr>
              <w:t>Deferred</w:t>
            </w: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sidRPr="00282E25">
              <w:rPr>
                <w:caps w:val="0"/>
                <w:sz w:val="18"/>
                <w:szCs w:val="18"/>
              </w:rPr>
              <w:t>Pensioner</w:t>
            </w: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Pr>
                <w:caps w:val="0"/>
                <w:sz w:val="18"/>
                <w:szCs w:val="18"/>
              </w:rPr>
              <w:t>Total</w:t>
            </w:r>
          </w:p>
        </w:tc>
      </w:tr>
      <w:tr w:rsidR="0000472B" w:rsidRPr="00331428" w:rsidTr="00E57B26">
        <w:trPr>
          <w:cantSplit/>
        </w:trPr>
        <w:tc>
          <w:tcPr>
            <w:tcW w:w="1560" w:type="dxa"/>
            <w:shd w:val="clear" w:color="auto" w:fill="F2F2F2"/>
          </w:tcPr>
          <w:p w:rsidR="0000472B" w:rsidRPr="00331428" w:rsidRDefault="0000472B" w:rsidP="00E57B26">
            <w:pPr>
              <w:pStyle w:val="TableText"/>
              <w:rPr>
                <w:b/>
              </w:rPr>
            </w:pPr>
            <w:r w:rsidRPr="00331428">
              <w:rPr>
                <w:b/>
              </w:rPr>
              <w:t>As at 30/06/14</w:t>
            </w:r>
          </w:p>
        </w:tc>
        <w:tc>
          <w:tcPr>
            <w:tcW w:w="1701" w:type="dxa"/>
            <w:shd w:val="clear" w:color="auto" w:fill="F2F2F2"/>
          </w:tcPr>
          <w:p w:rsidR="0000472B" w:rsidRPr="00331428" w:rsidRDefault="0000472B" w:rsidP="00E57B26">
            <w:pPr>
              <w:pStyle w:val="TableText"/>
              <w:jc w:val="center"/>
              <w:rPr>
                <w:b/>
              </w:rPr>
            </w:pPr>
            <w:r w:rsidRPr="00331428">
              <w:rPr>
                <w:b/>
              </w:rPr>
              <w:t>10,548</w:t>
            </w:r>
          </w:p>
        </w:tc>
        <w:tc>
          <w:tcPr>
            <w:tcW w:w="1701" w:type="dxa"/>
            <w:shd w:val="clear" w:color="auto" w:fill="F2F2F2"/>
          </w:tcPr>
          <w:p w:rsidR="0000472B" w:rsidRPr="00331428" w:rsidRDefault="0000472B" w:rsidP="00E57B26">
            <w:pPr>
              <w:pStyle w:val="TableText"/>
              <w:jc w:val="center"/>
              <w:rPr>
                <w:b/>
              </w:rPr>
            </w:pPr>
            <w:r w:rsidRPr="00331428">
              <w:rPr>
                <w:b/>
              </w:rPr>
              <w:t>6,694</w:t>
            </w:r>
          </w:p>
        </w:tc>
        <w:tc>
          <w:tcPr>
            <w:tcW w:w="1701" w:type="dxa"/>
            <w:shd w:val="clear" w:color="auto" w:fill="F2F2F2"/>
          </w:tcPr>
          <w:p w:rsidR="0000472B" w:rsidRPr="00331428" w:rsidRDefault="0000472B" w:rsidP="00E57B26">
            <w:pPr>
              <w:pStyle w:val="TableText"/>
              <w:jc w:val="center"/>
              <w:rPr>
                <w:b/>
              </w:rPr>
            </w:pPr>
            <w:r w:rsidRPr="00331428">
              <w:rPr>
                <w:b/>
              </w:rPr>
              <w:t>113,310</w:t>
            </w:r>
          </w:p>
        </w:tc>
        <w:tc>
          <w:tcPr>
            <w:tcW w:w="1701" w:type="dxa"/>
            <w:shd w:val="clear" w:color="auto" w:fill="F2F2F2"/>
          </w:tcPr>
          <w:p w:rsidR="0000472B" w:rsidRPr="00331428" w:rsidRDefault="0000472B" w:rsidP="00E57B26">
            <w:pPr>
              <w:pStyle w:val="TableText"/>
              <w:jc w:val="center"/>
              <w:rPr>
                <w:b/>
              </w:rPr>
            </w:pPr>
            <w:r w:rsidRPr="00331428">
              <w:rPr>
                <w:b/>
              </w:rPr>
              <w:t>130,552</w:t>
            </w:r>
          </w:p>
        </w:tc>
      </w:tr>
      <w:tr w:rsidR="0000472B" w:rsidRPr="00E3054F" w:rsidTr="00E57B26">
        <w:trPr>
          <w:cantSplit/>
        </w:trPr>
        <w:tc>
          <w:tcPr>
            <w:tcW w:w="1560" w:type="dxa"/>
            <w:shd w:val="clear" w:color="auto" w:fill="F2F2F2"/>
          </w:tcPr>
          <w:p w:rsidR="0000472B" w:rsidRDefault="0000472B" w:rsidP="00E57B26">
            <w:pPr>
              <w:pStyle w:val="TableText"/>
            </w:pPr>
            <w:r>
              <w:t>New</w:t>
            </w:r>
          </w:p>
        </w:tc>
        <w:tc>
          <w:tcPr>
            <w:tcW w:w="1701" w:type="dxa"/>
            <w:shd w:val="clear" w:color="auto" w:fill="F2F2F2"/>
          </w:tcPr>
          <w:p w:rsidR="0000472B" w:rsidRPr="00E3054F" w:rsidRDefault="0000472B" w:rsidP="00E57B26">
            <w:pPr>
              <w:pStyle w:val="TableText"/>
              <w:jc w:val="center"/>
            </w:pPr>
            <w:r>
              <w:t>+65</w:t>
            </w:r>
            <w:r w:rsidR="00E66E32">
              <w:t>*</w:t>
            </w:r>
          </w:p>
        </w:tc>
        <w:tc>
          <w:tcPr>
            <w:tcW w:w="1701" w:type="dxa"/>
            <w:shd w:val="clear" w:color="auto" w:fill="F2F2F2"/>
          </w:tcPr>
          <w:p w:rsidR="0000472B" w:rsidRPr="00E3054F" w:rsidRDefault="0000472B" w:rsidP="00E57B26">
            <w:pPr>
              <w:pStyle w:val="TableText"/>
              <w:jc w:val="center"/>
            </w:pPr>
            <w:r>
              <w:t>+571</w:t>
            </w:r>
          </w:p>
        </w:tc>
        <w:tc>
          <w:tcPr>
            <w:tcW w:w="1701" w:type="dxa"/>
            <w:shd w:val="clear" w:color="auto" w:fill="F2F2F2"/>
          </w:tcPr>
          <w:p w:rsidR="0000472B" w:rsidRPr="00E3054F" w:rsidRDefault="008545C2" w:rsidP="00E57B26">
            <w:pPr>
              <w:pStyle w:val="TableText"/>
              <w:jc w:val="center"/>
            </w:pPr>
            <w:r>
              <w:t>+10,363</w:t>
            </w:r>
          </w:p>
        </w:tc>
        <w:tc>
          <w:tcPr>
            <w:tcW w:w="1701" w:type="dxa"/>
            <w:shd w:val="clear" w:color="auto" w:fill="F2F2F2"/>
          </w:tcPr>
          <w:p w:rsidR="0000472B" w:rsidRPr="00E3054F" w:rsidRDefault="008545C2" w:rsidP="00E57B26">
            <w:pPr>
              <w:pStyle w:val="TableText"/>
              <w:jc w:val="center"/>
            </w:pPr>
            <w:r>
              <w:t>+10,999</w:t>
            </w:r>
          </w:p>
        </w:tc>
      </w:tr>
      <w:tr w:rsidR="0000472B" w:rsidRPr="00E3054F" w:rsidTr="00E57B26">
        <w:trPr>
          <w:cantSplit/>
        </w:trPr>
        <w:tc>
          <w:tcPr>
            <w:tcW w:w="1560" w:type="dxa"/>
            <w:shd w:val="clear" w:color="auto" w:fill="F2F2F2"/>
          </w:tcPr>
          <w:p w:rsidR="0000472B" w:rsidRDefault="0000472B" w:rsidP="00E57B26">
            <w:pPr>
              <w:pStyle w:val="TableText"/>
            </w:pPr>
            <w:r>
              <w:t>Exit</w:t>
            </w:r>
          </w:p>
        </w:tc>
        <w:tc>
          <w:tcPr>
            <w:tcW w:w="1701" w:type="dxa"/>
            <w:shd w:val="clear" w:color="auto" w:fill="F2F2F2"/>
          </w:tcPr>
          <w:p w:rsidR="0000472B" w:rsidRPr="00E3054F" w:rsidRDefault="0000472B" w:rsidP="00E57B26">
            <w:pPr>
              <w:pStyle w:val="TableText"/>
              <w:jc w:val="center"/>
            </w:pPr>
            <w:r>
              <w:t>-4,826</w:t>
            </w:r>
          </w:p>
        </w:tc>
        <w:tc>
          <w:tcPr>
            <w:tcW w:w="1701" w:type="dxa"/>
            <w:shd w:val="clear" w:color="auto" w:fill="F2F2F2"/>
          </w:tcPr>
          <w:p w:rsidR="0000472B" w:rsidRPr="00E3054F" w:rsidRDefault="0000472B" w:rsidP="00E57B26">
            <w:pPr>
              <w:pStyle w:val="TableText"/>
              <w:jc w:val="center"/>
            </w:pPr>
            <w:r>
              <w:t>-2,429</w:t>
            </w:r>
          </w:p>
        </w:tc>
        <w:tc>
          <w:tcPr>
            <w:tcW w:w="1701" w:type="dxa"/>
            <w:shd w:val="clear" w:color="auto" w:fill="F2F2F2"/>
          </w:tcPr>
          <w:p w:rsidR="0000472B" w:rsidRPr="00E3054F" w:rsidRDefault="008545C2" w:rsidP="00E57B26">
            <w:pPr>
              <w:pStyle w:val="TableText"/>
              <w:jc w:val="center"/>
            </w:pPr>
            <w:r>
              <w:t>-13,770</w:t>
            </w:r>
          </w:p>
        </w:tc>
        <w:tc>
          <w:tcPr>
            <w:tcW w:w="1701" w:type="dxa"/>
            <w:shd w:val="clear" w:color="auto" w:fill="F2F2F2"/>
          </w:tcPr>
          <w:p w:rsidR="0000472B" w:rsidRPr="00E3054F" w:rsidRDefault="008545C2" w:rsidP="00E57B26">
            <w:pPr>
              <w:pStyle w:val="TableText"/>
              <w:jc w:val="center"/>
            </w:pPr>
            <w:r>
              <w:t>-21,025</w:t>
            </w:r>
          </w:p>
        </w:tc>
      </w:tr>
      <w:tr w:rsidR="0000472B" w:rsidRPr="00331428" w:rsidTr="00E57B26">
        <w:trPr>
          <w:cantSplit/>
        </w:trPr>
        <w:tc>
          <w:tcPr>
            <w:tcW w:w="1560" w:type="dxa"/>
            <w:shd w:val="clear" w:color="auto" w:fill="F2F2F2"/>
          </w:tcPr>
          <w:p w:rsidR="0000472B" w:rsidRPr="00331428" w:rsidRDefault="0000472B" w:rsidP="00E57B26">
            <w:pPr>
              <w:pStyle w:val="TableText"/>
              <w:rPr>
                <w:b/>
              </w:rPr>
            </w:pPr>
            <w:r w:rsidRPr="00331428">
              <w:rPr>
                <w:b/>
              </w:rPr>
              <w:t>As at 30/06/17</w:t>
            </w:r>
          </w:p>
        </w:tc>
        <w:tc>
          <w:tcPr>
            <w:tcW w:w="1701" w:type="dxa"/>
            <w:shd w:val="clear" w:color="auto" w:fill="F2F2F2"/>
          </w:tcPr>
          <w:p w:rsidR="0000472B" w:rsidRPr="00331428" w:rsidRDefault="0000472B" w:rsidP="00E57B26">
            <w:pPr>
              <w:pStyle w:val="TableText"/>
              <w:jc w:val="center"/>
              <w:rPr>
                <w:b/>
              </w:rPr>
            </w:pPr>
            <w:r w:rsidRPr="00331428">
              <w:rPr>
                <w:b/>
              </w:rPr>
              <w:t>5,787</w:t>
            </w:r>
          </w:p>
        </w:tc>
        <w:tc>
          <w:tcPr>
            <w:tcW w:w="1701" w:type="dxa"/>
            <w:shd w:val="clear" w:color="auto" w:fill="F2F2F2"/>
          </w:tcPr>
          <w:p w:rsidR="0000472B" w:rsidRPr="00331428" w:rsidRDefault="0000472B" w:rsidP="00E57B26">
            <w:pPr>
              <w:pStyle w:val="TableText"/>
              <w:jc w:val="center"/>
              <w:rPr>
                <w:b/>
              </w:rPr>
            </w:pPr>
            <w:r w:rsidRPr="00331428">
              <w:rPr>
                <w:b/>
              </w:rPr>
              <w:t>4,836</w:t>
            </w:r>
          </w:p>
        </w:tc>
        <w:tc>
          <w:tcPr>
            <w:tcW w:w="1701" w:type="dxa"/>
            <w:shd w:val="clear" w:color="auto" w:fill="F2F2F2"/>
          </w:tcPr>
          <w:p w:rsidR="0000472B" w:rsidRPr="00331428" w:rsidRDefault="0000472B" w:rsidP="00E57B26">
            <w:pPr>
              <w:pStyle w:val="TableText"/>
              <w:jc w:val="center"/>
              <w:rPr>
                <w:b/>
              </w:rPr>
            </w:pPr>
            <w:r w:rsidRPr="00331428">
              <w:rPr>
                <w:b/>
              </w:rPr>
              <w:t>109,903</w:t>
            </w:r>
          </w:p>
        </w:tc>
        <w:tc>
          <w:tcPr>
            <w:tcW w:w="1701" w:type="dxa"/>
            <w:shd w:val="clear" w:color="auto" w:fill="F2F2F2"/>
          </w:tcPr>
          <w:p w:rsidR="0000472B" w:rsidRPr="00331428" w:rsidRDefault="0000472B" w:rsidP="00E57B26">
            <w:pPr>
              <w:pStyle w:val="TableText"/>
              <w:jc w:val="center"/>
              <w:rPr>
                <w:b/>
              </w:rPr>
            </w:pPr>
            <w:r w:rsidRPr="00331428">
              <w:rPr>
                <w:b/>
              </w:rPr>
              <w:t>120,526</w:t>
            </w:r>
          </w:p>
        </w:tc>
      </w:tr>
    </w:tbl>
    <w:p w:rsidR="00E66E32" w:rsidRDefault="00E66E32" w:rsidP="00E66E32">
      <w:pPr>
        <w:tabs>
          <w:tab w:val="left" w:pos="227"/>
        </w:tabs>
        <w:spacing w:before="120" w:line="240" w:lineRule="auto"/>
        <w:ind w:left="284" w:hanging="284"/>
        <w:rPr>
          <w:sz w:val="16"/>
          <w:szCs w:val="16"/>
        </w:rPr>
      </w:pPr>
      <w:r>
        <w:rPr>
          <w:sz w:val="16"/>
          <w:szCs w:val="16"/>
        </w:rPr>
        <w:t>*</w:t>
      </w:r>
      <w:r>
        <w:rPr>
          <w:sz w:val="16"/>
          <w:szCs w:val="16"/>
        </w:rPr>
        <w:tab/>
        <w:t>Deferred members recommencing contributions on re-employment with a participating employer</w:t>
      </w:r>
      <w:r w:rsidRPr="00EF6DD9">
        <w:rPr>
          <w:sz w:val="16"/>
          <w:szCs w:val="16"/>
        </w:rPr>
        <w:t>.</w:t>
      </w:r>
    </w:p>
    <w:p w:rsidR="0000472B" w:rsidRDefault="0000472B" w:rsidP="0000472B"/>
    <w:tbl>
      <w:tblPr>
        <w:tblStyle w:val="TableGrid"/>
        <w:tblW w:w="8364" w:type="dxa"/>
        <w:tblInd w:w="72"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560"/>
        <w:gridCol w:w="1701"/>
        <w:gridCol w:w="1701"/>
        <w:gridCol w:w="1701"/>
        <w:gridCol w:w="1701"/>
      </w:tblGrid>
      <w:tr w:rsidR="0000472B" w:rsidRPr="00E3054F" w:rsidTr="00E57B26">
        <w:trPr>
          <w:cantSplit/>
          <w:trHeight w:val="323"/>
          <w:tblHeader/>
        </w:trPr>
        <w:tc>
          <w:tcPr>
            <w:tcW w:w="1560" w:type="dxa"/>
            <w:vMerge w:val="restart"/>
            <w:shd w:val="clear" w:color="auto" w:fill="00A8C8"/>
            <w:vAlign w:val="center"/>
          </w:tcPr>
          <w:p w:rsidR="0000472B" w:rsidRPr="00E3054F" w:rsidRDefault="0000472B" w:rsidP="00E57B26">
            <w:pPr>
              <w:pStyle w:val="TableHeadingText"/>
              <w:rPr>
                <w:caps w:val="0"/>
              </w:rPr>
            </w:pPr>
          </w:p>
        </w:tc>
        <w:tc>
          <w:tcPr>
            <w:tcW w:w="6804" w:type="dxa"/>
            <w:gridSpan w:val="4"/>
            <w:shd w:val="clear" w:color="auto" w:fill="00A8C8"/>
            <w:vAlign w:val="center"/>
          </w:tcPr>
          <w:p w:rsidR="0000472B" w:rsidRPr="00E3054F" w:rsidRDefault="0000472B" w:rsidP="00E57B26">
            <w:pPr>
              <w:pStyle w:val="TableHeadingText"/>
              <w:jc w:val="center"/>
              <w:rPr>
                <w:caps w:val="0"/>
              </w:rPr>
            </w:pPr>
            <w:r>
              <w:rPr>
                <w:caps w:val="0"/>
              </w:rPr>
              <w:t>PSS</w:t>
            </w:r>
          </w:p>
        </w:tc>
      </w:tr>
      <w:tr w:rsidR="0000472B" w:rsidRPr="00E3054F" w:rsidTr="00E57B26">
        <w:trPr>
          <w:cantSplit/>
          <w:trHeight w:val="322"/>
          <w:tblHeader/>
        </w:trPr>
        <w:tc>
          <w:tcPr>
            <w:tcW w:w="1560" w:type="dxa"/>
            <w:vMerge/>
            <w:shd w:val="clear" w:color="auto" w:fill="00A8C8"/>
          </w:tcPr>
          <w:p w:rsidR="0000472B" w:rsidRDefault="0000472B" w:rsidP="00E57B26">
            <w:pPr>
              <w:pStyle w:val="TableHeadingText"/>
              <w:rPr>
                <w:caps w:val="0"/>
              </w:rPr>
            </w:pP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sidRPr="00282E25">
              <w:rPr>
                <w:caps w:val="0"/>
                <w:sz w:val="18"/>
                <w:szCs w:val="18"/>
              </w:rPr>
              <w:t>Contributor</w:t>
            </w: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Pr>
                <w:caps w:val="0"/>
                <w:sz w:val="18"/>
                <w:szCs w:val="18"/>
              </w:rPr>
              <w:t>Preserved</w:t>
            </w: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sidRPr="00282E25">
              <w:rPr>
                <w:caps w:val="0"/>
                <w:sz w:val="18"/>
                <w:szCs w:val="18"/>
              </w:rPr>
              <w:t>Pensioner</w:t>
            </w:r>
          </w:p>
        </w:tc>
        <w:tc>
          <w:tcPr>
            <w:tcW w:w="1701" w:type="dxa"/>
            <w:shd w:val="clear" w:color="auto" w:fill="00A8C8"/>
            <w:vAlign w:val="center"/>
          </w:tcPr>
          <w:p w:rsidR="0000472B" w:rsidRPr="00282E25" w:rsidRDefault="0000472B" w:rsidP="00E57B26">
            <w:pPr>
              <w:pStyle w:val="TableHeadingText"/>
              <w:jc w:val="center"/>
              <w:rPr>
                <w:caps w:val="0"/>
                <w:sz w:val="18"/>
                <w:szCs w:val="18"/>
              </w:rPr>
            </w:pPr>
            <w:r>
              <w:rPr>
                <w:caps w:val="0"/>
                <w:sz w:val="18"/>
                <w:szCs w:val="18"/>
              </w:rPr>
              <w:t>Total</w:t>
            </w:r>
          </w:p>
        </w:tc>
      </w:tr>
      <w:tr w:rsidR="0000472B" w:rsidRPr="00331428" w:rsidTr="00E57B26">
        <w:trPr>
          <w:cantSplit/>
        </w:trPr>
        <w:tc>
          <w:tcPr>
            <w:tcW w:w="1560" w:type="dxa"/>
            <w:shd w:val="clear" w:color="auto" w:fill="F2F2F2"/>
          </w:tcPr>
          <w:p w:rsidR="0000472B" w:rsidRPr="00331428" w:rsidRDefault="0000472B" w:rsidP="00E57B26">
            <w:pPr>
              <w:pStyle w:val="TableText"/>
              <w:rPr>
                <w:b/>
              </w:rPr>
            </w:pPr>
            <w:r w:rsidRPr="00331428">
              <w:rPr>
                <w:b/>
              </w:rPr>
              <w:t>As at 30/06/14</w:t>
            </w:r>
          </w:p>
        </w:tc>
        <w:tc>
          <w:tcPr>
            <w:tcW w:w="1701" w:type="dxa"/>
            <w:shd w:val="clear" w:color="auto" w:fill="F2F2F2"/>
          </w:tcPr>
          <w:p w:rsidR="0000472B" w:rsidRPr="00331428" w:rsidRDefault="0000472B" w:rsidP="00E57B26">
            <w:pPr>
              <w:pStyle w:val="TableText"/>
              <w:jc w:val="center"/>
              <w:rPr>
                <w:b/>
              </w:rPr>
            </w:pPr>
            <w:r w:rsidRPr="00331428">
              <w:rPr>
                <w:b/>
              </w:rPr>
              <w:t>96,049</w:t>
            </w:r>
          </w:p>
        </w:tc>
        <w:tc>
          <w:tcPr>
            <w:tcW w:w="1701" w:type="dxa"/>
            <w:shd w:val="clear" w:color="auto" w:fill="F2F2F2"/>
          </w:tcPr>
          <w:p w:rsidR="0000472B" w:rsidRPr="00331428" w:rsidRDefault="0000472B" w:rsidP="00E57B26">
            <w:pPr>
              <w:pStyle w:val="TableText"/>
              <w:jc w:val="center"/>
              <w:rPr>
                <w:b/>
              </w:rPr>
            </w:pPr>
            <w:r w:rsidRPr="00331428">
              <w:rPr>
                <w:b/>
              </w:rPr>
              <w:t>102,906</w:t>
            </w:r>
          </w:p>
        </w:tc>
        <w:tc>
          <w:tcPr>
            <w:tcW w:w="1701" w:type="dxa"/>
            <w:shd w:val="clear" w:color="auto" w:fill="F2F2F2"/>
          </w:tcPr>
          <w:p w:rsidR="0000472B" w:rsidRPr="00331428" w:rsidRDefault="0000472B" w:rsidP="00E57B26">
            <w:pPr>
              <w:pStyle w:val="TableText"/>
              <w:jc w:val="center"/>
              <w:rPr>
                <w:b/>
              </w:rPr>
            </w:pPr>
            <w:r w:rsidRPr="00331428">
              <w:rPr>
                <w:b/>
              </w:rPr>
              <w:t>34,314</w:t>
            </w:r>
          </w:p>
        </w:tc>
        <w:tc>
          <w:tcPr>
            <w:tcW w:w="1701" w:type="dxa"/>
            <w:shd w:val="clear" w:color="auto" w:fill="F2F2F2"/>
          </w:tcPr>
          <w:p w:rsidR="0000472B" w:rsidRPr="00331428" w:rsidRDefault="0000472B" w:rsidP="00E57B26">
            <w:pPr>
              <w:pStyle w:val="TableText"/>
              <w:jc w:val="center"/>
              <w:rPr>
                <w:b/>
              </w:rPr>
            </w:pPr>
            <w:r w:rsidRPr="00331428">
              <w:rPr>
                <w:b/>
              </w:rPr>
              <w:t>233,269</w:t>
            </w:r>
          </w:p>
        </w:tc>
      </w:tr>
      <w:tr w:rsidR="0000472B" w:rsidRPr="00E3054F" w:rsidTr="00E57B26">
        <w:trPr>
          <w:cantSplit/>
        </w:trPr>
        <w:tc>
          <w:tcPr>
            <w:tcW w:w="1560" w:type="dxa"/>
            <w:shd w:val="clear" w:color="auto" w:fill="F2F2F2"/>
          </w:tcPr>
          <w:p w:rsidR="0000472B" w:rsidRDefault="0000472B" w:rsidP="00E57B26">
            <w:pPr>
              <w:pStyle w:val="TableText"/>
            </w:pPr>
            <w:r>
              <w:t>New</w:t>
            </w:r>
          </w:p>
        </w:tc>
        <w:tc>
          <w:tcPr>
            <w:tcW w:w="1701" w:type="dxa"/>
            <w:shd w:val="clear" w:color="auto" w:fill="F2F2F2"/>
          </w:tcPr>
          <w:p w:rsidR="0000472B" w:rsidRPr="00E3054F" w:rsidRDefault="0000472B" w:rsidP="00E57B26">
            <w:pPr>
              <w:pStyle w:val="TableText"/>
              <w:jc w:val="center"/>
            </w:pPr>
            <w:r>
              <w:t>+2,855</w:t>
            </w:r>
            <w:r w:rsidR="00E66E32">
              <w:t>*</w:t>
            </w:r>
          </w:p>
        </w:tc>
        <w:tc>
          <w:tcPr>
            <w:tcW w:w="1701" w:type="dxa"/>
            <w:shd w:val="clear" w:color="auto" w:fill="F2F2F2"/>
          </w:tcPr>
          <w:p w:rsidR="0000472B" w:rsidRPr="00E3054F" w:rsidRDefault="0000472B" w:rsidP="00E57B26">
            <w:pPr>
              <w:pStyle w:val="TableText"/>
              <w:jc w:val="center"/>
            </w:pPr>
            <w:r>
              <w:t>+8,964</w:t>
            </w:r>
          </w:p>
        </w:tc>
        <w:tc>
          <w:tcPr>
            <w:tcW w:w="1701" w:type="dxa"/>
            <w:shd w:val="clear" w:color="auto" w:fill="F2F2F2"/>
          </w:tcPr>
          <w:p w:rsidR="0000472B" w:rsidRPr="00E3054F" w:rsidRDefault="00E57B26" w:rsidP="00E57B26">
            <w:pPr>
              <w:pStyle w:val="TableText"/>
              <w:jc w:val="center"/>
            </w:pPr>
            <w:r>
              <w:t>+14,622</w:t>
            </w:r>
          </w:p>
        </w:tc>
        <w:tc>
          <w:tcPr>
            <w:tcW w:w="1701" w:type="dxa"/>
            <w:shd w:val="clear" w:color="auto" w:fill="F2F2F2"/>
          </w:tcPr>
          <w:p w:rsidR="0000472B" w:rsidRPr="00E3054F" w:rsidRDefault="00E57B26" w:rsidP="00E57B26">
            <w:pPr>
              <w:pStyle w:val="TableText"/>
              <w:jc w:val="center"/>
            </w:pPr>
            <w:r>
              <w:t>+26,441</w:t>
            </w:r>
          </w:p>
        </w:tc>
      </w:tr>
      <w:tr w:rsidR="0000472B" w:rsidRPr="00E3054F" w:rsidTr="00E57B26">
        <w:trPr>
          <w:cantSplit/>
        </w:trPr>
        <w:tc>
          <w:tcPr>
            <w:tcW w:w="1560" w:type="dxa"/>
            <w:shd w:val="clear" w:color="auto" w:fill="F2F2F2"/>
          </w:tcPr>
          <w:p w:rsidR="0000472B" w:rsidRDefault="00E66E32" w:rsidP="00E57B26">
            <w:pPr>
              <w:pStyle w:val="TableText"/>
            </w:pPr>
            <w:r>
              <w:t>Exits</w:t>
            </w:r>
          </w:p>
        </w:tc>
        <w:tc>
          <w:tcPr>
            <w:tcW w:w="1701" w:type="dxa"/>
            <w:shd w:val="clear" w:color="auto" w:fill="F2F2F2"/>
          </w:tcPr>
          <w:p w:rsidR="0000472B" w:rsidRPr="00E3054F" w:rsidRDefault="0000472B" w:rsidP="00E57B26">
            <w:pPr>
              <w:pStyle w:val="TableText"/>
              <w:jc w:val="center"/>
            </w:pPr>
            <w:r>
              <w:t>-19,993</w:t>
            </w:r>
          </w:p>
        </w:tc>
        <w:tc>
          <w:tcPr>
            <w:tcW w:w="1701" w:type="dxa"/>
            <w:shd w:val="clear" w:color="auto" w:fill="F2F2F2"/>
          </w:tcPr>
          <w:p w:rsidR="0000472B" w:rsidRPr="00E3054F" w:rsidRDefault="0000472B" w:rsidP="00E57B26">
            <w:pPr>
              <w:pStyle w:val="TableText"/>
              <w:jc w:val="center"/>
            </w:pPr>
            <w:r>
              <w:t>-11,441</w:t>
            </w:r>
          </w:p>
        </w:tc>
        <w:tc>
          <w:tcPr>
            <w:tcW w:w="1701" w:type="dxa"/>
            <w:shd w:val="clear" w:color="auto" w:fill="F2F2F2"/>
          </w:tcPr>
          <w:p w:rsidR="0000472B" w:rsidRPr="00E3054F" w:rsidRDefault="00E57B26" w:rsidP="00E57B26">
            <w:pPr>
              <w:pStyle w:val="TableText"/>
              <w:jc w:val="center"/>
            </w:pPr>
            <w:r>
              <w:t>-785</w:t>
            </w:r>
          </w:p>
        </w:tc>
        <w:tc>
          <w:tcPr>
            <w:tcW w:w="1701" w:type="dxa"/>
            <w:shd w:val="clear" w:color="auto" w:fill="F2F2F2"/>
          </w:tcPr>
          <w:p w:rsidR="0000472B" w:rsidRPr="00E3054F" w:rsidRDefault="00E57B26" w:rsidP="00E57B26">
            <w:pPr>
              <w:pStyle w:val="TableText"/>
              <w:jc w:val="center"/>
            </w:pPr>
            <w:r>
              <w:t>-32,219</w:t>
            </w:r>
          </w:p>
        </w:tc>
      </w:tr>
      <w:tr w:rsidR="0000472B" w:rsidRPr="00331428" w:rsidTr="00E57B26">
        <w:trPr>
          <w:cantSplit/>
        </w:trPr>
        <w:tc>
          <w:tcPr>
            <w:tcW w:w="1560" w:type="dxa"/>
            <w:shd w:val="clear" w:color="auto" w:fill="F2F2F2"/>
          </w:tcPr>
          <w:p w:rsidR="0000472B" w:rsidRPr="00331428" w:rsidRDefault="0000472B" w:rsidP="00E57B26">
            <w:pPr>
              <w:pStyle w:val="TableText"/>
              <w:rPr>
                <w:b/>
              </w:rPr>
            </w:pPr>
            <w:r w:rsidRPr="00331428">
              <w:rPr>
                <w:b/>
              </w:rPr>
              <w:t>As at 30/06/17</w:t>
            </w:r>
          </w:p>
        </w:tc>
        <w:tc>
          <w:tcPr>
            <w:tcW w:w="1701" w:type="dxa"/>
            <w:shd w:val="clear" w:color="auto" w:fill="F2F2F2"/>
          </w:tcPr>
          <w:p w:rsidR="0000472B" w:rsidRPr="00331428" w:rsidRDefault="0000472B" w:rsidP="00E57B26">
            <w:pPr>
              <w:pStyle w:val="TableText"/>
              <w:jc w:val="center"/>
              <w:rPr>
                <w:b/>
              </w:rPr>
            </w:pPr>
            <w:r w:rsidRPr="00331428">
              <w:rPr>
                <w:b/>
              </w:rPr>
              <w:t>78,911</w:t>
            </w:r>
          </w:p>
        </w:tc>
        <w:tc>
          <w:tcPr>
            <w:tcW w:w="1701" w:type="dxa"/>
            <w:shd w:val="clear" w:color="auto" w:fill="F2F2F2"/>
          </w:tcPr>
          <w:p w:rsidR="0000472B" w:rsidRPr="00331428" w:rsidRDefault="0000472B" w:rsidP="00E57B26">
            <w:pPr>
              <w:pStyle w:val="TableText"/>
              <w:jc w:val="center"/>
              <w:rPr>
                <w:b/>
              </w:rPr>
            </w:pPr>
            <w:r w:rsidRPr="00331428">
              <w:rPr>
                <w:b/>
              </w:rPr>
              <w:t>100,429</w:t>
            </w:r>
          </w:p>
        </w:tc>
        <w:tc>
          <w:tcPr>
            <w:tcW w:w="1701" w:type="dxa"/>
            <w:shd w:val="clear" w:color="auto" w:fill="F2F2F2"/>
          </w:tcPr>
          <w:p w:rsidR="0000472B" w:rsidRPr="00331428" w:rsidRDefault="0000472B" w:rsidP="00E57B26">
            <w:pPr>
              <w:pStyle w:val="TableText"/>
              <w:jc w:val="center"/>
              <w:rPr>
                <w:b/>
              </w:rPr>
            </w:pPr>
            <w:r w:rsidRPr="00331428">
              <w:rPr>
                <w:b/>
              </w:rPr>
              <w:t>48,151</w:t>
            </w:r>
          </w:p>
        </w:tc>
        <w:tc>
          <w:tcPr>
            <w:tcW w:w="1701" w:type="dxa"/>
            <w:shd w:val="clear" w:color="auto" w:fill="F2F2F2"/>
          </w:tcPr>
          <w:p w:rsidR="0000472B" w:rsidRPr="00331428" w:rsidRDefault="0000472B" w:rsidP="00E57B26">
            <w:pPr>
              <w:pStyle w:val="TableText"/>
              <w:jc w:val="center"/>
              <w:rPr>
                <w:b/>
              </w:rPr>
            </w:pPr>
            <w:r w:rsidRPr="00331428">
              <w:rPr>
                <w:b/>
              </w:rPr>
              <w:t>227,491</w:t>
            </w:r>
          </w:p>
        </w:tc>
      </w:tr>
    </w:tbl>
    <w:p w:rsidR="00E66E32" w:rsidRDefault="00E66E32" w:rsidP="00E66E32">
      <w:pPr>
        <w:tabs>
          <w:tab w:val="left" w:pos="227"/>
        </w:tabs>
        <w:spacing w:before="120" w:line="240" w:lineRule="auto"/>
        <w:ind w:left="284" w:hanging="284"/>
        <w:rPr>
          <w:sz w:val="16"/>
          <w:szCs w:val="16"/>
        </w:rPr>
      </w:pPr>
      <w:r>
        <w:rPr>
          <w:sz w:val="16"/>
          <w:szCs w:val="16"/>
        </w:rPr>
        <w:t>*</w:t>
      </w:r>
      <w:r>
        <w:rPr>
          <w:sz w:val="16"/>
          <w:szCs w:val="16"/>
        </w:rPr>
        <w:tab/>
        <w:t>Preserved members recommencing contributions on re-employment with a participating employer</w:t>
      </w:r>
      <w:r w:rsidRPr="00EF6DD9">
        <w:rPr>
          <w:sz w:val="16"/>
          <w:szCs w:val="16"/>
        </w:rPr>
        <w:t>.</w:t>
      </w:r>
    </w:p>
    <w:p w:rsidR="0000472B" w:rsidRDefault="0000472B" w:rsidP="0000472B">
      <w:pPr>
        <w:spacing w:line="240" w:lineRule="auto"/>
      </w:pPr>
    </w:p>
    <w:p w:rsidR="00394AD2" w:rsidRDefault="00394AD2" w:rsidP="00394AD2">
      <w:pPr>
        <w:pStyle w:val="AppendixStart"/>
        <w:numPr>
          <w:ilvl w:val="0"/>
          <w:numId w:val="2"/>
        </w:numPr>
        <w:pBdr>
          <w:bottom w:val="single" w:sz="12" w:space="0" w:color="auto"/>
        </w:pBdr>
        <w:spacing w:before="0" w:after="360"/>
      </w:pPr>
    </w:p>
    <w:p w:rsidR="00394AD2" w:rsidRDefault="00394AD2" w:rsidP="00394AD2">
      <w:pPr>
        <w:pStyle w:val="AppendixHeading1"/>
      </w:pPr>
      <w:bookmarkStart w:id="111" w:name="_Toc309224915"/>
      <w:bookmarkStart w:id="112" w:name="_Toc325023268"/>
      <w:bookmarkStart w:id="113" w:name="_Toc493666052"/>
      <w:bookmarkStart w:id="114" w:name="_Toc508267376"/>
      <w:bookmarkStart w:id="115" w:name="_Toc511315174"/>
      <w:bookmarkStart w:id="116" w:name="_Toc511313528"/>
      <w:bookmarkStart w:id="117" w:name="_Toc511385938"/>
      <w:bookmarkStart w:id="118" w:name="_Toc517706071"/>
      <w:r>
        <w:t>Details of Actuarial Assumptions</w:t>
      </w:r>
      <w:bookmarkEnd w:id="111"/>
      <w:bookmarkEnd w:id="112"/>
      <w:bookmarkEnd w:id="113"/>
      <w:bookmarkEnd w:id="114"/>
      <w:bookmarkEnd w:id="115"/>
      <w:bookmarkEnd w:id="116"/>
      <w:bookmarkEnd w:id="117"/>
      <w:bookmarkEnd w:id="118"/>
    </w:p>
    <w:p w:rsidR="00394AD2" w:rsidRPr="00331A3B" w:rsidRDefault="00394AD2" w:rsidP="00394AD2">
      <w:pPr>
        <w:rPr>
          <w:caps/>
          <w:color w:val="002C77"/>
          <w:spacing w:val="40"/>
        </w:rPr>
      </w:pPr>
      <w:r w:rsidRPr="00331A3B">
        <w:rPr>
          <w:caps/>
          <w:color w:val="002C77"/>
          <w:spacing w:val="40"/>
        </w:rPr>
        <w:t>Economic Assumptions</w:t>
      </w:r>
    </w:p>
    <w:p w:rsidR="00394AD2" w:rsidRPr="00676991" w:rsidRDefault="00394AD2" w:rsidP="00394AD2"/>
    <w:p w:rsidR="00394AD2" w:rsidRDefault="00394AD2" w:rsidP="00394AD2">
      <w:r>
        <w:t>The key economic assumptions adopted are shown in the table below.  Assumptions</w:t>
      </w:r>
      <w:r w:rsidR="0079196B">
        <w:t xml:space="preserve"> </w:t>
      </w:r>
      <w:r>
        <w:t>for the 2014 LTCR are also shown for comparative purposes.</w:t>
      </w:r>
    </w:p>
    <w:p w:rsidR="00394AD2" w:rsidRDefault="00394AD2" w:rsidP="00394AD2"/>
    <w:tbl>
      <w:tblPr>
        <w:tblW w:w="9534" w:type="dxa"/>
        <w:tblInd w:w="72"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3013"/>
        <w:gridCol w:w="3260"/>
        <w:gridCol w:w="3261"/>
      </w:tblGrid>
      <w:tr w:rsidR="00394AD2" w:rsidRPr="00172C3C" w:rsidTr="0074307F">
        <w:trPr>
          <w:cantSplit/>
          <w:tblHeader/>
        </w:trPr>
        <w:tc>
          <w:tcPr>
            <w:tcW w:w="3013" w:type="dxa"/>
            <w:shd w:val="clear" w:color="auto" w:fill="00A8C8"/>
          </w:tcPr>
          <w:p w:rsidR="00394AD2" w:rsidRPr="00172C3C" w:rsidRDefault="00394AD2" w:rsidP="0074307F">
            <w:pPr>
              <w:pStyle w:val="TableHeadingText"/>
              <w:rPr>
                <w:caps w:val="0"/>
              </w:rPr>
            </w:pPr>
          </w:p>
        </w:tc>
        <w:tc>
          <w:tcPr>
            <w:tcW w:w="3260" w:type="dxa"/>
            <w:shd w:val="clear" w:color="auto" w:fill="00A8C8"/>
          </w:tcPr>
          <w:p w:rsidR="00394AD2" w:rsidRPr="00172C3C" w:rsidRDefault="00394AD2" w:rsidP="0074307F">
            <w:pPr>
              <w:pStyle w:val="TableHeadingText"/>
              <w:jc w:val="center"/>
              <w:rPr>
                <w:caps w:val="0"/>
                <w:sz w:val="18"/>
                <w:szCs w:val="18"/>
              </w:rPr>
            </w:pPr>
            <w:r>
              <w:rPr>
                <w:caps w:val="0"/>
                <w:sz w:val="18"/>
                <w:szCs w:val="18"/>
              </w:rPr>
              <w:t xml:space="preserve">Assumption as at </w:t>
            </w:r>
            <w:r w:rsidRPr="00172C3C">
              <w:rPr>
                <w:caps w:val="0"/>
                <w:sz w:val="18"/>
                <w:szCs w:val="18"/>
              </w:rPr>
              <w:t>30 June 2017</w:t>
            </w:r>
          </w:p>
        </w:tc>
        <w:tc>
          <w:tcPr>
            <w:tcW w:w="3261" w:type="dxa"/>
            <w:shd w:val="clear" w:color="auto" w:fill="00A8C8"/>
          </w:tcPr>
          <w:p w:rsidR="00394AD2" w:rsidRPr="00172C3C" w:rsidRDefault="00394AD2" w:rsidP="0074307F">
            <w:pPr>
              <w:pStyle w:val="TableHeadingText"/>
              <w:jc w:val="center"/>
              <w:rPr>
                <w:caps w:val="0"/>
                <w:sz w:val="18"/>
                <w:szCs w:val="18"/>
              </w:rPr>
            </w:pPr>
            <w:r w:rsidRPr="00172C3C">
              <w:rPr>
                <w:caps w:val="0"/>
                <w:sz w:val="18"/>
                <w:szCs w:val="18"/>
              </w:rPr>
              <w:t>Assumption as at</w:t>
            </w:r>
            <w:r>
              <w:rPr>
                <w:caps w:val="0"/>
                <w:sz w:val="18"/>
                <w:szCs w:val="18"/>
              </w:rPr>
              <w:t xml:space="preserve"> </w:t>
            </w:r>
            <w:r w:rsidRPr="00172C3C">
              <w:rPr>
                <w:caps w:val="0"/>
                <w:sz w:val="18"/>
                <w:szCs w:val="18"/>
              </w:rPr>
              <w:t>30 June 2014</w:t>
            </w:r>
          </w:p>
        </w:tc>
      </w:tr>
      <w:tr w:rsidR="00394AD2" w:rsidRPr="00172C3C" w:rsidTr="0074307F">
        <w:trPr>
          <w:cantSplit/>
        </w:trPr>
        <w:tc>
          <w:tcPr>
            <w:tcW w:w="3013" w:type="dxa"/>
            <w:shd w:val="clear" w:color="auto" w:fill="F2F2F2"/>
          </w:tcPr>
          <w:p w:rsidR="00394AD2" w:rsidRPr="00172C3C" w:rsidRDefault="00394AD2" w:rsidP="0074307F">
            <w:pPr>
              <w:pStyle w:val="TableText"/>
            </w:pPr>
            <w:r w:rsidRPr="00172C3C">
              <w:t>CPI increases</w:t>
            </w:r>
          </w:p>
        </w:tc>
        <w:tc>
          <w:tcPr>
            <w:tcW w:w="3260" w:type="dxa"/>
            <w:shd w:val="clear" w:color="auto" w:fill="F2F2F2"/>
          </w:tcPr>
          <w:p w:rsidR="00394AD2" w:rsidRPr="00172C3C" w:rsidRDefault="00394AD2" w:rsidP="0074307F">
            <w:pPr>
              <w:pStyle w:val="TableText"/>
              <w:jc w:val="center"/>
            </w:pPr>
            <w:r w:rsidRPr="00172C3C">
              <w:t>2.5%</w:t>
            </w:r>
            <w:r>
              <w:t xml:space="preserve"> </w:t>
            </w:r>
            <w:r w:rsidRPr="00172C3C">
              <w:t>per annum</w:t>
            </w:r>
          </w:p>
        </w:tc>
        <w:tc>
          <w:tcPr>
            <w:tcW w:w="3261" w:type="dxa"/>
            <w:shd w:val="clear" w:color="auto" w:fill="F2F2F2"/>
          </w:tcPr>
          <w:p w:rsidR="00394AD2" w:rsidRPr="00172C3C" w:rsidRDefault="00394AD2" w:rsidP="0074307F">
            <w:pPr>
              <w:pStyle w:val="TableText"/>
              <w:jc w:val="center"/>
            </w:pPr>
            <w:r w:rsidRPr="00172C3C">
              <w:t>2.5%</w:t>
            </w:r>
            <w:r>
              <w:t xml:space="preserve"> </w:t>
            </w:r>
            <w:r w:rsidRPr="00172C3C">
              <w:t>per annum</w:t>
            </w:r>
          </w:p>
        </w:tc>
      </w:tr>
      <w:tr w:rsidR="00394AD2" w:rsidRPr="00172C3C" w:rsidTr="0074307F">
        <w:trPr>
          <w:cantSplit/>
        </w:trPr>
        <w:tc>
          <w:tcPr>
            <w:tcW w:w="3013" w:type="dxa"/>
            <w:shd w:val="clear" w:color="auto" w:fill="F2F2F2"/>
          </w:tcPr>
          <w:p w:rsidR="00394AD2" w:rsidRPr="00172C3C" w:rsidRDefault="00394AD2" w:rsidP="0074307F">
            <w:pPr>
              <w:pStyle w:val="TableText"/>
            </w:pPr>
            <w:r w:rsidRPr="00172C3C">
              <w:t>General salary increases</w:t>
            </w:r>
          </w:p>
        </w:tc>
        <w:tc>
          <w:tcPr>
            <w:tcW w:w="3260" w:type="dxa"/>
            <w:shd w:val="clear" w:color="auto" w:fill="F2F2F2"/>
          </w:tcPr>
          <w:p w:rsidR="00394AD2" w:rsidRPr="00172C3C" w:rsidRDefault="00394AD2" w:rsidP="0074307F">
            <w:pPr>
              <w:pStyle w:val="TableText"/>
              <w:jc w:val="center"/>
            </w:pPr>
            <w:r>
              <w:t>3</w:t>
            </w:r>
            <w:r w:rsidRPr="00172C3C">
              <w:t>.</w:t>
            </w:r>
            <w:r>
              <w:t>5</w:t>
            </w:r>
            <w:r w:rsidRPr="00172C3C">
              <w:t>% per annum (nominal)</w:t>
            </w:r>
            <w:r w:rsidRPr="00172C3C">
              <w:br/>
              <w:t>1.</w:t>
            </w:r>
            <w:r>
              <w:t>0</w:t>
            </w:r>
            <w:r w:rsidRPr="00172C3C">
              <w:t>% per annum (real)</w:t>
            </w:r>
          </w:p>
        </w:tc>
        <w:tc>
          <w:tcPr>
            <w:tcW w:w="3261" w:type="dxa"/>
            <w:shd w:val="clear" w:color="auto" w:fill="F2F2F2"/>
          </w:tcPr>
          <w:p w:rsidR="00394AD2" w:rsidRPr="00172C3C" w:rsidRDefault="00394AD2" w:rsidP="0074307F">
            <w:pPr>
              <w:pStyle w:val="TableText"/>
              <w:jc w:val="center"/>
            </w:pPr>
            <w:r w:rsidRPr="00172C3C">
              <w:t>4.0% per annum (nominal)</w:t>
            </w:r>
            <w:r w:rsidRPr="00172C3C">
              <w:br/>
              <w:t>1.5% per annum (real)</w:t>
            </w:r>
          </w:p>
        </w:tc>
      </w:tr>
      <w:tr w:rsidR="00394AD2" w:rsidRPr="00172C3C" w:rsidTr="0074307F">
        <w:trPr>
          <w:cantSplit/>
        </w:trPr>
        <w:tc>
          <w:tcPr>
            <w:tcW w:w="3013" w:type="dxa"/>
            <w:shd w:val="clear" w:color="auto" w:fill="F2F2F2"/>
          </w:tcPr>
          <w:p w:rsidR="00394AD2" w:rsidRPr="00172C3C" w:rsidRDefault="00394AD2" w:rsidP="0074307F">
            <w:pPr>
              <w:pStyle w:val="TableText"/>
            </w:pPr>
            <w:r w:rsidRPr="00172C3C">
              <w:t xml:space="preserve">Investment return / discount </w:t>
            </w:r>
            <w:r>
              <w:t>r</w:t>
            </w:r>
            <w:r w:rsidRPr="00172C3C">
              <w:t>ate</w:t>
            </w:r>
          </w:p>
        </w:tc>
        <w:tc>
          <w:tcPr>
            <w:tcW w:w="3260" w:type="dxa"/>
            <w:shd w:val="clear" w:color="auto" w:fill="F2F2F2"/>
          </w:tcPr>
          <w:p w:rsidR="00394AD2" w:rsidRPr="00172C3C" w:rsidRDefault="00394AD2" w:rsidP="0074307F">
            <w:pPr>
              <w:pStyle w:val="TableText"/>
              <w:jc w:val="center"/>
            </w:pPr>
            <w:r>
              <w:t>5</w:t>
            </w:r>
            <w:r w:rsidRPr="00172C3C">
              <w:t>.0% per annum (nominal)</w:t>
            </w:r>
            <w:r w:rsidRPr="00172C3C">
              <w:br/>
            </w:r>
            <w:r>
              <w:t>2</w:t>
            </w:r>
            <w:r w:rsidRPr="00172C3C">
              <w:t>.5% per annum (real)</w:t>
            </w:r>
          </w:p>
        </w:tc>
        <w:tc>
          <w:tcPr>
            <w:tcW w:w="3261" w:type="dxa"/>
            <w:shd w:val="clear" w:color="auto" w:fill="F2F2F2"/>
          </w:tcPr>
          <w:p w:rsidR="00394AD2" w:rsidRPr="00172C3C" w:rsidRDefault="00394AD2" w:rsidP="0074307F">
            <w:pPr>
              <w:pStyle w:val="TableText"/>
              <w:jc w:val="center"/>
            </w:pPr>
            <w:r w:rsidRPr="00172C3C">
              <w:t>6.0% per annum (nominal)</w:t>
            </w:r>
            <w:r w:rsidRPr="00172C3C">
              <w:br/>
              <w:t>3.5% per annum (real)</w:t>
            </w:r>
          </w:p>
        </w:tc>
      </w:tr>
    </w:tbl>
    <w:p w:rsidR="00394AD2" w:rsidRDefault="00394AD2" w:rsidP="00394AD2"/>
    <w:p w:rsidR="00394AD2" w:rsidRPr="00EF6DD9" w:rsidRDefault="00394AD2" w:rsidP="00394AD2">
      <w:pPr>
        <w:pStyle w:val="Heading3"/>
      </w:pPr>
      <w:r w:rsidRPr="00EF6DD9">
        <w:t>GDP</w:t>
      </w:r>
      <w:r>
        <w:t xml:space="preserve"> Growth</w:t>
      </w:r>
    </w:p>
    <w:p w:rsidR="00394AD2" w:rsidRPr="00EF6DD9" w:rsidRDefault="00394AD2" w:rsidP="00394AD2"/>
    <w:p w:rsidR="00394AD2" w:rsidRDefault="00394AD2" w:rsidP="00394AD2">
      <w:r w:rsidRPr="00EF6DD9">
        <w:t>Gross Domestic Product</w:t>
      </w:r>
      <w:r>
        <w:t xml:space="preserve"> (GDP) for the 2017/18 financial year is assumed to be $1</w:t>
      </w:r>
      <w:r w:rsidR="00B52BC7">
        <w:t>.</w:t>
      </w:r>
      <w:r>
        <w:t>8</w:t>
      </w:r>
      <w:r w:rsidR="00B52BC7">
        <w:t>5</w:t>
      </w:r>
      <w:r>
        <w:t xml:space="preserve"> </w:t>
      </w:r>
      <w:r w:rsidR="00B52BC7">
        <w:t>tri</w:t>
      </w:r>
      <w:r>
        <w:t xml:space="preserve">llion. The table below </w:t>
      </w:r>
      <w:r w:rsidR="003869F2">
        <w:t>show</w:t>
      </w:r>
      <w:r w:rsidR="008D2CD7">
        <w:t>s</w:t>
      </w:r>
      <w:r w:rsidR="003869F2">
        <w:t xml:space="preserve"> sample rates (</w:t>
      </w:r>
      <w:r>
        <w:t>nominal and real</w:t>
      </w:r>
      <w:r w:rsidR="003869F2">
        <w:t>)</w:t>
      </w:r>
      <w:r w:rsidR="008D2CD7">
        <w:t xml:space="preserve"> </w:t>
      </w:r>
      <w:r>
        <w:t xml:space="preserve">of </w:t>
      </w:r>
      <w:r w:rsidR="00EC1B6E">
        <w:t>projected</w:t>
      </w:r>
      <w:r>
        <w:t xml:space="preserve"> GDP growth over the next 40 years:</w:t>
      </w:r>
    </w:p>
    <w:p w:rsidR="00394AD2" w:rsidRDefault="00394AD2" w:rsidP="00394AD2"/>
    <w:tbl>
      <w:tblPr>
        <w:tblStyle w:val="TableGrid"/>
        <w:tblW w:w="0" w:type="auto"/>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1867"/>
        <w:gridCol w:w="1867"/>
        <w:gridCol w:w="1867"/>
      </w:tblGrid>
      <w:tr w:rsidR="00394AD2" w:rsidRPr="00622BD0" w:rsidTr="0074307F">
        <w:trPr>
          <w:cantSplit/>
          <w:tblHeader/>
        </w:trPr>
        <w:tc>
          <w:tcPr>
            <w:tcW w:w="1867" w:type="dxa"/>
            <w:shd w:val="clear" w:color="auto" w:fill="00A8C8"/>
          </w:tcPr>
          <w:p w:rsidR="00394AD2" w:rsidRPr="00622BD0" w:rsidRDefault="00394AD2" w:rsidP="0074307F">
            <w:pPr>
              <w:pStyle w:val="TableHeadingText"/>
              <w:jc w:val="center"/>
              <w:rPr>
                <w:caps w:val="0"/>
              </w:rPr>
            </w:pPr>
            <w:r w:rsidRPr="00622BD0">
              <w:rPr>
                <w:caps w:val="0"/>
              </w:rPr>
              <w:t>Year Ending 30 June</w:t>
            </w:r>
          </w:p>
        </w:tc>
        <w:tc>
          <w:tcPr>
            <w:tcW w:w="1867" w:type="dxa"/>
            <w:shd w:val="clear" w:color="auto" w:fill="00A8C8"/>
          </w:tcPr>
          <w:p w:rsidR="00394AD2" w:rsidRPr="00622BD0" w:rsidRDefault="00394AD2" w:rsidP="0074307F">
            <w:pPr>
              <w:pStyle w:val="TableHeadingText"/>
              <w:jc w:val="center"/>
              <w:rPr>
                <w:caps w:val="0"/>
              </w:rPr>
            </w:pPr>
            <w:r w:rsidRPr="00622BD0">
              <w:rPr>
                <w:caps w:val="0"/>
              </w:rPr>
              <w:t>Nominal rate per annum</w:t>
            </w:r>
          </w:p>
        </w:tc>
        <w:tc>
          <w:tcPr>
            <w:tcW w:w="1867" w:type="dxa"/>
            <w:shd w:val="clear" w:color="auto" w:fill="00A8C8"/>
          </w:tcPr>
          <w:p w:rsidR="00394AD2" w:rsidRPr="00622BD0" w:rsidRDefault="00394AD2" w:rsidP="0074307F">
            <w:pPr>
              <w:pStyle w:val="TableHeadingText"/>
              <w:jc w:val="center"/>
              <w:rPr>
                <w:caps w:val="0"/>
              </w:rPr>
            </w:pPr>
            <w:r w:rsidRPr="00622BD0">
              <w:rPr>
                <w:caps w:val="0"/>
              </w:rPr>
              <w:t>Real rate per annum</w:t>
            </w:r>
          </w:p>
        </w:tc>
      </w:tr>
      <w:tr w:rsidR="00394AD2" w:rsidRPr="00622BD0" w:rsidTr="0074307F">
        <w:trPr>
          <w:cantSplit/>
        </w:trPr>
        <w:tc>
          <w:tcPr>
            <w:tcW w:w="1867" w:type="dxa"/>
            <w:shd w:val="clear" w:color="auto" w:fill="F2F2F2"/>
          </w:tcPr>
          <w:p w:rsidR="00394AD2" w:rsidRPr="00622BD0" w:rsidRDefault="00394AD2" w:rsidP="0074307F">
            <w:pPr>
              <w:pStyle w:val="TableText"/>
              <w:jc w:val="center"/>
            </w:pPr>
            <w:r w:rsidRPr="00622BD0">
              <w:t>2018</w:t>
            </w:r>
          </w:p>
        </w:tc>
        <w:tc>
          <w:tcPr>
            <w:tcW w:w="1867" w:type="dxa"/>
            <w:shd w:val="clear" w:color="auto" w:fill="F2F2F2"/>
          </w:tcPr>
          <w:p w:rsidR="00394AD2" w:rsidRPr="00622BD0" w:rsidRDefault="00394AD2" w:rsidP="0074307F">
            <w:pPr>
              <w:pStyle w:val="TableText"/>
              <w:jc w:val="center"/>
            </w:pPr>
            <w:r w:rsidRPr="00622BD0">
              <w:t>5.3%</w:t>
            </w:r>
          </w:p>
        </w:tc>
        <w:tc>
          <w:tcPr>
            <w:tcW w:w="1867" w:type="dxa"/>
            <w:shd w:val="clear" w:color="auto" w:fill="F2F2F2"/>
          </w:tcPr>
          <w:p w:rsidR="00394AD2" w:rsidRPr="00622BD0" w:rsidRDefault="00394AD2" w:rsidP="0074307F">
            <w:pPr>
              <w:pStyle w:val="TableText"/>
              <w:jc w:val="center"/>
            </w:pPr>
            <w:r w:rsidRPr="00622BD0">
              <w:t>2.8%</w:t>
            </w:r>
          </w:p>
        </w:tc>
      </w:tr>
      <w:tr w:rsidR="00394AD2" w:rsidRPr="00622BD0" w:rsidTr="0074307F">
        <w:trPr>
          <w:cantSplit/>
        </w:trPr>
        <w:tc>
          <w:tcPr>
            <w:tcW w:w="1867" w:type="dxa"/>
            <w:shd w:val="clear" w:color="auto" w:fill="F2F2F2"/>
          </w:tcPr>
          <w:p w:rsidR="00394AD2" w:rsidRPr="00622BD0" w:rsidRDefault="00394AD2" w:rsidP="0074307F">
            <w:pPr>
              <w:pStyle w:val="TableText"/>
              <w:jc w:val="center"/>
            </w:pPr>
            <w:r w:rsidRPr="00622BD0">
              <w:t>2019</w:t>
            </w:r>
          </w:p>
        </w:tc>
        <w:tc>
          <w:tcPr>
            <w:tcW w:w="1867" w:type="dxa"/>
            <w:shd w:val="clear" w:color="auto" w:fill="F2F2F2"/>
          </w:tcPr>
          <w:p w:rsidR="00394AD2" w:rsidRPr="00622BD0" w:rsidRDefault="00394AD2" w:rsidP="0074307F">
            <w:pPr>
              <w:pStyle w:val="TableText"/>
              <w:jc w:val="center"/>
            </w:pPr>
            <w:r w:rsidRPr="00622BD0">
              <w:t>5.3%</w:t>
            </w:r>
          </w:p>
        </w:tc>
        <w:tc>
          <w:tcPr>
            <w:tcW w:w="1867" w:type="dxa"/>
            <w:shd w:val="clear" w:color="auto" w:fill="F2F2F2"/>
          </w:tcPr>
          <w:p w:rsidR="00394AD2" w:rsidRPr="00622BD0" w:rsidRDefault="00394AD2" w:rsidP="0074307F">
            <w:pPr>
              <w:pStyle w:val="TableText"/>
              <w:jc w:val="center"/>
            </w:pPr>
            <w:r w:rsidRPr="00622BD0">
              <w:t>2.8%</w:t>
            </w:r>
          </w:p>
        </w:tc>
      </w:tr>
      <w:tr w:rsidR="00394AD2" w:rsidRPr="00622BD0" w:rsidTr="0074307F">
        <w:trPr>
          <w:cantSplit/>
        </w:trPr>
        <w:tc>
          <w:tcPr>
            <w:tcW w:w="1867" w:type="dxa"/>
            <w:shd w:val="clear" w:color="auto" w:fill="F2F2F2"/>
          </w:tcPr>
          <w:p w:rsidR="00394AD2" w:rsidRPr="00622BD0" w:rsidRDefault="00394AD2" w:rsidP="0074307F">
            <w:pPr>
              <w:pStyle w:val="TableText"/>
              <w:jc w:val="center"/>
            </w:pPr>
            <w:r w:rsidRPr="00622BD0">
              <w:t>2020</w:t>
            </w:r>
          </w:p>
        </w:tc>
        <w:tc>
          <w:tcPr>
            <w:tcW w:w="1867" w:type="dxa"/>
            <w:shd w:val="clear" w:color="auto" w:fill="F2F2F2"/>
          </w:tcPr>
          <w:p w:rsidR="00394AD2" w:rsidRPr="00622BD0" w:rsidRDefault="00394AD2" w:rsidP="0074307F">
            <w:pPr>
              <w:pStyle w:val="TableText"/>
              <w:jc w:val="center"/>
            </w:pPr>
            <w:r w:rsidRPr="00622BD0">
              <w:t>5.3%</w:t>
            </w:r>
          </w:p>
        </w:tc>
        <w:tc>
          <w:tcPr>
            <w:tcW w:w="1867" w:type="dxa"/>
            <w:shd w:val="clear" w:color="auto" w:fill="F2F2F2"/>
          </w:tcPr>
          <w:p w:rsidR="00394AD2" w:rsidRPr="00622BD0" w:rsidRDefault="00394AD2" w:rsidP="0074307F">
            <w:pPr>
              <w:pStyle w:val="TableText"/>
              <w:jc w:val="center"/>
            </w:pPr>
            <w:r w:rsidRPr="00622BD0">
              <w:t>2.8%</w:t>
            </w:r>
          </w:p>
        </w:tc>
      </w:tr>
      <w:tr w:rsidR="00394AD2" w:rsidRPr="00622BD0" w:rsidTr="0074307F">
        <w:trPr>
          <w:cantSplit/>
        </w:trPr>
        <w:tc>
          <w:tcPr>
            <w:tcW w:w="1867" w:type="dxa"/>
            <w:shd w:val="clear" w:color="auto" w:fill="F2F2F2"/>
          </w:tcPr>
          <w:p w:rsidR="00394AD2" w:rsidRPr="00622BD0" w:rsidRDefault="00394AD2" w:rsidP="0074307F">
            <w:pPr>
              <w:pStyle w:val="TableText"/>
              <w:jc w:val="center"/>
            </w:pPr>
            <w:r w:rsidRPr="00622BD0">
              <w:t>2021</w:t>
            </w:r>
          </w:p>
        </w:tc>
        <w:tc>
          <w:tcPr>
            <w:tcW w:w="1867" w:type="dxa"/>
            <w:shd w:val="clear" w:color="auto" w:fill="F2F2F2"/>
          </w:tcPr>
          <w:p w:rsidR="00394AD2" w:rsidRPr="00622BD0" w:rsidRDefault="00394AD2" w:rsidP="0074307F">
            <w:pPr>
              <w:pStyle w:val="TableText"/>
              <w:jc w:val="center"/>
            </w:pPr>
            <w:r w:rsidRPr="00622BD0">
              <w:t>5.3%</w:t>
            </w:r>
          </w:p>
        </w:tc>
        <w:tc>
          <w:tcPr>
            <w:tcW w:w="1867" w:type="dxa"/>
            <w:shd w:val="clear" w:color="auto" w:fill="F2F2F2"/>
          </w:tcPr>
          <w:p w:rsidR="00394AD2" w:rsidRPr="00622BD0" w:rsidRDefault="00394AD2" w:rsidP="0074307F">
            <w:pPr>
              <w:pStyle w:val="TableText"/>
              <w:jc w:val="center"/>
            </w:pPr>
            <w:r w:rsidRPr="00622BD0">
              <w:t>2.8%</w:t>
            </w:r>
          </w:p>
        </w:tc>
      </w:tr>
      <w:tr w:rsidR="00394AD2" w:rsidRPr="00622BD0" w:rsidTr="008D2CD7">
        <w:trPr>
          <w:cantSplit/>
        </w:trPr>
        <w:tc>
          <w:tcPr>
            <w:tcW w:w="1867" w:type="dxa"/>
            <w:tcBorders>
              <w:bottom w:val="single" w:sz="4" w:space="0" w:color="auto"/>
            </w:tcBorders>
            <w:shd w:val="clear" w:color="auto" w:fill="F2F2F2"/>
          </w:tcPr>
          <w:p w:rsidR="00394AD2" w:rsidRPr="00622BD0" w:rsidRDefault="00394AD2" w:rsidP="0074307F">
            <w:pPr>
              <w:pStyle w:val="TableText"/>
              <w:jc w:val="center"/>
            </w:pPr>
            <w:r w:rsidRPr="00622BD0">
              <w:t>2022</w:t>
            </w:r>
          </w:p>
        </w:tc>
        <w:tc>
          <w:tcPr>
            <w:tcW w:w="1867" w:type="dxa"/>
            <w:tcBorders>
              <w:bottom w:val="single" w:sz="4" w:space="0" w:color="auto"/>
            </w:tcBorders>
            <w:shd w:val="clear" w:color="auto" w:fill="F2F2F2"/>
          </w:tcPr>
          <w:p w:rsidR="00394AD2" w:rsidRPr="00622BD0" w:rsidRDefault="00394AD2" w:rsidP="0074307F">
            <w:pPr>
              <w:pStyle w:val="TableText"/>
              <w:jc w:val="center"/>
            </w:pPr>
            <w:r w:rsidRPr="00622BD0">
              <w:t>5.3%</w:t>
            </w:r>
          </w:p>
        </w:tc>
        <w:tc>
          <w:tcPr>
            <w:tcW w:w="1867" w:type="dxa"/>
            <w:tcBorders>
              <w:bottom w:val="single" w:sz="4" w:space="0" w:color="auto"/>
            </w:tcBorders>
            <w:shd w:val="clear" w:color="auto" w:fill="F2F2F2"/>
          </w:tcPr>
          <w:p w:rsidR="00394AD2" w:rsidRPr="00622BD0" w:rsidRDefault="00394AD2" w:rsidP="0074307F">
            <w:pPr>
              <w:pStyle w:val="TableText"/>
              <w:jc w:val="center"/>
            </w:pPr>
            <w:r w:rsidRPr="00622BD0">
              <w:t>2.8%</w:t>
            </w:r>
          </w:p>
        </w:tc>
      </w:tr>
      <w:tr w:rsidR="00394AD2" w:rsidRPr="00622BD0" w:rsidTr="008D2CD7">
        <w:trPr>
          <w:cantSplit/>
        </w:trPr>
        <w:tc>
          <w:tcPr>
            <w:tcW w:w="1867" w:type="dxa"/>
            <w:tcBorders>
              <w:top w:val="single" w:sz="4" w:space="0" w:color="auto"/>
              <w:bottom w:val="single" w:sz="8" w:space="0" w:color="FFFFFF"/>
            </w:tcBorders>
            <w:shd w:val="clear" w:color="auto" w:fill="F2F2F2"/>
          </w:tcPr>
          <w:p w:rsidR="00394AD2" w:rsidRPr="00622BD0" w:rsidRDefault="00394AD2" w:rsidP="0074307F">
            <w:pPr>
              <w:pStyle w:val="TableText"/>
              <w:jc w:val="center"/>
            </w:pPr>
            <w:r w:rsidRPr="00622BD0">
              <w:t>2027</w:t>
            </w:r>
          </w:p>
        </w:tc>
        <w:tc>
          <w:tcPr>
            <w:tcW w:w="1867" w:type="dxa"/>
            <w:tcBorders>
              <w:top w:val="single" w:sz="4" w:space="0" w:color="auto"/>
              <w:bottom w:val="single" w:sz="8" w:space="0" w:color="FFFFFF"/>
            </w:tcBorders>
            <w:shd w:val="clear" w:color="auto" w:fill="F2F2F2"/>
          </w:tcPr>
          <w:p w:rsidR="00394AD2" w:rsidRPr="00622BD0" w:rsidRDefault="00394AD2" w:rsidP="0074307F">
            <w:pPr>
              <w:pStyle w:val="TableText"/>
              <w:jc w:val="center"/>
            </w:pPr>
            <w:r w:rsidRPr="00622BD0">
              <w:t>5.3%</w:t>
            </w:r>
          </w:p>
        </w:tc>
        <w:tc>
          <w:tcPr>
            <w:tcW w:w="1867" w:type="dxa"/>
            <w:tcBorders>
              <w:top w:val="single" w:sz="4" w:space="0" w:color="auto"/>
              <w:bottom w:val="single" w:sz="8" w:space="0" w:color="FFFFFF"/>
            </w:tcBorders>
            <w:shd w:val="clear" w:color="auto" w:fill="F2F2F2"/>
          </w:tcPr>
          <w:p w:rsidR="00394AD2" w:rsidRPr="00622BD0" w:rsidRDefault="00394AD2" w:rsidP="0074307F">
            <w:pPr>
              <w:pStyle w:val="TableText"/>
              <w:jc w:val="center"/>
            </w:pPr>
            <w:r w:rsidRPr="00622BD0">
              <w:t>2.8%</w:t>
            </w:r>
          </w:p>
        </w:tc>
      </w:tr>
      <w:tr w:rsidR="00394AD2" w:rsidRPr="00622BD0" w:rsidTr="008D2CD7">
        <w:trPr>
          <w:cantSplit/>
        </w:trPr>
        <w:tc>
          <w:tcPr>
            <w:tcW w:w="1867" w:type="dxa"/>
            <w:tcBorders>
              <w:top w:val="single" w:sz="8" w:space="0" w:color="FFFFFF"/>
            </w:tcBorders>
            <w:shd w:val="clear" w:color="auto" w:fill="F2F2F2"/>
          </w:tcPr>
          <w:p w:rsidR="00394AD2" w:rsidRPr="00622BD0" w:rsidRDefault="00394AD2" w:rsidP="0074307F">
            <w:pPr>
              <w:pStyle w:val="TableText"/>
              <w:jc w:val="center"/>
            </w:pPr>
            <w:r w:rsidRPr="00622BD0">
              <w:t>2037</w:t>
            </w:r>
          </w:p>
        </w:tc>
        <w:tc>
          <w:tcPr>
            <w:tcW w:w="1867" w:type="dxa"/>
            <w:tcBorders>
              <w:top w:val="single" w:sz="8" w:space="0" w:color="FFFFFF"/>
            </w:tcBorders>
            <w:shd w:val="clear" w:color="auto" w:fill="F2F2F2"/>
          </w:tcPr>
          <w:p w:rsidR="00394AD2" w:rsidRPr="00622BD0" w:rsidRDefault="00394AD2" w:rsidP="0074307F">
            <w:pPr>
              <w:pStyle w:val="TableText"/>
              <w:jc w:val="center"/>
            </w:pPr>
            <w:r w:rsidRPr="00622BD0">
              <w:t>5.3%</w:t>
            </w:r>
          </w:p>
        </w:tc>
        <w:tc>
          <w:tcPr>
            <w:tcW w:w="1867" w:type="dxa"/>
            <w:tcBorders>
              <w:top w:val="single" w:sz="8" w:space="0" w:color="FFFFFF"/>
            </w:tcBorders>
            <w:shd w:val="clear" w:color="auto" w:fill="F2F2F2"/>
          </w:tcPr>
          <w:p w:rsidR="00394AD2" w:rsidRPr="00622BD0" w:rsidRDefault="00394AD2" w:rsidP="0074307F">
            <w:pPr>
              <w:pStyle w:val="TableText"/>
              <w:jc w:val="center"/>
            </w:pPr>
            <w:r w:rsidRPr="00622BD0">
              <w:t>2.8%</w:t>
            </w:r>
          </w:p>
        </w:tc>
      </w:tr>
      <w:tr w:rsidR="00394AD2" w:rsidRPr="00622BD0" w:rsidTr="0074307F">
        <w:trPr>
          <w:cantSplit/>
        </w:trPr>
        <w:tc>
          <w:tcPr>
            <w:tcW w:w="1867" w:type="dxa"/>
            <w:shd w:val="clear" w:color="auto" w:fill="F2F2F2"/>
          </w:tcPr>
          <w:p w:rsidR="00394AD2" w:rsidRPr="00622BD0" w:rsidRDefault="00394AD2" w:rsidP="0074307F">
            <w:pPr>
              <w:pStyle w:val="TableText"/>
              <w:jc w:val="center"/>
            </w:pPr>
            <w:r w:rsidRPr="00622BD0">
              <w:t>2047</w:t>
            </w:r>
          </w:p>
        </w:tc>
        <w:tc>
          <w:tcPr>
            <w:tcW w:w="1867" w:type="dxa"/>
            <w:shd w:val="clear" w:color="auto" w:fill="F2F2F2"/>
          </w:tcPr>
          <w:p w:rsidR="00394AD2" w:rsidRPr="00622BD0" w:rsidRDefault="00394AD2" w:rsidP="0074307F">
            <w:pPr>
              <w:pStyle w:val="TableText"/>
              <w:jc w:val="center"/>
            </w:pPr>
            <w:r w:rsidRPr="00622BD0">
              <w:t>5.2%</w:t>
            </w:r>
          </w:p>
        </w:tc>
        <w:tc>
          <w:tcPr>
            <w:tcW w:w="1867" w:type="dxa"/>
            <w:shd w:val="clear" w:color="auto" w:fill="F2F2F2"/>
          </w:tcPr>
          <w:p w:rsidR="00394AD2" w:rsidRPr="00622BD0" w:rsidRDefault="00394AD2" w:rsidP="0074307F">
            <w:pPr>
              <w:pStyle w:val="TableText"/>
              <w:jc w:val="center"/>
            </w:pPr>
            <w:r w:rsidRPr="00622BD0">
              <w:t>2.7%</w:t>
            </w:r>
          </w:p>
        </w:tc>
      </w:tr>
      <w:tr w:rsidR="00394AD2" w:rsidRPr="00622BD0" w:rsidTr="0074307F">
        <w:trPr>
          <w:cantSplit/>
        </w:trPr>
        <w:tc>
          <w:tcPr>
            <w:tcW w:w="1867" w:type="dxa"/>
            <w:shd w:val="clear" w:color="auto" w:fill="F2F2F2"/>
          </w:tcPr>
          <w:p w:rsidR="00394AD2" w:rsidRPr="00622BD0" w:rsidRDefault="00394AD2" w:rsidP="0074307F">
            <w:pPr>
              <w:pStyle w:val="TableText"/>
              <w:jc w:val="center"/>
            </w:pPr>
            <w:r w:rsidRPr="00622BD0">
              <w:t>2057</w:t>
            </w:r>
          </w:p>
        </w:tc>
        <w:tc>
          <w:tcPr>
            <w:tcW w:w="1867" w:type="dxa"/>
            <w:shd w:val="clear" w:color="auto" w:fill="F2F2F2"/>
          </w:tcPr>
          <w:p w:rsidR="00394AD2" w:rsidRPr="00622BD0" w:rsidRDefault="00394AD2" w:rsidP="0074307F">
            <w:pPr>
              <w:pStyle w:val="TableText"/>
              <w:jc w:val="center"/>
            </w:pPr>
            <w:r w:rsidRPr="00622BD0">
              <w:t>5.0%</w:t>
            </w:r>
          </w:p>
        </w:tc>
        <w:tc>
          <w:tcPr>
            <w:tcW w:w="1867" w:type="dxa"/>
            <w:shd w:val="clear" w:color="auto" w:fill="F2F2F2"/>
          </w:tcPr>
          <w:p w:rsidR="00394AD2" w:rsidRPr="00622BD0" w:rsidRDefault="00394AD2" w:rsidP="0074307F">
            <w:pPr>
              <w:pStyle w:val="TableText"/>
              <w:jc w:val="center"/>
            </w:pPr>
            <w:r w:rsidRPr="00622BD0">
              <w:t>2.5%</w:t>
            </w:r>
          </w:p>
        </w:tc>
      </w:tr>
      <w:tr w:rsidR="00394AD2" w:rsidRPr="00622BD0" w:rsidTr="0074307F">
        <w:trPr>
          <w:cantSplit/>
        </w:trPr>
        <w:tc>
          <w:tcPr>
            <w:tcW w:w="1867" w:type="dxa"/>
            <w:shd w:val="clear" w:color="auto" w:fill="F2F2F2"/>
          </w:tcPr>
          <w:p w:rsidR="00394AD2" w:rsidRPr="00622BD0" w:rsidRDefault="00394AD2" w:rsidP="0074307F">
            <w:pPr>
              <w:pStyle w:val="TableText"/>
              <w:jc w:val="center"/>
              <w:rPr>
                <w:b/>
              </w:rPr>
            </w:pPr>
            <w:r w:rsidRPr="00622BD0">
              <w:rPr>
                <w:b/>
              </w:rPr>
              <w:t>Average</w:t>
            </w:r>
          </w:p>
        </w:tc>
        <w:tc>
          <w:tcPr>
            <w:tcW w:w="1867" w:type="dxa"/>
            <w:shd w:val="clear" w:color="auto" w:fill="F2F2F2"/>
          </w:tcPr>
          <w:p w:rsidR="00394AD2" w:rsidRPr="00622BD0" w:rsidRDefault="00394AD2" w:rsidP="0074307F">
            <w:pPr>
              <w:pStyle w:val="TableText"/>
              <w:jc w:val="center"/>
              <w:rPr>
                <w:b/>
              </w:rPr>
            </w:pPr>
            <w:r w:rsidRPr="00622BD0">
              <w:rPr>
                <w:b/>
              </w:rPr>
              <w:t>5.2%</w:t>
            </w:r>
          </w:p>
        </w:tc>
        <w:tc>
          <w:tcPr>
            <w:tcW w:w="1867" w:type="dxa"/>
            <w:shd w:val="clear" w:color="auto" w:fill="F2F2F2"/>
          </w:tcPr>
          <w:p w:rsidR="00394AD2" w:rsidRPr="00622BD0" w:rsidRDefault="00394AD2" w:rsidP="0074307F">
            <w:pPr>
              <w:pStyle w:val="TableText"/>
              <w:jc w:val="center"/>
              <w:rPr>
                <w:b/>
              </w:rPr>
            </w:pPr>
            <w:r w:rsidRPr="00622BD0">
              <w:rPr>
                <w:b/>
              </w:rPr>
              <w:t>2.7%</w:t>
            </w:r>
          </w:p>
        </w:tc>
      </w:tr>
    </w:tbl>
    <w:p w:rsidR="00394AD2" w:rsidRDefault="00394AD2" w:rsidP="00394AD2"/>
    <w:p w:rsidR="00D72C77" w:rsidRDefault="00D72C77">
      <w:pPr>
        <w:spacing w:line="240" w:lineRule="auto"/>
        <w:rPr>
          <w:b/>
          <w:color w:val="006D9E"/>
        </w:rPr>
      </w:pPr>
      <w:r>
        <w:br w:type="page"/>
      </w:r>
    </w:p>
    <w:p w:rsidR="008D2CD7" w:rsidRPr="00EF6DD9" w:rsidRDefault="008D2CD7" w:rsidP="008D2CD7">
      <w:pPr>
        <w:pStyle w:val="Heading3"/>
      </w:pPr>
      <w:r w:rsidRPr="00EF6DD9">
        <w:lastRenderedPageBreak/>
        <w:t>Taxation</w:t>
      </w:r>
    </w:p>
    <w:p w:rsidR="008D2CD7" w:rsidRPr="00EF6DD9" w:rsidRDefault="008D2CD7" w:rsidP="008D2CD7"/>
    <w:p w:rsidR="008D2CD7" w:rsidRPr="00EF6DD9" w:rsidRDefault="008D2CD7" w:rsidP="008D2CD7">
      <w:r w:rsidRPr="00EF6DD9">
        <w:t xml:space="preserve">Allowance has been made for 15% tax payable </w:t>
      </w:r>
      <w:r>
        <w:t xml:space="preserve">by the schemes </w:t>
      </w:r>
      <w:r w:rsidRPr="00EF6DD9">
        <w:t>on employer productivity superannuation contributions.</w:t>
      </w:r>
      <w:r>
        <w:t xml:space="preserve"> All member contributions are made from after tax salary and are not subject to tax in the scheme.</w:t>
      </w:r>
    </w:p>
    <w:p w:rsidR="008D2CD7" w:rsidRDefault="008D2CD7" w:rsidP="008D2CD7"/>
    <w:p w:rsidR="008D2CD7" w:rsidRDefault="008D2CD7" w:rsidP="008D2CD7">
      <w:r w:rsidRPr="0087199F">
        <w:t>No allowance has been made for</w:t>
      </w:r>
      <w:r>
        <w:t>:</w:t>
      </w:r>
    </w:p>
    <w:p w:rsidR="008D2CD7" w:rsidRPr="00C80ABC" w:rsidRDefault="008D2CD7" w:rsidP="008D2CD7">
      <w:pPr>
        <w:pStyle w:val="ListBullet"/>
      </w:pPr>
      <w:r>
        <w:t>Superannuation surcharge,</w:t>
      </w:r>
      <w:r w:rsidRPr="0087199F">
        <w:t xml:space="preserve"> as members’ benefits </w:t>
      </w:r>
      <w:r>
        <w:t xml:space="preserve">are </w:t>
      </w:r>
      <w:r w:rsidRPr="0087199F">
        <w:t>reduced by a surcharge offset</w:t>
      </w:r>
      <w:r>
        <w:t xml:space="preserve"> a</w:t>
      </w:r>
      <w:r w:rsidR="00D76F0D">
        <w:t>cc</w:t>
      </w:r>
      <w:r>
        <w:t>ount</w:t>
      </w:r>
      <w:r w:rsidRPr="0087199F">
        <w:t>.</w:t>
      </w:r>
    </w:p>
    <w:p w:rsidR="008D2CD7" w:rsidRPr="00C80ABC" w:rsidRDefault="008D2CD7" w:rsidP="008D2CD7">
      <w:pPr>
        <w:pStyle w:val="ListBullet"/>
      </w:pPr>
      <w:r>
        <w:t>E</w:t>
      </w:r>
      <w:r w:rsidRPr="00C80ABC">
        <w:t>xcess contributions tax, as this is payable by the member.</w:t>
      </w:r>
    </w:p>
    <w:p w:rsidR="008D2CD7" w:rsidRPr="00C80ABC" w:rsidRDefault="008D2CD7" w:rsidP="008D2CD7">
      <w:pPr>
        <w:pStyle w:val="ListBullet"/>
      </w:pPr>
      <w:r>
        <w:t xml:space="preserve">Division 293 </w:t>
      </w:r>
      <w:r w:rsidRPr="00C80ABC">
        <w:t xml:space="preserve">tax on contributions for those with incomes </w:t>
      </w:r>
      <w:r>
        <w:t xml:space="preserve">above the threshold, is this is </w:t>
      </w:r>
      <w:r w:rsidRPr="00C80ABC">
        <w:t>payable by the member.</w:t>
      </w:r>
    </w:p>
    <w:p w:rsidR="008D2CD7" w:rsidRPr="00EF6DD9" w:rsidRDefault="008D2CD7" w:rsidP="008D2CD7"/>
    <w:p w:rsidR="008D2CD7" w:rsidRPr="00EF6DD9" w:rsidRDefault="008D2CD7" w:rsidP="008D2CD7">
      <w:r w:rsidRPr="00EF6DD9">
        <w:t xml:space="preserve">In determining the projected outlays, no adjustment </w:t>
      </w:r>
      <w:r>
        <w:t xml:space="preserve">is </w:t>
      </w:r>
      <w:r w:rsidRPr="00EF6DD9">
        <w:t xml:space="preserve">made for </w:t>
      </w:r>
      <w:r>
        <w:t xml:space="preserve">any </w:t>
      </w:r>
      <w:r w:rsidRPr="00EF6DD9">
        <w:t xml:space="preserve">tax </w:t>
      </w:r>
      <w:r>
        <w:t xml:space="preserve">payable by members </w:t>
      </w:r>
      <w:r w:rsidRPr="00EF6DD9">
        <w:t>on the unfunded portion of benefits.</w:t>
      </w:r>
    </w:p>
    <w:p w:rsidR="008D2CD7" w:rsidRPr="00EF6DD9" w:rsidRDefault="008D2CD7" w:rsidP="008D2CD7"/>
    <w:p w:rsidR="008D2CD7" w:rsidRPr="00EF6DD9" w:rsidRDefault="008D2CD7" w:rsidP="008D2CD7">
      <w:pPr>
        <w:pStyle w:val="Heading3"/>
      </w:pPr>
      <w:r w:rsidRPr="00EF6DD9">
        <w:t>Superannuation Guarantee</w:t>
      </w:r>
    </w:p>
    <w:p w:rsidR="008D2CD7" w:rsidRPr="00EF6DD9" w:rsidRDefault="008D2CD7" w:rsidP="008D2CD7"/>
    <w:p w:rsidR="008D2CD7" w:rsidRDefault="008D2CD7" w:rsidP="008D2CD7">
      <w:r>
        <w:t xml:space="preserve">Superannuation Guarantee legislation requires employers to provide a minimum level of superannuation benefits for their employees. </w:t>
      </w:r>
      <w:r w:rsidR="00A70E65">
        <w:t>This is known as the Minimum Requisite Benefit (and MRB) and is defined in a Benefit Certificate. Benefits from the schemes must be at least equal to the MRB. In projecting the MRB, a</w:t>
      </w:r>
      <w:r w:rsidRPr="00EF6DD9">
        <w:t xml:space="preserve">llowance has been made for increases in the Superannuation Guarantee rate </w:t>
      </w:r>
      <w:r>
        <w:t>(currently 9.5% and increasing to 12% by 1 July 2025)</w:t>
      </w:r>
      <w:r w:rsidRPr="00EF6DD9">
        <w:t>. Due to the generous nature of the PSS and CSS benefits, the increase in the Superannuation Guarantee rate does not have a material impact on the valuation results.</w:t>
      </w:r>
    </w:p>
    <w:p w:rsidR="008D2CD7" w:rsidRPr="00EF6DD9" w:rsidRDefault="008D2CD7" w:rsidP="008D2CD7"/>
    <w:p w:rsidR="00394AD2" w:rsidRPr="00331A3B" w:rsidRDefault="00394AD2" w:rsidP="00394AD2">
      <w:pPr>
        <w:rPr>
          <w:caps/>
          <w:color w:val="002C77"/>
          <w:spacing w:val="40"/>
        </w:rPr>
      </w:pPr>
      <w:r>
        <w:rPr>
          <w:caps/>
          <w:color w:val="002C77"/>
          <w:spacing w:val="40"/>
        </w:rPr>
        <w:t xml:space="preserve">Demographic </w:t>
      </w:r>
      <w:r w:rsidRPr="00331A3B">
        <w:rPr>
          <w:caps/>
          <w:color w:val="002C77"/>
          <w:spacing w:val="40"/>
        </w:rPr>
        <w:t>Assumptions</w:t>
      </w:r>
    </w:p>
    <w:p w:rsidR="00394AD2" w:rsidRDefault="00394AD2" w:rsidP="00394AD2"/>
    <w:p w:rsidR="00394AD2" w:rsidRPr="00DF489C" w:rsidRDefault="00394AD2" w:rsidP="00394AD2">
      <w:pPr>
        <w:pStyle w:val="Heading3"/>
      </w:pPr>
      <w:r w:rsidRPr="00DF489C">
        <w:t xml:space="preserve">Future New </w:t>
      </w:r>
      <w:r w:rsidR="00A70E65">
        <w:t>Contributory Members</w:t>
      </w:r>
    </w:p>
    <w:p w:rsidR="00394AD2" w:rsidRDefault="00394AD2" w:rsidP="00394AD2"/>
    <w:p w:rsidR="008D2CD7" w:rsidRPr="0053049D" w:rsidRDefault="008D2CD7" w:rsidP="008D2CD7">
      <w:r>
        <w:t>N</w:t>
      </w:r>
      <w:r w:rsidRPr="0053049D">
        <w:t xml:space="preserve">o </w:t>
      </w:r>
      <w:r>
        <w:t xml:space="preserve">allowance has been made for </w:t>
      </w:r>
      <w:r w:rsidRPr="0053049D">
        <w:t>future new entrants</w:t>
      </w:r>
      <w:r w:rsidR="00A70E65">
        <w:t xml:space="preserve"> to the schemes</w:t>
      </w:r>
      <w:r>
        <w:t>.</w:t>
      </w:r>
      <w:r w:rsidRPr="0053049D">
        <w:t xml:space="preserve"> The PSS </w:t>
      </w:r>
      <w:r>
        <w:t>w</w:t>
      </w:r>
      <w:r w:rsidRPr="0053049D">
        <w:t xml:space="preserve">as closed to new members </w:t>
      </w:r>
      <w:r>
        <w:t xml:space="preserve">from </w:t>
      </w:r>
      <w:r w:rsidRPr="0053049D">
        <w:t>1 July 2005</w:t>
      </w:r>
      <w:r>
        <w:t xml:space="preserve">. </w:t>
      </w:r>
      <w:r w:rsidRPr="0053049D">
        <w:t>The CSS has been closed to new members since 1 July 1990.</w:t>
      </w:r>
      <w:r>
        <w:t xml:space="preserve"> </w:t>
      </w:r>
      <w:r w:rsidRPr="0053049D">
        <w:t>In practice</w:t>
      </w:r>
      <w:r>
        <w:t>,</w:t>
      </w:r>
      <w:r w:rsidRPr="0053049D">
        <w:t xml:space="preserve"> there may be </w:t>
      </w:r>
      <w:r>
        <w:t xml:space="preserve">deferred or preserved </w:t>
      </w:r>
      <w:r w:rsidRPr="0053049D">
        <w:t xml:space="preserve">members </w:t>
      </w:r>
      <w:r>
        <w:t xml:space="preserve">who </w:t>
      </w:r>
      <w:r w:rsidRPr="0053049D">
        <w:t>return to work</w:t>
      </w:r>
      <w:r>
        <w:t xml:space="preserve"> for the </w:t>
      </w:r>
      <w:r w:rsidRPr="00034F57">
        <w:t>Australian Government</w:t>
      </w:r>
      <w:r>
        <w:t xml:space="preserve"> or a participating employer and have a right to recommence contributory membership. </w:t>
      </w:r>
      <w:r w:rsidRPr="0053049D">
        <w:t>However</w:t>
      </w:r>
      <w:r>
        <w:t>,</w:t>
      </w:r>
      <w:r w:rsidRPr="0053049D">
        <w:t xml:space="preserve"> the </w:t>
      </w:r>
      <w:r>
        <w:t xml:space="preserve">overall </w:t>
      </w:r>
      <w:r w:rsidRPr="0053049D">
        <w:t xml:space="preserve">level of </w:t>
      </w:r>
      <w:r>
        <w:t xml:space="preserve">such </w:t>
      </w:r>
      <w:r w:rsidR="00A70E65">
        <w:t>reinstatement</w:t>
      </w:r>
      <w:r w:rsidRPr="0053049D">
        <w:t xml:space="preserve"> is not </w:t>
      </w:r>
      <w:r>
        <w:t xml:space="preserve">considered to be </w:t>
      </w:r>
      <w:r w:rsidRPr="0053049D">
        <w:t>material</w:t>
      </w:r>
      <w:r>
        <w:t xml:space="preserve"> to the overall projections</w:t>
      </w:r>
      <w:r w:rsidRPr="0053049D">
        <w:t>.</w:t>
      </w:r>
    </w:p>
    <w:p w:rsidR="00BC59A6" w:rsidRPr="00DF489C" w:rsidRDefault="00BC59A6" w:rsidP="00394AD2"/>
    <w:p w:rsidR="009F432F" w:rsidRDefault="009F432F">
      <w:pPr>
        <w:spacing w:line="240" w:lineRule="auto"/>
        <w:rPr>
          <w:b/>
          <w:color w:val="006D9E"/>
        </w:rPr>
      </w:pPr>
      <w:r>
        <w:br w:type="page"/>
      </w:r>
    </w:p>
    <w:p w:rsidR="00394AD2" w:rsidRPr="00EF6DD9" w:rsidRDefault="00394AD2" w:rsidP="00394AD2">
      <w:pPr>
        <w:pStyle w:val="Heading3"/>
      </w:pPr>
      <w:r>
        <w:lastRenderedPageBreak/>
        <w:t>Promotional Salary Increases</w:t>
      </w:r>
    </w:p>
    <w:p w:rsidR="00394AD2" w:rsidRDefault="00394AD2" w:rsidP="00394AD2">
      <w:pPr>
        <w:rPr>
          <w:szCs w:val="22"/>
        </w:rPr>
      </w:pPr>
    </w:p>
    <w:p w:rsidR="00394AD2" w:rsidRDefault="00394AD2" w:rsidP="00394AD2">
      <w:pPr>
        <w:rPr>
          <w:szCs w:val="22"/>
        </w:rPr>
      </w:pPr>
      <w:r>
        <w:rPr>
          <w:szCs w:val="22"/>
        </w:rPr>
        <w:t>The following table shows examples of the annual assumed percentage increase in salary due to promotion (excluding general salary increases due to inflation):</w:t>
      </w:r>
    </w:p>
    <w:p w:rsidR="00394AD2" w:rsidRDefault="00394AD2" w:rsidP="00394AD2">
      <w:pPr>
        <w:rPr>
          <w:szCs w:val="22"/>
        </w:rPr>
      </w:pPr>
    </w:p>
    <w:tbl>
      <w:tblPr>
        <w:tblW w:w="451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3024"/>
      </w:tblGrid>
      <w:tr w:rsidR="00394AD2" w:rsidRPr="009F47FB" w:rsidTr="0074307F">
        <w:trPr>
          <w:cantSplit/>
          <w:tblHeader/>
        </w:trPr>
        <w:tc>
          <w:tcPr>
            <w:tcW w:w="1491" w:type="dxa"/>
            <w:shd w:val="clear" w:color="auto" w:fill="00A8C8"/>
            <w:hideMark/>
          </w:tcPr>
          <w:p w:rsidR="00394AD2" w:rsidRPr="009F47FB" w:rsidRDefault="00394AD2" w:rsidP="0074307F">
            <w:pPr>
              <w:pStyle w:val="TableHeadingText"/>
              <w:jc w:val="center"/>
              <w:rPr>
                <w:caps w:val="0"/>
                <w:lang w:val="en-US"/>
              </w:rPr>
            </w:pPr>
            <w:r w:rsidRPr="009F47FB">
              <w:rPr>
                <w:caps w:val="0"/>
                <w:lang w:val="en-US"/>
              </w:rPr>
              <w:t>Age</w:t>
            </w:r>
          </w:p>
        </w:tc>
        <w:tc>
          <w:tcPr>
            <w:tcW w:w="3024" w:type="dxa"/>
            <w:shd w:val="clear" w:color="auto" w:fill="00A8C8"/>
          </w:tcPr>
          <w:p w:rsidR="00394AD2" w:rsidRPr="009F47FB" w:rsidRDefault="00394AD2" w:rsidP="0074307F">
            <w:pPr>
              <w:pStyle w:val="TableHeadingText"/>
              <w:jc w:val="center"/>
              <w:rPr>
                <w:caps w:val="0"/>
                <w:lang w:val="en-US"/>
              </w:rPr>
            </w:pPr>
            <w:r>
              <w:rPr>
                <w:caps w:val="0"/>
                <w:lang w:val="en-US"/>
              </w:rPr>
              <w:t>Promotional Increase</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35</w:t>
            </w:r>
          </w:p>
        </w:tc>
        <w:tc>
          <w:tcPr>
            <w:tcW w:w="3024" w:type="dxa"/>
            <w:shd w:val="clear" w:color="auto" w:fill="F2F2F2"/>
          </w:tcPr>
          <w:p w:rsidR="00394AD2" w:rsidRPr="00141C35" w:rsidRDefault="00394AD2" w:rsidP="0074307F">
            <w:pPr>
              <w:pStyle w:val="TableText"/>
              <w:jc w:val="center"/>
            </w:pPr>
            <w:r w:rsidRPr="00141C35">
              <w:t>1.10%</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40</w:t>
            </w:r>
          </w:p>
        </w:tc>
        <w:tc>
          <w:tcPr>
            <w:tcW w:w="3024" w:type="dxa"/>
            <w:shd w:val="clear" w:color="auto" w:fill="F2F2F2"/>
          </w:tcPr>
          <w:p w:rsidR="00394AD2" w:rsidRPr="00141C35" w:rsidRDefault="00394AD2" w:rsidP="0074307F">
            <w:pPr>
              <w:pStyle w:val="TableText"/>
              <w:jc w:val="center"/>
            </w:pPr>
            <w:r w:rsidRPr="00141C35">
              <w:t>0.72%</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45</w:t>
            </w:r>
          </w:p>
        </w:tc>
        <w:tc>
          <w:tcPr>
            <w:tcW w:w="3024" w:type="dxa"/>
            <w:shd w:val="clear" w:color="auto" w:fill="F2F2F2"/>
          </w:tcPr>
          <w:p w:rsidR="00394AD2" w:rsidRPr="00141C35" w:rsidRDefault="00394AD2" w:rsidP="0074307F">
            <w:pPr>
              <w:pStyle w:val="TableText"/>
              <w:jc w:val="center"/>
            </w:pPr>
            <w:r w:rsidRPr="00141C35">
              <w:t>0.52%</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50</w:t>
            </w:r>
          </w:p>
        </w:tc>
        <w:tc>
          <w:tcPr>
            <w:tcW w:w="3024" w:type="dxa"/>
            <w:shd w:val="clear" w:color="auto" w:fill="F2F2F2"/>
          </w:tcPr>
          <w:p w:rsidR="00394AD2" w:rsidRPr="00141C35" w:rsidRDefault="00394AD2" w:rsidP="0074307F">
            <w:pPr>
              <w:pStyle w:val="TableText"/>
              <w:jc w:val="center"/>
            </w:pPr>
            <w:r w:rsidRPr="00141C35">
              <w:t>0.34%</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55</w:t>
            </w:r>
          </w:p>
        </w:tc>
        <w:tc>
          <w:tcPr>
            <w:tcW w:w="3024" w:type="dxa"/>
            <w:shd w:val="clear" w:color="auto" w:fill="F2F2F2"/>
          </w:tcPr>
          <w:p w:rsidR="00394AD2" w:rsidRPr="00141C35" w:rsidRDefault="00394AD2" w:rsidP="0074307F">
            <w:pPr>
              <w:pStyle w:val="TableText"/>
              <w:jc w:val="center"/>
            </w:pPr>
            <w:r w:rsidRPr="00141C35">
              <w:t>0.18%</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60</w:t>
            </w:r>
          </w:p>
        </w:tc>
        <w:tc>
          <w:tcPr>
            <w:tcW w:w="3024" w:type="dxa"/>
            <w:shd w:val="clear" w:color="auto" w:fill="F2F2F2"/>
          </w:tcPr>
          <w:p w:rsidR="00394AD2" w:rsidRPr="00141C35" w:rsidRDefault="00394AD2" w:rsidP="0074307F">
            <w:pPr>
              <w:pStyle w:val="TableText"/>
              <w:jc w:val="center"/>
            </w:pPr>
            <w:r w:rsidRPr="00141C35">
              <w:t>0.05%</w:t>
            </w:r>
          </w:p>
        </w:tc>
      </w:tr>
    </w:tbl>
    <w:p w:rsidR="00394AD2" w:rsidRDefault="00394AD2" w:rsidP="00394AD2"/>
    <w:p w:rsidR="00394AD2" w:rsidRPr="008B5FC4" w:rsidRDefault="00394AD2" w:rsidP="00394AD2">
      <w:r w:rsidRPr="008B5FC4">
        <w:t xml:space="preserve">For example, a </w:t>
      </w:r>
      <w:r>
        <w:t>contributor</w:t>
      </w:r>
      <w:r w:rsidRPr="008B5FC4">
        <w:t xml:space="preserve"> aged 40 is assumed to have a promotional salary increase in the following year of </w:t>
      </w:r>
      <w:r>
        <w:t>0.72</w:t>
      </w:r>
      <w:r w:rsidRPr="008B5FC4">
        <w:t>%</w:t>
      </w:r>
      <w:r>
        <w:t>,</w:t>
      </w:r>
      <w:r w:rsidRPr="008B5FC4">
        <w:t xml:space="preserve"> together with a general salary increase of </w:t>
      </w:r>
      <w:r>
        <w:t>3.5</w:t>
      </w:r>
      <w:r w:rsidRPr="008B5FC4">
        <w:t>%.</w:t>
      </w:r>
    </w:p>
    <w:p w:rsidR="00394AD2" w:rsidRDefault="00394AD2" w:rsidP="00394AD2"/>
    <w:p w:rsidR="00394AD2" w:rsidRPr="00EF6DD9" w:rsidRDefault="00394AD2" w:rsidP="00394AD2">
      <w:pPr>
        <w:pStyle w:val="Heading3"/>
      </w:pPr>
      <w:r>
        <w:t>PSS Member Contribution Rates</w:t>
      </w:r>
    </w:p>
    <w:p w:rsidR="00394AD2" w:rsidRDefault="00394AD2" w:rsidP="00394AD2">
      <w:pPr>
        <w:rPr>
          <w:szCs w:val="22"/>
        </w:rPr>
      </w:pPr>
    </w:p>
    <w:tbl>
      <w:tblPr>
        <w:tblW w:w="451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3024"/>
      </w:tblGrid>
      <w:tr w:rsidR="00394AD2" w:rsidRPr="009F47FB" w:rsidTr="0074307F">
        <w:trPr>
          <w:cantSplit/>
          <w:tblHeader/>
        </w:trPr>
        <w:tc>
          <w:tcPr>
            <w:tcW w:w="1491" w:type="dxa"/>
            <w:shd w:val="clear" w:color="auto" w:fill="00A8C8"/>
            <w:hideMark/>
          </w:tcPr>
          <w:p w:rsidR="00394AD2" w:rsidRPr="009F47FB" w:rsidRDefault="00394AD2" w:rsidP="0074307F">
            <w:pPr>
              <w:pStyle w:val="TableHeadingText"/>
              <w:jc w:val="center"/>
              <w:rPr>
                <w:caps w:val="0"/>
                <w:lang w:val="en-US"/>
              </w:rPr>
            </w:pPr>
            <w:r w:rsidRPr="009F47FB">
              <w:rPr>
                <w:caps w:val="0"/>
                <w:lang w:val="en-US"/>
              </w:rPr>
              <w:t>Age</w:t>
            </w:r>
          </w:p>
        </w:tc>
        <w:tc>
          <w:tcPr>
            <w:tcW w:w="3024" w:type="dxa"/>
            <w:shd w:val="clear" w:color="auto" w:fill="00A8C8"/>
            <w:hideMark/>
          </w:tcPr>
          <w:p w:rsidR="00394AD2" w:rsidRPr="009F47FB" w:rsidRDefault="00394AD2" w:rsidP="0074307F">
            <w:pPr>
              <w:pStyle w:val="TableHeadingText"/>
              <w:jc w:val="center"/>
              <w:rPr>
                <w:caps w:val="0"/>
                <w:lang w:val="en-US"/>
              </w:rPr>
            </w:pPr>
            <w:r>
              <w:rPr>
                <w:caps w:val="0"/>
                <w:lang w:val="en-US"/>
              </w:rPr>
              <w:t>Contribution Rate</w:t>
            </w:r>
            <w:r>
              <w:rPr>
                <w:caps w:val="0"/>
                <w:lang w:val="en-US"/>
              </w:rPr>
              <w:br/>
              <w:t>(% of Salary)</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30</w:t>
            </w:r>
          </w:p>
        </w:tc>
        <w:tc>
          <w:tcPr>
            <w:tcW w:w="3024" w:type="dxa"/>
            <w:shd w:val="clear" w:color="auto" w:fill="F2F2F2"/>
            <w:noWrap/>
            <w:hideMark/>
          </w:tcPr>
          <w:p w:rsidR="00394AD2" w:rsidRPr="008E2E1A" w:rsidRDefault="00394AD2" w:rsidP="0074307F">
            <w:pPr>
              <w:pStyle w:val="TableText"/>
              <w:jc w:val="center"/>
            </w:pPr>
            <w:r w:rsidRPr="008E2E1A">
              <w:t>4.0%</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35</w:t>
            </w:r>
          </w:p>
        </w:tc>
        <w:tc>
          <w:tcPr>
            <w:tcW w:w="3024" w:type="dxa"/>
            <w:shd w:val="clear" w:color="auto" w:fill="F2F2F2"/>
            <w:noWrap/>
          </w:tcPr>
          <w:p w:rsidR="00394AD2" w:rsidRPr="008E2E1A" w:rsidRDefault="00394AD2" w:rsidP="0074307F">
            <w:pPr>
              <w:pStyle w:val="TableText"/>
              <w:jc w:val="center"/>
            </w:pPr>
            <w:r w:rsidRPr="008E2E1A">
              <w:t>4.5%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40</w:t>
            </w:r>
          </w:p>
        </w:tc>
        <w:tc>
          <w:tcPr>
            <w:tcW w:w="3024" w:type="dxa"/>
            <w:shd w:val="clear" w:color="auto" w:fill="F2F2F2"/>
            <w:noWrap/>
          </w:tcPr>
          <w:p w:rsidR="00394AD2" w:rsidRPr="008E2E1A" w:rsidRDefault="00394AD2" w:rsidP="0074307F">
            <w:pPr>
              <w:pStyle w:val="TableText"/>
              <w:jc w:val="center"/>
            </w:pPr>
            <w:r w:rsidRPr="008E2E1A">
              <w:t>5.0%</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45</w:t>
            </w:r>
          </w:p>
        </w:tc>
        <w:tc>
          <w:tcPr>
            <w:tcW w:w="3024" w:type="dxa"/>
            <w:shd w:val="clear" w:color="auto" w:fill="F2F2F2"/>
            <w:noWrap/>
          </w:tcPr>
          <w:p w:rsidR="00394AD2" w:rsidRPr="008E2E1A" w:rsidRDefault="00394AD2" w:rsidP="0074307F">
            <w:pPr>
              <w:pStyle w:val="TableText"/>
              <w:jc w:val="center"/>
            </w:pPr>
            <w:r w:rsidRPr="008E2E1A">
              <w:t>6.0%</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50</w:t>
            </w:r>
          </w:p>
        </w:tc>
        <w:tc>
          <w:tcPr>
            <w:tcW w:w="3024" w:type="dxa"/>
            <w:shd w:val="clear" w:color="auto" w:fill="F2F2F2"/>
            <w:noWrap/>
          </w:tcPr>
          <w:p w:rsidR="00394AD2" w:rsidRPr="008E2E1A" w:rsidRDefault="00394AD2" w:rsidP="0074307F">
            <w:pPr>
              <w:pStyle w:val="TableText"/>
              <w:jc w:val="center"/>
            </w:pPr>
            <w:r w:rsidRPr="008E2E1A">
              <w:t>7.25%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55</w:t>
            </w:r>
          </w:p>
        </w:tc>
        <w:tc>
          <w:tcPr>
            <w:tcW w:w="3024" w:type="dxa"/>
            <w:shd w:val="clear" w:color="auto" w:fill="F2F2F2"/>
            <w:noWrap/>
          </w:tcPr>
          <w:p w:rsidR="00394AD2" w:rsidRPr="008E2E1A" w:rsidRDefault="00394AD2" w:rsidP="0074307F">
            <w:pPr>
              <w:pStyle w:val="TableText"/>
              <w:jc w:val="center"/>
            </w:pPr>
            <w:r w:rsidRPr="008E2E1A">
              <w:t>8.5%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60</w:t>
            </w:r>
          </w:p>
        </w:tc>
        <w:tc>
          <w:tcPr>
            <w:tcW w:w="3024" w:type="dxa"/>
            <w:shd w:val="clear" w:color="auto" w:fill="F2F2F2"/>
            <w:noWrap/>
          </w:tcPr>
          <w:p w:rsidR="00394AD2" w:rsidRPr="008E2E1A" w:rsidRDefault="00394AD2" w:rsidP="0074307F">
            <w:pPr>
              <w:pStyle w:val="TableText"/>
              <w:jc w:val="center"/>
            </w:pPr>
            <w:r w:rsidRPr="008E2E1A">
              <w:t>8.5%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65</w:t>
            </w:r>
          </w:p>
        </w:tc>
        <w:tc>
          <w:tcPr>
            <w:tcW w:w="3024" w:type="dxa"/>
            <w:shd w:val="clear" w:color="auto" w:fill="F2F2F2"/>
            <w:noWrap/>
          </w:tcPr>
          <w:p w:rsidR="00394AD2" w:rsidRPr="008E2E1A" w:rsidRDefault="00394AD2" w:rsidP="0074307F">
            <w:pPr>
              <w:pStyle w:val="TableText"/>
              <w:jc w:val="center"/>
            </w:pPr>
            <w:r w:rsidRPr="008E2E1A">
              <w:t>8.5%</w:t>
            </w:r>
          </w:p>
        </w:tc>
      </w:tr>
    </w:tbl>
    <w:p w:rsidR="00394AD2" w:rsidRDefault="00394AD2" w:rsidP="00394AD2"/>
    <w:p w:rsidR="009F432F" w:rsidRDefault="009F432F">
      <w:pPr>
        <w:spacing w:line="240" w:lineRule="auto"/>
        <w:rPr>
          <w:b/>
          <w:color w:val="006D9E"/>
        </w:rPr>
      </w:pPr>
      <w:r>
        <w:br w:type="page"/>
      </w:r>
    </w:p>
    <w:p w:rsidR="00394AD2" w:rsidRPr="00EF6DD9" w:rsidRDefault="00394AD2" w:rsidP="00394AD2">
      <w:pPr>
        <w:pStyle w:val="Heading3"/>
      </w:pPr>
      <w:r>
        <w:lastRenderedPageBreak/>
        <w:t>Resignation and Age Retirement Rates for Contributors</w:t>
      </w:r>
    </w:p>
    <w:p w:rsidR="00394AD2" w:rsidRDefault="00394AD2" w:rsidP="00394AD2">
      <w:pPr>
        <w:rPr>
          <w:szCs w:val="22"/>
        </w:rPr>
      </w:pPr>
    </w:p>
    <w:tbl>
      <w:tblPr>
        <w:tblW w:w="745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2982"/>
        <w:gridCol w:w="2982"/>
      </w:tblGrid>
      <w:tr w:rsidR="00394AD2" w:rsidRPr="006B79AD" w:rsidTr="0074307F">
        <w:trPr>
          <w:cantSplit/>
          <w:tblHeader/>
        </w:trPr>
        <w:tc>
          <w:tcPr>
            <w:tcW w:w="1491" w:type="dxa"/>
            <w:shd w:val="clear" w:color="auto" w:fill="00A8C8"/>
            <w:hideMark/>
          </w:tcPr>
          <w:p w:rsidR="00394AD2" w:rsidRPr="006B79AD" w:rsidRDefault="00394AD2" w:rsidP="0074307F">
            <w:pPr>
              <w:pStyle w:val="TableHeadingText"/>
              <w:jc w:val="center"/>
              <w:rPr>
                <w:caps w:val="0"/>
                <w:lang w:val="en-US"/>
              </w:rPr>
            </w:pPr>
            <w:r w:rsidRPr="006B79AD">
              <w:rPr>
                <w:caps w:val="0"/>
                <w:lang w:val="en-US"/>
              </w:rPr>
              <w:t>Age</w:t>
            </w:r>
          </w:p>
        </w:tc>
        <w:tc>
          <w:tcPr>
            <w:tcW w:w="2982" w:type="dxa"/>
            <w:shd w:val="clear" w:color="auto" w:fill="00A8C8"/>
          </w:tcPr>
          <w:p w:rsidR="00394AD2" w:rsidRPr="006B79AD" w:rsidRDefault="00394AD2" w:rsidP="0074307F">
            <w:pPr>
              <w:pStyle w:val="TableHeadingText"/>
              <w:jc w:val="center"/>
              <w:rPr>
                <w:caps w:val="0"/>
                <w:lang w:val="en-US"/>
              </w:rPr>
            </w:pPr>
            <w:r>
              <w:rPr>
                <w:caps w:val="0"/>
                <w:lang w:val="en-US"/>
              </w:rPr>
              <w:t>Resignation</w:t>
            </w:r>
          </w:p>
        </w:tc>
        <w:tc>
          <w:tcPr>
            <w:tcW w:w="2982" w:type="dxa"/>
            <w:shd w:val="clear" w:color="auto" w:fill="00A8C8"/>
          </w:tcPr>
          <w:p w:rsidR="00394AD2" w:rsidRPr="006B79AD" w:rsidRDefault="00394AD2" w:rsidP="0074307F">
            <w:pPr>
              <w:pStyle w:val="TableHeadingText"/>
              <w:jc w:val="center"/>
              <w:rPr>
                <w:caps w:val="0"/>
                <w:lang w:val="en-US"/>
              </w:rPr>
            </w:pPr>
            <w:r>
              <w:rPr>
                <w:caps w:val="0"/>
                <w:lang w:val="en-US"/>
              </w:rPr>
              <w:t>Age Retirement</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30</w:t>
            </w:r>
          </w:p>
        </w:tc>
        <w:tc>
          <w:tcPr>
            <w:tcW w:w="2982" w:type="dxa"/>
            <w:shd w:val="clear" w:color="auto" w:fill="F2F2F2"/>
          </w:tcPr>
          <w:p w:rsidR="00394AD2" w:rsidRPr="003B34AE" w:rsidRDefault="00394AD2" w:rsidP="0074307F">
            <w:pPr>
              <w:pStyle w:val="TableText"/>
              <w:jc w:val="center"/>
            </w:pPr>
            <w:r w:rsidRPr="003B34AE">
              <w:t>4.0%</w:t>
            </w:r>
          </w:p>
        </w:tc>
        <w:tc>
          <w:tcPr>
            <w:tcW w:w="2982" w:type="dxa"/>
            <w:shd w:val="clear" w:color="auto" w:fill="F2F2F2"/>
          </w:tcPr>
          <w:p w:rsidR="00394AD2" w:rsidRPr="003B34AE" w:rsidRDefault="00394AD2" w:rsidP="0074307F">
            <w:pPr>
              <w:pStyle w:val="TableText"/>
              <w:jc w:val="center"/>
            </w:pP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35</w:t>
            </w:r>
          </w:p>
        </w:tc>
        <w:tc>
          <w:tcPr>
            <w:tcW w:w="2982" w:type="dxa"/>
            <w:shd w:val="clear" w:color="auto" w:fill="F2F2F2"/>
          </w:tcPr>
          <w:p w:rsidR="00394AD2" w:rsidRPr="003B34AE" w:rsidRDefault="00394AD2" w:rsidP="0074307F">
            <w:pPr>
              <w:pStyle w:val="TableText"/>
              <w:jc w:val="center"/>
            </w:pPr>
            <w:r w:rsidRPr="003B34AE">
              <w:t>3.5%</w:t>
            </w:r>
          </w:p>
        </w:tc>
        <w:tc>
          <w:tcPr>
            <w:tcW w:w="2982" w:type="dxa"/>
            <w:shd w:val="clear" w:color="auto" w:fill="F2F2F2"/>
          </w:tcPr>
          <w:p w:rsidR="00394AD2" w:rsidRPr="003B34AE" w:rsidRDefault="00394AD2" w:rsidP="0074307F">
            <w:pPr>
              <w:pStyle w:val="TableText"/>
              <w:jc w:val="center"/>
            </w:pP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40</w:t>
            </w:r>
          </w:p>
        </w:tc>
        <w:tc>
          <w:tcPr>
            <w:tcW w:w="2982" w:type="dxa"/>
            <w:shd w:val="clear" w:color="auto" w:fill="F2F2F2"/>
          </w:tcPr>
          <w:p w:rsidR="00394AD2" w:rsidRPr="003B34AE" w:rsidRDefault="00394AD2" w:rsidP="0074307F">
            <w:pPr>
              <w:pStyle w:val="TableText"/>
              <w:jc w:val="center"/>
            </w:pPr>
            <w:r w:rsidRPr="003B34AE">
              <w:t>3.0%</w:t>
            </w:r>
          </w:p>
        </w:tc>
        <w:tc>
          <w:tcPr>
            <w:tcW w:w="2982" w:type="dxa"/>
            <w:shd w:val="clear" w:color="auto" w:fill="F2F2F2"/>
          </w:tcPr>
          <w:p w:rsidR="00394AD2" w:rsidRPr="003B34AE" w:rsidRDefault="00394AD2" w:rsidP="0074307F">
            <w:pPr>
              <w:pStyle w:val="TableText"/>
              <w:jc w:val="center"/>
            </w:pP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45</w:t>
            </w:r>
          </w:p>
        </w:tc>
        <w:tc>
          <w:tcPr>
            <w:tcW w:w="2982" w:type="dxa"/>
            <w:shd w:val="clear" w:color="auto" w:fill="F2F2F2"/>
          </w:tcPr>
          <w:p w:rsidR="00394AD2" w:rsidRPr="003B34AE" w:rsidRDefault="00394AD2" w:rsidP="0074307F">
            <w:pPr>
              <w:pStyle w:val="TableText"/>
              <w:jc w:val="center"/>
            </w:pPr>
            <w:r w:rsidRPr="003B34AE">
              <w:t>2.5%</w:t>
            </w:r>
          </w:p>
        </w:tc>
        <w:tc>
          <w:tcPr>
            <w:tcW w:w="2982" w:type="dxa"/>
            <w:shd w:val="clear" w:color="auto" w:fill="F2F2F2"/>
          </w:tcPr>
          <w:p w:rsidR="00394AD2" w:rsidRPr="003B34AE" w:rsidRDefault="00394AD2" w:rsidP="0074307F">
            <w:pPr>
              <w:pStyle w:val="TableText"/>
              <w:jc w:val="center"/>
            </w:pP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50</w:t>
            </w:r>
          </w:p>
        </w:tc>
        <w:tc>
          <w:tcPr>
            <w:tcW w:w="2982" w:type="dxa"/>
            <w:shd w:val="clear" w:color="auto" w:fill="F2F2F2"/>
          </w:tcPr>
          <w:p w:rsidR="00394AD2" w:rsidRPr="003B34AE" w:rsidRDefault="00394AD2" w:rsidP="0074307F">
            <w:pPr>
              <w:pStyle w:val="TableText"/>
              <w:jc w:val="center"/>
            </w:pPr>
            <w:r w:rsidRPr="003B34AE">
              <w:t>2.5%</w:t>
            </w:r>
          </w:p>
        </w:tc>
        <w:tc>
          <w:tcPr>
            <w:tcW w:w="2982" w:type="dxa"/>
            <w:shd w:val="clear" w:color="auto" w:fill="F2F2F2"/>
          </w:tcPr>
          <w:p w:rsidR="00394AD2" w:rsidRPr="003B34AE" w:rsidRDefault="00394AD2" w:rsidP="0074307F">
            <w:pPr>
              <w:pStyle w:val="TableText"/>
              <w:jc w:val="center"/>
            </w:pP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55</w:t>
            </w:r>
          </w:p>
        </w:tc>
        <w:tc>
          <w:tcPr>
            <w:tcW w:w="2982" w:type="dxa"/>
            <w:shd w:val="clear" w:color="auto" w:fill="F2F2F2"/>
          </w:tcPr>
          <w:p w:rsidR="00394AD2" w:rsidRPr="003B34AE" w:rsidRDefault="00394AD2" w:rsidP="0074307F">
            <w:pPr>
              <w:pStyle w:val="TableText"/>
              <w:jc w:val="center"/>
            </w:pPr>
            <w:r>
              <w:t>-</w:t>
            </w:r>
          </w:p>
        </w:tc>
        <w:tc>
          <w:tcPr>
            <w:tcW w:w="2982" w:type="dxa"/>
            <w:shd w:val="clear" w:color="auto" w:fill="F2F2F2"/>
          </w:tcPr>
          <w:p w:rsidR="00394AD2" w:rsidRPr="003B34AE" w:rsidRDefault="00394AD2" w:rsidP="0074307F">
            <w:pPr>
              <w:pStyle w:val="TableText"/>
              <w:jc w:val="center"/>
            </w:pPr>
            <w:r w:rsidRPr="003B34AE">
              <w:t>7.5%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60</w:t>
            </w:r>
          </w:p>
        </w:tc>
        <w:tc>
          <w:tcPr>
            <w:tcW w:w="2982" w:type="dxa"/>
            <w:shd w:val="clear" w:color="auto" w:fill="F2F2F2"/>
          </w:tcPr>
          <w:p w:rsidR="00394AD2" w:rsidRPr="003B34AE" w:rsidRDefault="00394AD2" w:rsidP="0074307F">
            <w:pPr>
              <w:pStyle w:val="TableText"/>
              <w:jc w:val="center"/>
            </w:pPr>
            <w:r>
              <w:t>-</w:t>
            </w:r>
          </w:p>
        </w:tc>
        <w:tc>
          <w:tcPr>
            <w:tcW w:w="2982" w:type="dxa"/>
            <w:shd w:val="clear" w:color="auto" w:fill="F2F2F2"/>
          </w:tcPr>
          <w:p w:rsidR="00394AD2" w:rsidRPr="003B34AE" w:rsidRDefault="00394AD2" w:rsidP="0074307F">
            <w:pPr>
              <w:pStyle w:val="TableText"/>
              <w:jc w:val="center"/>
            </w:pPr>
            <w:r w:rsidRPr="003B34AE">
              <w:t>12.5%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65</w:t>
            </w:r>
          </w:p>
        </w:tc>
        <w:tc>
          <w:tcPr>
            <w:tcW w:w="2982" w:type="dxa"/>
            <w:shd w:val="clear" w:color="auto" w:fill="F2F2F2"/>
          </w:tcPr>
          <w:p w:rsidR="00394AD2" w:rsidRPr="003B34AE" w:rsidRDefault="00394AD2" w:rsidP="0074307F">
            <w:pPr>
              <w:pStyle w:val="TableText"/>
              <w:jc w:val="center"/>
            </w:pPr>
            <w:r>
              <w:t>-</w:t>
            </w:r>
          </w:p>
        </w:tc>
        <w:tc>
          <w:tcPr>
            <w:tcW w:w="2982" w:type="dxa"/>
            <w:shd w:val="clear" w:color="auto" w:fill="F2F2F2"/>
          </w:tcPr>
          <w:p w:rsidR="00394AD2" w:rsidRPr="003B34AE" w:rsidRDefault="00394AD2" w:rsidP="0074307F">
            <w:pPr>
              <w:pStyle w:val="TableText"/>
              <w:jc w:val="center"/>
            </w:pPr>
            <w:r w:rsidRPr="003B34AE">
              <w:t>25.0%</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70</w:t>
            </w:r>
          </w:p>
        </w:tc>
        <w:tc>
          <w:tcPr>
            <w:tcW w:w="2982" w:type="dxa"/>
            <w:shd w:val="clear" w:color="auto" w:fill="F2F2F2"/>
          </w:tcPr>
          <w:p w:rsidR="00394AD2" w:rsidRPr="003B34AE" w:rsidRDefault="00394AD2" w:rsidP="0074307F">
            <w:pPr>
              <w:pStyle w:val="TableText"/>
              <w:jc w:val="center"/>
            </w:pPr>
            <w:r>
              <w:t>-</w:t>
            </w:r>
          </w:p>
        </w:tc>
        <w:tc>
          <w:tcPr>
            <w:tcW w:w="2982" w:type="dxa"/>
            <w:shd w:val="clear" w:color="auto" w:fill="F2F2F2"/>
          </w:tcPr>
          <w:p w:rsidR="00394AD2" w:rsidRPr="003B34AE" w:rsidRDefault="00394AD2" w:rsidP="0074307F">
            <w:pPr>
              <w:pStyle w:val="TableText"/>
              <w:jc w:val="center"/>
            </w:pPr>
            <w:r w:rsidRPr="003B34AE">
              <w:t>25.0%</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75</w:t>
            </w:r>
          </w:p>
        </w:tc>
        <w:tc>
          <w:tcPr>
            <w:tcW w:w="2982" w:type="dxa"/>
            <w:shd w:val="clear" w:color="auto" w:fill="F2F2F2"/>
          </w:tcPr>
          <w:p w:rsidR="00394AD2" w:rsidRPr="003B34AE" w:rsidRDefault="00394AD2" w:rsidP="0074307F">
            <w:pPr>
              <w:pStyle w:val="TableText"/>
              <w:jc w:val="center"/>
            </w:pPr>
            <w:r>
              <w:t>-</w:t>
            </w:r>
          </w:p>
        </w:tc>
        <w:tc>
          <w:tcPr>
            <w:tcW w:w="2982" w:type="dxa"/>
            <w:shd w:val="clear" w:color="auto" w:fill="F2F2F2"/>
          </w:tcPr>
          <w:p w:rsidR="00394AD2" w:rsidRPr="003B34AE" w:rsidRDefault="00394AD2" w:rsidP="0074307F">
            <w:pPr>
              <w:pStyle w:val="TableText"/>
              <w:jc w:val="center"/>
            </w:pPr>
            <w:r w:rsidRPr="003B34AE">
              <w:t>100.0%</w:t>
            </w:r>
          </w:p>
        </w:tc>
      </w:tr>
    </w:tbl>
    <w:p w:rsidR="00394AD2" w:rsidRDefault="00394AD2" w:rsidP="00394AD2"/>
    <w:p w:rsidR="00394AD2" w:rsidRDefault="00394AD2" w:rsidP="00394AD2">
      <w:r>
        <w:t>A higher rate (40%) is assumed for CSS contributors at age 54, which reflects the benefit design and scheme experience.</w:t>
      </w:r>
    </w:p>
    <w:p w:rsidR="00394AD2" w:rsidRDefault="00394AD2" w:rsidP="00394AD2"/>
    <w:p w:rsidR="00394AD2" w:rsidRPr="00EF6DD9" w:rsidRDefault="00394AD2" w:rsidP="00394AD2">
      <w:pPr>
        <w:pStyle w:val="Heading3"/>
      </w:pPr>
      <w:r>
        <w:t>Age Retirement Rates for Deferred/Preserved</w:t>
      </w:r>
    </w:p>
    <w:p w:rsidR="00394AD2" w:rsidRDefault="00394AD2" w:rsidP="00394AD2"/>
    <w:tbl>
      <w:tblPr>
        <w:tblW w:w="745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2982"/>
        <w:gridCol w:w="2982"/>
      </w:tblGrid>
      <w:tr w:rsidR="0063795E" w:rsidRPr="006B79AD" w:rsidTr="00831EF9">
        <w:trPr>
          <w:cantSplit/>
          <w:trHeight w:val="188"/>
          <w:tblHeader/>
        </w:trPr>
        <w:tc>
          <w:tcPr>
            <w:tcW w:w="1491" w:type="dxa"/>
            <w:shd w:val="clear" w:color="auto" w:fill="00A8C8"/>
            <w:hideMark/>
          </w:tcPr>
          <w:p w:rsidR="0063795E" w:rsidRPr="006B79AD" w:rsidRDefault="0063795E" w:rsidP="00831EF9">
            <w:pPr>
              <w:pStyle w:val="TableHeadingText"/>
              <w:jc w:val="center"/>
              <w:rPr>
                <w:caps w:val="0"/>
                <w:lang w:val="en-US"/>
              </w:rPr>
            </w:pPr>
            <w:r w:rsidRPr="006B79AD">
              <w:rPr>
                <w:caps w:val="0"/>
                <w:lang w:val="en-US"/>
              </w:rPr>
              <w:t>Age</w:t>
            </w:r>
          </w:p>
        </w:tc>
        <w:tc>
          <w:tcPr>
            <w:tcW w:w="2982" w:type="dxa"/>
            <w:shd w:val="clear" w:color="auto" w:fill="00A8C8"/>
          </w:tcPr>
          <w:p w:rsidR="0063795E" w:rsidRPr="006B79AD" w:rsidRDefault="0063795E" w:rsidP="00831EF9">
            <w:pPr>
              <w:pStyle w:val="TableHeadingText"/>
              <w:jc w:val="center"/>
              <w:rPr>
                <w:caps w:val="0"/>
                <w:lang w:val="en-US"/>
              </w:rPr>
            </w:pPr>
            <w:r w:rsidRPr="006B79AD">
              <w:rPr>
                <w:caps w:val="0"/>
                <w:lang w:val="en-US"/>
              </w:rPr>
              <w:t>PSS</w:t>
            </w:r>
          </w:p>
        </w:tc>
        <w:tc>
          <w:tcPr>
            <w:tcW w:w="2982" w:type="dxa"/>
            <w:shd w:val="clear" w:color="auto" w:fill="00A8C8"/>
            <w:hideMark/>
          </w:tcPr>
          <w:p w:rsidR="0063795E" w:rsidRPr="006B79AD" w:rsidRDefault="0063795E" w:rsidP="00831EF9">
            <w:pPr>
              <w:pStyle w:val="TableHeadingText"/>
              <w:jc w:val="center"/>
              <w:rPr>
                <w:caps w:val="0"/>
                <w:lang w:val="en-US"/>
              </w:rPr>
            </w:pPr>
            <w:r w:rsidRPr="006B79AD">
              <w:rPr>
                <w:caps w:val="0"/>
                <w:lang w:val="en-US"/>
              </w:rPr>
              <w:t>CSS</w:t>
            </w:r>
          </w:p>
        </w:tc>
      </w:tr>
      <w:tr w:rsidR="0063795E" w:rsidRPr="009F47FB" w:rsidTr="00831EF9">
        <w:trPr>
          <w:cantSplit/>
        </w:trPr>
        <w:tc>
          <w:tcPr>
            <w:tcW w:w="1491" w:type="dxa"/>
            <w:shd w:val="clear" w:color="auto" w:fill="F2F2F2"/>
            <w:noWrap/>
            <w:hideMark/>
          </w:tcPr>
          <w:p w:rsidR="0063795E" w:rsidRPr="009F47FB" w:rsidRDefault="0063795E" w:rsidP="00831EF9">
            <w:pPr>
              <w:pStyle w:val="TableText"/>
              <w:jc w:val="center"/>
            </w:pPr>
            <w:r>
              <w:t>55</w:t>
            </w:r>
          </w:p>
        </w:tc>
        <w:tc>
          <w:tcPr>
            <w:tcW w:w="2982" w:type="dxa"/>
            <w:shd w:val="clear" w:color="auto" w:fill="F2F2F2"/>
            <w:vAlign w:val="bottom"/>
          </w:tcPr>
          <w:p w:rsidR="0063795E" w:rsidRPr="003B34AE" w:rsidRDefault="0063795E" w:rsidP="00831EF9">
            <w:pPr>
              <w:pStyle w:val="TableText"/>
              <w:jc w:val="center"/>
            </w:pPr>
            <w:r>
              <w:t>10%</w:t>
            </w:r>
          </w:p>
        </w:tc>
        <w:tc>
          <w:tcPr>
            <w:tcW w:w="2982" w:type="dxa"/>
            <w:shd w:val="clear" w:color="auto" w:fill="F2F2F2"/>
            <w:noWrap/>
            <w:vAlign w:val="bottom"/>
          </w:tcPr>
          <w:p w:rsidR="0063795E" w:rsidRPr="003B34AE" w:rsidRDefault="0063795E" w:rsidP="00831EF9">
            <w:pPr>
              <w:pStyle w:val="TableText"/>
              <w:jc w:val="center"/>
            </w:pPr>
            <w:r>
              <w:t>40%</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56 - 59</w:t>
            </w:r>
          </w:p>
        </w:tc>
        <w:tc>
          <w:tcPr>
            <w:tcW w:w="2982" w:type="dxa"/>
            <w:shd w:val="clear" w:color="auto" w:fill="F2F2F2"/>
            <w:vAlign w:val="bottom"/>
          </w:tcPr>
          <w:p w:rsidR="0063795E" w:rsidRPr="003B34AE" w:rsidRDefault="0063795E" w:rsidP="00831EF9">
            <w:pPr>
              <w:pStyle w:val="TableText"/>
              <w:jc w:val="center"/>
            </w:pPr>
            <w:r>
              <w:t>5%</w:t>
            </w:r>
          </w:p>
        </w:tc>
        <w:tc>
          <w:tcPr>
            <w:tcW w:w="2982" w:type="dxa"/>
            <w:shd w:val="clear" w:color="auto" w:fill="F2F2F2"/>
            <w:noWrap/>
            <w:vAlign w:val="bottom"/>
          </w:tcPr>
          <w:p w:rsidR="0063795E" w:rsidRPr="003B34AE" w:rsidRDefault="0063795E" w:rsidP="00831EF9">
            <w:pPr>
              <w:pStyle w:val="TableText"/>
              <w:jc w:val="center"/>
            </w:pPr>
            <w:r>
              <w:t>10%</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60</w:t>
            </w:r>
          </w:p>
        </w:tc>
        <w:tc>
          <w:tcPr>
            <w:tcW w:w="2982" w:type="dxa"/>
            <w:shd w:val="clear" w:color="auto" w:fill="F2F2F2"/>
            <w:vAlign w:val="bottom"/>
          </w:tcPr>
          <w:p w:rsidR="0063795E" w:rsidRPr="003B34AE" w:rsidRDefault="0063795E" w:rsidP="00831EF9">
            <w:pPr>
              <w:pStyle w:val="TableText"/>
              <w:jc w:val="center"/>
            </w:pPr>
            <w:r>
              <w:t>15%</w:t>
            </w:r>
          </w:p>
        </w:tc>
        <w:tc>
          <w:tcPr>
            <w:tcW w:w="2982" w:type="dxa"/>
            <w:shd w:val="clear" w:color="auto" w:fill="F2F2F2"/>
            <w:noWrap/>
            <w:vAlign w:val="bottom"/>
          </w:tcPr>
          <w:p w:rsidR="0063795E" w:rsidRPr="003B34AE" w:rsidRDefault="0063795E" w:rsidP="00831EF9">
            <w:pPr>
              <w:pStyle w:val="TableText"/>
              <w:jc w:val="center"/>
            </w:pPr>
            <w:r>
              <w:t>25%</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61 - 63</w:t>
            </w:r>
          </w:p>
        </w:tc>
        <w:tc>
          <w:tcPr>
            <w:tcW w:w="2982" w:type="dxa"/>
            <w:shd w:val="clear" w:color="auto" w:fill="F2F2F2"/>
            <w:vAlign w:val="bottom"/>
          </w:tcPr>
          <w:p w:rsidR="0063795E" w:rsidRPr="003B34AE" w:rsidRDefault="0063795E" w:rsidP="00831EF9">
            <w:pPr>
              <w:pStyle w:val="TableText"/>
              <w:jc w:val="center"/>
            </w:pPr>
            <w:r>
              <w:t>10%</w:t>
            </w:r>
          </w:p>
        </w:tc>
        <w:tc>
          <w:tcPr>
            <w:tcW w:w="2982" w:type="dxa"/>
            <w:shd w:val="clear" w:color="auto" w:fill="F2F2F2"/>
            <w:noWrap/>
            <w:vAlign w:val="bottom"/>
          </w:tcPr>
          <w:p w:rsidR="0063795E" w:rsidRPr="003B34AE" w:rsidRDefault="0063795E" w:rsidP="00831EF9">
            <w:pPr>
              <w:pStyle w:val="TableText"/>
              <w:jc w:val="center"/>
            </w:pPr>
            <w:r>
              <w:t>15%</w:t>
            </w:r>
          </w:p>
        </w:tc>
      </w:tr>
      <w:tr w:rsidR="0063795E" w:rsidRPr="009F47FB" w:rsidTr="00831EF9">
        <w:trPr>
          <w:cantSplit/>
        </w:trPr>
        <w:tc>
          <w:tcPr>
            <w:tcW w:w="1491" w:type="dxa"/>
            <w:shd w:val="clear" w:color="auto" w:fill="F2F2F2"/>
            <w:noWrap/>
          </w:tcPr>
          <w:p w:rsidR="0063795E" w:rsidRDefault="0063795E" w:rsidP="00831EF9">
            <w:pPr>
              <w:pStyle w:val="TableText"/>
              <w:jc w:val="center"/>
            </w:pPr>
            <w:r>
              <w:t>64</w:t>
            </w:r>
          </w:p>
        </w:tc>
        <w:tc>
          <w:tcPr>
            <w:tcW w:w="2982" w:type="dxa"/>
            <w:shd w:val="clear" w:color="auto" w:fill="F2F2F2"/>
            <w:vAlign w:val="bottom"/>
          </w:tcPr>
          <w:p w:rsidR="0063795E" w:rsidRPr="003B34AE" w:rsidRDefault="0063795E" w:rsidP="00831EF9">
            <w:pPr>
              <w:pStyle w:val="TableText"/>
              <w:jc w:val="center"/>
            </w:pPr>
            <w:r>
              <w:t>20%</w:t>
            </w:r>
          </w:p>
        </w:tc>
        <w:tc>
          <w:tcPr>
            <w:tcW w:w="2982" w:type="dxa"/>
            <w:shd w:val="clear" w:color="auto" w:fill="F2F2F2"/>
            <w:noWrap/>
            <w:vAlign w:val="bottom"/>
          </w:tcPr>
          <w:p w:rsidR="0063795E" w:rsidRPr="003B34AE" w:rsidRDefault="0063795E" w:rsidP="00831EF9">
            <w:pPr>
              <w:pStyle w:val="TableText"/>
              <w:jc w:val="center"/>
            </w:pPr>
            <w:r>
              <w:t>30%</w:t>
            </w:r>
          </w:p>
        </w:tc>
      </w:tr>
      <w:tr w:rsidR="0063795E" w:rsidRPr="009F47FB" w:rsidTr="00831EF9">
        <w:trPr>
          <w:cantSplit/>
        </w:trPr>
        <w:tc>
          <w:tcPr>
            <w:tcW w:w="1491" w:type="dxa"/>
            <w:shd w:val="clear" w:color="auto" w:fill="F2F2F2"/>
            <w:noWrap/>
          </w:tcPr>
          <w:p w:rsidR="0063795E" w:rsidRDefault="0063795E" w:rsidP="00831EF9">
            <w:pPr>
              <w:pStyle w:val="TableText"/>
              <w:jc w:val="center"/>
            </w:pPr>
            <w:r>
              <w:t>65</w:t>
            </w:r>
          </w:p>
        </w:tc>
        <w:tc>
          <w:tcPr>
            <w:tcW w:w="2982" w:type="dxa"/>
            <w:shd w:val="clear" w:color="auto" w:fill="F2F2F2"/>
            <w:vAlign w:val="bottom"/>
          </w:tcPr>
          <w:p w:rsidR="0063795E" w:rsidRPr="003B34AE" w:rsidRDefault="0063795E" w:rsidP="00831EF9">
            <w:pPr>
              <w:pStyle w:val="TableText"/>
              <w:jc w:val="center"/>
            </w:pPr>
            <w:r>
              <w:t>100%</w:t>
            </w:r>
          </w:p>
        </w:tc>
        <w:tc>
          <w:tcPr>
            <w:tcW w:w="2982" w:type="dxa"/>
            <w:shd w:val="clear" w:color="auto" w:fill="F2F2F2"/>
            <w:noWrap/>
            <w:vAlign w:val="bottom"/>
          </w:tcPr>
          <w:p w:rsidR="0063795E" w:rsidRPr="003B34AE" w:rsidRDefault="0063795E" w:rsidP="00831EF9">
            <w:pPr>
              <w:pStyle w:val="TableText"/>
              <w:jc w:val="center"/>
            </w:pPr>
            <w:r>
              <w:t>100%</w:t>
            </w:r>
          </w:p>
        </w:tc>
      </w:tr>
    </w:tbl>
    <w:p w:rsidR="00394AD2" w:rsidRDefault="00394AD2" w:rsidP="00394AD2"/>
    <w:p w:rsidR="009F432F" w:rsidRDefault="009F432F">
      <w:pPr>
        <w:spacing w:line="240" w:lineRule="auto"/>
        <w:rPr>
          <w:b/>
          <w:color w:val="006D9E"/>
        </w:rPr>
      </w:pPr>
      <w:r>
        <w:br w:type="page"/>
      </w:r>
    </w:p>
    <w:p w:rsidR="00394AD2" w:rsidRPr="00EF6DD9" w:rsidRDefault="00394AD2" w:rsidP="00394AD2">
      <w:pPr>
        <w:pStyle w:val="Heading3"/>
      </w:pPr>
      <w:r>
        <w:lastRenderedPageBreak/>
        <w:t>Involuntary Retirement (Redundancy) Rates</w:t>
      </w:r>
    </w:p>
    <w:p w:rsidR="00394AD2" w:rsidRDefault="00394AD2" w:rsidP="00394AD2">
      <w:pPr>
        <w:rPr>
          <w:szCs w:val="22"/>
        </w:rPr>
      </w:pPr>
    </w:p>
    <w:tbl>
      <w:tblPr>
        <w:tblW w:w="745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2982"/>
        <w:gridCol w:w="2982"/>
      </w:tblGrid>
      <w:tr w:rsidR="0063795E" w:rsidRPr="006B79AD" w:rsidTr="00831EF9">
        <w:trPr>
          <w:cantSplit/>
          <w:trHeight w:val="188"/>
          <w:tblHeader/>
        </w:trPr>
        <w:tc>
          <w:tcPr>
            <w:tcW w:w="1491" w:type="dxa"/>
            <w:shd w:val="clear" w:color="auto" w:fill="00A8C8"/>
            <w:hideMark/>
          </w:tcPr>
          <w:p w:rsidR="0063795E" w:rsidRPr="006B79AD" w:rsidRDefault="0063795E" w:rsidP="00831EF9">
            <w:pPr>
              <w:pStyle w:val="TableHeadingText"/>
              <w:jc w:val="center"/>
              <w:rPr>
                <w:caps w:val="0"/>
                <w:lang w:val="en-US"/>
              </w:rPr>
            </w:pPr>
            <w:r w:rsidRPr="006B79AD">
              <w:rPr>
                <w:caps w:val="0"/>
                <w:lang w:val="en-US"/>
              </w:rPr>
              <w:t>Age</w:t>
            </w:r>
          </w:p>
        </w:tc>
        <w:tc>
          <w:tcPr>
            <w:tcW w:w="2982" w:type="dxa"/>
            <w:shd w:val="clear" w:color="auto" w:fill="00A8C8"/>
          </w:tcPr>
          <w:p w:rsidR="0063795E" w:rsidRPr="006B79AD" w:rsidRDefault="0063795E" w:rsidP="00831EF9">
            <w:pPr>
              <w:pStyle w:val="TableHeadingText"/>
              <w:jc w:val="center"/>
              <w:rPr>
                <w:caps w:val="0"/>
                <w:lang w:val="en-US"/>
              </w:rPr>
            </w:pPr>
            <w:r w:rsidRPr="006B79AD">
              <w:rPr>
                <w:caps w:val="0"/>
                <w:lang w:val="en-US"/>
              </w:rPr>
              <w:t>PSS</w:t>
            </w:r>
          </w:p>
        </w:tc>
        <w:tc>
          <w:tcPr>
            <w:tcW w:w="2982" w:type="dxa"/>
            <w:shd w:val="clear" w:color="auto" w:fill="00A8C8"/>
            <w:hideMark/>
          </w:tcPr>
          <w:p w:rsidR="0063795E" w:rsidRPr="006B79AD" w:rsidRDefault="0063795E" w:rsidP="00831EF9">
            <w:pPr>
              <w:pStyle w:val="TableHeadingText"/>
              <w:jc w:val="center"/>
              <w:rPr>
                <w:caps w:val="0"/>
                <w:lang w:val="en-US"/>
              </w:rPr>
            </w:pPr>
            <w:r w:rsidRPr="006B79AD">
              <w:rPr>
                <w:caps w:val="0"/>
                <w:lang w:val="en-US"/>
              </w:rPr>
              <w:t>CSS</w:t>
            </w:r>
          </w:p>
        </w:tc>
      </w:tr>
      <w:tr w:rsidR="0063795E" w:rsidRPr="009F47FB" w:rsidTr="00831EF9">
        <w:trPr>
          <w:cantSplit/>
        </w:trPr>
        <w:tc>
          <w:tcPr>
            <w:tcW w:w="1491" w:type="dxa"/>
            <w:shd w:val="clear" w:color="auto" w:fill="F2F2F2"/>
            <w:noWrap/>
            <w:hideMark/>
          </w:tcPr>
          <w:p w:rsidR="0063795E" w:rsidRPr="009F47FB" w:rsidRDefault="0063795E" w:rsidP="00831EF9">
            <w:pPr>
              <w:pStyle w:val="TableText"/>
              <w:jc w:val="center"/>
            </w:pPr>
            <w:r w:rsidRPr="009F47FB">
              <w:t>30</w:t>
            </w:r>
          </w:p>
        </w:tc>
        <w:tc>
          <w:tcPr>
            <w:tcW w:w="2982" w:type="dxa"/>
            <w:shd w:val="clear" w:color="auto" w:fill="F2F2F2"/>
          </w:tcPr>
          <w:p w:rsidR="0063795E" w:rsidRPr="00141C35" w:rsidRDefault="0063795E" w:rsidP="00831EF9">
            <w:pPr>
              <w:pStyle w:val="TableText"/>
              <w:jc w:val="center"/>
            </w:pPr>
            <w:r>
              <w:t>0.05%</w:t>
            </w:r>
          </w:p>
        </w:tc>
        <w:tc>
          <w:tcPr>
            <w:tcW w:w="2982" w:type="dxa"/>
            <w:shd w:val="clear" w:color="auto" w:fill="F2F2F2"/>
            <w:noWrap/>
          </w:tcPr>
          <w:p w:rsidR="0063795E" w:rsidRPr="00141C35" w:rsidRDefault="0063795E" w:rsidP="00831EF9">
            <w:pPr>
              <w:pStyle w:val="TableText"/>
              <w:jc w:val="center"/>
            </w:pPr>
            <w:r>
              <w:t>1.00%</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35</w:t>
            </w:r>
          </w:p>
        </w:tc>
        <w:tc>
          <w:tcPr>
            <w:tcW w:w="2982" w:type="dxa"/>
            <w:shd w:val="clear" w:color="auto" w:fill="F2F2F2"/>
          </w:tcPr>
          <w:p w:rsidR="0063795E" w:rsidRPr="00141C35" w:rsidRDefault="0063795E" w:rsidP="00831EF9">
            <w:pPr>
              <w:pStyle w:val="TableText"/>
              <w:jc w:val="center"/>
            </w:pPr>
            <w:r>
              <w:t>0.05%</w:t>
            </w:r>
          </w:p>
        </w:tc>
        <w:tc>
          <w:tcPr>
            <w:tcW w:w="2982" w:type="dxa"/>
            <w:shd w:val="clear" w:color="auto" w:fill="F2F2F2"/>
            <w:noWrap/>
          </w:tcPr>
          <w:p w:rsidR="0063795E" w:rsidRPr="00141C35" w:rsidRDefault="0063795E" w:rsidP="00831EF9">
            <w:pPr>
              <w:pStyle w:val="TableText"/>
              <w:jc w:val="center"/>
            </w:pPr>
            <w:r>
              <w:t>1.00%</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40</w:t>
            </w:r>
          </w:p>
        </w:tc>
        <w:tc>
          <w:tcPr>
            <w:tcW w:w="2982" w:type="dxa"/>
            <w:shd w:val="clear" w:color="auto" w:fill="F2F2F2"/>
          </w:tcPr>
          <w:p w:rsidR="0063795E" w:rsidRPr="00141C35" w:rsidRDefault="0063795E" w:rsidP="00831EF9">
            <w:pPr>
              <w:pStyle w:val="TableText"/>
              <w:jc w:val="center"/>
            </w:pPr>
            <w:r>
              <w:t>0.05%</w:t>
            </w:r>
          </w:p>
        </w:tc>
        <w:tc>
          <w:tcPr>
            <w:tcW w:w="2982" w:type="dxa"/>
            <w:shd w:val="clear" w:color="auto" w:fill="F2F2F2"/>
            <w:noWrap/>
          </w:tcPr>
          <w:p w:rsidR="0063795E" w:rsidRPr="00141C35" w:rsidRDefault="0063795E" w:rsidP="00831EF9">
            <w:pPr>
              <w:pStyle w:val="TableText"/>
              <w:jc w:val="center"/>
            </w:pPr>
            <w:r>
              <w:t>1.00%</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45</w:t>
            </w:r>
          </w:p>
        </w:tc>
        <w:tc>
          <w:tcPr>
            <w:tcW w:w="2982" w:type="dxa"/>
            <w:shd w:val="clear" w:color="auto" w:fill="F2F2F2"/>
          </w:tcPr>
          <w:p w:rsidR="0063795E" w:rsidRPr="00141C35" w:rsidRDefault="0063795E" w:rsidP="00831EF9">
            <w:pPr>
              <w:pStyle w:val="TableText"/>
              <w:jc w:val="center"/>
            </w:pPr>
            <w:r>
              <w:t>0.05%</w:t>
            </w:r>
          </w:p>
        </w:tc>
        <w:tc>
          <w:tcPr>
            <w:tcW w:w="2982" w:type="dxa"/>
            <w:shd w:val="clear" w:color="auto" w:fill="F2F2F2"/>
            <w:noWrap/>
          </w:tcPr>
          <w:p w:rsidR="0063795E" w:rsidRPr="00141C35" w:rsidRDefault="0063795E" w:rsidP="00831EF9">
            <w:pPr>
              <w:pStyle w:val="TableText"/>
              <w:jc w:val="center"/>
            </w:pPr>
            <w:r>
              <w:t>1.00%</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50</w:t>
            </w:r>
          </w:p>
        </w:tc>
        <w:tc>
          <w:tcPr>
            <w:tcW w:w="2982" w:type="dxa"/>
            <w:shd w:val="clear" w:color="auto" w:fill="F2F2F2"/>
          </w:tcPr>
          <w:p w:rsidR="0063795E" w:rsidRPr="00141C35" w:rsidRDefault="0063795E" w:rsidP="00831EF9">
            <w:pPr>
              <w:pStyle w:val="TableText"/>
              <w:jc w:val="center"/>
            </w:pPr>
            <w:r>
              <w:t>1.50%</w:t>
            </w:r>
          </w:p>
        </w:tc>
        <w:tc>
          <w:tcPr>
            <w:tcW w:w="2982" w:type="dxa"/>
            <w:shd w:val="clear" w:color="auto" w:fill="F2F2F2"/>
            <w:noWrap/>
          </w:tcPr>
          <w:p w:rsidR="0063795E" w:rsidRPr="00141C35" w:rsidRDefault="0063795E" w:rsidP="00831EF9">
            <w:pPr>
              <w:pStyle w:val="TableText"/>
              <w:jc w:val="center"/>
            </w:pPr>
            <w:r>
              <w:t>3.25%</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55</w:t>
            </w:r>
          </w:p>
        </w:tc>
        <w:tc>
          <w:tcPr>
            <w:tcW w:w="2982" w:type="dxa"/>
            <w:shd w:val="clear" w:color="auto" w:fill="F2F2F2"/>
          </w:tcPr>
          <w:p w:rsidR="0063795E" w:rsidRPr="00141C35" w:rsidRDefault="0063795E" w:rsidP="00831EF9">
            <w:pPr>
              <w:pStyle w:val="TableText"/>
              <w:jc w:val="center"/>
            </w:pPr>
            <w:r>
              <w:t>2.50%</w:t>
            </w:r>
          </w:p>
        </w:tc>
        <w:tc>
          <w:tcPr>
            <w:tcW w:w="2982" w:type="dxa"/>
            <w:shd w:val="clear" w:color="auto" w:fill="F2F2F2"/>
            <w:noWrap/>
          </w:tcPr>
          <w:p w:rsidR="0063795E" w:rsidRPr="00141C35" w:rsidRDefault="0063795E" w:rsidP="00831EF9">
            <w:pPr>
              <w:pStyle w:val="TableText"/>
              <w:jc w:val="center"/>
            </w:pPr>
            <w:r>
              <w:t>5.50%</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60</w:t>
            </w:r>
          </w:p>
        </w:tc>
        <w:tc>
          <w:tcPr>
            <w:tcW w:w="2982" w:type="dxa"/>
            <w:shd w:val="clear" w:color="auto" w:fill="F2F2F2"/>
          </w:tcPr>
          <w:p w:rsidR="0063795E" w:rsidRPr="00141C35" w:rsidRDefault="0063795E" w:rsidP="00831EF9">
            <w:pPr>
              <w:pStyle w:val="TableText"/>
              <w:jc w:val="center"/>
            </w:pPr>
            <w:r>
              <w:t>3.50%</w:t>
            </w:r>
          </w:p>
        </w:tc>
        <w:tc>
          <w:tcPr>
            <w:tcW w:w="2982" w:type="dxa"/>
            <w:shd w:val="clear" w:color="auto" w:fill="F2F2F2"/>
            <w:noWrap/>
          </w:tcPr>
          <w:p w:rsidR="0063795E" w:rsidRPr="00141C35" w:rsidRDefault="0063795E" w:rsidP="00831EF9">
            <w:pPr>
              <w:pStyle w:val="TableText"/>
              <w:jc w:val="center"/>
            </w:pPr>
            <w:r>
              <w:t>7.75%</w:t>
            </w:r>
          </w:p>
        </w:tc>
      </w:tr>
      <w:tr w:rsidR="0063795E" w:rsidRPr="009F47FB" w:rsidTr="00831EF9">
        <w:trPr>
          <w:cantSplit/>
        </w:trPr>
        <w:tc>
          <w:tcPr>
            <w:tcW w:w="1491" w:type="dxa"/>
            <w:shd w:val="clear" w:color="auto" w:fill="F2F2F2"/>
            <w:noWrap/>
          </w:tcPr>
          <w:p w:rsidR="0063795E" w:rsidRPr="009F47FB" w:rsidRDefault="0063795E" w:rsidP="00831EF9">
            <w:pPr>
              <w:pStyle w:val="TableText"/>
              <w:jc w:val="center"/>
            </w:pPr>
            <w:r>
              <w:t>65</w:t>
            </w:r>
          </w:p>
        </w:tc>
        <w:tc>
          <w:tcPr>
            <w:tcW w:w="2982" w:type="dxa"/>
            <w:shd w:val="clear" w:color="auto" w:fill="F2F2F2"/>
          </w:tcPr>
          <w:p w:rsidR="0063795E" w:rsidRPr="00141C35" w:rsidRDefault="0063795E" w:rsidP="00831EF9">
            <w:pPr>
              <w:pStyle w:val="TableText"/>
              <w:jc w:val="center"/>
            </w:pPr>
            <w:r>
              <w:t>4.50%</w:t>
            </w:r>
          </w:p>
        </w:tc>
        <w:tc>
          <w:tcPr>
            <w:tcW w:w="2982" w:type="dxa"/>
            <w:shd w:val="clear" w:color="auto" w:fill="F2F2F2"/>
            <w:noWrap/>
          </w:tcPr>
          <w:p w:rsidR="0063795E" w:rsidRPr="00141C35" w:rsidRDefault="0063795E" w:rsidP="00831EF9">
            <w:pPr>
              <w:pStyle w:val="TableText"/>
              <w:jc w:val="center"/>
            </w:pPr>
            <w:r>
              <w:t>10.00%</w:t>
            </w:r>
          </w:p>
        </w:tc>
      </w:tr>
    </w:tbl>
    <w:p w:rsidR="00394AD2" w:rsidRDefault="00394AD2" w:rsidP="00394AD2"/>
    <w:p w:rsidR="00394AD2" w:rsidRPr="00EF6DD9" w:rsidRDefault="00394AD2" w:rsidP="00394AD2">
      <w:pPr>
        <w:pStyle w:val="Heading3"/>
      </w:pPr>
      <w:r>
        <w:t>Death and Invalidity Retirement Rates</w:t>
      </w:r>
    </w:p>
    <w:p w:rsidR="00394AD2" w:rsidRDefault="00394AD2" w:rsidP="00394AD2">
      <w:pPr>
        <w:rPr>
          <w:szCs w:val="22"/>
        </w:rPr>
      </w:pPr>
    </w:p>
    <w:tbl>
      <w:tblPr>
        <w:tblW w:w="745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gridCol w:w="1491"/>
        <w:gridCol w:w="1491"/>
      </w:tblGrid>
      <w:tr w:rsidR="00394AD2" w:rsidRPr="006B79AD" w:rsidTr="0074307F">
        <w:trPr>
          <w:cantSplit/>
          <w:trHeight w:val="188"/>
          <w:tblHeader/>
        </w:trPr>
        <w:tc>
          <w:tcPr>
            <w:tcW w:w="1491" w:type="dxa"/>
            <w:vMerge w:val="restart"/>
            <w:shd w:val="clear" w:color="auto" w:fill="00A8C8"/>
            <w:hideMark/>
          </w:tcPr>
          <w:p w:rsidR="00394AD2" w:rsidRPr="006B79AD" w:rsidRDefault="00394AD2" w:rsidP="0074307F">
            <w:pPr>
              <w:pStyle w:val="TableHeadingText"/>
              <w:jc w:val="center"/>
              <w:rPr>
                <w:caps w:val="0"/>
                <w:lang w:val="en-US"/>
              </w:rPr>
            </w:pPr>
            <w:r w:rsidRPr="006B79AD">
              <w:rPr>
                <w:caps w:val="0"/>
                <w:lang w:val="en-US"/>
              </w:rPr>
              <w:t>Age</w:t>
            </w:r>
          </w:p>
        </w:tc>
        <w:tc>
          <w:tcPr>
            <w:tcW w:w="2982" w:type="dxa"/>
            <w:gridSpan w:val="2"/>
            <w:shd w:val="clear" w:color="auto" w:fill="00A8C8"/>
          </w:tcPr>
          <w:p w:rsidR="00394AD2" w:rsidRPr="006B79AD" w:rsidRDefault="00394AD2" w:rsidP="0074307F">
            <w:pPr>
              <w:pStyle w:val="TableHeadingText"/>
              <w:jc w:val="center"/>
              <w:rPr>
                <w:caps w:val="0"/>
                <w:lang w:val="en-US"/>
              </w:rPr>
            </w:pPr>
            <w:r w:rsidRPr="006B79AD">
              <w:rPr>
                <w:caps w:val="0"/>
                <w:lang w:val="en-US"/>
              </w:rPr>
              <w:t>Death</w:t>
            </w:r>
          </w:p>
        </w:tc>
        <w:tc>
          <w:tcPr>
            <w:tcW w:w="2982" w:type="dxa"/>
            <w:gridSpan w:val="2"/>
            <w:shd w:val="clear" w:color="auto" w:fill="00A8C8"/>
            <w:hideMark/>
          </w:tcPr>
          <w:p w:rsidR="00394AD2" w:rsidRPr="006B79AD" w:rsidRDefault="00394AD2" w:rsidP="0074307F">
            <w:pPr>
              <w:pStyle w:val="TableHeadingText"/>
              <w:jc w:val="center"/>
              <w:rPr>
                <w:caps w:val="0"/>
                <w:lang w:val="en-US"/>
              </w:rPr>
            </w:pPr>
            <w:r w:rsidRPr="006B79AD">
              <w:rPr>
                <w:caps w:val="0"/>
                <w:lang w:val="en-US"/>
              </w:rPr>
              <w:t>Invalidity</w:t>
            </w:r>
            <w:r w:rsidRPr="006B79AD">
              <w:rPr>
                <w:caps w:val="0"/>
                <w:vertAlign w:val="superscript"/>
                <w:lang w:val="en-US"/>
              </w:rPr>
              <w:t>**</w:t>
            </w:r>
          </w:p>
        </w:tc>
      </w:tr>
      <w:tr w:rsidR="00394AD2" w:rsidRPr="006B79AD" w:rsidTr="0074307F">
        <w:trPr>
          <w:cantSplit/>
          <w:trHeight w:val="187"/>
          <w:tblHeader/>
        </w:trPr>
        <w:tc>
          <w:tcPr>
            <w:tcW w:w="1491" w:type="dxa"/>
            <w:vMerge/>
            <w:shd w:val="clear" w:color="auto" w:fill="00A8C8"/>
          </w:tcPr>
          <w:p w:rsidR="00394AD2" w:rsidRPr="006B79AD" w:rsidRDefault="00394AD2" w:rsidP="0074307F">
            <w:pPr>
              <w:pStyle w:val="TableHeadingText"/>
              <w:jc w:val="center"/>
              <w:rPr>
                <w:caps w:val="0"/>
                <w:lang w:val="en-US"/>
              </w:rPr>
            </w:pP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Female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Male</w:t>
            </w:r>
          </w:p>
        </w:tc>
        <w:tc>
          <w:tcPr>
            <w:tcW w:w="1491" w:type="dxa"/>
            <w:shd w:val="clear" w:color="auto" w:fill="00A8C8"/>
          </w:tcPr>
          <w:p w:rsidR="00394AD2" w:rsidRPr="006B79AD" w:rsidRDefault="00394AD2" w:rsidP="0074307F">
            <w:pPr>
              <w:pStyle w:val="TableHeadingText"/>
              <w:jc w:val="center"/>
              <w:rPr>
                <w:caps w:val="0"/>
                <w:lang w:val="en-US"/>
              </w:rPr>
            </w:pPr>
            <w:r w:rsidRPr="006B79AD">
              <w:rPr>
                <w:caps w:val="0"/>
                <w:lang w:val="en-US"/>
              </w:rPr>
              <w:t>Female</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rsidRPr="009F47FB">
              <w:t>30</w:t>
            </w:r>
          </w:p>
        </w:tc>
        <w:tc>
          <w:tcPr>
            <w:tcW w:w="1491" w:type="dxa"/>
            <w:shd w:val="clear" w:color="auto" w:fill="F2F2F2"/>
          </w:tcPr>
          <w:p w:rsidR="00394AD2" w:rsidRPr="00141C35" w:rsidRDefault="00394AD2" w:rsidP="0074307F">
            <w:pPr>
              <w:pStyle w:val="TableText"/>
              <w:jc w:val="center"/>
            </w:pPr>
            <w:r>
              <w:t>0.030%</w:t>
            </w:r>
          </w:p>
        </w:tc>
        <w:tc>
          <w:tcPr>
            <w:tcW w:w="1491" w:type="dxa"/>
            <w:shd w:val="clear" w:color="auto" w:fill="F2F2F2"/>
          </w:tcPr>
          <w:p w:rsidR="00394AD2" w:rsidRPr="00141C35" w:rsidRDefault="00394AD2" w:rsidP="0074307F">
            <w:pPr>
              <w:pStyle w:val="TableText"/>
              <w:jc w:val="center"/>
            </w:pPr>
            <w:r>
              <w:t>0.014%</w:t>
            </w:r>
          </w:p>
        </w:tc>
        <w:tc>
          <w:tcPr>
            <w:tcW w:w="1491" w:type="dxa"/>
            <w:shd w:val="clear" w:color="auto" w:fill="F2F2F2"/>
            <w:noWrap/>
          </w:tcPr>
          <w:p w:rsidR="00394AD2" w:rsidRPr="00141C35" w:rsidRDefault="00394AD2" w:rsidP="0074307F">
            <w:pPr>
              <w:pStyle w:val="TableText"/>
              <w:jc w:val="center"/>
            </w:pPr>
            <w:r>
              <w:t>0.032%</w:t>
            </w:r>
          </w:p>
        </w:tc>
        <w:tc>
          <w:tcPr>
            <w:tcW w:w="1491" w:type="dxa"/>
            <w:shd w:val="clear" w:color="auto" w:fill="F2F2F2"/>
          </w:tcPr>
          <w:p w:rsidR="00394AD2" w:rsidRPr="00141C35" w:rsidRDefault="00394AD2" w:rsidP="0074307F">
            <w:pPr>
              <w:pStyle w:val="TableText"/>
              <w:jc w:val="center"/>
            </w:pPr>
            <w:r>
              <w:t>0.032%</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35</w:t>
            </w:r>
          </w:p>
        </w:tc>
        <w:tc>
          <w:tcPr>
            <w:tcW w:w="1491" w:type="dxa"/>
            <w:shd w:val="clear" w:color="auto" w:fill="F2F2F2"/>
          </w:tcPr>
          <w:p w:rsidR="00394AD2" w:rsidRPr="00141C35" w:rsidRDefault="00394AD2" w:rsidP="0074307F">
            <w:pPr>
              <w:pStyle w:val="TableText"/>
              <w:jc w:val="center"/>
            </w:pPr>
            <w:r>
              <w:t>0.038%</w:t>
            </w:r>
          </w:p>
        </w:tc>
        <w:tc>
          <w:tcPr>
            <w:tcW w:w="1491" w:type="dxa"/>
            <w:shd w:val="clear" w:color="auto" w:fill="F2F2F2"/>
          </w:tcPr>
          <w:p w:rsidR="00394AD2" w:rsidRPr="00141C35" w:rsidRDefault="00394AD2" w:rsidP="0074307F">
            <w:pPr>
              <w:pStyle w:val="TableText"/>
              <w:jc w:val="center"/>
            </w:pPr>
            <w:r>
              <w:t>0.020%</w:t>
            </w:r>
          </w:p>
        </w:tc>
        <w:tc>
          <w:tcPr>
            <w:tcW w:w="1491" w:type="dxa"/>
            <w:shd w:val="clear" w:color="auto" w:fill="F2F2F2"/>
            <w:noWrap/>
          </w:tcPr>
          <w:p w:rsidR="00394AD2" w:rsidRPr="00141C35" w:rsidRDefault="00394AD2" w:rsidP="0074307F">
            <w:pPr>
              <w:pStyle w:val="TableText"/>
              <w:jc w:val="center"/>
            </w:pPr>
            <w:r>
              <w:t>0.057%</w:t>
            </w:r>
          </w:p>
        </w:tc>
        <w:tc>
          <w:tcPr>
            <w:tcW w:w="1491" w:type="dxa"/>
            <w:shd w:val="clear" w:color="auto" w:fill="F2F2F2"/>
          </w:tcPr>
          <w:p w:rsidR="00394AD2" w:rsidRPr="00141C35" w:rsidRDefault="00394AD2" w:rsidP="0074307F">
            <w:pPr>
              <w:pStyle w:val="TableText"/>
              <w:jc w:val="center"/>
            </w:pPr>
            <w:r>
              <w:t>0.061%</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40</w:t>
            </w:r>
          </w:p>
        </w:tc>
        <w:tc>
          <w:tcPr>
            <w:tcW w:w="1491" w:type="dxa"/>
            <w:shd w:val="clear" w:color="auto" w:fill="F2F2F2"/>
          </w:tcPr>
          <w:p w:rsidR="00394AD2" w:rsidRPr="00141C35" w:rsidRDefault="00394AD2" w:rsidP="0074307F">
            <w:pPr>
              <w:pStyle w:val="TableText"/>
              <w:jc w:val="center"/>
            </w:pPr>
            <w:r>
              <w:t>0.047%</w:t>
            </w:r>
          </w:p>
        </w:tc>
        <w:tc>
          <w:tcPr>
            <w:tcW w:w="1491" w:type="dxa"/>
            <w:shd w:val="clear" w:color="auto" w:fill="F2F2F2"/>
          </w:tcPr>
          <w:p w:rsidR="00394AD2" w:rsidRPr="00141C35" w:rsidRDefault="00394AD2" w:rsidP="0074307F">
            <w:pPr>
              <w:pStyle w:val="TableText"/>
              <w:jc w:val="center"/>
            </w:pPr>
            <w:r>
              <w:t>0.026%</w:t>
            </w:r>
          </w:p>
        </w:tc>
        <w:tc>
          <w:tcPr>
            <w:tcW w:w="1491" w:type="dxa"/>
            <w:shd w:val="clear" w:color="auto" w:fill="F2F2F2"/>
            <w:noWrap/>
          </w:tcPr>
          <w:p w:rsidR="00394AD2" w:rsidRPr="00141C35" w:rsidRDefault="00394AD2" w:rsidP="0074307F">
            <w:pPr>
              <w:pStyle w:val="TableText"/>
              <w:jc w:val="center"/>
            </w:pPr>
            <w:r>
              <w:t>0.079%</w:t>
            </w:r>
          </w:p>
        </w:tc>
        <w:tc>
          <w:tcPr>
            <w:tcW w:w="1491" w:type="dxa"/>
            <w:shd w:val="clear" w:color="auto" w:fill="F2F2F2"/>
          </w:tcPr>
          <w:p w:rsidR="00394AD2" w:rsidRPr="00141C35" w:rsidRDefault="00394AD2" w:rsidP="0074307F">
            <w:pPr>
              <w:pStyle w:val="TableText"/>
              <w:jc w:val="center"/>
            </w:pPr>
            <w:r>
              <w:t>0.103%</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45</w:t>
            </w:r>
          </w:p>
        </w:tc>
        <w:tc>
          <w:tcPr>
            <w:tcW w:w="1491" w:type="dxa"/>
            <w:shd w:val="clear" w:color="auto" w:fill="F2F2F2"/>
          </w:tcPr>
          <w:p w:rsidR="00394AD2" w:rsidRPr="00141C35" w:rsidRDefault="00394AD2" w:rsidP="0074307F">
            <w:pPr>
              <w:pStyle w:val="TableText"/>
              <w:jc w:val="center"/>
            </w:pPr>
            <w:r>
              <w:t>0.063%</w:t>
            </w:r>
          </w:p>
        </w:tc>
        <w:tc>
          <w:tcPr>
            <w:tcW w:w="1491" w:type="dxa"/>
            <w:shd w:val="clear" w:color="auto" w:fill="F2F2F2"/>
          </w:tcPr>
          <w:p w:rsidR="00394AD2" w:rsidRPr="00141C35" w:rsidRDefault="00394AD2" w:rsidP="0074307F">
            <w:pPr>
              <w:pStyle w:val="TableText"/>
              <w:jc w:val="center"/>
            </w:pPr>
            <w:r>
              <w:t>0.041%</w:t>
            </w:r>
          </w:p>
        </w:tc>
        <w:tc>
          <w:tcPr>
            <w:tcW w:w="1491" w:type="dxa"/>
            <w:shd w:val="clear" w:color="auto" w:fill="F2F2F2"/>
            <w:noWrap/>
          </w:tcPr>
          <w:p w:rsidR="00394AD2" w:rsidRPr="00141C35" w:rsidRDefault="00394AD2" w:rsidP="0074307F">
            <w:pPr>
              <w:pStyle w:val="TableText"/>
              <w:jc w:val="center"/>
            </w:pPr>
            <w:r>
              <w:t>0.127%</w:t>
            </w:r>
          </w:p>
        </w:tc>
        <w:tc>
          <w:tcPr>
            <w:tcW w:w="1491" w:type="dxa"/>
            <w:shd w:val="clear" w:color="auto" w:fill="F2F2F2"/>
          </w:tcPr>
          <w:p w:rsidR="00394AD2" w:rsidRPr="00141C35" w:rsidRDefault="00394AD2" w:rsidP="0074307F">
            <w:pPr>
              <w:pStyle w:val="TableText"/>
              <w:jc w:val="center"/>
            </w:pPr>
            <w:r>
              <w:t>0.164%</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50</w:t>
            </w:r>
          </w:p>
        </w:tc>
        <w:tc>
          <w:tcPr>
            <w:tcW w:w="1491" w:type="dxa"/>
            <w:shd w:val="clear" w:color="auto" w:fill="F2F2F2"/>
          </w:tcPr>
          <w:p w:rsidR="00394AD2" w:rsidRPr="00141C35" w:rsidRDefault="00394AD2" w:rsidP="0074307F">
            <w:pPr>
              <w:pStyle w:val="TableText"/>
              <w:jc w:val="center"/>
            </w:pPr>
            <w:r>
              <w:t>0.088%</w:t>
            </w:r>
          </w:p>
        </w:tc>
        <w:tc>
          <w:tcPr>
            <w:tcW w:w="1491" w:type="dxa"/>
            <w:shd w:val="clear" w:color="auto" w:fill="F2F2F2"/>
          </w:tcPr>
          <w:p w:rsidR="00394AD2" w:rsidRPr="00141C35" w:rsidRDefault="00394AD2" w:rsidP="0074307F">
            <w:pPr>
              <w:pStyle w:val="TableText"/>
              <w:jc w:val="center"/>
            </w:pPr>
            <w:r>
              <w:t>0.062%</w:t>
            </w:r>
          </w:p>
        </w:tc>
        <w:tc>
          <w:tcPr>
            <w:tcW w:w="1491" w:type="dxa"/>
            <w:shd w:val="clear" w:color="auto" w:fill="F2F2F2"/>
            <w:noWrap/>
          </w:tcPr>
          <w:p w:rsidR="00394AD2" w:rsidRPr="00141C35" w:rsidRDefault="00394AD2" w:rsidP="0074307F">
            <w:pPr>
              <w:pStyle w:val="TableText"/>
              <w:jc w:val="center"/>
            </w:pPr>
            <w:r>
              <w:t>0.194%</w:t>
            </w:r>
          </w:p>
        </w:tc>
        <w:tc>
          <w:tcPr>
            <w:tcW w:w="1491" w:type="dxa"/>
            <w:shd w:val="clear" w:color="auto" w:fill="F2F2F2"/>
          </w:tcPr>
          <w:p w:rsidR="00394AD2" w:rsidRPr="00141C35" w:rsidRDefault="00394AD2" w:rsidP="0074307F">
            <w:pPr>
              <w:pStyle w:val="TableText"/>
              <w:jc w:val="center"/>
            </w:pPr>
            <w:r>
              <w:t>0.255%</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55</w:t>
            </w:r>
          </w:p>
        </w:tc>
        <w:tc>
          <w:tcPr>
            <w:tcW w:w="1491" w:type="dxa"/>
            <w:shd w:val="clear" w:color="auto" w:fill="F2F2F2"/>
          </w:tcPr>
          <w:p w:rsidR="00394AD2" w:rsidRPr="00141C35" w:rsidRDefault="00394AD2" w:rsidP="0074307F">
            <w:pPr>
              <w:pStyle w:val="TableText"/>
              <w:jc w:val="center"/>
            </w:pPr>
            <w:r>
              <w:t>0.124%</w:t>
            </w:r>
          </w:p>
        </w:tc>
        <w:tc>
          <w:tcPr>
            <w:tcW w:w="1491" w:type="dxa"/>
            <w:shd w:val="clear" w:color="auto" w:fill="F2F2F2"/>
          </w:tcPr>
          <w:p w:rsidR="00394AD2" w:rsidRPr="00141C35" w:rsidRDefault="00394AD2" w:rsidP="0074307F">
            <w:pPr>
              <w:pStyle w:val="TableText"/>
              <w:jc w:val="center"/>
            </w:pPr>
            <w:r>
              <w:t>0.106%</w:t>
            </w:r>
          </w:p>
        </w:tc>
        <w:tc>
          <w:tcPr>
            <w:tcW w:w="1491" w:type="dxa"/>
            <w:shd w:val="clear" w:color="auto" w:fill="F2F2F2"/>
            <w:noWrap/>
          </w:tcPr>
          <w:p w:rsidR="00394AD2" w:rsidRPr="00141C35" w:rsidRDefault="00394AD2" w:rsidP="0074307F">
            <w:pPr>
              <w:pStyle w:val="TableText"/>
              <w:jc w:val="center"/>
            </w:pPr>
            <w:r>
              <w:t>0.305%</w:t>
            </w:r>
          </w:p>
        </w:tc>
        <w:tc>
          <w:tcPr>
            <w:tcW w:w="1491" w:type="dxa"/>
            <w:shd w:val="clear" w:color="auto" w:fill="F2F2F2"/>
          </w:tcPr>
          <w:p w:rsidR="00394AD2" w:rsidRPr="00141C35" w:rsidRDefault="00394AD2" w:rsidP="0074307F">
            <w:pPr>
              <w:pStyle w:val="TableText"/>
              <w:jc w:val="center"/>
            </w:pPr>
            <w:r>
              <w:t>0.426%</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60</w:t>
            </w:r>
          </w:p>
        </w:tc>
        <w:tc>
          <w:tcPr>
            <w:tcW w:w="1491" w:type="dxa"/>
            <w:shd w:val="clear" w:color="auto" w:fill="F2F2F2"/>
          </w:tcPr>
          <w:p w:rsidR="00394AD2" w:rsidRPr="00141C35" w:rsidRDefault="00394AD2" w:rsidP="0074307F">
            <w:pPr>
              <w:pStyle w:val="TableText"/>
              <w:jc w:val="center"/>
            </w:pPr>
            <w:r>
              <w:t>0.183%</w:t>
            </w:r>
          </w:p>
        </w:tc>
        <w:tc>
          <w:tcPr>
            <w:tcW w:w="1491" w:type="dxa"/>
            <w:shd w:val="clear" w:color="auto" w:fill="F2F2F2"/>
          </w:tcPr>
          <w:p w:rsidR="00394AD2" w:rsidRPr="00141C35" w:rsidRDefault="00394AD2" w:rsidP="0074307F">
            <w:pPr>
              <w:pStyle w:val="TableText"/>
              <w:jc w:val="center"/>
            </w:pPr>
            <w:r>
              <w:t>0.173%</w:t>
            </w:r>
          </w:p>
        </w:tc>
        <w:tc>
          <w:tcPr>
            <w:tcW w:w="1491" w:type="dxa"/>
            <w:shd w:val="clear" w:color="auto" w:fill="F2F2F2"/>
            <w:noWrap/>
          </w:tcPr>
          <w:p w:rsidR="00394AD2" w:rsidRPr="00141C35" w:rsidRDefault="00394AD2" w:rsidP="0074307F">
            <w:pPr>
              <w:pStyle w:val="TableText"/>
              <w:jc w:val="center"/>
            </w:pPr>
            <w:r>
              <w:t>0.601%</w:t>
            </w:r>
            <w:r w:rsidRPr="006B79AD">
              <w:rPr>
                <w:vertAlign w:val="superscript"/>
              </w:rPr>
              <w:t>*</w:t>
            </w:r>
          </w:p>
        </w:tc>
        <w:tc>
          <w:tcPr>
            <w:tcW w:w="1491" w:type="dxa"/>
            <w:shd w:val="clear" w:color="auto" w:fill="F2F2F2"/>
          </w:tcPr>
          <w:p w:rsidR="00394AD2" w:rsidRPr="00141C35" w:rsidRDefault="00394AD2" w:rsidP="0074307F">
            <w:pPr>
              <w:pStyle w:val="TableText"/>
              <w:jc w:val="center"/>
            </w:pPr>
            <w:r>
              <w:t>0.646%</w:t>
            </w:r>
            <w:r w:rsidRPr="006B79AD">
              <w:rPr>
                <w:vertAlign w:val="superscript"/>
              </w:rP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65</w:t>
            </w:r>
          </w:p>
        </w:tc>
        <w:tc>
          <w:tcPr>
            <w:tcW w:w="1491" w:type="dxa"/>
            <w:shd w:val="clear" w:color="auto" w:fill="F2F2F2"/>
          </w:tcPr>
          <w:p w:rsidR="00394AD2" w:rsidRPr="00141C35" w:rsidRDefault="00394AD2" w:rsidP="008D6575">
            <w:pPr>
              <w:pStyle w:val="TableText"/>
              <w:jc w:val="center"/>
            </w:pPr>
            <w:r>
              <w:t>0.27</w:t>
            </w:r>
            <w:r w:rsidR="008D6575">
              <w:t>4</w:t>
            </w:r>
            <w:r>
              <w:t>%</w:t>
            </w:r>
          </w:p>
        </w:tc>
        <w:tc>
          <w:tcPr>
            <w:tcW w:w="1491" w:type="dxa"/>
            <w:shd w:val="clear" w:color="auto" w:fill="F2F2F2"/>
          </w:tcPr>
          <w:p w:rsidR="00394AD2" w:rsidRPr="00141C35" w:rsidRDefault="00394AD2" w:rsidP="0074307F">
            <w:pPr>
              <w:pStyle w:val="TableText"/>
              <w:jc w:val="center"/>
            </w:pPr>
            <w:r>
              <w:t>0.269%</w:t>
            </w:r>
          </w:p>
        </w:tc>
        <w:tc>
          <w:tcPr>
            <w:tcW w:w="1491" w:type="dxa"/>
            <w:shd w:val="clear" w:color="auto" w:fill="F2F2F2"/>
            <w:noWrap/>
          </w:tcPr>
          <w:p w:rsidR="00394AD2" w:rsidRPr="00141C35" w:rsidRDefault="00394AD2" w:rsidP="0074307F">
            <w:pPr>
              <w:pStyle w:val="TableText"/>
              <w:jc w:val="center"/>
            </w:pPr>
            <w:r>
              <w:t>-</w:t>
            </w:r>
          </w:p>
        </w:tc>
        <w:tc>
          <w:tcPr>
            <w:tcW w:w="1491" w:type="dxa"/>
            <w:shd w:val="clear" w:color="auto" w:fill="F2F2F2"/>
          </w:tcPr>
          <w:p w:rsidR="00394AD2" w:rsidRPr="00141C35" w:rsidRDefault="00394AD2" w:rsidP="0074307F">
            <w:pPr>
              <w:pStyle w:val="TableText"/>
              <w:jc w:val="center"/>
            </w:pPr>
            <w:r>
              <w:t>-</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70</w:t>
            </w:r>
          </w:p>
        </w:tc>
        <w:tc>
          <w:tcPr>
            <w:tcW w:w="1491" w:type="dxa"/>
            <w:shd w:val="clear" w:color="auto" w:fill="F2F2F2"/>
          </w:tcPr>
          <w:p w:rsidR="00394AD2" w:rsidRDefault="00394AD2" w:rsidP="0074307F">
            <w:pPr>
              <w:pStyle w:val="TableText"/>
              <w:jc w:val="center"/>
            </w:pPr>
            <w:r>
              <w:t>0.411%</w:t>
            </w:r>
          </w:p>
        </w:tc>
        <w:tc>
          <w:tcPr>
            <w:tcW w:w="1491" w:type="dxa"/>
            <w:shd w:val="clear" w:color="auto" w:fill="F2F2F2"/>
          </w:tcPr>
          <w:p w:rsidR="00394AD2" w:rsidRDefault="00394AD2" w:rsidP="00793330">
            <w:pPr>
              <w:pStyle w:val="TableText"/>
              <w:jc w:val="center"/>
            </w:pPr>
            <w:r>
              <w:t>0.</w:t>
            </w:r>
            <w:r w:rsidR="00793330">
              <w:t>450</w:t>
            </w:r>
            <w:r>
              <w:t>%</w:t>
            </w:r>
          </w:p>
        </w:tc>
        <w:tc>
          <w:tcPr>
            <w:tcW w:w="1491" w:type="dxa"/>
            <w:shd w:val="clear" w:color="auto" w:fill="F2F2F2"/>
            <w:noWrap/>
          </w:tcPr>
          <w:p w:rsidR="00394AD2" w:rsidRPr="00141C35" w:rsidRDefault="00394AD2" w:rsidP="0074307F">
            <w:pPr>
              <w:pStyle w:val="TableText"/>
              <w:jc w:val="center"/>
            </w:pPr>
            <w:r>
              <w:t>-</w:t>
            </w:r>
          </w:p>
        </w:tc>
        <w:tc>
          <w:tcPr>
            <w:tcW w:w="1491" w:type="dxa"/>
            <w:shd w:val="clear" w:color="auto" w:fill="F2F2F2"/>
          </w:tcPr>
          <w:p w:rsidR="00394AD2" w:rsidRPr="00141C35" w:rsidRDefault="00394AD2" w:rsidP="0074307F">
            <w:pPr>
              <w:pStyle w:val="TableText"/>
              <w:jc w:val="center"/>
            </w:pPr>
            <w:r>
              <w:t>-</w:t>
            </w:r>
          </w:p>
        </w:tc>
      </w:tr>
    </w:tbl>
    <w:p w:rsidR="00394AD2" w:rsidRDefault="00394AD2" w:rsidP="00394AD2">
      <w:pPr>
        <w:tabs>
          <w:tab w:val="left" w:pos="227"/>
        </w:tabs>
        <w:spacing w:before="120" w:line="240" w:lineRule="auto"/>
        <w:ind w:left="284" w:hanging="284"/>
        <w:rPr>
          <w:sz w:val="16"/>
          <w:szCs w:val="16"/>
        </w:rPr>
      </w:pPr>
      <w:r>
        <w:rPr>
          <w:sz w:val="16"/>
          <w:szCs w:val="16"/>
        </w:rPr>
        <w:t>*</w:t>
      </w:r>
      <w:r>
        <w:rPr>
          <w:sz w:val="16"/>
          <w:szCs w:val="16"/>
        </w:rPr>
        <w:tab/>
        <w:t>PSS contributors are not eligible for invalidity retirement from age 60 and nil rate is assumed</w:t>
      </w:r>
      <w:r w:rsidRPr="00EF6DD9">
        <w:rPr>
          <w:sz w:val="16"/>
          <w:szCs w:val="16"/>
        </w:rPr>
        <w:t>.</w:t>
      </w:r>
    </w:p>
    <w:p w:rsidR="00394AD2" w:rsidRPr="00EF6DD9" w:rsidRDefault="00394AD2" w:rsidP="00394AD2">
      <w:pPr>
        <w:tabs>
          <w:tab w:val="left" w:pos="227"/>
        </w:tabs>
        <w:spacing w:before="120" w:line="240" w:lineRule="auto"/>
        <w:ind w:left="284" w:hanging="284"/>
        <w:rPr>
          <w:sz w:val="16"/>
          <w:szCs w:val="16"/>
        </w:rPr>
      </w:pPr>
      <w:r>
        <w:rPr>
          <w:sz w:val="16"/>
          <w:szCs w:val="16"/>
        </w:rPr>
        <w:t xml:space="preserve">** </w:t>
      </w:r>
      <w:r>
        <w:rPr>
          <w:sz w:val="16"/>
          <w:szCs w:val="16"/>
        </w:rPr>
        <w:tab/>
        <w:t>Rates of invalidity retirement for deferred/preserved members are assumed equal to 30% of contributor rates.</w:t>
      </w:r>
    </w:p>
    <w:p w:rsidR="00394AD2" w:rsidRPr="00676991" w:rsidRDefault="00394AD2" w:rsidP="00394AD2">
      <w:pPr>
        <w:rPr>
          <w:highlight w:val="yellow"/>
        </w:rPr>
      </w:pPr>
    </w:p>
    <w:p w:rsidR="00394AD2" w:rsidRPr="00676991" w:rsidRDefault="00394AD2" w:rsidP="00394AD2">
      <w:pPr>
        <w:pStyle w:val="Heading3"/>
      </w:pPr>
      <w:r>
        <w:t>Rates of Deferral/</w:t>
      </w:r>
      <w:r w:rsidRPr="00676991">
        <w:t>Preservation of Benefits</w:t>
      </w:r>
    </w:p>
    <w:p w:rsidR="00394AD2" w:rsidRDefault="00394AD2" w:rsidP="00394AD2">
      <w:pPr>
        <w:rPr>
          <w:szCs w:val="22"/>
        </w:rPr>
      </w:pPr>
    </w:p>
    <w:tbl>
      <w:tblPr>
        <w:tblW w:w="6925"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308"/>
        <w:gridCol w:w="2308"/>
        <w:gridCol w:w="2309"/>
      </w:tblGrid>
      <w:tr w:rsidR="00394AD2" w:rsidRPr="006B79AD" w:rsidTr="0074307F">
        <w:trPr>
          <w:cantSplit/>
          <w:trHeight w:val="187"/>
          <w:tblHeader/>
        </w:trPr>
        <w:tc>
          <w:tcPr>
            <w:tcW w:w="2308" w:type="dxa"/>
            <w:shd w:val="clear" w:color="auto" w:fill="00A8C8"/>
          </w:tcPr>
          <w:p w:rsidR="00394AD2" w:rsidRPr="006B79AD" w:rsidRDefault="00394AD2" w:rsidP="0074307F">
            <w:pPr>
              <w:pStyle w:val="TableHeadingText"/>
              <w:rPr>
                <w:caps w:val="0"/>
                <w:lang w:val="en-US"/>
              </w:rPr>
            </w:pPr>
            <w:r>
              <w:rPr>
                <w:caps w:val="0"/>
                <w:lang w:val="en-US"/>
              </w:rPr>
              <w:t>Scheme</w:t>
            </w:r>
          </w:p>
        </w:tc>
        <w:tc>
          <w:tcPr>
            <w:tcW w:w="2308" w:type="dxa"/>
            <w:shd w:val="clear" w:color="auto" w:fill="00A8C8"/>
          </w:tcPr>
          <w:p w:rsidR="00394AD2" w:rsidRPr="006B79AD" w:rsidRDefault="00394AD2" w:rsidP="0074307F">
            <w:pPr>
              <w:pStyle w:val="TableHeadingText"/>
              <w:jc w:val="center"/>
              <w:rPr>
                <w:caps w:val="0"/>
                <w:lang w:val="en-US"/>
              </w:rPr>
            </w:pPr>
            <w:r>
              <w:rPr>
                <w:caps w:val="0"/>
                <w:lang w:val="en-US"/>
              </w:rPr>
              <w:t>Resignation</w:t>
            </w:r>
          </w:p>
        </w:tc>
        <w:tc>
          <w:tcPr>
            <w:tcW w:w="2309" w:type="dxa"/>
            <w:shd w:val="clear" w:color="auto" w:fill="00A8C8"/>
          </w:tcPr>
          <w:p w:rsidR="00394AD2" w:rsidRPr="006B79AD" w:rsidRDefault="00394AD2" w:rsidP="0074307F">
            <w:pPr>
              <w:pStyle w:val="TableHeadingText"/>
              <w:jc w:val="center"/>
              <w:rPr>
                <w:caps w:val="0"/>
                <w:lang w:val="en-US"/>
              </w:rPr>
            </w:pPr>
            <w:r>
              <w:rPr>
                <w:caps w:val="0"/>
                <w:lang w:val="en-US"/>
              </w:rPr>
              <w:t>Redundancy</w:t>
            </w:r>
          </w:p>
        </w:tc>
      </w:tr>
      <w:tr w:rsidR="00394AD2" w:rsidRPr="009F47FB" w:rsidTr="0074307F">
        <w:trPr>
          <w:cantSplit/>
        </w:trPr>
        <w:tc>
          <w:tcPr>
            <w:tcW w:w="2308" w:type="dxa"/>
            <w:shd w:val="clear" w:color="auto" w:fill="F2F2F2"/>
            <w:noWrap/>
            <w:hideMark/>
          </w:tcPr>
          <w:p w:rsidR="00394AD2" w:rsidRPr="009F47FB" w:rsidRDefault="00394AD2" w:rsidP="0074307F">
            <w:pPr>
              <w:pStyle w:val="TableText"/>
            </w:pPr>
            <w:r>
              <w:t>PSS pre-1 July 1999</w:t>
            </w:r>
          </w:p>
        </w:tc>
        <w:tc>
          <w:tcPr>
            <w:tcW w:w="2308" w:type="dxa"/>
            <w:shd w:val="clear" w:color="auto" w:fill="F2F2F2"/>
          </w:tcPr>
          <w:p w:rsidR="00394AD2" w:rsidRPr="00141C35" w:rsidRDefault="00394AD2" w:rsidP="0074307F">
            <w:pPr>
              <w:pStyle w:val="TableText"/>
              <w:jc w:val="center"/>
            </w:pPr>
            <w:r>
              <w:t>80%</w:t>
            </w:r>
          </w:p>
        </w:tc>
        <w:tc>
          <w:tcPr>
            <w:tcW w:w="2309" w:type="dxa"/>
            <w:shd w:val="clear" w:color="auto" w:fill="F2F2F2"/>
          </w:tcPr>
          <w:p w:rsidR="00394AD2" w:rsidRPr="00141C35" w:rsidRDefault="00394AD2" w:rsidP="0074307F">
            <w:pPr>
              <w:pStyle w:val="TableText"/>
              <w:jc w:val="center"/>
            </w:pPr>
            <w:r>
              <w:t>40%</w:t>
            </w:r>
          </w:p>
        </w:tc>
      </w:tr>
      <w:tr w:rsidR="00394AD2" w:rsidRPr="009F47FB" w:rsidTr="0074307F">
        <w:trPr>
          <w:cantSplit/>
        </w:trPr>
        <w:tc>
          <w:tcPr>
            <w:tcW w:w="2308" w:type="dxa"/>
            <w:shd w:val="clear" w:color="auto" w:fill="F2F2F2"/>
            <w:noWrap/>
          </w:tcPr>
          <w:p w:rsidR="00394AD2" w:rsidRPr="009F47FB" w:rsidRDefault="00394AD2" w:rsidP="0074307F">
            <w:pPr>
              <w:pStyle w:val="TableText"/>
            </w:pPr>
            <w:r>
              <w:t>PSS post-1 July 1999</w:t>
            </w:r>
          </w:p>
        </w:tc>
        <w:tc>
          <w:tcPr>
            <w:tcW w:w="2308" w:type="dxa"/>
            <w:shd w:val="clear" w:color="auto" w:fill="F2F2F2"/>
          </w:tcPr>
          <w:p w:rsidR="00394AD2" w:rsidRPr="00141C35" w:rsidRDefault="00394AD2" w:rsidP="0074307F">
            <w:pPr>
              <w:pStyle w:val="TableText"/>
              <w:jc w:val="center"/>
            </w:pPr>
            <w:r>
              <w:t>100%</w:t>
            </w:r>
          </w:p>
        </w:tc>
        <w:tc>
          <w:tcPr>
            <w:tcW w:w="2309" w:type="dxa"/>
            <w:shd w:val="clear" w:color="auto" w:fill="F2F2F2"/>
          </w:tcPr>
          <w:p w:rsidR="00394AD2" w:rsidRPr="00141C35" w:rsidRDefault="00394AD2" w:rsidP="0074307F">
            <w:pPr>
              <w:pStyle w:val="TableText"/>
              <w:jc w:val="center"/>
            </w:pPr>
            <w:r>
              <w:t>40%</w:t>
            </w:r>
          </w:p>
        </w:tc>
      </w:tr>
      <w:tr w:rsidR="00394AD2" w:rsidRPr="009F47FB" w:rsidTr="0074307F">
        <w:trPr>
          <w:cantSplit/>
        </w:trPr>
        <w:tc>
          <w:tcPr>
            <w:tcW w:w="2308" w:type="dxa"/>
            <w:shd w:val="clear" w:color="auto" w:fill="F2F2F2"/>
            <w:noWrap/>
          </w:tcPr>
          <w:p w:rsidR="00394AD2" w:rsidRPr="009F47FB" w:rsidRDefault="00394AD2" w:rsidP="0074307F">
            <w:pPr>
              <w:pStyle w:val="TableText"/>
            </w:pPr>
            <w:r>
              <w:t>CSS</w:t>
            </w:r>
          </w:p>
        </w:tc>
        <w:tc>
          <w:tcPr>
            <w:tcW w:w="2308" w:type="dxa"/>
            <w:shd w:val="clear" w:color="auto" w:fill="F2F2F2"/>
          </w:tcPr>
          <w:p w:rsidR="00394AD2" w:rsidRPr="00141C35" w:rsidRDefault="00394AD2" w:rsidP="0074307F">
            <w:pPr>
              <w:pStyle w:val="TableText"/>
              <w:jc w:val="center"/>
            </w:pPr>
            <w:r>
              <w:t>100%</w:t>
            </w:r>
          </w:p>
        </w:tc>
        <w:tc>
          <w:tcPr>
            <w:tcW w:w="2309" w:type="dxa"/>
            <w:shd w:val="clear" w:color="auto" w:fill="F2F2F2"/>
          </w:tcPr>
          <w:p w:rsidR="00394AD2" w:rsidRPr="00141C35" w:rsidRDefault="00394AD2" w:rsidP="0074307F">
            <w:pPr>
              <w:pStyle w:val="TableText"/>
              <w:jc w:val="center"/>
            </w:pPr>
            <w:r>
              <w:t>70%</w:t>
            </w:r>
          </w:p>
        </w:tc>
      </w:tr>
    </w:tbl>
    <w:p w:rsidR="00394AD2" w:rsidRPr="00160CCE" w:rsidRDefault="00394AD2" w:rsidP="00394AD2"/>
    <w:p w:rsidR="00394AD2" w:rsidRPr="00676991" w:rsidRDefault="00394AD2" w:rsidP="00394AD2">
      <w:pPr>
        <w:pStyle w:val="Heading3"/>
      </w:pPr>
      <w:r w:rsidRPr="00676991">
        <w:lastRenderedPageBreak/>
        <w:t>Rates of Pension Take-up</w:t>
      </w:r>
    </w:p>
    <w:p w:rsidR="00394AD2" w:rsidRDefault="00394AD2" w:rsidP="00394AD2">
      <w:pPr>
        <w:rPr>
          <w:szCs w:val="22"/>
        </w:rPr>
      </w:pPr>
    </w:p>
    <w:tbl>
      <w:tblPr>
        <w:tblW w:w="6924"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4616"/>
        <w:gridCol w:w="2308"/>
      </w:tblGrid>
      <w:tr w:rsidR="00394AD2" w:rsidRPr="006B79AD" w:rsidTr="0074307F">
        <w:trPr>
          <w:cantSplit/>
          <w:trHeight w:val="187"/>
          <w:tblHeader/>
        </w:trPr>
        <w:tc>
          <w:tcPr>
            <w:tcW w:w="4616" w:type="dxa"/>
            <w:shd w:val="clear" w:color="auto" w:fill="00A8C8"/>
          </w:tcPr>
          <w:p w:rsidR="00394AD2" w:rsidRPr="006B79AD" w:rsidRDefault="00394AD2" w:rsidP="0074307F">
            <w:pPr>
              <w:pStyle w:val="TableHeadingText"/>
              <w:rPr>
                <w:caps w:val="0"/>
                <w:lang w:val="en-US"/>
              </w:rPr>
            </w:pPr>
            <w:r>
              <w:rPr>
                <w:caps w:val="0"/>
                <w:lang w:val="en-US"/>
              </w:rPr>
              <w:t>Scheme</w:t>
            </w:r>
          </w:p>
        </w:tc>
        <w:tc>
          <w:tcPr>
            <w:tcW w:w="2308" w:type="dxa"/>
            <w:shd w:val="clear" w:color="auto" w:fill="00A8C8"/>
          </w:tcPr>
          <w:p w:rsidR="00394AD2" w:rsidRPr="006B79AD" w:rsidRDefault="00394AD2" w:rsidP="0074307F">
            <w:pPr>
              <w:pStyle w:val="TableHeadingText"/>
              <w:jc w:val="center"/>
              <w:rPr>
                <w:caps w:val="0"/>
                <w:lang w:val="en-US"/>
              </w:rPr>
            </w:pPr>
            <w:r>
              <w:rPr>
                <w:caps w:val="0"/>
                <w:lang w:val="en-US"/>
              </w:rPr>
              <w:t>% Pension</w:t>
            </w:r>
          </w:p>
        </w:tc>
      </w:tr>
      <w:tr w:rsidR="00394AD2" w:rsidRPr="009F47FB" w:rsidTr="0074307F">
        <w:trPr>
          <w:cantSplit/>
        </w:trPr>
        <w:tc>
          <w:tcPr>
            <w:tcW w:w="4616" w:type="dxa"/>
            <w:shd w:val="clear" w:color="auto" w:fill="F2F2F2"/>
            <w:noWrap/>
            <w:hideMark/>
          </w:tcPr>
          <w:p w:rsidR="00394AD2" w:rsidRPr="00141C35" w:rsidRDefault="00394AD2" w:rsidP="0074307F">
            <w:pPr>
              <w:pStyle w:val="TableText"/>
            </w:pPr>
            <w:r>
              <w:t>PSS</w:t>
            </w:r>
          </w:p>
        </w:tc>
        <w:tc>
          <w:tcPr>
            <w:tcW w:w="2308" w:type="dxa"/>
            <w:shd w:val="clear" w:color="auto" w:fill="F2F2F2"/>
          </w:tcPr>
          <w:p w:rsidR="00394AD2" w:rsidRPr="00141C35" w:rsidRDefault="00394AD2" w:rsidP="0074307F">
            <w:pPr>
              <w:pStyle w:val="TableText"/>
              <w:jc w:val="center"/>
            </w:pPr>
            <w:r>
              <w:t>80%</w:t>
            </w:r>
          </w:p>
        </w:tc>
      </w:tr>
      <w:tr w:rsidR="00394AD2" w:rsidRPr="009F47FB" w:rsidTr="0074307F">
        <w:trPr>
          <w:cantSplit/>
        </w:trPr>
        <w:tc>
          <w:tcPr>
            <w:tcW w:w="4616" w:type="dxa"/>
            <w:shd w:val="clear" w:color="auto" w:fill="F2F2F2"/>
            <w:noWrap/>
          </w:tcPr>
          <w:p w:rsidR="00394AD2" w:rsidRPr="00141C35" w:rsidRDefault="00394AD2" w:rsidP="0074307F">
            <w:pPr>
              <w:pStyle w:val="TableText"/>
            </w:pPr>
            <w:r>
              <w:t>CSS (employer-financed component)</w:t>
            </w:r>
          </w:p>
        </w:tc>
        <w:tc>
          <w:tcPr>
            <w:tcW w:w="2308" w:type="dxa"/>
            <w:shd w:val="clear" w:color="auto" w:fill="F2F2F2"/>
          </w:tcPr>
          <w:p w:rsidR="00394AD2" w:rsidRPr="00141C35" w:rsidRDefault="00394AD2" w:rsidP="0074307F">
            <w:pPr>
              <w:pStyle w:val="TableText"/>
              <w:jc w:val="center"/>
            </w:pPr>
            <w:r>
              <w:t>100%</w:t>
            </w:r>
          </w:p>
        </w:tc>
      </w:tr>
      <w:tr w:rsidR="00394AD2" w:rsidRPr="009F47FB" w:rsidTr="0074307F">
        <w:trPr>
          <w:cantSplit/>
        </w:trPr>
        <w:tc>
          <w:tcPr>
            <w:tcW w:w="4616" w:type="dxa"/>
            <w:shd w:val="clear" w:color="auto" w:fill="F2F2F2"/>
            <w:noWrap/>
          </w:tcPr>
          <w:p w:rsidR="00394AD2" w:rsidRPr="00141C35" w:rsidRDefault="00394AD2" w:rsidP="0074307F">
            <w:pPr>
              <w:pStyle w:val="TableText"/>
            </w:pPr>
            <w:r>
              <w:t>CSS (member and productivity component)</w:t>
            </w:r>
          </w:p>
        </w:tc>
        <w:tc>
          <w:tcPr>
            <w:tcW w:w="2308" w:type="dxa"/>
            <w:shd w:val="clear" w:color="auto" w:fill="F2F2F2"/>
          </w:tcPr>
          <w:p w:rsidR="00394AD2" w:rsidRPr="00141C35" w:rsidRDefault="00394AD2" w:rsidP="0074307F">
            <w:pPr>
              <w:pStyle w:val="TableText"/>
              <w:jc w:val="center"/>
            </w:pPr>
            <w:r>
              <w:t>30%</w:t>
            </w:r>
          </w:p>
        </w:tc>
      </w:tr>
    </w:tbl>
    <w:p w:rsidR="00394AD2" w:rsidRPr="00EF6DD9" w:rsidRDefault="00394AD2" w:rsidP="00394AD2"/>
    <w:p w:rsidR="00394AD2" w:rsidRPr="00EF6DD9" w:rsidRDefault="00394AD2" w:rsidP="00394AD2">
      <w:pPr>
        <w:pStyle w:val="Heading3"/>
      </w:pPr>
      <w:r>
        <w:t>Pensioner Mortality Rates</w:t>
      </w:r>
    </w:p>
    <w:p w:rsidR="00394AD2" w:rsidRDefault="00394AD2" w:rsidP="00394AD2">
      <w:pPr>
        <w:rPr>
          <w:szCs w:val="22"/>
        </w:rPr>
      </w:pPr>
    </w:p>
    <w:tbl>
      <w:tblPr>
        <w:tblW w:w="9760"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378"/>
        <w:gridCol w:w="1378"/>
        <w:gridCol w:w="1378"/>
        <w:gridCol w:w="1378"/>
        <w:gridCol w:w="1378"/>
        <w:gridCol w:w="1379"/>
      </w:tblGrid>
      <w:tr w:rsidR="00394AD2" w:rsidRPr="006B79AD" w:rsidTr="0074307F">
        <w:trPr>
          <w:cantSplit/>
          <w:trHeight w:val="188"/>
          <w:tblHeader/>
        </w:trPr>
        <w:tc>
          <w:tcPr>
            <w:tcW w:w="1491" w:type="dxa"/>
            <w:vMerge w:val="restart"/>
            <w:shd w:val="clear" w:color="auto" w:fill="00A8C8"/>
            <w:hideMark/>
          </w:tcPr>
          <w:p w:rsidR="00394AD2" w:rsidRPr="006B79AD" w:rsidRDefault="00394AD2" w:rsidP="0074307F">
            <w:pPr>
              <w:pStyle w:val="TableHeadingText"/>
              <w:jc w:val="center"/>
              <w:rPr>
                <w:caps w:val="0"/>
                <w:lang w:val="en-US"/>
              </w:rPr>
            </w:pPr>
            <w:r w:rsidRPr="006B79AD">
              <w:rPr>
                <w:caps w:val="0"/>
                <w:lang w:val="en-US"/>
              </w:rPr>
              <w:t>Age</w:t>
            </w:r>
          </w:p>
        </w:tc>
        <w:tc>
          <w:tcPr>
            <w:tcW w:w="4134" w:type="dxa"/>
            <w:gridSpan w:val="3"/>
            <w:shd w:val="clear" w:color="auto" w:fill="00A8C8"/>
          </w:tcPr>
          <w:p w:rsidR="00394AD2" w:rsidRPr="006B79AD" w:rsidRDefault="00394AD2" w:rsidP="0074307F">
            <w:pPr>
              <w:pStyle w:val="TableHeadingText"/>
              <w:jc w:val="center"/>
              <w:rPr>
                <w:caps w:val="0"/>
                <w:lang w:val="en-US"/>
              </w:rPr>
            </w:pPr>
            <w:r>
              <w:rPr>
                <w:caps w:val="0"/>
                <w:lang w:val="en-US"/>
              </w:rPr>
              <w:t>Male</w:t>
            </w:r>
          </w:p>
        </w:tc>
        <w:tc>
          <w:tcPr>
            <w:tcW w:w="4135" w:type="dxa"/>
            <w:gridSpan w:val="3"/>
            <w:shd w:val="clear" w:color="auto" w:fill="00A8C8"/>
          </w:tcPr>
          <w:p w:rsidR="00394AD2" w:rsidRPr="006B79AD" w:rsidRDefault="00394AD2" w:rsidP="0074307F">
            <w:pPr>
              <w:pStyle w:val="TableHeadingText"/>
              <w:jc w:val="center"/>
              <w:rPr>
                <w:caps w:val="0"/>
                <w:lang w:val="en-US"/>
              </w:rPr>
            </w:pPr>
            <w:r>
              <w:rPr>
                <w:caps w:val="0"/>
                <w:lang w:val="en-US"/>
              </w:rPr>
              <w:t>Female</w:t>
            </w:r>
          </w:p>
        </w:tc>
      </w:tr>
      <w:tr w:rsidR="00394AD2" w:rsidRPr="006B79AD" w:rsidTr="0074307F">
        <w:trPr>
          <w:cantSplit/>
          <w:trHeight w:val="187"/>
          <w:tblHeader/>
        </w:trPr>
        <w:tc>
          <w:tcPr>
            <w:tcW w:w="1491" w:type="dxa"/>
            <w:vMerge/>
            <w:shd w:val="clear" w:color="auto" w:fill="00A8C8"/>
          </w:tcPr>
          <w:p w:rsidR="00394AD2" w:rsidRPr="006B79AD" w:rsidRDefault="00394AD2" w:rsidP="0074307F">
            <w:pPr>
              <w:pStyle w:val="TableHeadingText"/>
              <w:jc w:val="center"/>
              <w:rPr>
                <w:caps w:val="0"/>
                <w:lang w:val="en-US"/>
              </w:rPr>
            </w:pP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Retiree</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Invalid</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Widower</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Retiree</w:t>
            </w:r>
          </w:p>
        </w:tc>
        <w:tc>
          <w:tcPr>
            <w:tcW w:w="1378" w:type="dxa"/>
            <w:shd w:val="clear" w:color="auto" w:fill="00A8C8"/>
          </w:tcPr>
          <w:p w:rsidR="00394AD2" w:rsidRPr="006B79AD" w:rsidRDefault="00394AD2" w:rsidP="0074307F">
            <w:pPr>
              <w:pStyle w:val="TableHeadingText"/>
              <w:jc w:val="center"/>
              <w:rPr>
                <w:caps w:val="0"/>
                <w:lang w:val="en-US"/>
              </w:rPr>
            </w:pPr>
            <w:r>
              <w:rPr>
                <w:caps w:val="0"/>
                <w:lang w:val="en-US"/>
              </w:rPr>
              <w:t>Invalid</w:t>
            </w:r>
          </w:p>
        </w:tc>
        <w:tc>
          <w:tcPr>
            <w:tcW w:w="1379" w:type="dxa"/>
            <w:shd w:val="clear" w:color="auto" w:fill="00A8C8"/>
          </w:tcPr>
          <w:p w:rsidR="00394AD2" w:rsidRPr="006B79AD" w:rsidRDefault="00394AD2" w:rsidP="0074307F">
            <w:pPr>
              <w:pStyle w:val="TableHeadingText"/>
              <w:jc w:val="center"/>
              <w:rPr>
                <w:caps w:val="0"/>
                <w:lang w:val="en-US"/>
              </w:rPr>
            </w:pPr>
            <w:r>
              <w:rPr>
                <w:caps w:val="0"/>
                <w:lang w:val="en-US"/>
              </w:rPr>
              <w:t>Widow</w:t>
            </w:r>
          </w:p>
        </w:tc>
      </w:tr>
      <w:tr w:rsidR="00394AD2" w:rsidRPr="009F47FB" w:rsidTr="0074307F">
        <w:trPr>
          <w:cantSplit/>
        </w:trPr>
        <w:tc>
          <w:tcPr>
            <w:tcW w:w="1491" w:type="dxa"/>
            <w:shd w:val="clear" w:color="auto" w:fill="F2F2F2"/>
            <w:noWrap/>
            <w:hideMark/>
          </w:tcPr>
          <w:p w:rsidR="00394AD2" w:rsidRPr="009F47FB" w:rsidRDefault="00394AD2" w:rsidP="0074307F">
            <w:pPr>
              <w:pStyle w:val="TableText"/>
              <w:jc w:val="center"/>
            </w:pPr>
            <w:r>
              <w:t>55</w:t>
            </w:r>
          </w:p>
        </w:tc>
        <w:tc>
          <w:tcPr>
            <w:tcW w:w="1378" w:type="dxa"/>
            <w:shd w:val="clear" w:color="auto" w:fill="F2F2F2"/>
          </w:tcPr>
          <w:p w:rsidR="00394AD2" w:rsidRPr="00141C35" w:rsidRDefault="00394AD2" w:rsidP="00C66006">
            <w:pPr>
              <w:pStyle w:val="TableText"/>
              <w:jc w:val="center"/>
            </w:pPr>
            <w:r>
              <w:t>0.1</w:t>
            </w:r>
            <w:r w:rsidR="00C66006">
              <w:t>62</w:t>
            </w:r>
            <w:r>
              <w:t>%</w:t>
            </w:r>
          </w:p>
        </w:tc>
        <w:tc>
          <w:tcPr>
            <w:tcW w:w="1378" w:type="dxa"/>
            <w:shd w:val="clear" w:color="auto" w:fill="F2F2F2"/>
          </w:tcPr>
          <w:p w:rsidR="00394AD2" w:rsidRPr="00141C35" w:rsidRDefault="00394AD2" w:rsidP="00C66006">
            <w:pPr>
              <w:pStyle w:val="TableText"/>
              <w:jc w:val="center"/>
            </w:pPr>
            <w:r>
              <w:t>0.</w:t>
            </w:r>
            <w:r w:rsidR="00C66006">
              <w:t>291</w:t>
            </w:r>
            <w:r>
              <w:t>%</w:t>
            </w:r>
          </w:p>
        </w:tc>
        <w:tc>
          <w:tcPr>
            <w:tcW w:w="1378" w:type="dxa"/>
            <w:shd w:val="clear" w:color="auto" w:fill="F2F2F2"/>
          </w:tcPr>
          <w:p w:rsidR="00394AD2" w:rsidRPr="00141C35" w:rsidRDefault="00394AD2" w:rsidP="00C66006">
            <w:pPr>
              <w:pStyle w:val="TableText"/>
              <w:jc w:val="center"/>
            </w:pPr>
            <w:r>
              <w:t>0.3</w:t>
            </w:r>
            <w:r w:rsidR="00C66006">
              <w:t>58</w:t>
            </w:r>
            <w:r>
              <w:t>%</w:t>
            </w:r>
          </w:p>
        </w:tc>
        <w:tc>
          <w:tcPr>
            <w:tcW w:w="1378" w:type="dxa"/>
            <w:shd w:val="clear" w:color="auto" w:fill="F2F2F2"/>
          </w:tcPr>
          <w:p w:rsidR="00394AD2" w:rsidRPr="00141C35" w:rsidRDefault="00394AD2" w:rsidP="00C66006">
            <w:pPr>
              <w:pStyle w:val="TableText"/>
              <w:jc w:val="center"/>
            </w:pPr>
            <w:r>
              <w:t>0.1</w:t>
            </w:r>
            <w:r w:rsidR="00C66006">
              <w:t>46</w:t>
            </w:r>
            <w:r>
              <w:t>%</w:t>
            </w:r>
          </w:p>
        </w:tc>
        <w:tc>
          <w:tcPr>
            <w:tcW w:w="1378" w:type="dxa"/>
            <w:shd w:val="clear" w:color="auto" w:fill="F2F2F2"/>
            <w:noWrap/>
          </w:tcPr>
          <w:p w:rsidR="00394AD2" w:rsidRPr="00141C35" w:rsidRDefault="00394AD2" w:rsidP="00C66006">
            <w:pPr>
              <w:pStyle w:val="TableText"/>
              <w:jc w:val="center"/>
            </w:pPr>
            <w:r>
              <w:t>0.3</w:t>
            </w:r>
            <w:r w:rsidR="00C66006">
              <w:t>25</w:t>
            </w:r>
            <w:r>
              <w:t>%</w:t>
            </w:r>
          </w:p>
        </w:tc>
        <w:tc>
          <w:tcPr>
            <w:tcW w:w="1379" w:type="dxa"/>
            <w:shd w:val="clear" w:color="auto" w:fill="F2F2F2"/>
          </w:tcPr>
          <w:p w:rsidR="00394AD2" w:rsidRPr="00141C35" w:rsidRDefault="00394AD2" w:rsidP="00C66006">
            <w:pPr>
              <w:pStyle w:val="TableText"/>
              <w:jc w:val="center"/>
            </w:pPr>
            <w:r>
              <w:t>0.2</w:t>
            </w:r>
            <w:r w:rsidR="00C66006">
              <w:t>14</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60</w:t>
            </w:r>
          </w:p>
        </w:tc>
        <w:tc>
          <w:tcPr>
            <w:tcW w:w="1378" w:type="dxa"/>
            <w:shd w:val="clear" w:color="auto" w:fill="F2F2F2"/>
          </w:tcPr>
          <w:p w:rsidR="00394AD2" w:rsidRPr="00141C35" w:rsidRDefault="00394AD2" w:rsidP="00C66006">
            <w:pPr>
              <w:pStyle w:val="TableText"/>
              <w:jc w:val="center"/>
            </w:pPr>
            <w:r>
              <w:t>0.2</w:t>
            </w:r>
            <w:r w:rsidR="00C66006">
              <w:t>57</w:t>
            </w:r>
            <w:r>
              <w:t>%</w:t>
            </w:r>
          </w:p>
        </w:tc>
        <w:tc>
          <w:tcPr>
            <w:tcW w:w="1378" w:type="dxa"/>
            <w:shd w:val="clear" w:color="auto" w:fill="F2F2F2"/>
          </w:tcPr>
          <w:p w:rsidR="00394AD2" w:rsidRPr="00141C35" w:rsidRDefault="00394AD2" w:rsidP="00C66006">
            <w:pPr>
              <w:pStyle w:val="TableText"/>
              <w:jc w:val="center"/>
            </w:pPr>
            <w:r>
              <w:t>0.</w:t>
            </w:r>
            <w:r w:rsidR="00C66006">
              <w:t>519</w:t>
            </w:r>
            <w:r>
              <w:t>%</w:t>
            </w:r>
          </w:p>
        </w:tc>
        <w:tc>
          <w:tcPr>
            <w:tcW w:w="1378" w:type="dxa"/>
            <w:shd w:val="clear" w:color="auto" w:fill="F2F2F2"/>
          </w:tcPr>
          <w:p w:rsidR="00394AD2" w:rsidRPr="00141C35" w:rsidRDefault="00394AD2" w:rsidP="00C66006">
            <w:pPr>
              <w:pStyle w:val="TableText"/>
              <w:jc w:val="center"/>
            </w:pPr>
            <w:r>
              <w:t>0.</w:t>
            </w:r>
            <w:r w:rsidR="00C66006">
              <w:t>602</w:t>
            </w:r>
            <w:r>
              <w:t>%</w:t>
            </w:r>
          </w:p>
        </w:tc>
        <w:tc>
          <w:tcPr>
            <w:tcW w:w="1378" w:type="dxa"/>
            <w:shd w:val="clear" w:color="auto" w:fill="F2F2F2"/>
          </w:tcPr>
          <w:p w:rsidR="00394AD2" w:rsidRPr="00141C35" w:rsidRDefault="00394AD2" w:rsidP="00C66006">
            <w:pPr>
              <w:pStyle w:val="TableText"/>
              <w:jc w:val="center"/>
            </w:pPr>
            <w:r>
              <w:t>0.2</w:t>
            </w:r>
            <w:r w:rsidR="00C66006">
              <w:t>08</w:t>
            </w:r>
            <w:r>
              <w:t>%</w:t>
            </w:r>
          </w:p>
        </w:tc>
        <w:tc>
          <w:tcPr>
            <w:tcW w:w="1378" w:type="dxa"/>
            <w:shd w:val="clear" w:color="auto" w:fill="F2F2F2"/>
            <w:noWrap/>
          </w:tcPr>
          <w:p w:rsidR="00394AD2" w:rsidRPr="00141C35" w:rsidRDefault="00394AD2" w:rsidP="00C66006">
            <w:pPr>
              <w:pStyle w:val="TableText"/>
              <w:jc w:val="center"/>
            </w:pPr>
            <w:r>
              <w:t>0.5</w:t>
            </w:r>
            <w:r w:rsidR="00C66006">
              <w:t>30</w:t>
            </w:r>
            <w:r>
              <w:t>%</w:t>
            </w:r>
          </w:p>
        </w:tc>
        <w:tc>
          <w:tcPr>
            <w:tcW w:w="1379" w:type="dxa"/>
            <w:shd w:val="clear" w:color="auto" w:fill="F2F2F2"/>
          </w:tcPr>
          <w:p w:rsidR="00394AD2" w:rsidRPr="00141C35" w:rsidRDefault="00394AD2" w:rsidP="00C66006">
            <w:pPr>
              <w:pStyle w:val="TableText"/>
              <w:jc w:val="center"/>
            </w:pPr>
            <w:r>
              <w:t>0.3</w:t>
            </w:r>
            <w:r w:rsidR="00C66006">
              <w:t>30</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65</w:t>
            </w:r>
          </w:p>
        </w:tc>
        <w:tc>
          <w:tcPr>
            <w:tcW w:w="1378" w:type="dxa"/>
            <w:shd w:val="clear" w:color="auto" w:fill="F2F2F2"/>
          </w:tcPr>
          <w:p w:rsidR="00394AD2" w:rsidRPr="00141C35" w:rsidRDefault="00394AD2" w:rsidP="00C66006">
            <w:pPr>
              <w:pStyle w:val="TableText"/>
              <w:jc w:val="center"/>
            </w:pPr>
            <w:r>
              <w:t>0.</w:t>
            </w:r>
            <w:r w:rsidR="00C66006">
              <w:t>464</w:t>
            </w:r>
            <w:r>
              <w:t>%</w:t>
            </w:r>
          </w:p>
        </w:tc>
        <w:tc>
          <w:tcPr>
            <w:tcW w:w="1378" w:type="dxa"/>
            <w:shd w:val="clear" w:color="auto" w:fill="F2F2F2"/>
          </w:tcPr>
          <w:p w:rsidR="00394AD2" w:rsidRPr="00141C35" w:rsidRDefault="00C66006" w:rsidP="0074307F">
            <w:pPr>
              <w:pStyle w:val="TableText"/>
              <w:jc w:val="center"/>
            </w:pPr>
            <w:r>
              <w:t>0.973</w:t>
            </w:r>
            <w:r w:rsidR="00394AD2">
              <w:t>%</w:t>
            </w:r>
          </w:p>
        </w:tc>
        <w:tc>
          <w:tcPr>
            <w:tcW w:w="1378" w:type="dxa"/>
            <w:shd w:val="clear" w:color="auto" w:fill="F2F2F2"/>
          </w:tcPr>
          <w:p w:rsidR="00394AD2" w:rsidRPr="00141C35" w:rsidRDefault="00394AD2" w:rsidP="00C66006">
            <w:pPr>
              <w:pStyle w:val="TableText"/>
              <w:jc w:val="center"/>
            </w:pPr>
            <w:r>
              <w:t>1.</w:t>
            </w:r>
            <w:r w:rsidR="00C66006">
              <w:t>036</w:t>
            </w:r>
            <w:r>
              <w:t>%</w:t>
            </w:r>
          </w:p>
        </w:tc>
        <w:tc>
          <w:tcPr>
            <w:tcW w:w="1378" w:type="dxa"/>
            <w:shd w:val="clear" w:color="auto" w:fill="F2F2F2"/>
          </w:tcPr>
          <w:p w:rsidR="00394AD2" w:rsidRPr="00141C35" w:rsidRDefault="00394AD2" w:rsidP="00C66006">
            <w:pPr>
              <w:pStyle w:val="TableText"/>
              <w:jc w:val="center"/>
            </w:pPr>
            <w:r>
              <w:t>0.3</w:t>
            </w:r>
            <w:r w:rsidR="00C66006">
              <w:t>41</w:t>
            </w:r>
            <w:r>
              <w:t>%</w:t>
            </w:r>
          </w:p>
        </w:tc>
        <w:tc>
          <w:tcPr>
            <w:tcW w:w="1378" w:type="dxa"/>
            <w:shd w:val="clear" w:color="auto" w:fill="F2F2F2"/>
            <w:noWrap/>
          </w:tcPr>
          <w:p w:rsidR="00394AD2" w:rsidRPr="00141C35" w:rsidRDefault="00394AD2" w:rsidP="00C66006">
            <w:pPr>
              <w:pStyle w:val="TableText"/>
              <w:jc w:val="center"/>
            </w:pPr>
            <w:r>
              <w:t>0.</w:t>
            </w:r>
            <w:r w:rsidR="00C66006">
              <w:t>874</w:t>
            </w:r>
            <w:r>
              <w:t>%</w:t>
            </w:r>
          </w:p>
        </w:tc>
        <w:tc>
          <w:tcPr>
            <w:tcW w:w="1379" w:type="dxa"/>
            <w:shd w:val="clear" w:color="auto" w:fill="F2F2F2"/>
          </w:tcPr>
          <w:p w:rsidR="00394AD2" w:rsidRPr="00141C35" w:rsidRDefault="00394AD2" w:rsidP="00C66006">
            <w:pPr>
              <w:pStyle w:val="TableText"/>
              <w:jc w:val="center"/>
            </w:pPr>
            <w:r>
              <w:t>0.5</w:t>
            </w:r>
            <w:r w:rsidR="00C66006">
              <w:t>15</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70</w:t>
            </w:r>
          </w:p>
        </w:tc>
        <w:tc>
          <w:tcPr>
            <w:tcW w:w="1378" w:type="dxa"/>
            <w:shd w:val="clear" w:color="auto" w:fill="F2F2F2"/>
          </w:tcPr>
          <w:p w:rsidR="00394AD2" w:rsidRPr="00141C35" w:rsidRDefault="00394AD2" w:rsidP="00C66006">
            <w:pPr>
              <w:pStyle w:val="TableText"/>
              <w:jc w:val="center"/>
            </w:pPr>
            <w:r>
              <w:t>0.</w:t>
            </w:r>
            <w:r w:rsidR="00C66006">
              <w:t>888</w:t>
            </w:r>
            <w:r>
              <w:t>%</w:t>
            </w:r>
          </w:p>
        </w:tc>
        <w:tc>
          <w:tcPr>
            <w:tcW w:w="1378" w:type="dxa"/>
            <w:shd w:val="clear" w:color="auto" w:fill="F2F2F2"/>
          </w:tcPr>
          <w:p w:rsidR="00394AD2" w:rsidRPr="00141C35" w:rsidRDefault="00394AD2" w:rsidP="00C66006">
            <w:pPr>
              <w:pStyle w:val="TableText"/>
              <w:jc w:val="center"/>
            </w:pPr>
            <w:r>
              <w:t>1.</w:t>
            </w:r>
            <w:r w:rsidR="00C66006">
              <w:t>707</w:t>
            </w:r>
            <w:r>
              <w:t>%</w:t>
            </w:r>
          </w:p>
        </w:tc>
        <w:tc>
          <w:tcPr>
            <w:tcW w:w="1378" w:type="dxa"/>
            <w:shd w:val="clear" w:color="auto" w:fill="F2F2F2"/>
          </w:tcPr>
          <w:p w:rsidR="00394AD2" w:rsidRPr="00141C35" w:rsidRDefault="00C66006" w:rsidP="0074307F">
            <w:pPr>
              <w:pStyle w:val="TableText"/>
              <w:jc w:val="center"/>
            </w:pPr>
            <w:r>
              <w:t>1.835</w:t>
            </w:r>
            <w:r w:rsidR="00394AD2">
              <w:t>%</w:t>
            </w:r>
          </w:p>
        </w:tc>
        <w:tc>
          <w:tcPr>
            <w:tcW w:w="1378" w:type="dxa"/>
            <w:shd w:val="clear" w:color="auto" w:fill="F2F2F2"/>
          </w:tcPr>
          <w:p w:rsidR="00394AD2" w:rsidRPr="00141C35" w:rsidRDefault="00394AD2" w:rsidP="00C66006">
            <w:pPr>
              <w:pStyle w:val="TableText"/>
              <w:jc w:val="center"/>
            </w:pPr>
            <w:r>
              <w:t>0.6</w:t>
            </w:r>
            <w:r w:rsidR="00C66006">
              <w:t>40</w:t>
            </w:r>
            <w:r>
              <w:t>%</w:t>
            </w:r>
          </w:p>
        </w:tc>
        <w:tc>
          <w:tcPr>
            <w:tcW w:w="1378" w:type="dxa"/>
            <w:shd w:val="clear" w:color="auto" w:fill="F2F2F2"/>
            <w:noWrap/>
          </w:tcPr>
          <w:p w:rsidR="00394AD2" w:rsidRPr="00141C35" w:rsidRDefault="00394AD2" w:rsidP="00C66006">
            <w:pPr>
              <w:pStyle w:val="TableText"/>
              <w:jc w:val="center"/>
            </w:pPr>
            <w:r>
              <w:t>1.</w:t>
            </w:r>
            <w:r w:rsidR="00C66006">
              <w:t>476</w:t>
            </w:r>
            <w:r>
              <w:t>%</w:t>
            </w:r>
          </w:p>
        </w:tc>
        <w:tc>
          <w:tcPr>
            <w:tcW w:w="1379" w:type="dxa"/>
            <w:shd w:val="clear" w:color="auto" w:fill="F2F2F2"/>
          </w:tcPr>
          <w:p w:rsidR="00394AD2" w:rsidRPr="00141C35" w:rsidRDefault="00394AD2" w:rsidP="00C66006">
            <w:pPr>
              <w:pStyle w:val="TableText"/>
              <w:jc w:val="center"/>
            </w:pPr>
            <w:r>
              <w:t>0.</w:t>
            </w:r>
            <w:r w:rsidR="00C66006">
              <w:t>863</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75</w:t>
            </w:r>
          </w:p>
        </w:tc>
        <w:tc>
          <w:tcPr>
            <w:tcW w:w="1378" w:type="dxa"/>
            <w:shd w:val="clear" w:color="auto" w:fill="F2F2F2"/>
          </w:tcPr>
          <w:p w:rsidR="00394AD2" w:rsidRPr="00141C35" w:rsidRDefault="00394AD2" w:rsidP="00C66006">
            <w:pPr>
              <w:pStyle w:val="TableText"/>
              <w:jc w:val="center"/>
            </w:pPr>
            <w:r>
              <w:t>1.</w:t>
            </w:r>
            <w:r w:rsidR="00C66006">
              <w:t>722</w:t>
            </w:r>
            <w:r>
              <w:t>%</w:t>
            </w:r>
          </w:p>
        </w:tc>
        <w:tc>
          <w:tcPr>
            <w:tcW w:w="1378" w:type="dxa"/>
            <w:shd w:val="clear" w:color="auto" w:fill="F2F2F2"/>
          </w:tcPr>
          <w:p w:rsidR="00394AD2" w:rsidRPr="00141C35" w:rsidRDefault="00C66006" w:rsidP="0074307F">
            <w:pPr>
              <w:pStyle w:val="TableText"/>
              <w:jc w:val="center"/>
            </w:pPr>
            <w:r>
              <w:t>2.863</w:t>
            </w:r>
            <w:r w:rsidR="00394AD2">
              <w:t>%</w:t>
            </w:r>
          </w:p>
        </w:tc>
        <w:tc>
          <w:tcPr>
            <w:tcW w:w="1378" w:type="dxa"/>
            <w:shd w:val="clear" w:color="auto" w:fill="F2F2F2"/>
          </w:tcPr>
          <w:p w:rsidR="00394AD2" w:rsidRPr="00141C35" w:rsidRDefault="00394AD2" w:rsidP="00C66006">
            <w:pPr>
              <w:pStyle w:val="TableText"/>
              <w:jc w:val="center"/>
            </w:pPr>
            <w:r>
              <w:t>3.</w:t>
            </w:r>
            <w:r w:rsidR="00C66006">
              <w:t>029</w:t>
            </w:r>
            <w:r>
              <w:t>%</w:t>
            </w:r>
          </w:p>
        </w:tc>
        <w:tc>
          <w:tcPr>
            <w:tcW w:w="1378" w:type="dxa"/>
            <w:shd w:val="clear" w:color="auto" w:fill="F2F2F2"/>
          </w:tcPr>
          <w:p w:rsidR="00394AD2" w:rsidRPr="00141C35" w:rsidRDefault="00394AD2" w:rsidP="00C66006">
            <w:pPr>
              <w:pStyle w:val="TableText"/>
              <w:jc w:val="center"/>
            </w:pPr>
            <w:r>
              <w:t>1.</w:t>
            </w:r>
            <w:r w:rsidR="00C66006">
              <w:t>166</w:t>
            </w:r>
            <w:r>
              <w:t>%</w:t>
            </w:r>
          </w:p>
        </w:tc>
        <w:tc>
          <w:tcPr>
            <w:tcW w:w="1378" w:type="dxa"/>
            <w:shd w:val="clear" w:color="auto" w:fill="F2F2F2"/>
            <w:noWrap/>
          </w:tcPr>
          <w:p w:rsidR="00394AD2" w:rsidRPr="00141C35" w:rsidRDefault="00394AD2" w:rsidP="00C66006">
            <w:pPr>
              <w:pStyle w:val="TableText"/>
              <w:jc w:val="center"/>
            </w:pPr>
            <w:r>
              <w:t>2.</w:t>
            </w:r>
            <w:r w:rsidR="00C66006">
              <w:t>432</w:t>
            </w:r>
            <w:r>
              <w:t>%</w:t>
            </w:r>
          </w:p>
        </w:tc>
        <w:tc>
          <w:tcPr>
            <w:tcW w:w="1379" w:type="dxa"/>
            <w:shd w:val="clear" w:color="auto" w:fill="F2F2F2"/>
          </w:tcPr>
          <w:p w:rsidR="00394AD2" w:rsidRPr="00141C35" w:rsidRDefault="00394AD2" w:rsidP="00C66006">
            <w:pPr>
              <w:pStyle w:val="TableText"/>
              <w:jc w:val="center"/>
            </w:pPr>
            <w:r>
              <w:t>1.</w:t>
            </w:r>
            <w:r w:rsidR="00C66006">
              <w:t>490</w:t>
            </w:r>
            <w:r>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80</w:t>
            </w:r>
          </w:p>
        </w:tc>
        <w:tc>
          <w:tcPr>
            <w:tcW w:w="1378" w:type="dxa"/>
            <w:shd w:val="clear" w:color="auto" w:fill="F2F2F2"/>
          </w:tcPr>
          <w:p w:rsidR="00394AD2" w:rsidRPr="00141C35" w:rsidRDefault="00394AD2" w:rsidP="00C66006">
            <w:pPr>
              <w:pStyle w:val="TableText"/>
              <w:jc w:val="center"/>
            </w:pPr>
            <w:r>
              <w:t>3.</w:t>
            </w:r>
            <w:r w:rsidR="00C66006">
              <w:t>572</w:t>
            </w:r>
            <w:r>
              <w:t>%</w:t>
            </w:r>
          </w:p>
        </w:tc>
        <w:tc>
          <w:tcPr>
            <w:tcW w:w="1378" w:type="dxa"/>
            <w:shd w:val="clear" w:color="auto" w:fill="F2F2F2"/>
          </w:tcPr>
          <w:p w:rsidR="00394AD2" w:rsidRPr="00141C35" w:rsidRDefault="00394AD2" w:rsidP="00C66006">
            <w:pPr>
              <w:pStyle w:val="TableText"/>
              <w:jc w:val="center"/>
            </w:pPr>
            <w:r>
              <w:t>5.</w:t>
            </w:r>
            <w:r w:rsidR="00C66006">
              <w:t>251</w:t>
            </w:r>
            <w:r>
              <w:t>%</w:t>
            </w:r>
          </w:p>
        </w:tc>
        <w:tc>
          <w:tcPr>
            <w:tcW w:w="1378" w:type="dxa"/>
            <w:shd w:val="clear" w:color="auto" w:fill="F2F2F2"/>
          </w:tcPr>
          <w:p w:rsidR="00394AD2" w:rsidRPr="00141C35" w:rsidRDefault="00394AD2" w:rsidP="00C66006">
            <w:pPr>
              <w:pStyle w:val="TableText"/>
              <w:jc w:val="center"/>
            </w:pPr>
            <w:r>
              <w:t>5.</w:t>
            </w:r>
            <w:r w:rsidR="00C66006">
              <w:t>281</w:t>
            </w:r>
            <w:r>
              <w:t>%</w:t>
            </w:r>
          </w:p>
        </w:tc>
        <w:tc>
          <w:tcPr>
            <w:tcW w:w="1378" w:type="dxa"/>
            <w:shd w:val="clear" w:color="auto" w:fill="F2F2F2"/>
          </w:tcPr>
          <w:p w:rsidR="00394AD2" w:rsidRPr="00141C35" w:rsidRDefault="00394AD2" w:rsidP="00C66006">
            <w:pPr>
              <w:pStyle w:val="TableText"/>
              <w:jc w:val="center"/>
            </w:pPr>
            <w:r>
              <w:t>2.</w:t>
            </w:r>
            <w:r w:rsidR="00C66006">
              <w:t>293</w:t>
            </w:r>
            <w:r>
              <w:t>%</w:t>
            </w:r>
          </w:p>
        </w:tc>
        <w:tc>
          <w:tcPr>
            <w:tcW w:w="1378" w:type="dxa"/>
            <w:shd w:val="clear" w:color="auto" w:fill="F2F2F2"/>
            <w:noWrap/>
          </w:tcPr>
          <w:p w:rsidR="00394AD2" w:rsidRPr="00141C35" w:rsidRDefault="00C66006" w:rsidP="0074307F">
            <w:pPr>
              <w:pStyle w:val="TableText"/>
              <w:jc w:val="center"/>
            </w:pPr>
            <w:r>
              <w:t>3.952</w:t>
            </w:r>
            <w:r w:rsidR="00394AD2">
              <w:t>%</w:t>
            </w:r>
          </w:p>
        </w:tc>
        <w:tc>
          <w:tcPr>
            <w:tcW w:w="1379" w:type="dxa"/>
            <w:shd w:val="clear" w:color="auto" w:fill="F2F2F2"/>
          </w:tcPr>
          <w:p w:rsidR="00394AD2" w:rsidRPr="00141C35" w:rsidRDefault="00C66006" w:rsidP="0074307F">
            <w:pPr>
              <w:pStyle w:val="TableText"/>
              <w:jc w:val="center"/>
            </w:pPr>
            <w:r>
              <w:t>2.830</w:t>
            </w:r>
            <w:r w:rsidR="00394AD2">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85</w:t>
            </w:r>
          </w:p>
        </w:tc>
        <w:tc>
          <w:tcPr>
            <w:tcW w:w="1378" w:type="dxa"/>
            <w:shd w:val="clear" w:color="auto" w:fill="F2F2F2"/>
          </w:tcPr>
          <w:p w:rsidR="00394AD2" w:rsidRPr="00141C35" w:rsidRDefault="00394AD2" w:rsidP="00C66006">
            <w:pPr>
              <w:pStyle w:val="TableText"/>
              <w:jc w:val="center"/>
            </w:pPr>
            <w:r>
              <w:t>7.</w:t>
            </w:r>
            <w:r w:rsidR="00C66006">
              <w:t>372</w:t>
            </w:r>
            <w:r>
              <w:t>%</w:t>
            </w:r>
          </w:p>
        </w:tc>
        <w:tc>
          <w:tcPr>
            <w:tcW w:w="1378" w:type="dxa"/>
            <w:shd w:val="clear" w:color="auto" w:fill="F2F2F2"/>
          </w:tcPr>
          <w:p w:rsidR="00394AD2" w:rsidRPr="00141C35" w:rsidRDefault="00C66006" w:rsidP="0074307F">
            <w:pPr>
              <w:pStyle w:val="TableText"/>
              <w:jc w:val="center"/>
            </w:pPr>
            <w:r>
              <w:t>9.655</w:t>
            </w:r>
            <w:r w:rsidR="00394AD2">
              <w:t>%</w:t>
            </w:r>
          </w:p>
        </w:tc>
        <w:tc>
          <w:tcPr>
            <w:tcW w:w="1378" w:type="dxa"/>
            <w:shd w:val="clear" w:color="auto" w:fill="F2F2F2"/>
          </w:tcPr>
          <w:p w:rsidR="00394AD2" w:rsidRPr="00141C35" w:rsidRDefault="00394AD2" w:rsidP="00C66006">
            <w:pPr>
              <w:pStyle w:val="TableText"/>
              <w:jc w:val="center"/>
            </w:pPr>
            <w:r>
              <w:t>9.</w:t>
            </w:r>
            <w:r w:rsidR="00C66006">
              <w:t>490</w:t>
            </w:r>
            <w:r>
              <w:t>%</w:t>
            </w:r>
          </w:p>
        </w:tc>
        <w:tc>
          <w:tcPr>
            <w:tcW w:w="1378" w:type="dxa"/>
            <w:shd w:val="clear" w:color="auto" w:fill="F2F2F2"/>
          </w:tcPr>
          <w:p w:rsidR="00394AD2" w:rsidRPr="00141C35" w:rsidRDefault="00C66006" w:rsidP="0074307F">
            <w:pPr>
              <w:pStyle w:val="TableText"/>
              <w:jc w:val="center"/>
            </w:pPr>
            <w:r>
              <w:t>4.827</w:t>
            </w:r>
            <w:r w:rsidR="00394AD2">
              <w:t>%</w:t>
            </w:r>
          </w:p>
        </w:tc>
        <w:tc>
          <w:tcPr>
            <w:tcW w:w="1378" w:type="dxa"/>
            <w:shd w:val="clear" w:color="auto" w:fill="F2F2F2"/>
            <w:noWrap/>
          </w:tcPr>
          <w:p w:rsidR="00394AD2" w:rsidRPr="00141C35" w:rsidRDefault="00394AD2" w:rsidP="00C66006">
            <w:pPr>
              <w:pStyle w:val="TableText"/>
              <w:jc w:val="center"/>
            </w:pPr>
            <w:r>
              <w:t>7.</w:t>
            </w:r>
            <w:r w:rsidR="00C66006">
              <w:t>579</w:t>
            </w:r>
            <w:r>
              <w:t>%</w:t>
            </w:r>
          </w:p>
        </w:tc>
        <w:tc>
          <w:tcPr>
            <w:tcW w:w="1379" w:type="dxa"/>
            <w:shd w:val="clear" w:color="auto" w:fill="F2F2F2"/>
          </w:tcPr>
          <w:p w:rsidR="00394AD2" w:rsidRPr="00141C35" w:rsidRDefault="00C66006" w:rsidP="0074307F">
            <w:pPr>
              <w:pStyle w:val="TableText"/>
              <w:jc w:val="center"/>
            </w:pPr>
            <w:r>
              <w:t>5.728</w:t>
            </w:r>
            <w:r w:rsidR="00394AD2">
              <w:t>%</w:t>
            </w:r>
          </w:p>
        </w:tc>
      </w:tr>
      <w:tr w:rsidR="00394AD2" w:rsidRPr="009F47FB" w:rsidTr="0074307F">
        <w:trPr>
          <w:cantSplit/>
        </w:trPr>
        <w:tc>
          <w:tcPr>
            <w:tcW w:w="1491" w:type="dxa"/>
            <w:shd w:val="clear" w:color="auto" w:fill="F2F2F2"/>
            <w:noWrap/>
          </w:tcPr>
          <w:p w:rsidR="00394AD2" w:rsidRPr="009F47FB" w:rsidRDefault="00394AD2" w:rsidP="0074307F">
            <w:pPr>
              <w:pStyle w:val="TableText"/>
              <w:jc w:val="center"/>
            </w:pPr>
            <w:r>
              <w:t>90</w:t>
            </w:r>
          </w:p>
        </w:tc>
        <w:tc>
          <w:tcPr>
            <w:tcW w:w="1378" w:type="dxa"/>
            <w:shd w:val="clear" w:color="auto" w:fill="F2F2F2"/>
          </w:tcPr>
          <w:p w:rsidR="00394AD2" w:rsidRPr="00141C35" w:rsidRDefault="00394AD2" w:rsidP="00C66006">
            <w:pPr>
              <w:pStyle w:val="TableText"/>
              <w:jc w:val="center"/>
            </w:pPr>
            <w:r>
              <w:t>1</w:t>
            </w:r>
            <w:r w:rsidR="00C66006">
              <w:t>3.838</w:t>
            </w:r>
            <w:r>
              <w:t>%</w:t>
            </w:r>
          </w:p>
        </w:tc>
        <w:tc>
          <w:tcPr>
            <w:tcW w:w="1378" w:type="dxa"/>
            <w:shd w:val="clear" w:color="auto" w:fill="F2F2F2"/>
          </w:tcPr>
          <w:p w:rsidR="00394AD2" w:rsidRPr="00141C35" w:rsidRDefault="00394AD2" w:rsidP="00C66006">
            <w:pPr>
              <w:pStyle w:val="TableText"/>
              <w:jc w:val="center"/>
            </w:pPr>
            <w:r>
              <w:t>15.</w:t>
            </w:r>
            <w:r w:rsidR="00C66006">
              <w:t>417</w:t>
            </w:r>
            <w:r>
              <w:t>%</w:t>
            </w:r>
          </w:p>
        </w:tc>
        <w:tc>
          <w:tcPr>
            <w:tcW w:w="1378" w:type="dxa"/>
            <w:shd w:val="clear" w:color="auto" w:fill="F2F2F2"/>
          </w:tcPr>
          <w:p w:rsidR="00394AD2" w:rsidRPr="00141C35" w:rsidRDefault="00394AD2" w:rsidP="00C66006">
            <w:pPr>
              <w:pStyle w:val="TableText"/>
              <w:jc w:val="center"/>
            </w:pPr>
            <w:r>
              <w:t>1</w:t>
            </w:r>
            <w:r w:rsidR="00C66006">
              <w:t>5.665</w:t>
            </w:r>
            <w:r>
              <w:t>%</w:t>
            </w:r>
          </w:p>
        </w:tc>
        <w:tc>
          <w:tcPr>
            <w:tcW w:w="1378" w:type="dxa"/>
            <w:shd w:val="clear" w:color="auto" w:fill="F2F2F2"/>
          </w:tcPr>
          <w:p w:rsidR="00394AD2" w:rsidRPr="00141C35" w:rsidRDefault="00C66006" w:rsidP="0074307F">
            <w:pPr>
              <w:pStyle w:val="TableText"/>
              <w:jc w:val="center"/>
            </w:pPr>
            <w:r>
              <w:t>9.911</w:t>
            </w:r>
            <w:r w:rsidR="00394AD2">
              <w:t>%</w:t>
            </w:r>
          </w:p>
        </w:tc>
        <w:tc>
          <w:tcPr>
            <w:tcW w:w="1378" w:type="dxa"/>
            <w:shd w:val="clear" w:color="auto" w:fill="F2F2F2"/>
            <w:noWrap/>
          </w:tcPr>
          <w:p w:rsidR="00394AD2" w:rsidRPr="00141C35" w:rsidRDefault="00394AD2" w:rsidP="00C66006">
            <w:pPr>
              <w:pStyle w:val="TableText"/>
              <w:jc w:val="center"/>
            </w:pPr>
            <w:r>
              <w:t>14.</w:t>
            </w:r>
            <w:r w:rsidR="00C66006">
              <w:t>078</w:t>
            </w:r>
            <w:r>
              <w:t>%</w:t>
            </w:r>
          </w:p>
        </w:tc>
        <w:tc>
          <w:tcPr>
            <w:tcW w:w="1379" w:type="dxa"/>
            <w:shd w:val="clear" w:color="auto" w:fill="F2F2F2"/>
          </w:tcPr>
          <w:p w:rsidR="00394AD2" w:rsidRPr="00141C35" w:rsidRDefault="00394AD2" w:rsidP="00C66006">
            <w:pPr>
              <w:pStyle w:val="TableText"/>
              <w:jc w:val="center"/>
            </w:pPr>
            <w:r>
              <w:t>1</w:t>
            </w:r>
            <w:r w:rsidR="00C66006">
              <w:t>0.683</w:t>
            </w:r>
            <w:r>
              <w:t>%</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95</w:t>
            </w:r>
          </w:p>
        </w:tc>
        <w:tc>
          <w:tcPr>
            <w:tcW w:w="1378" w:type="dxa"/>
            <w:shd w:val="clear" w:color="auto" w:fill="F2F2F2"/>
          </w:tcPr>
          <w:p w:rsidR="00394AD2" w:rsidRPr="00141C35" w:rsidRDefault="00394AD2" w:rsidP="00C66006">
            <w:pPr>
              <w:pStyle w:val="TableText"/>
              <w:jc w:val="center"/>
            </w:pPr>
            <w:r>
              <w:t>24.</w:t>
            </w:r>
            <w:r w:rsidR="00C66006">
              <w:t>320</w:t>
            </w:r>
            <w:r>
              <w:t>%</w:t>
            </w:r>
          </w:p>
        </w:tc>
        <w:tc>
          <w:tcPr>
            <w:tcW w:w="1378" w:type="dxa"/>
            <w:shd w:val="clear" w:color="auto" w:fill="F2F2F2"/>
          </w:tcPr>
          <w:p w:rsidR="00394AD2" w:rsidRPr="00141C35" w:rsidRDefault="00394AD2" w:rsidP="00C66006">
            <w:pPr>
              <w:pStyle w:val="TableText"/>
              <w:jc w:val="center"/>
            </w:pPr>
            <w:r>
              <w:t>2</w:t>
            </w:r>
            <w:r w:rsidR="00C66006">
              <w:t>3.847</w:t>
            </w:r>
            <w:r>
              <w:t>%</w:t>
            </w:r>
          </w:p>
        </w:tc>
        <w:tc>
          <w:tcPr>
            <w:tcW w:w="1378" w:type="dxa"/>
            <w:shd w:val="clear" w:color="auto" w:fill="F2F2F2"/>
          </w:tcPr>
          <w:p w:rsidR="00394AD2" w:rsidRPr="00141C35" w:rsidRDefault="00394AD2" w:rsidP="00C66006">
            <w:pPr>
              <w:pStyle w:val="TableText"/>
              <w:jc w:val="center"/>
            </w:pPr>
            <w:r>
              <w:t>2</w:t>
            </w:r>
            <w:r w:rsidR="00C66006">
              <w:t>3.847</w:t>
            </w:r>
            <w:r>
              <w:t>%</w:t>
            </w:r>
          </w:p>
        </w:tc>
        <w:tc>
          <w:tcPr>
            <w:tcW w:w="1378" w:type="dxa"/>
            <w:shd w:val="clear" w:color="auto" w:fill="F2F2F2"/>
          </w:tcPr>
          <w:p w:rsidR="00394AD2" w:rsidRPr="00141C35" w:rsidRDefault="00394AD2" w:rsidP="00C66006">
            <w:pPr>
              <w:pStyle w:val="TableText"/>
              <w:jc w:val="center"/>
            </w:pPr>
            <w:r>
              <w:t>17.</w:t>
            </w:r>
            <w:r w:rsidR="00C66006">
              <w:t>328</w:t>
            </w:r>
            <w:r>
              <w:t>%</w:t>
            </w:r>
          </w:p>
        </w:tc>
        <w:tc>
          <w:tcPr>
            <w:tcW w:w="1378" w:type="dxa"/>
            <w:shd w:val="clear" w:color="auto" w:fill="F2F2F2"/>
            <w:noWrap/>
          </w:tcPr>
          <w:p w:rsidR="00394AD2" w:rsidRPr="00141C35" w:rsidRDefault="00394AD2" w:rsidP="00C66006">
            <w:pPr>
              <w:pStyle w:val="TableText"/>
              <w:jc w:val="center"/>
            </w:pPr>
            <w:r>
              <w:t>21.</w:t>
            </w:r>
            <w:r w:rsidR="00C66006">
              <w:t>202</w:t>
            </w:r>
            <w:r>
              <w:t>%</w:t>
            </w:r>
          </w:p>
        </w:tc>
        <w:tc>
          <w:tcPr>
            <w:tcW w:w="1379" w:type="dxa"/>
            <w:shd w:val="clear" w:color="auto" w:fill="F2F2F2"/>
          </w:tcPr>
          <w:p w:rsidR="00394AD2" w:rsidRPr="00141C35" w:rsidRDefault="00394AD2" w:rsidP="00C66006">
            <w:pPr>
              <w:pStyle w:val="TableText"/>
              <w:jc w:val="center"/>
            </w:pPr>
            <w:r>
              <w:t>1</w:t>
            </w:r>
            <w:r w:rsidR="00C66006">
              <w:t>8.933</w:t>
            </w:r>
            <w:r>
              <w:t>%</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100</w:t>
            </w:r>
          </w:p>
        </w:tc>
        <w:tc>
          <w:tcPr>
            <w:tcW w:w="1378" w:type="dxa"/>
            <w:shd w:val="clear" w:color="auto" w:fill="F2F2F2"/>
          </w:tcPr>
          <w:p w:rsidR="00394AD2" w:rsidRPr="00141C35" w:rsidRDefault="00394AD2" w:rsidP="00C66006">
            <w:pPr>
              <w:pStyle w:val="TableText"/>
              <w:jc w:val="center"/>
            </w:pPr>
            <w:r>
              <w:t>41.</w:t>
            </w:r>
            <w:r w:rsidR="00C66006">
              <w:t>266</w:t>
            </w:r>
            <w:r>
              <w:t>%</w:t>
            </w:r>
          </w:p>
        </w:tc>
        <w:tc>
          <w:tcPr>
            <w:tcW w:w="1378" w:type="dxa"/>
            <w:shd w:val="clear" w:color="auto" w:fill="F2F2F2"/>
          </w:tcPr>
          <w:p w:rsidR="00394AD2" w:rsidRPr="00141C35" w:rsidRDefault="00394AD2" w:rsidP="00C66006">
            <w:pPr>
              <w:pStyle w:val="TableText"/>
              <w:jc w:val="center"/>
            </w:pPr>
            <w:r>
              <w:t>35.</w:t>
            </w:r>
            <w:r w:rsidR="00C66006">
              <w:t>329</w:t>
            </w:r>
            <w:r>
              <w:t>%</w:t>
            </w:r>
          </w:p>
        </w:tc>
        <w:tc>
          <w:tcPr>
            <w:tcW w:w="1378" w:type="dxa"/>
            <w:shd w:val="clear" w:color="auto" w:fill="F2F2F2"/>
          </w:tcPr>
          <w:p w:rsidR="00394AD2" w:rsidRPr="00141C35" w:rsidRDefault="00394AD2" w:rsidP="00C66006">
            <w:pPr>
              <w:pStyle w:val="TableText"/>
              <w:jc w:val="center"/>
            </w:pPr>
            <w:r>
              <w:t>35.</w:t>
            </w:r>
            <w:r w:rsidR="00C66006">
              <w:t>329</w:t>
            </w:r>
            <w:r>
              <w:t>%</w:t>
            </w:r>
          </w:p>
        </w:tc>
        <w:tc>
          <w:tcPr>
            <w:tcW w:w="1378" w:type="dxa"/>
            <w:shd w:val="clear" w:color="auto" w:fill="F2F2F2"/>
          </w:tcPr>
          <w:p w:rsidR="00394AD2" w:rsidRPr="00141C35" w:rsidRDefault="00394AD2" w:rsidP="00C66006">
            <w:pPr>
              <w:pStyle w:val="TableText"/>
              <w:jc w:val="center"/>
            </w:pPr>
            <w:r>
              <w:t>3</w:t>
            </w:r>
            <w:r w:rsidR="00C66006">
              <w:t>0.897</w:t>
            </w:r>
            <w:r>
              <w:t>%</w:t>
            </w:r>
          </w:p>
        </w:tc>
        <w:tc>
          <w:tcPr>
            <w:tcW w:w="1378" w:type="dxa"/>
            <w:shd w:val="clear" w:color="auto" w:fill="F2F2F2"/>
            <w:noWrap/>
          </w:tcPr>
          <w:p w:rsidR="00394AD2" w:rsidRPr="00141C35" w:rsidRDefault="00394AD2" w:rsidP="00C66006">
            <w:pPr>
              <w:pStyle w:val="TableText"/>
              <w:jc w:val="center"/>
            </w:pPr>
            <w:r>
              <w:t>35.</w:t>
            </w:r>
            <w:r w:rsidR="00C66006">
              <w:t>151</w:t>
            </w:r>
            <w:r>
              <w:t>%</w:t>
            </w:r>
          </w:p>
        </w:tc>
        <w:tc>
          <w:tcPr>
            <w:tcW w:w="1379" w:type="dxa"/>
            <w:shd w:val="clear" w:color="auto" w:fill="F2F2F2"/>
          </w:tcPr>
          <w:p w:rsidR="00394AD2" w:rsidRPr="00141C35" w:rsidRDefault="00394AD2" w:rsidP="00C66006">
            <w:pPr>
              <w:pStyle w:val="TableText"/>
              <w:jc w:val="center"/>
            </w:pPr>
            <w:r>
              <w:t>33.</w:t>
            </w:r>
            <w:r w:rsidR="00C66006">
              <w:t>393</w:t>
            </w:r>
            <w:r>
              <w:t>%</w:t>
            </w:r>
          </w:p>
        </w:tc>
      </w:tr>
      <w:tr w:rsidR="00394AD2" w:rsidRPr="009F47FB" w:rsidTr="0074307F">
        <w:trPr>
          <w:cantSplit/>
        </w:trPr>
        <w:tc>
          <w:tcPr>
            <w:tcW w:w="1491" w:type="dxa"/>
            <w:shd w:val="clear" w:color="auto" w:fill="F2F2F2"/>
            <w:noWrap/>
          </w:tcPr>
          <w:p w:rsidR="00394AD2" w:rsidRDefault="00394AD2" w:rsidP="0074307F">
            <w:pPr>
              <w:pStyle w:val="TableText"/>
              <w:jc w:val="center"/>
            </w:pPr>
            <w:r>
              <w:t>105</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tcPr>
          <w:p w:rsidR="00394AD2" w:rsidRPr="00141C35" w:rsidRDefault="00394AD2" w:rsidP="0074307F">
            <w:pPr>
              <w:pStyle w:val="TableText"/>
              <w:jc w:val="center"/>
            </w:pPr>
            <w:r>
              <w:t>100.000%</w:t>
            </w:r>
          </w:p>
        </w:tc>
        <w:tc>
          <w:tcPr>
            <w:tcW w:w="1378" w:type="dxa"/>
            <w:shd w:val="clear" w:color="auto" w:fill="F2F2F2"/>
            <w:noWrap/>
          </w:tcPr>
          <w:p w:rsidR="00394AD2" w:rsidRPr="00141C35" w:rsidRDefault="00394AD2" w:rsidP="0074307F">
            <w:pPr>
              <w:pStyle w:val="TableText"/>
              <w:jc w:val="center"/>
            </w:pPr>
            <w:r>
              <w:t>100.000%</w:t>
            </w:r>
          </w:p>
        </w:tc>
        <w:tc>
          <w:tcPr>
            <w:tcW w:w="1379" w:type="dxa"/>
            <w:shd w:val="clear" w:color="auto" w:fill="F2F2F2"/>
          </w:tcPr>
          <w:p w:rsidR="00394AD2" w:rsidRPr="00141C35" w:rsidRDefault="00394AD2" w:rsidP="0074307F">
            <w:pPr>
              <w:pStyle w:val="TableText"/>
              <w:jc w:val="center"/>
            </w:pPr>
            <w:r>
              <w:t>100.000%</w:t>
            </w:r>
          </w:p>
        </w:tc>
      </w:tr>
    </w:tbl>
    <w:p w:rsidR="00394AD2" w:rsidRDefault="00394AD2" w:rsidP="00394AD2"/>
    <w:p w:rsidR="00C66006" w:rsidRDefault="002B308A" w:rsidP="00394AD2">
      <w:r>
        <w:t xml:space="preserve">The mortality </w:t>
      </w:r>
      <w:r w:rsidR="00C66006">
        <w:t>rates</w:t>
      </w:r>
      <w:r>
        <w:t xml:space="preserve"> shown above include assumed improvements to 2017.</w:t>
      </w:r>
    </w:p>
    <w:p w:rsidR="00C66006" w:rsidRDefault="00C66006" w:rsidP="00394AD2"/>
    <w:p w:rsidR="00394AD2" w:rsidRPr="00676991" w:rsidRDefault="00394AD2" w:rsidP="00394AD2">
      <w:pPr>
        <w:pStyle w:val="Heading3"/>
      </w:pPr>
      <w:r w:rsidRPr="00676991">
        <w:t>Future Mortality Improvements</w:t>
      </w:r>
    </w:p>
    <w:p w:rsidR="00394AD2" w:rsidRPr="00676991" w:rsidRDefault="00394AD2" w:rsidP="00394AD2">
      <w:pPr>
        <w:rPr>
          <w:highlight w:val="yellow"/>
        </w:rPr>
      </w:pPr>
    </w:p>
    <w:p w:rsidR="00394AD2" w:rsidRDefault="00394AD2" w:rsidP="00394AD2">
      <w:r>
        <w:t>A</w:t>
      </w:r>
      <w:r w:rsidRPr="00676991">
        <w:t xml:space="preserve">llowance is made for </w:t>
      </w:r>
      <w:r>
        <w:t xml:space="preserve">assumed </w:t>
      </w:r>
      <w:r w:rsidRPr="00676991">
        <w:t xml:space="preserve">future improvements </w:t>
      </w:r>
      <w:r w:rsidR="00546002">
        <w:t>(</w:t>
      </w:r>
      <w:r w:rsidR="004D743B">
        <w:t xml:space="preserve">i.e. </w:t>
      </w:r>
      <w:r w:rsidR="00546002">
        <w:t xml:space="preserve">reductions) </w:t>
      </w:r>
      <w:r w:rsidRPr="00676991">
        <w:t xml:space="preserve">in </w:t>
      </w:r>
      <w:r>
        <w:t xml:space="preserve">pensioner </w:t>
      </w:r>
      <w:r w:rsidRPr="00676991">
        <w:t>mortality.</w:t>
      </w:r>
    </w:p>
    <w:p w:rsidR="00394AD2" w:rsidRDefault="00394AD2" w:rsidP="00394AD2"/>
    <w:p w:rsidR="00394AD2" w:rsidRPr="00676991" w:rsidRDefault="00394AD2" w:rsidP="00394AD2">
      <w:r>
        <w:t>I</w:t>
      </w:r>
      <w:r w:rsidRPr="00676991">
        <w:t xml:space="preserve">mprovements </w:t>
      </w:r>
      <w:r>
        <w:t xml:space="preserve">in mortality have been updated to reflect </w:t>
      </w:r>
      <w:r w:rsidRPr="00676991">
        <w:t xml:space="preserve">the short </w:t>
      </w:r>
      <w:r>
        <w:t xml:space="preserve">term (25 year experience) </w:t>
      </w:r>
      <w:r w:rsidRPr="00676991">
        <w:t xml:space="preserve">and long term </w:t>
      </w:r>
      <w:r>
        <w:t xml:space="preserve">(125 year experience) factors </w:t>
      </w:r>
      <w:r w:rsidRPr="00676991">
        <w:t xml:space="preserve">derived by the Australian Government Actuary </w:t>
      </w:r>
      <w:r>
        <w:t xml:space="preserve">and </w:t>
      </w:r>
      <w:r w:rsidRPr="00676991">
        <w:t>published in the Australian Life Tables 20</w:t>
      </w:r>
      <w:r>
        <w:t>10</w:t>
      </w:r>
      <w:r w:rsidRPr="00676991">
        <w:t>-</w:t>
      </w:r>
      <w:r>
        <w:t>12</w:t>
      </w:r>
      <w:r w:rsidRPr="00676991">
        <w:t>.</w:t>
      </w:r>
      <w:r>
        <w:t xml:space="preserve"> The s</w:t>
      </w:r>
      <w:r w:rsidRPr="00676991">
        <w:t xml:space="preserve">hort term </w:t>
      </w:r>
      <w:r>
        <w:t xml:space="preserve">improvement factors </w:t>
      </w:r>
      <w:r w:rsidRPr="00676991">
        <w:t xml:space="preserve">are significantly higher </w:t>
      </w:r>
      <w:r>
        <w:t xml:space="preserve">(i.e. result in lower projected mortality) </w:t>
      </w:r>
      <w:r w:rsidRPr="00676991">
        <w:t xml:space="preserve">than the long term </w:t>
      </w:r>
      <w:r>
        <w:t>improvement factors</w:t>
      </w:r>
      <w:r w:rsidRPr="00676991">
        <w:t>.</w:t>
      </w:r>
    </w:p>
    <w:p w:rsidR="00394AD2" w:rsidRPr="00676991" w:rsidRDefault="00394AD2" w:rsidP="00394AD2"/>
    <w:p w:rsidR="00394AD2" w:rsidRDefault="00394AD2" w:rsidP="00394AD2">
      <w:r>
        <w:t>S</w:t>
      </w:r>
      <w:r w:rsidRPr="00676991">
        <w:t xml:space="preserve">hort term </w:t>
      </w:r>
      <w:r>
        <w:t xml:space="preserve">improvements are incorporated </w:t>
      </w:r>
      <w:r w:rsidRPr="00676991">
        <w:t>for the period 201</w:t>
      </w:r>
      <w:r>
        <w:t>8</w:t>
      </w:r>
      <w:r w:rsidRPr="00676991">
        <w:t xml:space="preserve"> to </w:t>
      </w:r>
      <w:r>
        <w:t xml:space="preserve">2021, with </w:t>
      </w:r>
      <w:r w:rsidRPr="00676991">
        <w:t xml:space="preserve">long term </w:t>
      </w:r>
      <w:r>
        <w:t xml:space="preserve">improvements assumed </w:t>
      </w:r>
      <w:r w:rsidRPr="00676991">
        <w:t>thereafter.</w:t>
      </w:r>
    </w:p>
    <w:p w:rsidR="00394AD2" w:rsidRDefault="00394AD2" w:rsidP="00394AD2"/>
    <w:p w:rsidR="00D72C77" w:rsidRDefault="00D72C77">
      <w:pPr>
        <w:spacing w:line="240" w:lineRule="auto"/>
        <w:rPr>
          <w:b/>
          <w:color w:val="006D9E"/>
        </w:rPr>
      </w:pPr>
      <w:r>
        <w:br w:type="page"/>
      </w:r>
    </w:p>
    <w:p w:rsidR="00394AD2" w:rsidRPr="00676991" w:rsidRDefault="00394AD2" w:rsidP="00394AD2">
      <w:pPr>
        <w:pStyle w:val="Heading3"/>
      </w:pPr>
      <w:r>
        <w:lastRenderedPageBreak/>
        <w:t xml:space="preserve">Proportion </w:t>
      </w:r>
      <w:r w:rsidR="002C018B">
        <w:t>with spouses</w:t>
      </w:r>
    </w:p>
    <w:p w:rsidR="00394AD2" w:rsidRDefault="00394AD2" w:rsidP="00394AD2">
      <w:pPr>
        <w:rPr>
          <w:szCs w:val="22"/>
        </w:rPr>
      </w:pPr>
    </w:p>
    <w:tbl>
      <w:tblPr>
        <w:tblW w:w="4473" w:type="dxa"/>
        <w:tblInd w:w="93"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491"/>
        <w:gridCol w:w="1491"/>
        <w:gridCol w:w="1491"/>
      </w:tblGrid>
      <w:tr w:rsidR="00394AD2" w:rsidRPr="008B6F35" w:rsidTr="0074307F">
        <w:trPr>
          <w:cantSplit/>
          <w:tblHeader/>
        </w:trPr>
        <w:tc>
          <w:tcPr>
            <w:tcW w:w="1491" w:type="dxa"/>
            <w:shd w:val="clear" w:color="auto" w:fill="00A8C8"/>
            <w:noWrap/>
            <w:hideMark/>
          </w:tcPr>
          <w:p w:rsidR="00394AD2" w:rsidRPr="008B6F35" w:rsidRDefault="00394AD2" w:rsidP="0074307F">
            <w:pPr>
              <w:pStyle w:val="TableHeadingText"/>
              <w:jc w:val="center"/>
              <w:rPr>
                <w:caps w:val="0"/>
              </w:rPr>
            </w:pPr>
            <w:r w:rsidRPr="008B6F35">
              <w:rPr>
                <w:caps w:val="0"/>
              </w:rPr>
              <w:t>Age</w:t>
            </w:r>
          </w:p>
        </w:tc>
        <w:tc>
          <w:tcPr>
            <w:tcW w:w="1491" w:type="dxa"/>
            <w:shd w:val="clear" w:color="auto" w:fill="00A8C8"/>
          </w:tcPr>
          <w:p w:rsidR="00394AD2" w:rsidRPr="008B6F35" w:rsidRDefault="00394AD2" w:rsidP="0074307F">
            <w:pPr>
              <w:pStyle w:val="TableHeadingText"/>
              <w:jc w:val="center"/>
              <w:rPr>
                <w:caps w:val="0"/>
              </w:rPr>
            </w:pPr>
            <w:r>
              <w:rPr>
                <w:caps w:val="0"/>
              </w:rPr>
              <w:t>Male</w:t>
            </w:r>
          </w:p>
        </w:tc>
        <w:tc>
          <w:tcPr>
            <w:tcW w:w="1491" w:type="dxa"/>
            <w:shd w:val="clear" w:color="auto" w:fill="00A8C8"/>
          </w:tcPr>
          <w:p w:rsidR="00394AD2" w:rsidRPr="008B6F35" w:rsidRDefault="00394AD2" w:rsidP="0074307F">
            <w:pPr>
              <w:pStyle w:val="TableHeadingText"/>
              <w:jc w:val="center"/>
              <w:rPr>
                <w:caps w:val="0"/>
              </w:rPr>
            </w:pPr>
            <w:r>
              <w:rPr>
                <w:caps w:val="0"/>
              </w:rPr>
              <w:t>Female</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t>55</w:t>
            </w:r>
          </w:p>
        </w:tc>
        <w:tc>
          <w:tcPr>
            <w:tcW w:w="1491" w:type="dxa"/>
            <w:shd w:val="clear" w:color="auto" w:fill="F2F2F2"/>
          </w:tcPr>
          <w:p w:rsidR="00394AD2" w:rsidRPr="00C705E1" w:rsidRDefault="00394AD2" w:rsidP="0074307F">
            <w:pPr>
              <w:pStyle w:val="TableText"/>
              <w:jc w:val="center"/>
            </w:pPr>
            <w:r w:rsidRPr="00C705E1">
              <w:t>61.0%</w:t>
            </w:r>
          </w:p>
        </w:tc>
        <w:tc>
          <w:tcPr>
            <w:tcW w:w="1491" w:type="dxa"/>
            <w:shd w:val="clear" w:color="auto" w:fill="F2F2F2"/>
          </w:tcPr>
          <w:p w:rsidR="00394AD2" w:rsidRPr="00C705E1" w:rsidRDefault="00394AD2" w:rsidP="0074307F">
            <w:pPr>
              <w:pStyle w:val="TableText"/>
              <w:jc w:val="center"/>
            </w:pPr>
            <w:r w:rsidRPr="00C705E1">
              <w:t>40.6%</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60</w:t>
            </w:r>
          </w:p>
        </w:tc>
        <w:tc>
          <w:tcPr>
            <w:tcW w:w="1491" w:type="dxa"/>
            <w:shd w:val="clear" w:color="auto" w:fill="F2F2F2"/>
          </w:tcPr>
          <w:p w:rsidR="00394AD2" w:rsidRPr="00C705E1" w:rsidRDefault="00394AD2" w:rsidP="0074307F">
            <w:pPr>
              <w:pStyle w:val="TableText"/>
              <w:jc w:val="center"/>
            </w:pPr>
            <w:r w:rsidRPr="00C705E1">
              <w:t>61.0%</w:t>
            </w:r>
          </w:p>
        </w:tc>
        <w:tc>
          <w:tcPr>
            <w:tcW w:w="1491" w:type="dxa"/>
            <w:shd w:val="clear" w:color="auto" w:fill="F2F2F2"/>
          </w:tcPr>
          <w:p w:rsidR="00394AD2" w:rsidRPr="00C705E1" w:rsidRDefault="00394AD2" w:rsidP="0074307F">
            <w:pPr>
              <w:pStyle w:val="TableText"/>
              <w:jc w:val="center"/>
            </w:pPr>
            <w:r w:rsidRPr="00C705E1">
              <w:t>40.6%</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65</w:t>
            </w:r>
          </w:p>
        </w:tc>
        <w:tc>
          <w:tcPr>
            <w:tcW w:w="1491" w:type="dxa"/>
            <w:shd w:val="clear" w:color="auto" w:fill="F2F2F2"/>
          </w:tcPr>
          <w:p w:rsidR="00394AD2" w:rsidRPr="00C705E1" w:rsidRDefault="00394AD2" w:rsidP="0074307F">
            <w:pPr>
              <w:pStyle w:val="TableText"/>
              <w:jc w:val="center"/>
            </w:pPr>
            <w:r w:rsidRPr="00C705E1">
              <w:t>61.0%</w:t>
            </w:r>
          </w:p>
        </w:tc>
        <w:tc>
          <w:tcPr>
            <w:tcW w:w="1491" w:type="dxa"/>
            <w:shd w:val="clear" w:color="auto" w:fill="F2F2F2"/>
          </w:tcPr>
          <w:p w:rsidR="00394AD2" w:rsidRPr="00C705E1" w:rsidRDefault="00394AD2" w:rsidP="0074307F">
            <w:pPr>
              <w:pStyle w:val="TableText"/>
              <w:jc w:val="center"/>
            </w:pPr>
            <w:r w:rsidRPr="00C705E1">
              <w:t>35.2%</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70</w:t>
            </w:r>
          </w:p>
        </w:tc>
        <w:tc>
          <w:tcPr>
            <w:tcW w:w="1491" w:type="dxa"/>
            <w:shd w:val="clear" w:color="auto" w:fill="F2F2F2"/>
          </w:tcPr>
          <w:p w:rsidR="00394AD2" w:rsidRPr="00C705E1" w:rsidRDefault="00394AD2" w:rsidP="0074307F">
            <w:pPr>
              <w:pStyle w:val="TableText"/>
              <w:jc w:val="center"/>
            </w:pPr>
            <w:r w:rsidRPr="00C705E1">
              <w:t>76.0%</w:t>
            </w:r>
          </w:p>
        </w:tc>
        <w:tc>
          <w:tcPr>
            <w:tcW w:w="1491" w:type="dxa"/>
            <w:shd w:val="clear" w:color="auto" w:fill="F2F2F2"/>
          </w:tcPr>
          <w:p w:rsidR="00394AD2" w:rsidRPr="00C705E1" w:rsidRDefault="00394AD2" w:rsidP="0074307F">
            <w:pPr>
              <w:pStyle w:val="TableText"/>
              <w:jc w:val="center"/>
            </w:pPr>
            <w:r w:rsidRPr="00C705E1">
              <w:t>34.3%</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75</w:t>
            </w:r>
          </w:p>
        </w:tc>
        <w:tc>
          <w:tcPr>
            <w:tcW w:w="1491" w:type="dxa"/>
            <w:shd w:val="clear" w:color="auto" w:fill="F2F2F2"/>
          </w:tcPr>
          <w:p w:rsidR="00394AD2" w:rsidRPr="00C705E1" w:rsidRDefault="00394AD2" w:rsidP="0074307F">
            <w:pPr>
              <w:pStyle w:val="TableText"/>
              <w:jc w:val="center"/>
            </w:pPr>
            <w:r w:rsidRPr="00C705E1">
              <w:t>72.0%</w:t>
            </w:r>
          </w:p>
        </w:tc>
        <w:tc>
          <w:tcPr>
            <w:tcW w:w="1491" w:type="dxa"/>
            <w:shd w:val="clear" w:color="auto" w:fill="F2F2F2"/>
          </w:tcPr>
          <w:p w:rsidR="00394AD2" w:rsidRPr="00C705E1" w:rsidRDefault="00394AD2" w:rsidP="0074307F">
            <w:pPr>
              <w:pStyle w:val="TableText"/>
              <w:jc w:val="center"/>
            </w:pPr>
            <w:r w:rsidRPr="00C705E1">
              <w:t>25.3%</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80</w:t>
            </w:r>
          </w:p>
        </w:tc>
        <w:tc>
          <w:tcPr>
            <w:tcW w:w="1491" w:type="dxa"/>
            <w:shd w:val="clear" w:color="auto" w:fill="F2F2F2"/>
          </w:tcPr>
          <w:p w:rsidR="00394AD2" w:rsidRPr="00C705E1" w:rsidRDefault="00394AD2" w:rsidP="0074307F">
            <w:pPr>
              <w:pStyle w:val="TableText"/>
              <w:jc w:val="center"/>
            </w:pPr>
            <w:r w:rsidRPr="00C705E1">
              <w:t>66.0%</w:t>
            </w:r>
          </w:p>
        </w:tc>
        <w:tc>
          <w:tcPr>
            <w:tcW w:w="1491" w:type="dxa"/>
            <w:shd w:val="clear" w:color="auto" w:fill="F2F2F2"/>
          </w:tcPr>
          <w:p w:rsidR="00394AD2" w:rsidRPr="00C705E1" w:rsidRDefault="00394AD2" w:rsidP="0074307F">
            <w:pPr>
              <w:pStyle w:val="TableText"/>
              <w:jc w:val="center"/>
            </w:pPr>
            <w:r w:rsidRPr="00C705E1">
              <w:t>15.4%</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85</w:t>
            </w:r>
          </w:p>
        </w:tc>
        <w:tc>
          <w:tcPr>
            <w:tcW w:w="1491" w:type="dxa"/>
            <w:shd w:val="clear" w:color="auto" w:fill="F2F2F2"/>
          </w:tcPr>
          <w:p w:rsidR="00394AD2" w:rsidRPr="00C705E1" w:rsidRDefault="00394AD2" w:rsidP="0074307F">
            <w:pPr>
              <w:pStyle w:val="TableText"/>
              <w:jc w:val="center"/>
            </w:pPr>
            <w:r w:rsidRPr="00C705E1">
              <w:t>56.0%</w:t>
            </w:r>
          </w:p>
        </w:tc>
        <w:tc>
          <w:tcPr>
            <w:tcW w:w="1491" w:type="dxa"/>
            <w:shd w:val="clear" w:color="auto" w:fill="F2F2F2"/>
          </w:tcPr>
          <w:p w:rsidR="00394AD2" w:rsidRPr="00C705E1" w:rsidRDefault="00394AD2" w:rsidP="0074307F">
            <w:pPr>
              <w:pStyle w:val="TableText"/>
              <w:jc w:val="center"/>
            </w:pPr>
            <w:r w:rsidRPr="00C705E1">
              <w:t>8.2%</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90</w:t>
            </w:r>
          </w:p>
        </w:tc>
        <w:tc>
          <w:tcPr>
            <w:tcW w:w="1491" w:type="dxa"/>
            <w:shd w:val="clear" w:color="auto" w:fill="F2F2F2"/>
          </w:tcPr>
          <w:p w:rsidR="00394AD2" w:rsidRPr="00C705E1" w:rsidRDefault="00394AD2" w:rsidP="0074307F">
            <w:pPr>
              <w:pStyle w:val="TableText"/>
              <w:jc w:val="center"/>
            </w:pPr>
            <w:r w:rsidRPr="00C705E1">
              <w:t>44.0%</w:t>
            </w:r>
          </w:p>
        </w:tc>
        <w:tc>
          <w:tcPr>
            <w:tcW w:w="1491" w:type="dxa"/>
            <w:shd w:val="clear" w:color="auto" w:fill="F2F2F2"/>
          </w:tcPr>
          <w:p w:rsidR="00394AD2" w:rsidRPr="00C705E1" w:rsidRDefault="00394AD2" w:rsidP="0074307F">
            <w:pPr>
              <w:pStyle w:val="TableText"/>
              <w:jc w:val="center"/>
            </w:pPr>
            <w:r w:rsidRPr="00C705E1">
              <w:t>6.4%</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95</w:t>
            </w:r>
          </w:p>
        </w:tc>
        <w:tc>
          <w:tcPr>
            <w:tcW w:w="1491" w:type="dxa"/>
            <w:shd w:val="clear" w:color="auto" w:fill="F2F2F2"/>
          </w:tcPr>
          <w:p w:rsidR="00394AD2" w:rsidRPr="00C705E1" w:rsidRDefault="00394AD2" w:rsidP="0074307F">
            <w:pPr>
              <w:pStyle w:val="TableText"/>
              <w:jc w:val="center"/>
            </w:pPr>
            <w:r w:rsidRPr="00C705E1">
              <w:t>31.0%</w:t>
            </w:r>
          </w:p>
        </w:tc>
        <w:tc>
          <w:tcPr>
            <w:tcW w:w="1491" w:type="dxa"/>
            <w:shd w:val="clear" w:color="auto" w:fill="F2F2F2"/>
          </w:tcPr>
          <w:p w:rsidR="00394AD2" w:rsidRPr="00C705E1" w:rsidRDefault="00394AD2" w:rsidP="0074307F">
            <w:pPr>
              <w:pStyle w:val="TableText"/>
              <w:jc w:val="center"/>
            </w:pPr>
            <w:r w:rsidRPr="00C705E1">
              <w:t>4.6%</w:t>
            </w:r>
          </w:p>
        </w:tc>
      </w:tr>
      <w:tr w:rsidR="00394AD2" w:rsidRPr="008B6F35" w:rsidTr="0074307F">
        <w:trPr>
          <w:cantSplit/>
        </w:trPr>
        <w:tc>
          <w:tcPr>
            <w:tcW w:w="1491" w:type="dxa"/>
            <w:shd w:val="clear" w:color="auto" w:fill="F2F2F2"/>
            <w:noWrap/>
          </w:tcPr>
          <w:p w:rsidR="00394AD2" w:rsidRPr="008B6F35" w:rsidRDefault="00394AD2" w:rsidP="0074307F">
            <w:pPr>
              <w:pStyle w:val="TableText"/>
              <w:jc w:val="center"/>
            </w:pPr>
            <w:r w:rsidRPr="008B6F35">
              <w:t>100</w:t>
            </w:r>
          </w:p>
        </w:tc>
        <w:tc>
          <w:tcPr>
            <w:tcW w:w="1491" w:type="dxa"/>
            <w:shd w:val="clear" w:color="auto" w:fill="F2F2F2"/>
          </w:tcPr>
          <w:p w:rsidR="00394AD2" w:rsidRPr="00C705E1" w:rsidRDefault="00394AD2" w:rsidP="0074307F">
            <w:pPr>
              <w:pStyle w:val="TableText"/>
              <w:jc w:val="center"/>
            </w:pPr>
            <w:r w:rsidRPr="00C705E1">
              <w:t>12.0%</w:t>
            </w:r>
          </w:p>
        </w:tc>
        <w:tc>
          <w:tcPr>
            <w:tcW w:w="1491" w:type="dxa"/>
            <w:shd w:val="clear" w:color="auto" w:fill="F2F2F2"/>
          </w:tcPr>
          <w:p w:rsidR="00394AD2" w:rsidRPr="00C705E1" w:rsidRDefault="00394AD2" w:rsidP="0074307F">
            <w:pPr>
              <w:pStyle w:val="TableText"/>
              <w:jc w:val="center"/>
            </w:pPr>
            <w:r w:rsidRPr="00C705E1">
              <w:t>2.8%</w:t>
            </w:r>
          </w:p>
        </w:tc>
      </w:tr>
    </w:tbl>
    <w:p w:rsidR="00394AD2" w:rsidRDefault="00394AD2" w:rsidP="00394AD2">
      <w:pPr>
        <w:rPr>
          <w:highlight w:val="yellow"/>
        </w:rPr>
      </w:pPr>
    </w:p>
    <w:p w:rsidR="00D76F0D" w:rsidRDefault="00D76F0D" w:rsidP="00394AD2">
      <w:pPr>
        <w:rPr>
          <w:highlight w:val="yellow"/>
        </w:rPr>
      </w:pPr>
      <w:r>
        <w:t xml:space="preserve">Allowance is made </w:t>
      </w:r>
      <w:r w:rsidRPr="009A5F2C">
        <w:t>for 1% of</w:t>
      </w:r>
      <w:r>
        <w:t xml:space="preserve"> males and females to have a same sex spouse, in addition to the above rates.</w:t>
      </w:r>
    </w:p>
    <w:p w:rsidR="00D76F0D" w:rsidRPr="00676991" w:rsidRDefault="00D76F0D" w:rsidP="00394AD2">
      <w:pPr>
        <w:rPr>
          <w:highlight w:val="yellow"/>
        </w:rPr>
      </w:pPr>
    </w:p>
    <w:p w:rsidR="00394AD2" w:rsidRPr="00676991" w:rsidRDefault="00394AD2" w:rsidP="00394AD2">
      <w:pPr>
        <w:pStyle w:val="Heading3"/>
      </w:pPr>
      <w:r>
        <w:t>Age Difference between Member and Spouse</w:t>
      </w:r>
    </w:p>
    <w:p w:rsidR="00394AD2" w:rsidRDefault="00394AD2" w:rsidP="00394AD2"/>
    <w:p w:rsidR="00394AD2" w:rsidRDefault="00394AD2" w:rsidP="00394AD2">
      <w:r>
        <w:t xml:space="preserve">It is assumed that male members are three years older than their spouse, and that female members are two years younger than their spouse. </w:t>
      </w:r>
    </w:p>
    <w:p w:rsidR="00394AD2" w:rsidRPr="00EF6DD9" w:rsidRDefault="00394AD2" w:rsidP="00394AD2"/>
    <w:p w:rsidR="00394AD2" w:rsidRPr="00EF6DD9" w:rsidRDefault="00394AD2" w:rsidP="00394AD2">
      <w:pPr>
        <w:pStyle w:val="Heading3"/>
      </w:pPr>
      <w:r>
        <w:t>Family Law</w:t>
      </w:r>
    </w:p>
    <w:p w:rsidR="00394AD2" w:rsidRDefault="00394AD2" w:rsidP="00394AD2"/>
    <w:p w:rsidR="00101205" w:rsidRDefault="00101205" w:rsidP="00394AD2">
      <w:r>
        <w:t>B</w:t>
      </w:r>
      <w:r w:rsidRPr="008C0DC5">
        <w:t xml:space="preserve">enefits subject to </w:t>
      </w:r>
      <w:r w:rsidR="00EB6170">
        <w:t>f</w:t>
      </w:r>
      <w:r w:rsidRPr="008C0DC5">
        <w:t xml:space="preserve">amily </w:t>
      </w:r>
      <w:r w:rsidR="00EB6170">
        <w:t>l</w:t>
      </w:r>
      <w:r w:rsidRPr="008C0DC5">
        <w:t xml:space="preserve">aw splitting order or agreement have been </w:t>
      </w:r>
      <w:r w:rsidR="008D2CD7">
        <w:t>f</w:t>
      </w:r>
      <w:r w:rsidR="00B4020F">
        <w:t>lagged</w:t>
      </w:r>
      <w:r w:rsidRPr="008C0DC5">
        <w:t xml:space="preserve"> in the </w:t>
      </w:r>
      <w:r>
        <w:t xml:space="preserve">membership </w:t>
      </w:r>
      <w:r w:rsidRPr="008C0DC5">
        <w:t>data as at 30 June 201</w:t>
      </w:r>
      <w:r>
        <w:t>7</w:t>
      </w:r>
      <w:r w:rsidRPr="008C0DC5">
        <w:t xml:space="preserve">. The </w:t>
      </w:r>
      <w:r w:rsidR="00EB6170">
        <w:t xml:space="preserve">member’s </w:t>
      </w:r>
      <w:r w:rsidRPr="008C0DC5">
        <w:t xml:space="preserve">benefit </w:t>
      </w:r>
      <w:r w:rsidR="00EB6170">
        <w:t xml:space="preserve">is </w:t>
      </w:r>
      <w:r w:rsidRPr="008C0DC5">
        <w:t>reduced due to the split</w:t>
      </w:r>
      <w:r w:rsidR="00EB6170">
        <w:t xml:space="preserve"> and th</w:t>
      </w:r>
      <w:r w:rsidRPr="008C0DC5">
        <w:t xml:space="preserve">e </w:t>
      </w:r>
      <w:r w:rsidR="00EB6170">
        <w:t xml:space="preserve">associate </w:t>
      </w:r>
      <w:r w:rsidRPr="008C0DC5">
        <w:t xml:space="preserve">member </w:t>
      </w:r>
      <w:r w:rsidR="00EB6170">
        <w:t xml:space="preserve">(former </w:t>
      </w:r>
      <w:r w:rsidRPr="008C0DC5">
        <w:t>spouse</w:t>
      </w:r>
      <w:r w:rsidR="00EB6170">
        <w:t>)</w:t>
      </w:r>
      <w:r w:rsidRPr="008C0DC5">
        <w:t xml:space="preserve"> is included as a </w:t>
      </w:r>
      <w:r>
        <w:t>dependant</w:t>
      </w:r>
      <w:r w:rsidRPr="008C0DC5">
        <w:t xml:space="preserve"> pensioner if currently receiving a pension, or as a </w:t>
      </w:r>
      <w:r w:rsidR="00EB6170">
        <w:t>deferred/</w:t>
      </w:r>
      <w:r w:rsidRPr="008C0DC5">
        <w:t xml:space="preserve">preserved member if the </w:t>
      </w:r>
      <w:r w:rsidR="00EB6170">
        <w:t>entitlement is yet to be paid</w:t>
      </w:r>
      <w:r w:rsidRPr="008C0DC5">
        <w:t>.</w:t>
      </w:r>
    </w:p>
    <w:p w:rsidR="00EB6170" w:rsidRDefault="00EB6170" w:rsidP="00394AD2"/>
    <w:p w:rsidR="00394AD2" w:rsidRPr="00EF6DD9" w:rsidRDefault="00394AD2" w:rsidP="00394AD2">
      <w:pPr>
        <w:pStyle w:val="Heading3"/>
      </w:pPr>
      <w:r>
        <w:t>Co-Contributions</w:t>
      </w:r>
      <w:r w:rsidR="00EB6170">
        <w:t xml:space="preserve"> and LISC/LISTO</w:t>
      </w:r>
    </w:p>
    <w:p w:rsidR="00394AD2" w:rsidRDefault="00394AD2" w:rsidP="00394AD2"/>
    <w:p w:rsidR="00EB6170" w:rsidRDefault="0074307F" w:rsidP="00394AD2">
      <w:r>
        <w:t>Government c</w:t>
      </w:r>
      <w:r w:rsidR="00EB6170" w:rsidRPr="00B83347">
        <w:t xml:space="preserve">o-contributions </w:t>
      </w:r>
      <w:r w:rsidR="00EB6170">
        <w:t xml:space="preserve">and </w:t>
      </w:r>
      <w:r>
        <w:t>l</w:t>
      </w:r>
      <w:r w:rsidR="00EB6170">
        <w:t xml:space="preserve">ow </w:t>
      </w:r>
      <w:r>
        <w:t>i</w:t>
      </w:r>
      <w:r w:rsidR="00EB6170">
        <w:t xml:space="preserve">ncome </w:t>
      </w:r>
      <w:r>
        <w:t>s</w:t>
      </w:r>
      <w:r w:rsidR="00EB6170">
        <w:t xml:space="preserve">uper </w:t>
      </w:r>
      <w:r>
        <w:t>c</w:t>
      </w:r>
      <w:r w:rsidR="00EB6170">
        <w:t>ontribution</w:t>
      </w:r>
      <w:r w:rsidR="00A26BBD">
        <w:t>s (</w:t>
      </w:r>
      <w:r>
        <w:t>replaced with l</w:t>
      </w:r>
      <w:r w:rsidR="00A26BBD">
        <w:t xml:space="preserve">ow </w:t>
      </w:r>
      <w:r>
        <w:t>i</w:t>
      </w:r>
      <w:r w:rsidR="00A26BBD">
        <w:t xml:space="preserve">ncome </w:t>
      </w:r>
      <w:r>
        <w:t>s</w:t>
      </w:r>
      <w:r w:rsidR="00A26BBD">
        <w:t xml:space="preserve">uper </w:t>
      </w:r>
      <w:r>
        <w:t>t</w:t>
      </w:r>
      <w:r w:rsidR="00A26BBD">
        <w:t xml:space="preserve">ax </w:t>
      </w:r>
      <w:r>
        <w:t>o</w:t>
      </w:r>
      <w:r w:rsidR="00A26BBD">
        <w:t xml:space="preserve">ffsets </w:t>
      </w:r>
      <w:r>
        <w:t xml:space="preserve">from 1 July 2017) </w:t>
      </w:r>
      <w:r w:rsidR="00EB6170" w:rsidRPr="00B83347">
        <w:t xml:space="preserve">are treated as fully funded additional member accounts and have no effect on the </w:t>
      </w:r>
      <w:r w:rsidR="00EB6170">
        <w:t>u</w:t>
      </w:r>
      <w:r w:rsidR="00EB6170" w:rsidRPr="00B83347">
        <w:t xml:space="preserve">nfunded </w:t>
      </w:r>
      <w:r w:rsidR="00EB6170">
        <w:t>l</w:t>
      </w:r>
      <w:r w:rsidR="00EB6170" w:rsidRPr="00B83347">
        <w:t xml:space="preserve">iability or </w:t>
      </w:r>
      <w:r w:rsidR="00EB6170">
        <w:t>NECRs.</w:t>
      </w:r>
    </w:p>
    <w:p w:rsidR="00394AD2" w:rsidRDefault="00394AD2" w:rsidP="00C84C0F"/>
    <w:p w:rsidR="00A01CFA" w:rsidRDefault="00A01CFA" w:rsidP="00A01CFA">
      <w:pPr>
        <w:spacing w:line="240" w:lineRule="auto"/>
      </w:pPr>
    </w:p>
    <w:p w:rsidR="00A01CFA" w:rsidRDefault="00A01CFA" w:rsidP="00A01CFA">
      <w:pPr>
        <w:pStyle w:val="AppendixStart"/>
        <w:numPr>
          <w:ilvl w:val="0"/>
          <w:numId w:val="2"/>
        </w:numPr>
        <w:pBdr>
          <w:bottom w:val="single" w:sz="12" w:space="0" w:color="auto"/>
        </w:pBdr>
        <w:spacing w:before="0" w:after="360"/>
      </w:pPr>
    </w:p>
    <w:p w:rsidR="00A01CFA" w:rsidRDefault="00A01CFA" w:rsidP="00A01CFA">
      <w:pPr>
        <w:pStyle w:val="AppendixHeading1"/>
      </w:pPr>
      <w:bookmarkStart w:id="119" w:name="_Toc511385939"/>
      <w:bookmarkStart w:id="120" w:name="_Toc517706072"/>
      <w:r>
        <w:t xml:space="preserve">Details of </w:t>
      </w:r>
      <w:r w:rsidR="00D95D42">
        <w:t>Projected Results</w:t>
      </w:r>
      <w:bookmarkEnd w:id="119"/>
      <w:bookmarkEnd w:id="120"/>
    </w:p>
    <w:p w:rsidR="00D95D42" w:rsidRPr="00331A3B" w:rsidRDefault="00D95D42" w:rsidP="00D95D42">
      <w:pPr>
        <w:rPr>
          <w:caps/>
          <w:color w:val="002C77"/>
          <w:spacing w:val="40"/>
        </w:rPr>
      </w:pPr>
      <w:r>
        <w:rPr>
          <w:caps/>
          <w:color w:val="002C77"/>
          <w:spacing w:val="40"/>
        </w:rPr>
        <w:t xml:space="preserve">Projected </w:t>
      </w:r>
      <w:r w:rsidRPr="00331A3B">
        <w:rPr>
          <w:caps/>
          <w:color w:val="002C77"/>
          <w:spacing w:val="40"/>
        </w:rPr>
        <w:t>Unfunded Liabilit</w:t>
      </w:r>
      <w:r w:rsidR="009E12D6">
        <w:rPr>
          <w:caps/>
          <w:color w:val="002C77"/>
          <w:spacing w:val="40"/>
        </w:rPr>
        <w:t>Y</w:t>
      </w:r>
    </w:p>
    <w:p w:rsidR="00D95D42" w:rsidRDefault="00D95D42" w:rsidP="00D95D42"/>
    <w:tbl>
      <w:tblPr>
        <w:tblW w:w="9144"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348"/>
        <w:gridCol w:w="2126"/>
        <w:gridCol w:w="2126"/>
        <w:gridCol w:w="2127"/>
        <w:gridCol w:w="1417"/>
      </w:tblGrid>
      <w:tr w:rsidR="00D95D42" w:rsidRPr="004F3084" w:rsidTr="0041553D">
        <w:trPr>
          <w:cantSplit/>
          <w:trHeight w:val="450"/>
          <w:tblHeader/>
        </w:trPr>
        <w:tc>
          <w:tcPr>
            <w:tcW w:w="1348" w:type="dxa"/>
            <w:vMerge w:val="restart"/>
            <w:shd w:val="clear" w:color="auto" w:fill="00A8C8"/>
          </w:tcPr>
          <w:p w:rsidR="00D95D42" w:rsidRPr="004F3084" w:rsidRDefault="00D95D42" w:rsidP="0041553D">
            <w:pPr>
              <w:pStyle w:val="TableHeadingText"/>
              <w:jc w:val="center"/>
              <w:rPr>
                <w:caps w:val="0"/>
              </w:rPr>
            </w:pPr>
            <w:r w:rsidRPr="004F3084">
              <w:rPr>
                <w:caps w:val="0"/>
              </w:rPr>
              <w:t xml:space="preserve">As at </w:t>
            </w:r>
            <w:r w:rsidRPr="004F3084">
              <w:rPr>
                <w:caps w:val="0"/>
              </w:rPr>
              <w:br/>
              <w:t>30 June</w:t>
            </w:r>
          </w:p>
        </w:tc>
        <w:tc>
          <w:tcPr>
            <w:tcW w:w="6379" w:type="dxa"/>
            <w:gridSpan w:val="3"/>
            <w:shd w:val="clear" w:color="auto" w:fill="00A8C8"/>
          </w:tcPr>
          <w:p w:rsidR="00D95D42" w:rsidRPr="004F3084" w:rsidRDefault="00D95D42" w:rsidP="0041553D">
            <w:pPr>
              <w:pStyle w:val="TableHeadingText"/>
              <w:jc w:val="center"/>
              <w:rPr>
                <w:caps w:val="0"/>
              </w:rPr>
            </w:pPr>
            <w:r w:rsidRPr="004F3084">
              <w:rPr>
                <w:caps w:val="0"/>
              </w:rPr>
              <w:t xml:space="preserve">Projected Unfunded Liability </w:t>
            </w:r>
            <w:r>
              <w:rPr>
                <w:caps w:val="0"/>
              </w:rPr>
              <w:br/>
            </w:r>
            <w:r w:rsidRPr="004F3084">
              <w:rPr>
                <w:caps w:val="0"/>
              </w:rPr>
              <w:t>($ billion)</w:t>
            </w:r>
          </w:p>
        </w:tc>
        <w:tc>
          <w:tcPr>
            <w:tcW w:w="1417" w:type="dxa"/>
            <w:vMerge w:val="restart"/>
            <w:shd w:val="clear" w:color="auto" w:fill="00A8C8"/>
          </w:tcPr>
          <w:p w:rsidR="00D95D42" w:rsidRPr="004F3084" w:rsidRDefault="00D95D42" w:rsidP="0041553D">
            <w:pPr>
              <w:pStyle w:val="TableHeadingText"/>
              <w:jc w:val="center"/>
              <w:rPr>
                <w:caps w:val="0"/>
              </w:rPr>
            </w:pPr>
            <w:r w:rsidRPr="004F3084">
              <w:rPr>
                <w:caps w:val="0"/>
              </w:rPr>
              <w:t xml:space="preserve">% </w:t>
            </w:r>
            <w:r w:rsidRPr="004F3084">
              <w:rPr>
                <w:caps w:val="0"/>
              </w:rPr>
              <w:br/>
              <w:t>of GDP</w:t>
            </w:r>
          </w:p>
        </w:tc>
      </w:tr>
      <w:tr w:rsidR="00D95D42" w:rsidRPr="004F3084" w:rsidTr="0041553D">
        <w:trPr>
          <w:cantSplit/>
          <w:trHeight w:val="450"/>
          <w:tblHeader/>
        </w:trPr>
        <w:tc>
          <w:tcPr>
            <w:tcW w:w="1348" w:type="dxa"/>
            <w:vMerge/>
            <w:shd w:val="clear" w:color="auto" w:fill="00A8C8"/>
          </w:tcPr>
          <w:p w:rsidR="00D95D42" w:rsidRPr="004F3084" w:rsidRDefault="00D95D42" w:rsidP="0041553D">
            <w:pPr>
              <w:pStyle w:val="TableHeadingText"/>
              <w:jc w:val="center"/>
              <w:rPr>
                <w:caps w:val="0"/>
              </w:rPr>
            </w:pPr>
          </w:p>
        </w:tc>
        <w:tc>
          <w:tcPr>
            <w:tcW w:w="2126" w:type="dxa"/>
            <w:shd w:val="clear" w:color="auto" w:fill="00A8C8"/>
          </w:tcPr>
          <w:p w:rsidR="00D95D42" w:rsidRPr="004F3084" w:rsidRDefault="00D95D42" w:rsidP="0041553D">
            <w:pPr>
              <w:pStyle w:val="TableHeadingText"/>
              <w:jc w:val="center"/>
              <w:rPr>
                <w:caps w:val="0"/>
              </w:rPr>
            </w:pPr>
            <w:r w:rsidRPr="004F3084">
              <w:rPr>
                <w:caps w:val="0"/>
              </w:rPr>
              <w:t>PSS</w:t>
            </w:r>
          </w:p>
        </w:tc>
        <w:tc>
          <w:tcPr>
            <w:tcW w:w="2126" w:type="dxa"/>
            <w:shd w:val="clear" w:color="auto" w:fill="00A8C8"/>
          </w:tcPr>
          <w:p w:rsidR="00D95D42" w:rsidRPr="004F3084" w:rsidRDefault="00D95D42" w:rsidP="0041553D">
            <w:pPr>
              <w:pStyle w:val="TableHeadingText"/>
              <w:jc w:val="center"/>
              <w:rPr>
                <w:caps w:val="0"/>
              </w:rPr>
            </w:pPr>
            <w:r w:rsidRPr="004F3084">
              <w:rPr>
                <w:caps w:val="0"/>
              </w:rPr>
              <w:t>CSS</w:t>
            </w:r>
          </w:p>
        </w:tc>
        <w:tc>
          <w:tcPr>
            <w:tcW w:w="2127" w:type="dxa"/>
            <w:shd w:val="clear" w:color="auto" w:fill="00A8C8"/>
          </w:tcPr>
          <w:p w:rsidR="00D95D42" w:rsidRPr="004F3084" w:rsidRDefault="00D95D42" w:rsidP="0041553D">
            <w:pPr>
              <w:pStyle w:val="TableHeadingText"/>
              <w:jc w:val="center"/>
              <w:rPr>
                <w:caps w:val="0"/>
              </w:rPr>
            </w:pPr>
            <w:r w:rsidRPr="004F3084">
              <w:rPr>
                <w:caps w:val="0"/>
              </w:rPr>
              <w:t>C</w:t>
            </w:r>
            <w:r>
              <w:rPr>
                <w:caps w:val="0"/>
              </w:rPr>
              <w:t>ombined</w:t>
            </w:r>
          </w:p>
        </w:tc>
        <w:tc>
          <w:tcPr>
            <w:tcW w:w="1417" w:type="dxa"/>
            <w:vMerge/>
            <w:shd w:val="clear" w:color="auto" w:fill="00A8C8"/>
          </w:tcPr>
          <w:p w:rsidR="00D95D42" w:rsidRPr="004F3084" w:rsidRDefault="00D95D42" w:rsidP="0041553D">
            <w:pPr>
              <w:pStyle w:val="TableHeadingText"/>
              <w:jc w:val="center"/>
              <w:rPr>
                <w:caps w:val="0"/>
              </w:rPr>
            </w:pPr>
          </w:p>
        </w:tc>
      </w:tr>
      <w:tr w:rsidR="00D95D42" w:rsidRPr="004F3084"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2017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67.8</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70.0</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137.8</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7.84%</w:t>
            </w:r>
          </w:p>
        </w:tc>
      </w:tr>
      <w:tr w:rsidR="00D95D42" w:rsidRPr="004F3084"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2018</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71.9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69.4</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141.3</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7.64%</w:t>
            </w:r>
          </w:p>
        </w:tc>
      </w:tr>
      <w:tr w:rsidR="00D95D42" w:rsidRPr="004F3084"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2019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76.2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68.7</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144.9</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7.44%</w:t>
            </w:r>
          </w:p>
        </w:tc>
      </w:tr>
      <w:tr w:rsidR="00D95D42" w:rsidRPr="004F3084"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80.4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67.9</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148.3</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7.23%</w:t>
            </w:r>
          </w:p>
        </w:tc>
      </w:tr>
      <w:tr w:rsidR="00D95D42" w:rsidRPr="004F3084"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84.7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66.9</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151.6</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7.01%</w:t>
            </w:r>
          </w:p>
        </w:tc>
      </w:tr>
      <w:tr w:rsidR="00D95D42" w:rsidRPr="004F3084"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89.0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65.8</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154.8</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6.80%</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93.2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64.6</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157.8</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6.58%</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97.3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63.3</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160.6</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6.36%</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2025</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101.4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61.8</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163.2</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6.13%</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105.3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60.3</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165.6</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5.91%</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109.1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58.6</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167.7</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5.68%</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2028</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112.7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56.8</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169.5</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5.46%</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2029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116.1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55.0</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171.1</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5.23%</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119.2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53.0</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172.2</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5.00%</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122.1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51.0</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173.1</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4.77%</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124.6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48.9</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173.5</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4.54%</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126.8</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46.7</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173.5</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4.31%</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128.6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44.4</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173.0</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4.08%</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2035</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130.1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42.2</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172.3</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3.86%</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131.1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39.9</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171.0</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3.64%</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131.7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37.5</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169.2</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3.42%</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2038</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131.9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35.2</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167.1</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3.21%</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2039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131.6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32.9</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164.5</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3.00%</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130.9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30.6</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161.5</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2.80%</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129.7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28.3</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158.0</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2.60%</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128.0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26.1</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154.1</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2.41%</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125.9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23.9</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149.8</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2.22%</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123.3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21.8</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145.1</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2045</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120.3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19.7</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140.0</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1.88%</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117.0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17.8</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134.8</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1.72%</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113.4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15.9</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129.3</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1.56%</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2048</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109.4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14.2</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123.6</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1.42%</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2049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105.3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12.6</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117.9</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1.29%</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100.9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11.0</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111.9</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1.16%</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96.3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9.6</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105.9</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1.05%</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91.6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8.3</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99.9</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0.94%</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2053</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86.9</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7.1</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94.0</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0.84%</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2054</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82.0</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6.1</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88.1</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0.75%</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2055</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77.1</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5.1</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82.2</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0.67%</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2056</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72.2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4.3</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76.5</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0.59%</w:t>
            </w:r>
          </w:p>
        </w:tc>
      </w:tr>
      <w:tr w:rsidR="00D95D42" w:rsidRPr="00D95D42" w:rsidTr="00D95D42">
        <w:tblPrEx>
          <w:shd w:val="clear" w:color="auto" w:fill="auto"/>
        </w:tblPrEx>
        <w:trPr>
          <w:cantSplit/>
          <w:trHeight w:hRule="exact" w:val="227"/>
        </w:trPr>
        <w:tc>
          <w:tcPr>
            <w:tcW w:w="1348"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2057</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67.2</w:t>
            </w:r>
          </w:p>
        </w:tc>
        <w:tc>
          <w:tcPr>
            <w:tcW w:w="2126"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3.5</w:t>
            </w:r>
          </w:p>
        </w:tc>
        <w:tc>
          <w:tcPr>
            <w:tcW w:w="212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70.7</w:t>
            </w:r>
          </w:p>
        </w:tc>
        <w:tc>
          <w:tcPr>
            <w:tcW w:w="1417" w:type="dxa"/>
            <w:shd w:val="clear" w:color="auto" w:fill="F2F2F2"/>
            <w:vAlign w:val="center"/>
          </w:tcPr>
          <w:p w:rsidR="00D95D42" w:rsidRPr="00D95D42" w:rsidRDefault="00D95D42" w:rsidP="00D95D42">
            <w:pPr>
              <w:pStyle w:val="TableText"/>
              <w:spacing w:before="20" w:after="20" w:line="240" w:lineRule="auto"/>
              <w:jc w:val="center"/>
              <w:rPr>
                <w:sz w:val="16"/>
                <w:szCs w:val="16"/>
              </w:rPr>
            </w:pPr>
            <w:r w:rsidRPr="00D95D42">
              <w:rPr>
                <w:sz w:val="16"/>
                <w:szCs w:val="16"/>
              </w:rPr>
              <w:t>0.52%</w:t>
            </w:r>
          </w:p>
        </w:tc>
      </w:tr>
    </w:tbl>
    <w:p w:rsidR="00D95D42" w:rsidRDefault="00D95D42" w:rsidP="00D95D42"/>
    <w:p w:rsidR="00D95D42" w:rsidRPr="00331A3B" w:rsidRDefault="00D95D42" w:rsidP="00D95D42">
      <w:pPr>
        <w:rPr>
          <w:caps/>
          <w:color w:val="002C77"/>
          <w:spacing w:val="40"/>
        </w:rPr>
      </w:pPr>
      <w:r>
        <w:rPr>
          <w:caps/>
          <w:color w:val="002C77"/>
          <w:spacing w:val="40"/>
        </w:rPr>
        <w:lastRenderedPageBreak/>
        <w:t>Projected Outlays</w:t>
      </w:r>
    </w:p>
    <w:p w:rsidR="00D95D42" w:rsidRDefault="00D95D42" w:rsidP="00A01CFA"/>
    <w:tbl>
      <w:tblPr>
        <w:tblW w:w="9144" w:type="dxa"/>
        <w:tblBorders>
          <w:insideH w:val="single" w:sz="8" w:space="0" w:color="FFFFFF"/>
          <w:insideV w:val="single" w:sz="8" w:space="0" w:color="FFFFFF"/>
        </w:tblBorders>
        <w:shd w:val="clear" w:color="auto" w:fill="00A8C8"/>
        <w:tblLayout w:type="fixed"/>
        <w:tblCellMar>
          <w:left w:w="72" w:type="dxa"/>
          <w:right w:w="72" w:type="dxa"/>
        </w:tblCellMar>
        <w:tblLook w:val="0000" w:firstRow="0" w:lastRow="0" w:firstColumn="0" w:lastColumn="0" w:noHBand="0" w:noVBand="0"/>
      </w:tblPr>
      <w:tblGrid>
        <w:gridCol w:w="1348"/>
        <w:gridCol w:w="2126"/>
        <w:gridCol w:w="2126"/>
        <w:gridCol w:w="2127"/>
        <w:gridCol w:w="1417"/>
      </w:tblGrid>
      <w:tr w:rsidR="00A01CFA" w:rsidRPr="004F3084" w:rsidTr="0041553D">
        <w:trPr>
          <w:cantSplit/>
          <w:trHeight w:val="450"/>
          <w:tblHeader/>
        </w:trPr>
        <w:tc>
          <w:tcPr>
            <w:tcW w:w="1348" w:type="dxa"/>
            <w:vMerge w:val="restart"/>
            <w:shd w:val="clear" w:color="auto" w:fill="00A8C8"/>
          </w:tcPr>
          <w:p w:rsidR="00A01CFA" w:rsidRPr="004F3084" w:rsidRDefault="00A01CFA" w:rsidP="0041553D">
            <w:pPr>
              <w:pStyle w:val="TableHeadingText"/>
              <w:jc w:val="center"/>
              <w:rPr>
                <w:caps w:val="0"/>
              </w:rPr>
            </w:pPr>
            <w:r>
              <w:rPr>
                <w:caps w:val="0"/>
              </w:rPr>
              <w:t xml:space="preserve">Year Ending </w:t>
            </w:r>
            <w:r w:rsidRPr="004F3084">
              <w:rPr>
                <w:caps w:val="0"/>
              </w:rPr>
              <w:t>30 June</w:t>
            </w:r>
          </w:p>
        </w:tc>
        <w:tc>
          <w:tcPr>
            <w:tcW w:w="6379" w:type="dxa"/>
            <w:gridSpan w:val="3"/>
            <w:shd w:val="clear" w:color="auto" w:fill="00A8C8"/>
          </w:tcPr>
          <w:p w:rsidR="00A01CFA" w:rsidRPr="004F3084" w:rsidRDefault="00A01CFA" w:rsidP="0041553D">
            <w:pPr>
              <w:pStyle w:val="TableHeadingText"/>
              <w:jc w:val="center"/>
              <w:rPr>
                <w:caps w:val="0"/>
              </w:rPr>
            </w:pPr>
            <w:r>
              <w:rPr>
                <w:caps w:val="0"/>
              </w:rPr>
              <w:t>Nominal Outlays</w:t>
            </w:r>
            <w:r>
              <w:rPr>
                <w:caps w:val="0"/>
              </w:rPr>
              <w:br/>
            </w:r>
            <w:r w:rsidRPr="004F3084">
              <w:rPr>
                <w:caps w:val="0"/>
              </w:rPr>
              <w:t>($ billion)</w:t>
            </w:r>
          </w:p>
        </w:tc>
        <w:tc>
          <w:tcPr>
            <w:tcW w:w="1417" w:type="dxa"/>
            <w:vMerge w:val="restart"/>
            <w:shd w:val="clear" w:color="auto" w:fill="00A8C8"/>
          </w:tcPr>
          <w:p w:rsidR="00A01CFA" w:rsidRPr="004F3084" w:rsidRDefault="00A01CFA" w:rsidP="0041553D">
            <w:pPr>
              <w:pStyle w:val="TableHeadingText"/>
              <w:jc w:val="center"/>
              <w:rPr>
                <w:caps w:val="0"/>
              </w:rPr>
            </w:pPr>
            <w:r>
              <w:rPr>
                <w:caps w:val="0"/>
              </w:rPr>
              <w:t xml:space="preserve">Nominal Outlays as </w:t>
            </w:r>
            <w:r w:rsidRPr="004F3084">
              <w:rPr>
                <w:caps w:val="0"/>
              </w:rPr>
              <w:t>% of GDP</w:t>
            </w:r>
          </w:p>
        </w:tc>
      </w:tr>
      <w:tr w:rsidR="00A01CFA" w:rsidRPr="004F3084" w:rsidTr="0041553D">
        <w:trPr>
          <w:cantSplit/>
          <w:trHeight w:val="450"/>
          <w:tblHeader/>
        </w:trPr>
        <w:tc>
          <w:tcPr>
            <w:tcW w:w="1348" w:type="dxa"/>
            <w:vMerge/>
            <w:shd w:val="clear" w:color="auto" w:fill="00A8C8"/>
          </w:tcPr>
          <w:p w:rsidR="00A01CFA" w:rsidRPr="004F3084" w:rsidRDefault="00A01CFA" w:rsidP="0041553D">
            <w:pPr>
              <w:pStyle w:val="TableHeadingText"/>
              <w:jc w:val="center"/>
              <w:rPr>
                <w:caps w:val="0"/>
              </w:rPr>
            </w:pPr>
          </w:p>
        </w:tc>
        <w:tc>
          <w:tcPr>
            <w:tcW w:w="2126" w:type="dxa"/>
            <w:shd w:val="clear" w:color="auto" w:fill="00A8C8"/>
          </w:tcPr>
          <w:p w:rsidR="00A01CFA" w:rsidRPr="004F3084" w:rsidRDefault="00A01CFA" w:rsidP="0041553D">
            <w:pPr>
              <w:pStyle w:val="TableHeadingText"/>
              <w:jc w:val="center"/>
              <w:rPr>
                <w:caps w:val="0"/>
              </w:rPr>
            </w:pPr>
            <w:r w:rsidRPr="004F3084">
              <w:rPr>
                <w:caps w:val="0"/>
              </w:rPr>
              <w:t>PSS</w:t>
            </w:r>
          </w:p>
        </w:tc>
        <w:tc>
          <w:tcPr>
            <w:tcW w:w="2126" w:type="dxa"/>
            <w:shd w:val="clear" w:color="auto" w:fill="00A8C8"/>
          </w:tcPr>
          <w:p w:rsidR="00A01CFA" w:rsidRPr="004F3084" w:rsidRDefault="00A01CFA" w:rsidP="0041553D">
            <w:pPr>
              <w:pStyle w:val="TableHeadingText"/>
              <w:jc w:val="center"/>
              <w:rPr>
                <w:caps w:val="0"/>
              </w:rPr>
            </w:pPr>
            <w:r w:rsidRPr="004F3084">
              <w:rPr>
                <w:caps w:val="0"/>
              </w:rPr>
              <w:t>CSS</w:t>
            </w:r>
          </w:p>
        </w:tc>
        <w:tc>
          <w:tcPr>
            <w:tcW w:w="2127" w:type="dxa"/>
            <w:shd w:val="clear" w:color="auto" w:fill="00A8C8"/>
          </w:tcPr>
          <w:p w:rsidR="00A01CFA" w:rsidRPr="004F3084" w:rsidRDefault="00A01CFA" w:rsidP="0041553D">
            <w:pPr>
              <w:pStyle w:val="TableHeadingText"/>
              <w:jc w:val="center"/>
              <w:rPr>
                <w:caps w:val="0"/>
              </w:rPr>
            </w:pPr>
            <w:r w:rsidRPr="004F3084">
              <w:rPr>
                <w:caps w:val="0"/>
              </w:rPr>
              <w:t>C</w:t>
            </w:r>
            <w:r>
              <w:rPr>
                <w:caps w:val="0"/>
              </w:rPr>
              <w:t>ombined</w:t>
            </w:r>
          </w:p>
        </w:tc>
        <w:tc>
          <w:tcPr>
            <w:tcW w:w="1417" w:type="dxa"/>
            <w:vMerge/>
            <w:shd w:val="clear" w:color="auto" w:fill="00A8C8"/>
          </w:tcPr>
          <w:p w:rsidR="00A01CFA" w:rsidRPr="004F3084" w:rsidRDefault="00A01CFA" w:rsidP="0041553D">
            <w:pPr>
              <w:pStyle w:val="TableHeadingText"/>
              <w:jc w:val="center"/>
              <w:rPr>
                <w:caps w:val="0"/>
              </w:rPr>
            </w:pP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2018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1.4</w:t>
            </w:r>
          </w:p>
        </w:tc>
        <w:tc>
          <w:tcPr>
            <w:tcW w:w="2126" w:type="dxa"/>
            <w:shd w:val="clear" w:color="auto" w:fill="F2F2F2"/>
          </w:tcPr>
          <w:p w:rsidR="00A01CFA" w:rsidRPr="00D95D42" w:rsidRDefault="00A01CFA" w:rsidP="00713449">
            <w:pPr>
              <w:pStyle w:val="TableText"/>
              <w:spacing w:before="20" w:after="20" w:line="240" w:lineRule="auto"/>
              <w:jc w:val="center"/>
              <w:rPr>
                <w:sz w:val="16"/>
                <w:szCs w:val="16"/>
              </w:rPr>
            </w:pPr>
            <w:r w:rsidRPr="00D95D42">
              <w:rPr>
                <w:sz w:val="16"/>
                <w:szCs w:val="16"/>
              </w:rPr>
              <w:t>4.</w:t>
            </w:r>
            <w:r w:rsidR="00713449">
              <w:rPr>
                <w:sz w:val="16"/>
                <w:szCs w:val="16"/>
              </w:rPr>
              <w:t>1</w:t>
            </w:r>
          </w:p>
        </w:tc>
        <w:tc>
          <w:tcPr>
            <w:tcW w:w="2127" w:type="dxa"/>
            <w:shd w:val="clear" w:color="auto" w:fill="F2F2F2"/>
          </w:tcPr>
          <w:p w:rsidR="00A01CFA" w:rsidRPr="00D95D42" w:rsidRDefault="00A01CFA" w:rsidP="00713449">
            <w:pPr>
              <w:pStyle w:val="TableText"/>
              <w:spacing w:before="20" w:after="20" w:line="240" w:lineRule="auto"/>
              <w:jc w:val="center"/>
              <w:rPr>
                <w:sz w:val="16"/>
                <w:szCs w:val="16"/>
              </w:rPr>
            </w:pPr>
            <w:r w:rsidRPr="00D95D42">
              <w:rPr>
                <w:sz w:val="16"/>
                <w:szCs w:val="16"/>
              </w:rPr>
              <w:t>5.</w:t>
            </w:r>
            <w:r w:rsidR="00713449">
              <w:rPr>
                <w:sz w:val="16"/>
                <w:szCs w:val="16"/>
              </w:rPr>
              <w:t>5</w:t>
            </w:r>
          </w:p>
        </w:tc>
        <w:tc>
          <w:tcPr>
            <w:tcW w:w="141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0.30</w:t>
            </w:r>
            <w:r w:rsidR="00A01CFA" w:rsidRPr="00D95D42">
              <w:rPr>
                <w:sz w:val="16"/>
                <w:szCs w:val="16"/>
              </w:rPr>
              <w:t>%</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2019</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1.5</w:t>
            </w:r>
          </w:p>
        </w:tc>
        <w:tc>
          <w:tcPr>
            <w:tcW w:w="2126"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4.2</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5.7</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0.29%</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1.7</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4.2</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5.9</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0.29%</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2021</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4.3</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6.1</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0.28%</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2022</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w:t>
            </w:r>
          </w:p>
        </w:tc>
        <w:tc>
          <w:tcPr>
            <w:tcW w:w="2126"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4.4</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6.4</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0.28%</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2.2</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4.4</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6.6</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0.28%</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2.4</w:t>
            </w:r>
          </w:p>
        </w:tc>
        <w:tc>
          <w:tcPr>
            <w:tcW w:w="2126"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4.5</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6.9</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0.27%</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2025</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2.6</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4.5</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7.1</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0.27%</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2026</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4.5</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7.3</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0.26%</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2027</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3.1</w:t>
            </w:r>
          </w:p>
        </w:tc>
        <w:tc>
          <w:tcPr>
            <w:tcW w:w="2126" w:type="dxa"/>
            <w:shd w:val="clear" w:color="auto" w:fill="F2F2F2"/>
          </w:tcPr>
          <w:p w:rsidR="00A01CFA" w:rsidRPr="00D95D42" w:rsidRDefault="00A01CFA" w:rsidP="00713449">
            <w:pPr>
              <w:pStyle w:val="TableText"/>
              <w:spacing w:before="20" w:after="20" w:line="240" w:lineRule="auto"/>
              <w:jc w:val="center"/>
              <w:rPr>
                <w:sz w:val="16"/>
                <w:szCs w:val="16"/>
              </w:rPr>
            </w:pPr>
            <w:r w:rsidRPr="00D95D42">
              <w:rPr>
                <w:sz w:val="16"/>
                <w:szCs w:val="16"/>
              </w:rPr>
              <w:t>4.</w:t>
            </w:r>
            <w:r w:rsidR="00713449">
              <w:rPr>
                <w:sz w:val="16"/>
                <w:szCs w:val="16"/>
              </w:rPr>
              <w:t>6</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7.7</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0.26%</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4.6</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8.0</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0.26%</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2029</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3.7</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4.6</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8.3</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0.25%</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4.6</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8.6</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0.25%</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2031</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4.3</w:t>
            </w:r>
          </w:p>
        </w:tc>
        <w:tc>
          <w:tcPr>
            <w:tcW w:w="2126" w:type="dxa"/>
            <w:shd w:val="clear" w:color="auto" w:fill="F2F2F2"/>
          </w:tcPr>
          <w:p w:rsidR="00A01CFA" w:rsidRPr="00D95D42" w:rsidRDefault="00A01CFA" w:rsidP="00713449">
            <w:pPr>
              <w:pStyle w:val="TableText"/>
              <w:spacing w:before="20" w:after="20" w:line="240" w:lineRule="auto"/>
              <w:jc w:val="center"/>
              <w:rPr>
                <w:sz w:val="16"/>
                <w:szCs w:val="16"/>
              </w:rPr>
            </w:pPr>
            <w:r w:rsidRPr="00D95D42">
              <w:rPr>
                <w:sz w:val="16"/>
                <w:szCs w:val="16"/>
              </w:rPr>
              <w:t>4.</w:t>
            </w:r>
            <w:r w:rsidR="00713449">
              <w:rPr>
                <w:sz w:val="16"/>
                <w:szCs w:val="16"/>
              </w:rPr>
              <w:t>6</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8.9</w:t>
            </w:r>
          </w:p>
        </w:tc>
        <w:tc>
          <w:tcPr>
            <w:tcW w:w="141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0.25</w:t>
            </w:r>
            <w:r w:rsidR="00A01CFA" w:rsidRPr="00D95D42">
              <w:rPr>
                <w:sz w:val="16"/>
                <w:szCs w:val="16"/>
              </w:rPr>
              <w:t>%</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2032</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4.6</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4.5</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9.1</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0.24%</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5.0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4.5</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9.5</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0.24%</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5.3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4.4</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9.7</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0.23%</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2035</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5.7</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4.4</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10.1</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0.23%</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2036</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6.1</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4.3</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10.4</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0.22%</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2037</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6.5</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4.2</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10.7</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0.22%</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6.8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4.1</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10.9</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0.21%</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2039</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7.2</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4.0</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11.2</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0.20%</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7.5</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3.8</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11.3</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0.20%</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2041</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7.9</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3.7</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11.6</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0.19%</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2042</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8.2</w:t>
            </w:r>
          </w:p>
        </w:tc>
        <w:tc>
          <w:tcPr>
            <w:tcW w:w="2126" w:type="dxa"/>
            <w:shd w:val="clear" w:color="auto" w:fill="F2F2F2"/>
          </w:tcPr>
          <w:p w:rsidR="00A01CFA" w:rsidRPr="00D95D42" w:rsidRDefault="00A01CFA" w:rsidP="00713449">
            <w:pPr>
              <w:pStyle w:val="TableText"/>
              <w:spacing w:before="20" w:after="20" w:line="240" w:lineRule="auto"/>
              <w:jc w:val="center"/>
              <w:rPr>
                <w:sz w:val="16"/>
                <w:szCs w:val="16"/>
              </w:rPr>
            </w:pPr>
            <w:r w:rsidRPr="00D95D42">
              <w:rPr>
                <w:sz w:val="16"/>
                <w:szCs w:val="16"/>
              </w:rPr>
              <w:t>3.</w:t>
            </w:r>
            <w:r w:rsidR="00713449">
              <w:rPr>
                <w:sz w:val="16"/>
                <w:szCs w:val="16"/>
              </w:rPr>
              <w:t>6</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11.8</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0.18%</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8.5</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3.4</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11.9</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0.18%</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3.2</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12.0</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0.17%</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2045</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3.0</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12.0</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0.16%</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2046</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9.2</w:t>
            </w:r>
          </w:p>
        </w:tc>
        <w:tc>
          <w:tcPr>
            <w:tcW w:w="2126" w:type="dxa"/>
            <w:shd w:val="clear" w:color="auto" w:fill="F2F2F2"/>
          </w:tcPr>
          <w:p w:rsidR="00A01CFA" w:rsidRPr="00D95D42" w:rsidRDefault="00A01CFA" w:rsidP="00713449">
            <w:pPr>
              <w:pStyle w:val="TableText"/>
              <w:spacing w:before="20" w:after="20" w:line="240" w:lineRule="auto"/>
              <w:jc w:val="center"/>
              <w:rPr>
                <w:sz w:val="16"/>
                <w:szCs w:val="16"/>
              </w:rPr>
            </w:pPr>
            <w:r w:rsidRPr="00D95D42">
              <w:rPr>
                <w:sz w:val="16"/>
                <w:szCs w:val="16"/>
              </w:rPr>
              <w:t>2.</w:t>
            </w:r>
            <w:r w:rsidR="00713449">
              <w:rPr>
                <w:sz w:val="16"/>
                <w:szCs w:val="16"/>
              </w:rPr>
              <w:t>9</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12.1</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0.15%</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2047</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2.7</w:t>
            </w:r>
          </w:p>
        </w:tc>
        <w:tc>
          <w:tcPr>
            <w:tcW w:w="2127" w:type="dxa"/>
            <w:shd w:val="clear" w:color="auto" w:fill="F2F2F2"/>
          </w:tcPr>
          <w:p w:rsidR="00A01CFA" w:rsidRPr="00D95D42" w:rsidRDefault="00713449" w:rsidP="00D95D42">
            <w:pPr>
              <w:pStyle w:val="TableText"/>
              <w:spacing w:before="20" w:after="20" w:line="240" w:lineRule="auto"/>
              <w:jc w:val="center"/>
              <w:rPr>
                <w:sz w:val="16"/>
                <w:szCs w:val="16"/>
              </w:rPr>
            </w:pPr>
            <w:r>
              <w:rPr>
                <w:sz w:val="16"/>
                <w:szCs w:val="16"/>
              </w:rPr>
              <w:t>12.0</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0.15%</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2.5</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11.9</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0.14%</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2049</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2.3</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11.7</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0.13%</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2.1</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11.5</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0.12%</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2051</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1.9</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11.2</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0.11%</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2052</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1.7</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11.0</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0.10%</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9.1</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1.6</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10.7</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0.10%</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2054</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9.0</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1.4</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10.4</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0.09%</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2055</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8.8</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1.2</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10.0</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0.08%</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2056</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8.6</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1.1</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9.7</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0.07%</w:t>
            </w:r>
          </w:p>
        </w:tc>
      </w:tr>
      <w:tr w:rsidR="00A01CFA" w:rsidRPr="00D95D42" w:rsidTr="0041553D">
        <w:tblPrEx>
          <w:shd w:val="clear" w:color="auto" w:fill="auto"/>
        </w:tblPrEx>
        <w:trPr>
          <w:cantSplit/>
        </w:trPr>
        <w:tc>
          <w:tcPr>
            <w:tcW w:w="1348"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2057</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8.3</w:t>
            </w:r>
          </w:p>
        </w:tc>
        <w:tc>
          <w:tcPr>
            <w:tcW w:w="2126"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0.9</w:t>
            </w:r>
          </w:p>
        </w:tc>
        <w:tc>
          <w:tcPr>
            <w:tcW w:w="212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9.2</w:t>
            </w:r>
          </w:p>
        </w:tc>
        <w:tc>
          <w:tcPr>
            <w:tcW w:w="1417" w:type="dxa"/>
            <w:shd w:val="clear" w:color="auto" w:fill="F2F2F2"/>
          </w:tcPr>
          <w:p w:rsidR="00A01CFA" w:rsidRPr="00D95D42" w:rsidRDefault="00A01CFA" w:rsidP="00D95D42">
            <w:pPr>
              <w:pStyle w:val="TableText"/>
              <w:spacing w:before="20" w:after="20" w:line="240" w:lineRule="auto"/>
              <w:jc w:val="center"/>
              <w:rPr>
                <w:sz w:val="16"/>
                <w:szCs w:val="16"/>
              </w:rPr>
            </w:pPr>
            <w:r w:rsidRPr="00D95D42">
              <w:rPr>
                <w:sz w:val="16"/>
                <w:szCs w:val="16"/>
              </w:rPr>
              <w:t>0.07%</w:t>
            </w:r>
          </w:p>
        </w:tc>
      </w:tr>
    </w:tbl>
    <w:p w:rsidR="00AB3D43" w:rsidRDefault="00AB3D43" w:rsidP="00AB3D43">
      <w:pPr>
        <w:spacing w:line="240" w:lineRule="auto"/>
      </w:pPr>
    </w:p>
    <w:p w:rsidR="00AB3D43" w:rsidRDefault="00AB3D43" w:rsidP="00AB3D43">
      <w:pPr>
        <w:spacing w:line="240" w:lineRule="auto"/>
      </w:pPr>
    </w:p>
    <w:p w:rsidR="00C84C0F" w:rsidRPr="00C84C0F" w:rsidRDefault="00C84C0F" w:rsidP="00C84C0F">
      <w:pPr>
        <w:sectPr w:rsidR="00C84C0F" w:rsidRPr="00C84C0F" w:rsidSect="00555C58">
          <w:headerReference w:type="even" r:id="rId28"/>
          <w:headerReference w:type="default" r:id="rId29"/>
          <w:footerReference w:type="default" r:id="rId30"/>
          <w:headerReference w:type="first" r:id="rId31"/>
          <w:footerReference w:type="first" r:id="rId32"/>
          <w:pgSz w:w="11906" w:h="16838"/>
          <w:pgMar w:top="1797" w:right="1077" w:bottom="1701" w:left="1077" w:header="624" w:footer="760" w:gutter="0"/>
          <w:pgNumType w:start="1"/>
          <w:cols w:space="720"/>
          <w:docGrid w:linePitch="299"/>
        </w:sectPr>
      </w:pPr>
    </w:p>
    <w:p w:rsidR="00A2126F" w:rsidRDefault="00A2126F" w:rsidP="00BF3B60">
      <w:pPr>
        <w:pStyle w:val="LegalCompanyName"/>
      </w:pPr>
    </w:p>
    <w:p w:rsidR="00BF3B60" w:rsidRDefault="00BF3B60" w:rsidP="00BF3B60">
      <w:pPr>
        <w:pStyle w:val="LegalCompanyName"/>
      </w:pPr>
      <w:r>
        <w:t xml:space="preserve">Mercer </w:t>
      </w:r>
      <w:r w:rsidR="00DA55B8">
        <w:t xml:space="preserve">Consulting </w:t>
      </w:r>
      <w:r>
        <w:t>(Australia) Pty Ltd</w:t>
      </w:r>
    </w:p>
    <w:p w:rsidR="00BF3B60" w:rsidRDefault="00BF3B60" w:rsidP="00BF3B60">
      <w:pPr>
        <w:pStyle w:val="LegalCompanyAddress"/>
      </w:pPr>
      <w:r>
        <w:t xml:space="preserve">ABN </w:t>
      </w:r>
      <w:r w:rsidR="00DA55B8">
        <w:t>55 153 168 140</w:t>
      </w:r>
    </w:p>
    <w:p w:rsidR="00BF3B60" w:rsidRDefault="00DA55B8" w:rsidP="00BF3B60">
      <w:pPr>
        <w:pStyle w:val="LegalCompanyAddress"/>
      </w:pPr>
      <w:r>
        <w:t>One International Towers Sydney</w:t>
      </w:r>
    </w:p>
    <w:p w:rsidR="00BF3B60" w:rsidRDefault="00DA55B8" w:rsidP="00BF3B60">
      <w:pPr>
        <w:pStyle w:val="LegalCompanyAddress"/>
      </w:pPr>
      <w:r>
        <w:t>100 Barangaroo Avenue</w:t>
      </w:r>
      <w:r w:rsidR="00BF3B60">
        <w:t xml:space="preserve"> </w:t>
      </w:r>
      <w:r>
        <w:t>Sydney NSW 2000</w:t>
      </w:r>
    </w:p>
    <w:p w:rsidR="00BF3B60" w:rsidRDefault="00BF3B60" w:rsidP="00BF3B60">
      <w:pPr>
        <w:pStyle w:val="LegalCompanyAddress"/>
      </w:pPr>
      <w:r>
        <w:t xml:space="preserve">GPO Box 9946 </w:t>
      </w:r>
      <w:r w:rsidR="00DA55B8">
        <w:t>Sydney NSW 2</w:t>
      </w:r>
      <w:r>
        <w:t>001</w:t>
      </w:r>
    </w:p>
    <w:p w:rsidR="00BF3B60" w:rsidRDefault="00BF3B60" w:rsidP="00BF3B60">
      <w:pPr>
        <w:pStyle w:val="LegalCompanyAddress"/>
      </w:pPr>
      <w:r>
        <w:t>www.mercer.com.au</w:t>
      </w:r>
    </w:p>
    <w:sectPr w:rsidR="00BF3B60" w:rsidSect="00BF3B60">
      <w:headerReference w:type="even" r:id="rId33"/>
      <w:headerReference w:type="default" r:id="rId34"/>
      <w:footerReference w:type="default" r:id="rId35"/>
      <w:headerReference w:type="first" r:id="rId36"/>
      <w:pgSz w:w="11906" w:h="16838"/>
      <w:pgMar w:top="1474" w:right="1077" w:bottom="1466" w:left="1077" w:header="0" w:footer="1045" w:gutter="0"/>
      <w:pgNumType w:fmt="upperRoman" w:start="1"/>
      <w:cols w:space="720"/>
      <w:vAlign w:val="bottom"/>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FF" w:rsidRDefault="00A97EFF">
      <w:r>
        <w:separator/>
      </w:r>
    </w:p>
  </w:endnote>
  <w:endnote w:type="continuationSeparator" w:id="0">
    <w:p w:rsidR="00A97EFF" w:rsidRDefault="00A97EFF">
      <w:r>
        <w:continuationSeparator/>
      </w:r>
    </w:p>
  </w:endnote>
  <w:endnote w:type="continuationNotice" w:id="1">
    <w:p w:rsidR="00A97EFF" w:rsidRDefault="00A97E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QKXAS F+ Calibr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799A" w:rsidRDefault="00C579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1E0" w:firstRow="1" w:lastRow="1" w:firstColumn="1" w:lastColumn="1" w:noHBand="0" w:noVBand="0"/>
    </w:tblPr>
    <w:tblGrid>
      <w:gridCol w:w="9214"/>
    </w:tblGrid>
    <w:tr w:rsidR="00C5799A" w:rsidTr="00BD012B">
      <w:trPr>
        <w:trHeight w:hRule="exact" w:val="583"/>
      </w:trPr>
      <w:tc>
        <w:tcPr>
          <w:tcW w:w="9214" w:type="dxa"/>
        </w:tcPr>
        <w:p w:rsidR="00C5799A" w:rsidRDefault="00C5799A" w:rsidP="006D5237">
          <w:pPr>
            <w:pStyle w:val="Logo"/>
          </w:pPr>
          <w:bookmarkStart w:id="9" w:name="BICEndorsementFront"/>
          <w:r>
            <w:rPr>
              <w:noProof/>
              <w:lang w:eastAsia="en-AU"/>
            </w:rPr>
            <w:drawing>
              <wp:anchor distT="0" distB="0" distL="114300" distR="114300" simplePos="0" relativeHeight="251659264" behindDoc="0" locked="0" layoutInCell="0" allowOverlap="1" wp14:anchorId="79EF7317" wp14:editId="721F3FB3">
                <wp:simplePos x="0" y="0"/>
                <wp:positionH relativeFrom="page">
                  <wp:posOffset>3351530</wp:posOffset>
                </wp:positionH>
                <wp:positionV relativeFrom="page">
                  <wp:posOffset>10278745</wp:posOffset>
                </wp:positionV>
                <wp:extent cx="3916045" cy="146050"/>
                <wp:effectExtent l="0" t="0" r="8255" b="6350"/>
                <wp:wrapNone/>
                <wp:docPr id="14" name="CoverBottomBand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045" cy="146050"/>
                        </a:xfrm>
                        <a:prstGeom prst="rect">
                          <a:avLst/>
                        </a:prstGeom>
                      </pic:spPr>
                    </pic:pic>
                  </a:graphicData>
                </a:graphic>
              </wp:anchor>
            </w:drawing>
          </w:r>
          <w:bookmarkEnd w:id="9"/>
          <w:r>
            <w:rPr>
              <w:noProof/>
              <w:lang w:eastAsia="en-AU"/>
            </w:rPr>
            <mc:AlternateContent>
              <mc:Choice Requires="wps">
                <w:drawing>
                  <wp:anchor distT="0" distB="0" distL="114300" distR="114300" simplePos="0" relativeHeight="251657215" behindDoc="0" locked="0" layoutInCell="1" allowOverlap="1" wp14:anchorId="33DBAA18" wp14:editId="0D191C22">
                    <wp:simplePos x="0" y="0"/>
                    <wp:positionH relativeFrom="column">
                      <wp:posOffset>-683895</wp:posOffset>
                    </wp:positionH>
                    <wp:positionV relativeFrom="paragraph">
                      <wp:posOffset>-41274</wp:posOffset>
                    </wp:positionV>
                    <wp:extent cx="7560310" cy="680719"/>
                    <wp:effectExtent l="0" t="0" r="2540" b="5715"/>
                    <wp:wrapNone/>
                    <wp:docPr id="13" name="CoverBottomBand"/>
                    <wp:cNvGraphicFramePr/>
                    <a:graphic xmlns:a="http://schemas.openxmlformats.org/drawingml/2006/main">
                      <a:graphicData uri="http://schemas.microsoft.com/office/word/2010/wordprocessingShape">
                        <wps:wsp>
                          <wps:cNvSpPr/>
                          <wps:spPr>
                            <a:xfrm>
                              <a:off x="0" y="0"/>
                              <a:ext cx="7560310" cy="680719"/>
                            </a:xfrm>
                            <a:prstGeom prst="rect">
                              <a:avLst/>
                            </a:prstGeom>
                            <a:solidFill>
                              <a:srgbClr val="E6E7E8"/>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89345" id="CoverBottomBand" o:spid="_x0000_s1026" style="position:absolute;margin-left:-53.85pt;margin-top:-3.25pt;width:595.3pt;height:53.6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" fillcolor="#e6e7e8" stroked="f" strokecolor="#243f60 [1604]" strokeweight="2pt"/>
                </w:pict>
              </mc:Fallback>
            </mc:AlternateContent>
          </w:r>
          <w:r>
            <w:t xml:space="preserve">   </w:t>
          </w:r>
        </w:p>
      </w:tc>
    </w:tr>
  </w:tbl>
  <w:p w:rsidR="00C5799A" w:rsidRPr="00015EDE" w:rsidRDefault="00C5799A" w:rsidP="00015EDE">
    <w:pPr>
      <w:spacing w:line="240" w:lineRule="auto"/>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0CA0">
      <w:rPr>
        <w:rStyle w:val="PageNumber"/>
        <w:noProof/>
      </w:rPr>
      <w:t>i</w:t>
    </w:r>
    <w:r>
      <w:rPr>
        <w:rStyle w:val="PageNumber"/>
      </w:rPr>
      <w:fldChar w:fldCharType="end"/>
    </w:r>
  </w:p>
  <w:tbl>
    <w:tblPr>
      <w:tblStyle w:val="TableGrid"/>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1E0" w:firstRow="1" w:lastRow="1" w:firstColumn="1" w:lastColumn="1" w:noHBand="0" w:noVBand="0"/>
    </w:tblPr>
    <w:tblGrid>
      <w:gridCol w:w="378"/>
      <w:gridCol w:w="378"/>
      <w:gridCol w:w="378"/>
    </w:tblGrid>
    <w:tr w:rsidR="00C5799A" w:rsidTr="00BD7189">
      <w:tc>
        <w:tcPr>
          <w:tcW w:w="0" w:type="auto"/>
          <w:noWrap/>
        </w:tcPr>
        <w:p w:rsidR="00C5799A" w:rsidRPr="000C6910" w:rsidRDefault="00C5799A" w:rsidP="000C6910">
          <w:pPr>
            <w:pStyle w:val="CompanyName"/>
          </w:pPr>
          <w:r w:rsidRPr="000C6910">
            <w:t xml:space="preserve">    </w:t>
          </w:r>
        </w:p>
      </w:tc>
      <w:tc>
        <w:tcPr>
          <w:tcW w:w="0" w:type="auto"/>
          <w:noWrap/>
        </w:tcPr>
        <w:p w:rsidR="00C5799A" w:rsidRPr="000C6910" w:rsidRDefault="00C5799A" w:rsidP="000C6910">
          <w:pPr>
            <w:pStyle w:val="CompanyName"/>
          </w:pPr>
          <w:r w:rsidRPr="000C6910">
            <w:t xml:space="preserve">   </w:t>
          </w:r>
        </w:p>
      </w:tc>
      <w:tc>
        <w:tcPr>
          <w:tcW w:w="0" w:type="auto"/>
          <w:noWrap/>
        </w:tcPr>
        <w:p w:rsidR="00C5799A" w:rsidRPr="000C6910" w:rsidRDefault="00C5799A" w:rsidP="000C6910">
          <w:pPr>
            <w:pStyle w:val="CompanyName"/>
          </w:pPr>
          <w:r w:rsidRPr="000C6910">
            <w:t xml:space="preserve">   </w:t>
          </w:r>
        </w:p>
      </w:tc>
    </w:tr>
  </w:tbl>
  <w:p w:rsidR="00C5799A" w:rsidRDefault="00C5799A" w:rsidP="00B83610">
    <w:pPr>
      <w:pStyle w:val="ClientNameCrossRef"/>
    </w:pPr>
  </w:p>
  <w:tbl>
    <w:tblPr>
      <w:tblW w:w="0" w:type="auto"/>
      <w:tblLayout w:type="fixed"/>
      <w:tblLook w:val="0000" w:firstRow="0" w:lastRow="0" w:firstColumn="0" w:lastColumn="0" w:noHBand="0" w:noVBand="0"/>
    </w:tblPr>
    <w:tblGrid>
      <w:gridCol w:w="8853"/>
    </w:tblGrid>
    <w:tr w:rsidR="00C5799A">
      <w:trPr>
        <w:trHeight w:hRule="exact" w:val="230"/>
      </w:trPr>
      <w:tc>
        <w:tcPr>
          <w:tcW w:w="8853" w:type="dxa"/>
        </w:tcPr>
        <w:p w:rsidR="00C5799A" w:rsidRDefault="00C5799A">
          <w:pPr>
            <w:pStyle w:val="Filestamp"/>
          </w:pPr>
        </w:p>
      </w:tc>
    </w:tr>
    <w:tr w:rsidR="00C5799A">
      <w:trPr>
        <w:trHeight w:val="107"/>
      </w:trPr>
      <w:tc>
        <w:tcPr>
          <w:tcW w:w="8853" w:type="dxa"/>
        </w:tcPr>
        <w:p w:rsidR="00C5799A" w:rsidRDefault="00C5799A" w:rsidP="00825EA2">
          <w:pPr>
            <w:pStyle w:val="Filestamp"/>
          </w:pPr>
        </w:p>
      </w:tc>
    </w:tr>
  </w:tbl>
  <w:p w:rsidR="00C5799A" w:rsidRDefault="00C5799A">
    <w:pPr>
      <w:pStyle w:val="Filestam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ClientNameCrossRef"/>
      <w:tabs>
        <w:tab w:val="right" w:pos="8640"/>
      </w:tabs>
      <w:spacing w:after="140"/>
    </w:pPr>
    <w:r>
      <w:t xml:space="preserve">Marsh </w:t>
    </w:r>
    <w:r>
      <w:sym w:font="Wingdings" w:char="F0A7"/>
    </w:r>
    <w:r>
      <w:t xml:space="preserve"> Mercer Human Resource Consulting </w:t>
    </w:r>
    <w:r>
      <w:sym w:font="Wingdings" w:char="F0A7"/>
    </w:r>
    <w:r>
      <w:t xml:space="preserve"> Mercer Delta Organisational Consulting</w:t>
    </w:r>
    <w: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rsidR="00C5799A" w:rsidRDefault="00ED5C25">
    <w:pPr>
      <w:pStyle w:val="Filestamp"/>
    </w:pPr>
    <w:fldSimple w:instr=" FILENAME \* Lower\p  \* MERGEFORMAT ">
      <w:r w:rsidR="006A1477">
        <w:t>\\mercer.com\anzdata\retirement\sydney\client\public sector\department of finance (fdofa1)\actuarial - pss css\valuations\2017 ltcr\8 - correspondence (including report)\css pss 2017 ltcr (2018 06 12) final.docx</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0CA0">
      <w:rPr>
        <w:rStyle w:val="PageNumber"/>
        <w:noProof/>
      </w:rPr>
      <w:t>18</w:t>
    </w:r>
    <w:r>
      <w:rPr>
        <w:rStyle w:val="PageNumber"/>
      </w:rPr>
      <w:fldChar w:fldCharType="end"/>
    </w:r>
  </w:p>
  <w:tbl>
    <w:tblPr>
      <w:tblStyle w:val="TableGrid"/>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1E0" w:firstRow="1" w:lastRow="1" w:firstColumn="1" w:lastColumn="1" w:noHBand="0" w:noVBand="0"/>
    </w:tblPr>
    <w:tblGrid>
      <w:gridCol w:w="378"/>
      <w:gridCol w:w="378"/>
      <w:gridCol w:w="378"/>
    </w:tblGrid>
    <w:tr w:rsidR="00C5799A" w:rsidTr="00BD7189">
      <w:tc>
        <w:tcPr>
          <w:tcW w:w="0" w:type="auto"/>
          <w:noWrap/>
        </w:tcPr>
        <w:p w:rsidR="00C5799A" w:rsidRPr="000C6910" w:rsidRDefault="00C5799A" w:rsidP="000C6910">
          <w:pPr>
            <w:pStyle w:val="CompanyName"/>
          </w:pPr>
          <w:bookmarkStart w:id="123" w:name="BICCompanyList1"/>
          <w:r w:rsidRPr="000C6910">
            <w:t xml:space="preserve">    </w:t>
          </w:r>
          <w:bookmarkEnd w:id="123"/>
        </w:p>
      </w:tc>
      <w:tc>
        <w:tcPr>
          <w:tcW w:w="0" w:type="auto"/>
          <w:noWrap/>
        </w:tcPr>
        <w:p w:rsidR="00C5799A" w:rsidRPr="000C6910" w:rsidRDefault="00C5799A" w:rsidP="000C6910">
          <w:pPr>
            <w:pStyle w:val="CompanyName"/>
          </w:pPr>
          <w:bookmarkStart w:id="124" w:name="BICCompanyList2"/>
          <w:r w:rsidRPr="000C6910">
            <w:t xml:space="preserve">   </w:t>
          </w:r>
          <w:bookmarkEnd w:id="124"/>
        </w:p>
      </w:tc>
      <w:tc>
        <w:tcPr>
          <w:tcW w:w="0" w:type="auto"/>
          <w:noWrap/>
        </w:tcPr>
        <w:p w:rsidR="00C5799A" w:rsidRPr="000C6910" w:rsidRDefault="00C5799A" w:rsidP="000C6910">
          <w:pPr>
            <w:pStyle w:val="CompanyName"/>
          </w:pPr>
          <w:bookmarkStart w:id="125" w:name="BICCompanyList3"/>
          <w:r w:rsidRPr="000C6910">
            <w:t xml:space="preserve">   </w:t>
          </w:r>
          <w:bookmarkEnd w:id="125"/>
        </w:p>
      </w:tc>
    </w:tr>
  </w:tbl>
  <w:p w:rsidR="00C5799A" w:rsidRDefault="00C5799A" w:rsidP="00B83610">
    <w:pPr>
      <w:pStyle w:val="ClientNameCrossRef"/>
    </w:pPr>
  </w:p>
  <w:tbl>
    <w:tblPr>
      <w:tblW w:w="0" w:type="auto"/>
      <w:tblLayout w:type="fixed"/>
      <w:tblLook w:val="0000" w:firstRow="0" w:lastRow="0" w:firstColumn="0" w:lastColumn="0" w:noHBand="0" w:noVBand="0"/>
    </w:tblPr>
    <w:tblGrid>
      <w:gridCol w:w="8853"/>
    </w:tblGrid>
    <w:tr w:rsidR="00C5799A">
      <w:trPr>
        <w:trHeight w:hRule="exact" w:val="230"/>
      </w:trPr>
      <w:tc>
        <w:tcPr>
          <w:tcW w:w="8853" w:type="dxa"/>
        </w:tcPr>
        <w:p w:rsidR="00C5799A" w:rsidRDefault="00C5799A">
          <w:pPr>
            <w:pStyle w:val="Filestamp"/>
          </w:pPr>
        </w:p>
      </w:tc>
    </w:tr>
    <w:tr w:rsidR="00C5799A">
      <w:trPr>
        <w:trHeight w:val="107"/>
      </w:trPr>
      <w:tc>
        <w:tcPr>
          <w:tcW w:w="8853" w:type="dxa"/>
        </w:tcPr>
        <w:p w:rsidR="00C5799A" w:rsidRDefault="00C5799A" w:rsidP="00825EA2">
          <w:pPr>
            <w:pStyle w:val="Filestamp"/>
          </w:pPr>
        </w:p>
      </w:tc>
    </w:tr>
  </w:tbl>
  <w:p w:rsidR="00C5799A" w:rsidRDefault="00C5799A">
    <w:pPr>
      <w:pStyle w:val="Filestam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ClientNameCrossRef"/>
      <w:tabs>
        <w:tab w:val="right" w:pos="8640"/>
      </w:tabs>
      <w:spacing w:after="140"/>
    </w:pPr>
    <w:r>
      <w:t xml:space="preserve">Marsh </w:t>
    </w:r>
    <w:r>
      <w:sym w:font="Wingdings" w:char="F0A7"/>
    </w:r>
    <w:r>
      <w:t xml:space="preserve"> Mercer Human Resource Consulting </w:t>
    </w:r>
    <w:r>
      <w:sym w:font="Wingdings" w:char="F0A7"/>
    </w:r>
    <w:r>
      <w:t xml:space="preserve"> Mercer Delta Organisational Consulting</w:t>
    </w:r>
    <w: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rsidR="00C5799A" w:rsidRDefault="00ED5C25">
    <w:pPr>
      <w:pStyle w:val="Filestamp"/>
    </w:pPr>
    <w:fldSimple w:instr=" FILENAME \* Lower\p  \* MERGEFORMAT ">
      <w:r w:rsidR="006A1477">
        <w:t>\\mercer.com\anzdata\retirement\sydney\client\public sector\department of finance (fdofa1)\actuarial - pss css\valuations\2017 ltcr\8 - correspondence (including report)\css pss 2017 ltcr (2018 06 12) final.docx</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5"/>
      <w:gridCol w:w="2719"/>
    </w:tblGrid>
    <w:tr w:rsidR="00C5799A" w:rsidTr="00015EDE">
      <w:trPr>
        <w:trHeight w:val="720"/>
      </w:trPr>
      <w:tc>
        <w:tcPr>
          <w:tcW w:w="9214" w:type="dxa"/>
          <w:gridSpan w:val="2"/>
          <w:tcBorders>
            <w:top w:val="nil"/>
            <w:left w:val="nil"/>
            <w:bottom w:val="nil"/>
            <w:right w:val="nil"/>
          </w:tcBorders>
          <w:vAlign w:val="bottom"/>
        </w:tcPr>
        <w:p w:rsidR="00C5799A" w:rsidRDefault="00C5799A">
          <w:pPr>
            <w:pStyle w:val="Legalcopy"/>
            <w:framePr w:hSpace="0" w:vSpace="0" w:wrap="auto" w:yAlign="inline"/>
          </w:pPr>
          <w:bookmarkStart w:id="126" w:name="LegalText"/>
          <w:bookmarkEnd w:id="126"/>
        </w:p>
      </w:tc>
    </w:tr>
    <w:tr w:rsidR="00C5799A" w:rsidRPr="006353D7" w:rsidTr="00713C5E">
      <w:trPr>
        <w:trHeight w:hRule="exact" w:val="584"/>
      </w:trPr>
      <w:tc>
        <w:tcPr>
          <w:tcW w:w="6495" w:type="dxa"/>
          <w:tcBorders>
            <w:top w:val="nil"/>
            <w:left w:val="nil"/>
            <w:bottom w:val="nil"/>
            <w:right w:val="nil"/>
          </w:tcBorders>
          <w:vAlign w:val="bottom"/>
        </w:tcPr>
        <w:p w:rsidR="00C5799A" w:rsidRPr="006353D7" w:rsidRDefault="00C5799A">
          <w:pPr>
            <w:pStyle w:val="Legalcopy"/>
            <w:framePr w:hSpace="0" w:vSpace="0" w:wrap="auto" w:yAlign="inline"/>
            <w:rPr>
              <w:sz w:val="20"/>
            </w:rPr>
          </w:pPr>
          <w:bookmarkStart w:id="127" w:name="SupportLogo"/>
          <w:r>
            <w:rPr>
              <w:noProof/>
              <w:sz w:val="20"/>
              <w:lang w:eastAsia="en-AU"/>
            </w:rPr>
            <w:drawing>
              <wp:anchor distT="0" distB="0" distL="114300" distR="114300" simplePos="0" relativeHeight="251658240" behindDoc="0" locked="0" layoutInCell="1" allowOverlap="1" wp14:anchorId="0B28113A" wp14:editId="1B298C9A">
                <wp:simplePos x="0" y="0"/>
                <wp:positionH relativeFrom="column">
                  <wp:posOffset>1905</wp:posOffset>
                </wp:positionH>
                <wp:positionV relativeFrom="paragraph">
                  <wp:posOffset>342900</wp:posOffset>
                </wp:positionV>
                <wp:extent cx="1565453" cy="24780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453" cy="247802"/>
                        </a:xfrm>
                        <a:prstGeom prst="rect">
                          <a:avLst/>
                        </a:prstGeom>
                      </pic:spPr>
                    </pic:pic>
                  </a:graphicData>
                </a:graphic>
              </wp:anchor>
            </w:drawing>
          </w:r>
          <w:bookmarkEnd w:id="127"/>
          <w:r w:rsidRPr="006353D7">
            <w:rPr>
              <w:sz w:val="20"/>
            </w:rPr>
            <w:t xml:space="preserve">   </w:t>
          </w:r>
        </w:p>
      </w:tc>
      <w:tc>
        <w:tcPr>
          <w:tcW w:w="2719" w:type="dxa"/>
          <w:tcBorders>
            <w:top w:val="nil"/>
            <w:left w:val="nil"/>
            <w:bottom w:val="nil"/>
            <w:right w:val="nil"/>
          </w:tcBorders>
          <w:vAlign w:val="bottom"/>
        </w:tcPr>
        <w:p w:rsidR="00C5799A" w:rsidRPr="006353D7" w:rsidRDefault="00C5799A">
          <w:pPr>
            <w:pStyle w:val="Legalcopy"/>
            <w:framePr w:hSpace="0" w:vSpace="0" w:wrap="auto" w:yAlign="inline"/>
            <w:rPr>
              <w:sz w:val="20"/>
            </w:rPr>
          </w:pPr>
          <w:bookmarkStart w:id="128" w:name="BICEndorsementBack"/>
          <w:r w:rsidRPr="006353D7">
            <w:rPr>
              <w:sz w:val="20"/>
            </w:rPr>
            <w:t xml:space="preserve">    </w:t>
          </w:r>
          <w:bookmarkEnd w:id="128"/>
        </w:p>
      </w:tc>
    </w:tr>
  </w:tbl>
  <w:p w:rsidR="00C5799A" w:rsidRDefault="00C5799A" w:rsidP="00D1494B">
    <w:pPr>
      <w:pStyle w:val="AddressBlock"/>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FF" w:rsidRDefault="00A97EFF">
      <w:r>
        <w:separator/>
      </w:r>
    </w:p>
  </w:footnote>
  <w:footnote w:type="continuationSeparator" w:id="0">
    <w:p w:rsidR="00A97EFF" w:rsidRDefault="00A97EFF">
      <w:r>
        <w:continuationSeparator/>
      </w:r>
    </w:p>
  </w:footnote>
  <w:footnote w:type="continuationNotice" w:id="1">
    <w:p w:rsidR="00A97EFF" w:rsidRDefault="00A97E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3600"/>
      <w:gridCol w:w="5148"/>
    </w:tblGrid>
    <w:tr w:rsidR="00C5799A">
      <w:tc>
        <w:tcPr>
          <w:tcW w:w="3600" w:type="dxa"/>
        </w:tcPr>
        <w:p w:rsidR="00C5799A" w:rsidRDefault="00C5799A">
          <w:pPr>
            <w:pStyle w:val="ReportCrossRef"/>
          </w:pPr>
          <w:r>
            <w:t xml:space="preserve">    </w:t>
          </w:r>
        </w:p>
      </w:tc>
      <w:tc>
        <w:tcPr>
          <w:tcW w:w="5148" w:type="dxa"/>
        </w:tcPr>
        <w:p w:rsidR="00C5799A" w:rsidRDefault="00C5799A">
          <w:pPr>
            <w:pStyle w:val="ClientNameCrossRef"/>
          </w:pPr>
          <w:r>
            <w:t xml:space="preserve">             </w:t>
          </w:r>
        </w:p>
      </w:tc>
    </w:tr>
  </w:tbl>
  <w:p w:rsidR="00C5799A" w:rsidRDefault="00C5799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50" w:type="dxa"/>
      </w:tblCellMar>
      <w:tblLook w:val="01E0" w:firstRow="1" w:lastRow="1" w:firstColumn="1" w:lastColumn="1" w:noHBand="0" w:noVBand="0"/>
    </w:tblPr>
    <w:tblGrid>
      <w:gridCol w:w="570"/>
      <w:gridCol w:w="570"/>
      <w:gridCol w:w="570"/>
      <w:gridCol w:w="7823"/>
      <w:gridCol w:w="570"/>
    </w:tblGrid>
    <w:tr w:rsidR="00C5799A" w:rsidTr="00512253">
      <w:tc>
        <w:tcPr>
          <w:tcW w:w="570" w:type="dxa"/>
        </w:tcPr>
        <w:p w:rsidR="00C5799A" w:rsidRDefault="00C5799A" w:rsidP="000A3D02">
          <w:pPr>
            <w:pStyle w:val="Header"/>
          </w:pPr>
          <w:bookmarkStart w:id="5" w:name="LogoBICNo1Front"/>
          <w:r>
            <w:t xml:space="preserve"> </w:t>
          </w:r>
          <w:bookmarkEnd w:id="5"/>
        </w:p>
      </w:tc>
      <w:tc>
        <w:tcPr>
          <w:tcW w:w="570" w:type="dxa"/>
        </w:tcPr>
        <w:p w:rsidR="00C5799A" w:rsidRDefault="00C5799A" w:rsidP="000A3D02">
          <w:pPr>
            <w:pStyle w:val="Header"/>
          </w:pPr>
          <w:bookmarkStart w:id="6" w:name="LogoBICNo2Front"/>
          <w:r>
            <w:t xml:space="preserve"> </w:t>
          </w:r>
          <w:bookmarkEnd w:id="6"/>
        </w:p>
      </w:tc>
      <w:tc>
        <w:tcPr>
          <w:tcW w:w="570" w:type="dxa"/>
        </w:tcPr>
        <w:p w:rsidR="00C5799A" w:rsidRDefault="00C5799A" w:rsidP="000A3D02">
          <w:pPr>
            <w:pStyle w:val="Header"/>
          </w:pPr>
          <w:bookmarkStart w:id="7" w:name="LogoBICNo3Front"/>
          <w:r>
            <w:t xml:space="preserve"> </w:t>
          </w:r>
          <w:bookmarkEnd w:id="7"/>
        </w:p>
      </w:tc>
      <w:tc>
        <w:tcPr>
          <w:tcW w:w="7823" w:type="dxa"/>
          <w:tcMar>
            <w:right w:w="0" w:type="dxa"/>
          </w:tcMar>
          <w:vAlign w:val="bottom"/>
        </w:tcPr>
        <w:p w:rsidR="00C5799A" w:rsidRDefault="00C5799A" w:rsidP="00492869">
          <w:pPr>
            <w:pStyle w:val="Header"/>
            <w:jc w:val="right"/>
          </w:pPr>
          <w:bookmarkStart w:id="8" w:name="PillarLogo"/>
          <w:r>
            <w:t xml:space="preserve">   </w:t>
          </w:r>
          <w:bookmarkEnd w:id="8"/>
        </w:p>
      </w:tc>
      <w:tc>
        <w:tcPr>
          <w:tcW w:w="570" w:type="dxa"/>
        </w:tcPr>
        <w:p w:rsidR="00C5799A" w:rsidRDefault="00C5799A" w:rsidP="00B16134">
          <w:pPr>
            <w:pStyle w:val="Header"/>
            <w:ind w:right="-578"/>
          </w:pPr>
        </w:p>
      </w:tc>
    </w:tr>
  </w:tbl>
  <w:p w:rsidR="00C5799A" w:rsidRDefault="00C579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8304B9">
    <w:pPr>
      <w:pStyle w:val="Header"/>
    </w:pPr>
    <w:r>
      <w:rPr>
        <w:noProof/>
        <w:lang w:eastAsia="en-AU"/>
      </w:rPr>
      <mc:AlternateContent>
        <mc:Choice Requires="wps">
          <w:drawing>
            <wp:anchor distT="0" distB="0" distL="114300" distR="114300" simplePos="0" relativeHeight="251688960" behindDoc="1" locked="0" layoutInCell="0" allowOverlap="1">
              <wp:simplePos x="0" y="0"/>
              <wp:positionH relativeFrom="margin">
                <wp:align>center</wp:align>
              </wp:positionH>
              <wp:positionV relativeFrom="margin">
                <wp:align>center</wp:align>
              </wp:positionV>
              <wp:extent cx="6236335" cy="2494280"/>
              <wp:effectExtent l="0" t="1685925" r="0" b="1372870"/>
              <wp:wrapNone/>
              <wp:docPr id="2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04B9" w:rsidRDefault="008304B9" w:rsidP="008304B9">
                          <w:pPr>
                            <w:pStyle w:val="NormalWeb"/>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6" type="#_x0000_t202" style="position:absolute;margin-left:0;margin-top:0;width:491.05pt;height:196.4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" o:allowincell="f" filled="f" stroked="f">
              <v:stroke joinstyle="round"/>
              <o:lock v:ext="edit" shapetype="t"/>
              <v:textbox style="mso-fit-shape-to-text:t">
                <w:txbxContent>
                  <w:p w:rsidR="008304B9" w:rsidRDefault="008304B9" w:rsidP="008304B9">
                    <w:pPr>
                      <w:pStyle w:val="NormalWeb"/>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4874"/>
      <w:gridCol w:w="4878"/>
    </w:tblGrid>
    <w:tr w:rsidR="00C5799A" w:rsidTr="00BF3B60">
      <w:tc>
        <w:tcPr>
          <w:tcW w:w="2499" w:type="pct"/>
        </w:tcPr>
        <w:p w:rsidR="00C5799A" w:rsidRDefault="00C5799A" w:rsidP="00A0506E">
          <w:pPr>
            <w:pStyle w:val="ReportCrossRef"/>
          </w:pPr>
          <w:r>
            <w:t>PSS and CSS</w:t>
          </w:r>
          <w:r>
            <w:br/>
            <w:t>Long Term Cost Report 2017</w:t>
          </w:r>
        </w:p>
      </w:tc>
      <w:tc>
        <w:tcPr>
          <w:tcW w:w="2501" w:type="pct"/>
        </w:tcPr>
        <w:p w:rsidR="00C5799A" w:rsidRDefault="00C5799A" w:rsidP="00E42C08">
          <w:pPr>
            <w:pStyle w:val="ClientNameCrossRef"/>
            <w:jc w:val="right"/>
          </w:pPr>
          <w:r>
            <w:t xml:space="preserve"> </w:t>
          </w:r>
        </w:p>
      </w:tc>
    </w:tr>
  </w:tbl>
  <w:p w:rsidR="00C5799A" w:rsidRDefault="00C5799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3618"/>
      <w:gridCol w:w="5148"/>
    </w:tblGrid>
    <w:tr w:rsidR="00C5799A">
      <w:tc>
        <w:tcPr>
          <w:tcW w:w="3618" w:type="dxa"/>
        </w:tcPr>
        <w:p w:rsidR="006A1477" w:rsidRDefault="008304B9" w:rsidP="00685334">
          <w:pPr>
            <w:pStyle w:val="ReportTitle"/>
          </w:pPr>
          <w:r>
            <w:rPr>
              <w:noProof/>
              <w:lang w:eastAsia="en-AU"/>
            </w:rPr>
            <mc:AlternateContent>
              <mc:Choice Requires="wps">
                <w:drawing>
                  <wp:anchor distT="0" distB="0" distL="114300" distR="114300" simplePos="0" relativeHeight="251687936" behindDoc="1" locked="0" layoutInCell="0" allowOverlap="1">
                    <wp:simplePos x="0" y="0"/>
                    <wp:positionH relativeFrom="margin">
                      <wp:align>center</wp:align>
                    </wp:positionH>
                    <wp:positionV relativeFrom="margin">
                      <wp:align>center</wp:align>
                    </wp:positionV>
                    <wp:extent cx="6236335" cy="2494280"/>
                    <wp:effectExtent l="0" t="1685925" r="0" b="1372870"/>
                    <wp:wrapNone/>
                    <wp:docPr id="2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04B9" w:rsidRDefault="008304B9" w:rsidP="008304B9">
                                <w:pPr>
                                  <w:pStyle w:val="NormalWeb"/>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7" type="#_x0000_t202" style="position:absolute;margin-left:0;margin-top:0;width:491.05pt;height:196.4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" o:allowincell="f" filled="f" stroked="f">
                    <v:stroke joinstyle="round"/>
                    <o:lock v:ext="edit" shapetype="t"/>
                    <v:textbox style="mso-fit-shape-to-text:t">
                      <w:txbxContent>
                        <w:p w:rsidR="008304B9" w:rsidRDefault="008304B9" w:rsidP="008304B9">
                          <w:pPr>
                            <w:pStyle w:val="NormalWeb"/>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5799A">
            <w:fldChar w:fldCharType="begin"/>
          </w:r>
          <w:r w:rsidR="00C5799A">
            <w:instrText xml:space="preserve"> REF ReportTitle </w:instrText>
          </w:r>
          <w:r w:rsidR="00C5799A">
            <w:fldChar w:fldCharType="separate"/>
          </w:r>
        </w:p>
        <w:p w:rsidR="006A1477" w:rsidRDefault="006A1477" w:rsidP="00685334">
          <w:pPr>
            <w:pStyle w:val="ReportTitle"/>
          </w:pPr>
          <w:r w:rsidRPr="005651C7">
            <w:rPr>
              <w:caps w:val="0"/>
              <w:sz w:val="32"/>
              <w:szCs w:val="32"/>
            </w:rPr>
            <w:t>DEPARTMENT OF FINANCE</w:t>
          </w:r>
        </w:p>
        <w:p w:rsidR="006A1477" w:rsidRPr="00BF3B60" w:rsidRDefault="006A1477" w:rsidP="00685334">
          <w:pPr>
            <w:pStyle w:val="ReportTitle"/>
            <w:rPr>
              <w:sz w:val="24"/>
              <w:szCs w:val="24"/>
            </w:rPr>
          </w:pPr>
        </w:p>
        <w:p w:rsidR="00C5799A" w:rsidRDefault="006A1477">
          <w:pPr>
            <w:pStyle w:val="ReportCrossRef"/>
          </w:pPr>
          <w:r w:rsidRPr="00CB2730">
            <w:rPr>
              <w:sz w:val="48"/>
            </w:rPr>
            <w:t>PSS and CSS</w:t>
          </w:r>
          <w:r w:rsidRPr="00CB2730">
            <w:rPr>
              <w:sz w:val="48"/>
            </w:rPr>
            <w:br/>
            <w:t>Long Term Cost Report 2017</w:t>
          </w:r>
          <w:r w:rsidR="00C5799A">
            <w:fldChar w:fldCharType="end"/>
          </w:r>
        </w:p>
      </w:tc>
      <w:tc>
        <w:tcPr>
          <w:tcW w:w="5148" w:type="dxa"/>
        </w:tcPr>
        <w:p w:rsidR="00C5799A" w:rsidRDefault="00C5799A">
          <w:pPr>
            <w:pStyle w:val="ClientNameCrossRef"/>
          </w:pPr>
        </w:p>
      </w:tc>
    </w:tr>
  </w:tbl>
  <w:p w:rsidR="00C5799A" w:rsidRDefault="00C5799A">
    <w:pPr>
      <w:spacing w:after="154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9A" w:rsidRDefault="00C5799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4874"/>
      <w:gridCol w:w="4878"/>
    </w:tblGrid>
    <w:tr w:rsidR="00C5799A" w:rsidTr="00BF3B60">
      <w:tc>
        <w:tcPr>
          <w:tcW w:w="2499" w:type="pct"/>
        </w:tcPr>
        <w:p w:rsidR="00C5799A" w:rsidRDefault="00C5799A" w:rsidP="00A0506E">
          <w:pPr>
            <w:pStyle w:val="ReportCrossRef"/>
          </w:pPr>
          <w:bookmarkStart w:id="121" w:name="AbbreviatedReportTitle"/>
          <w:r>
            <w:t>PSS and CSS</w:t>
          </w:r>
          <w:r>
            <w:br/>
            <w:t>Long Term Cost Report 2017</w:t>
          </w:r>
          <w:bookmarkEnd w:id="121"/>
        </w:p>
      </w:tc>
      <w:tc>
        <w:tcPr>
          <w:tcW w:w="2501" w:type="pct"/>
        </w:tcPr>
        <w:p w:rsidR="00C5799A" w:rsidRDefault="00C5799A" w:rsidP="00E42C08">
          <w:pPr>
            <w:pStyle w:val="ClientNameCrossRef"/>
            <w:jc w:val="right"/>
          </w:pPr>
          <w:bookmarkStart w:id="122" w:name="AbbreviatedClientName"/>
          <w:bookmarkEnd w:id="122"/>
          <w:r>
            <w:t xml:space="preserve"> </w:t>
          </w:r>
        </w:p>
      </w:tc>
    </w:tr>
  </w:tbl>
  <w:p w:rsidR="00C5799A" w:rsidRDefault="00C5799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3618"/>
      <w:gridCol w:w="5148"/>
    </w:tblGrid>
    <w:tr w:rsidR="00C5799A">
      <w:tc>
        <w:tcPr>
          <w:tcW w:w="3618" w:type="dxa"/>
        </w:tcPr>
        <w:p w:rsidR="006A1477" w:rsidRDefault="00C5799A" w:rsidP="00685334">
          <w:pPr>
            <w:pStyle w:val="ReportTitle"/>
          </w:pPr>
          <w:r>
            <w:fldChar w:fldCharType="begin"/>
          </w:r>
          <w:r>
            <w:instrText xml:space="preserve"> REF ReportTitle </w:instrText>
          </w:r>
          <w:r>
            <w:fldChar w:fldCharType="separate"/>
          </w:r>
        </w:p>
        <w:p w:rsidR="006A1477" w:rsidRDefault="006A1477" w:rsidP="00685334">
          <w:pPr>
            <w:pStyle w:val="ReportTitle"/>
          </w:pPr>
          <w:r w:rsidRPr="005651C7">
            <w:rPr>
              <w:caps w:val="0"/>
              <w:sz w:val="32"/>
              <w:szCs w:val="32"/>
            </w:rPr>
            <w:t>DEPARTMENT OF FINANCE</w:t>
          </w:r>
        </w:p>
        <w:p w:rsidR="006A1477" w:rsidRPr="00BF3B60" w:rsidRDefault="006A1477" w:rsidP="00685334">
          <w:pPr>
            <w:pStyle w:val="ReportTitle"/>
            <w:rPr>
              <w:sz w:val="24"/>
              <w:szCs w:val="24"/>
            </w:rPr>
          </w:pPr>
        </w:p>
        <w:p w:rsidR="00C5799A" w:rsidRDefault="006A1477">
          <w:pPr>
            <w:pStyle w:val="ReportCrossRef"/>
          </w:pPr>
          <w:r w:rsidRPr="00CB2730">
            <w:rPr>
              <w:sz w:val="48"/>
            </w:rPr>
            <w:t>PSS and CSS</w:t>
          </w:r>
          <w:r w:rsidRPr="00CB2730">
            <w:rPr>
              <w:sz w:val="48"/>
            </w:rPr>
            <w:br/>
            <w:t>Long Term Cost Report 2017</w:t>
          </w:r>
          <w:r w:rsidR="00C5799A">
            <w:fldChar w:fldCharType="end"/>
          </w:r>
        </w:p>
      </w:tc>
      <w:tc>
        <w:tcPr>
          <w:tcW w:w="5148" w:type="dxa"/>
        </w:tcPr>
        <w:p w:rsidR="00C5799A" w:rsidRDefault="00C5799A">
          <w:pPr>
            <w:pStyle w:val="ClientNameCrossRef"/>
          </w:pPr>
        </w:p>
      </w:tc>
    </w:tr>
  </w:tbl>
  <w:p w:rsidR="00C5799A" w:rsidRDefault="008304B9">
    <w:pPr>
      <w:spacing w:after="1540"/>
    </w:pPr>
    <w:r>
      <w:rPr>
        <w:noProof/>
        <w:lang w:eastAsia="en-AU"/>
      </w:rPr>
      <mc:AlternateContent>
        <mc:Choice Requires="wps">
          <w:drawing>
            <wp:anchor distT="0" distB="0" distL="114300" distR="114300" simplePos="0" relativeHeight="251683840" behindDoc="1" locked="0" layoutInCell="0" allowOverlap="1" wp14:anchorId="6F85EDEA">
              <wp:simplePos x="0" y="0"/>
              <wp:positionH relativeFrom="margin">
                <wp:align>center</wp:align>
              </wp:positionH>
              <wp:positionV relativeFrom="margin">
                <wp:align>center</wp:align>
              </wp:positionV>
              <wp:extent cx="6236335" cy="2494280"/>
              <wp:effectExtent l="0" t="1685925" r="0" b="137287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304B9" w:rsidRDefault="008304B9" w:rsidP="008304B9">
                          <w:pPr>
                            <w:pStyle w:val="NormalWeb"/>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85EDEA" id="_x0000_t202" coordsize="21600,21600" o:spt="202" path="m,l,21600r21600,l21600,xe">
              <v:stroke joinstyle="miter"/>
              <v:path gradientshapeok="t" o:connecttype="rect"/>
            </v:shapetype>
            <v:shape id="WordArt 12" o:spid="_x0000_s1028" type="#_x0000_t202" style="position:absolute;margin-left:0;margin-top:0;width:491.05pt;height:196.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" o:allowincell="f" filled="f" stroked="f">
              <v:stroke joinstyle="round"/>
              <o:lock v:ext="edit" shapetype="t"/>
              <v:textbox style="mso-fit-shape-to-text:t">
                <w:txbxContent>
                  <w:p w:rsidR="008304B9" w:rsidRDefault="008304B9" w:rsidP="008304B9">
                    <w:pPr>
                      <w:pStyle w:val="NormalWeb"/>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F9F"/>
    <w:multiLevelType w:val="multilevel"/>
    <w:tmpl w:val="60DA2334"/>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1" w15:restartNumberingAfterBreak="0">
    <w:nsid w:val="0D773DA1"/>
    <w:multiLevelType w:val="multilevel"/>
    <w:tmpl w:val="2872F1C4"/>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2" w15:restartNumberingAfterBreak="0">
    <w:nsid w:val="24091320"/>
    <w:multiLevelType w:val="singleLevel"/>
    <w:tmpl w:val="0B4A6690"/>
    <w:lvl w:ilvl="0">
      <w:start w:val="1"/>
      <w:numFmt w:val="decimal"/>
      <w:pStyle w:val="TOC1"/>
      <w:lvlText w:val="%1."/>
      <w:lvlJc w:val="left"/>
      <w:pPr>
        <w:tabs>
          <w:tab w:val="num" w:pos="360"/>
        </w:tabs>
        <w:ind w:left="360" w:hanging="360"/>
      </w:pPr>
      <w:rPr>
        <w:rFonts w:ascii="Arial" w:hAnsi="Arial" w:hint="default"/>
        <w:b w:val="0"/>
        <w:i w:val="0"/>
        <w:color w:val="404040"/>
        <w:sz w:val="22"/>
        <w:szCs w:val="22"/>
      </w:rPr>
    </w:lvl>
  </w:abstractNum>
  <w:abstractNum w:abstractNumId="3" w15:restartNumberingAfterBreak="0">
    <w:nsid w:val="24C0087F"/>
    <w:multiLevelType w:val="singleLevel"/>
    <w:tmpl w:val="FF807914"/>
    <w:lvl w:ilvl="0">
      <w:start w:val="1"/>
      <w:numFmt w:val="bullet"/>
      <w:pStyle w:val="TOC2"/>
      <w:lvlText w:val="•"/>
      <w:lvlJc w:val="left"/>
      <w:pPr>
        <w:tabs>
          <w:tab w:val="num" w:pos="806"/>
        </w:tabs>
        <w:ind w:left="806" w:hanging="360"/>
      </w:pPr>
      <w:rPr>
        <w:rFonts w:ascii="Arial" w:hAnsi="Arial" w:hint="default"/>
      </w:rPr>
    </w:lvl>
  </w:abstractNum>
  <w:abstractNum w:abstractNumId="4" w15:restartNumberingAfterBreak="0">
    <w:nsid w:val="28947024"/>
    <w:multiLevelType w:val="multilevel"/>
    <w:tmpl w:val="71F4198A"/>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Table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Table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5" w15:restartNumberingAfterBreak="0">
    <w:nsid w:val="36E77B1C"/>
    <w:multiLevelType w:val="multilevel"/>
    <w:tmpl w:val="3FE6B12C"/>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6" w15:restartNumberingAfterBreak="0">
    <w:nsid w:val="38252A45"/>
    <w:multiLevelType w:val="multilevel"/>
    <w:tmpl w:val="B928D0CE"/>
    <w:name w:val="HeadingList"/>
    <w:lvl w:ilvl="0">
      <w:start w:val="1"/>
      <w:numFmt w:val="none"/>
      <w:pStyle w:val="Heading1"/>
      <w:suff w:val="nothing"/>
      <w:lvlText w:val=""/>
      <w:lvlJc w:val="left"/>
      <w:pPr>
        <w:tabs>
          <w:tab w:val="num" w:pos="0"/>
        </w:tabs>
        <w:ind w:left="0" w:firstLine="0"/>
      </w:pPr>
      <w:rPr>
        <w:b w:val="0"/>
        <w:i w:val="0"/>
        <w:caps w:val="0"/>
        <w:smallCaps w:val="0"/>
        <w:vanish w:val="0"/>
        <w:u w:val="none"/>
      </w:rPr>
    </w:lvl>
    <w:lvl w:ilvl="1">
      <w:start w:val="1"/>
      <w:numFmt w:val="none"/>
      <w:pStyle w:val="AppendixHeading2"/>
      <w:suff w:val="nothing"/>
      <w:lvlText w:val=""/>
      <w:lvlJc w:val="left"/>
      <w:pPr>
        <w:tabs>
          <w:tab w:val="num" w:pos="0"/>
        </w:tabs>
        <w:ind w:left="0" w:firstLine="0"/>
      </w:pPr>
      <w:rPr>
        <w:b w:val="0"/>
        <w:i w:val="0"/>
        <w:caps w:val="0"/>
        <w:smallCaps w:val="0"/>
        <w:vanish w:val="0"/>
        <w:u w:val="none"/>
      </w:rPr>
    </w:lvl>
    <w:lvl w:ilvl="2">
      <w:start w:val="1"/>
      <w:numFmt w:val="none"/>
      <w:pStyle w:val="AppendixHeading3"/>
      <w:suff w:val="nothing"/>
      <w:lvlText w:val=""/>
      <w:lvlJc w:val="left"/>
      <w:pPr>
        <w:tabs>
          <w:tab w:val="num" w:pos="0"/>
        </w:tabs>
        <w:ind w:left="0" w:firstLine="0"/>
      </w:pPr>
      <w:rPr>
        <w:b w:val="0"/>
        <w:i w:val="0"/>
        <w:caps w:val="0"/>
        <w:smallCaps w:val="0"/>
        <w:vanish w:val="0"/>
        <w:u w:val="none"/>
      </w:rPr>
    </w:lvl>
    <w:lvl w:ilvl="3">
      <w:start w:val="1"/>
      <w:numFmt w:val="none"/>
      <w:pStyle w:val="Heading4"/>
      <w:suff w:val="nothing"/>
      <w:lvlText w:val=""/>
      <w:lvlJc w:val="left"/>
      <w:pPr>
        <w:tabs>
          <w:tab w:val="num" w:pos="0"/>
        </w:tabs>
        <w:ind w:left="0" w:firstLine="0"/>
      </w:pPr>
      <w:rPr>
        <w:b w:val="0"/>
        <w:i w:val="0"/>
        <w:caps w:val="0"/>
        <w:smallCaps w:val="0"/>
        <w:vanish w:val="0"/>
        <w:u w:val="none"/>
      </w:rPr>
    </w:lvl>
    <w:lvl w:ilvl="4">
      <w:start w:val="1"/>
      <w:numFmt w:val="none"/>
      <w:pStyle w:val="Heading5"/>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262FD2"/>
    <w:multiLevelType w:val="multilevel"/>
    <w:tmpl w:val="B176920E"/>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8" w15:restartNumberingAfterBreak="0">
    <w:nsid w:val="422A0216"/>
    <w:multiLevelType w:val="multilevel"/>
    <w:tmpl w:val="F5F2F0A6"/>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tabs>
          <w:tab w:val="num" w:pos="3240"/>
        </w:tabs>
        <w:ind w:left="3240" w:hanging="360"/>
      </w:pPr>
    </w:lvl>
  </w:abstractNum>
  <w:abstractNum w:abstractNumId="9" w15:restartNumberingAfterBreak="0">
    <w:nsid w:val="431D722B"/>
    <w:multiLevelType w:val="hybridMultilevel"/>
    <w:tmpl w:val="D5803968"/>
    <w:lvl w:ilvl="0" w:tplc="B030C902">
      <w:start w:val="1"/>
      <w:numFmt w:val="bullet"/>
      <w:pStyle w:val="TOC4"/>
      <w:lvlText w:val="−"/>
      <w:lvlJc w:val="left"/>
      <w:pPr>
        <w:tabs>
          <w:tab w:val="num" w:pos="1526"/>
        </w:tabs>
        <w:ind w:left="1526"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4C5D"/>
    <w:multiLevelType w:val="multilevel"/>
    <w:tmpl w:val="7DAA49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bullet"/>
      <w:lvlText w:val=""/>
      <w:lvlJc w:val="left"/>
      <w:pPr>
        <w:tabs>
          <w:tab w:val="num" w:pos="360"/>
        </w:tabs>
        <w:ind w:left="360" w:hanging="360"/>
      </w:pPr>
      <w:rPr>
        <w:rFonts w:ascii="Wingdings" w:hAnsi="Wingdings" w:hint="default"/>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5E475FE"/>
    <w:multiLevelType w:val="multilevel"/>
    <w:tmpl w:val="6D84CCB8"/>
    <w:name w:val="SREP_HEAD1"/>
    <w:lvl w:ilvl="0">
      <w:start w:val="1"/>
      <w:numFmt w:val="decimal"/>
      <w:lvlRestart w:val="0"/>
      <w:lvlText w:val="%1."/>
      <w:lvlJc w:val="left"/>
      <w:pPr>
        <w:tabs>
          <w:tab w:val="num" w:pos="0"/>
        </w:tabs>
        <w:ind w:left="0" w:hanging="60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603116"/>
    <w:multiLevelType w:val="multilevel"/>
    <w:tmpl w:val="3F2C05A6"/>
    <w:name w:val="SectionStart"/>
    <w:lvl w:ilvl="0">
      <w:start w:val="1"/>
      <w:numFmt w:val="decimal"/>
      <w:lvlRestart w:val="0"/>
      <w:lvlText w:val="%1"/>
      <w:lvlJc w:val="left"/>
      <w:pPr>
        <w:tabs>
          <w:tab w:val="num" w:pos="360"/>
        </w:tabs>
        <w:ind w:left="360" w:hanging="180"/>
      </w:pPr>
      <w:rPr>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A96E37"/>
    <w:multiLevelType w:val="hybridMultilevel"/>
    <w:tmpl w:val="0060AE5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4F1523F7"/>
    <w:multiLevelType w:val="multilevel"/>
    <w:tmpl w:val="2D8247C8"/>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5" w15:restartNumberingAfterBreak="0">
    <w:nsid w:val="51E15ED6"/>
    <w:multiLevelType w:val="multilevel"/>
    <w:tmpl w:val="21727412"/>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rPr>
        <w:b w:val="0"/>
        <w:i w:val="0"/>
        <w:caps w:val="0"/>
        <w:smallCaps w:val="0"/>
        <w:vanish w:val="0"/>
        <w:u w:val="none"/>
      </w:rPr>
    </w:lvl>
    <w:lvl w:ilvl="6">
      <w:start w:val="1"/>
      <w:numFmt w:val="upperLetter"/>
      <w:pStyle w:val="ListNumber2"/>
      <w:lvlText w:val="%7."/>
      <w:lvlJc w:val="left"/>
      <w:pPr>
        <w:tabs>
          <w:tab w:val="num" w:pos="720"/>
        </w:tabs>
        <w:ind w:left="720" w:hanging="360"/>
      </w:pPr>
      <w:rPr>
        <w:b w:val="0"/>
        <w:i w:val="0"/>
        <w:caps w:val="0"/>
        <w:smallCaps w:val="0"/>
        <w:vanish w:val="0"/>
        <w:u w:val="none"/>
      </w:rPr>
    </w:lvl>
    <w:lvl w:ilvl="7">
      <w:start w:val="1"/>
      <w:numFmt w:val="lowerRoman"/>
      <w:pStyle w:val="ListNumber3"/>
      <w:lvlText w:val="%8."/>
      <w:lvlJc w:val="left"/>
      <w:pPr>
        <w:tabs>
          <w:tab w:val="num" w:pos="1080"/>
        </w:tabs>
        <w:ind w:left="1080" w:hanging="360"/>
      </w:pPr>
      <w:rPr>
        <w:b w:val="0"/>
        <w:i w:val="0"/>
        <w:caps w:val="0"/>
        <w:smallCaps w:val="0"/>
        <w:vanish w:val="0"/>
        <w:u w:val="none"/>
      </w:rPr>
    </w:lvl>
    <w:lvl w:ilvl="8">
      <w:start w:val="1"/>
      <w:numFmt w:val="lowerLetter"/>
      <w:pStyle w:val="ListNumber4"/>
      <w:lvlText w:val="%9."/>
      <w:lvlJc w:val="left"/>
      <w:pPr>
        <w:tabs>
          <w:tab w:val="num" w:pos="1440"/>
        </w:tabs>
        <w:ind w:left="1440" w:hanging="360"/>
      </w:pPr>
      <w:rPr>
        <w:b w:val="0"/>
        <w:i w:val="0"/>
        <w:caps w:val="0"/>
        <w:smallCaps w:val="0"/>
        <w:vanish w:val="0"/>
        <w:u w:val="none"/>
      </w:rPr>
    </w:lvl>
  </w:abstractNum>
  <w:abstractNum w:abstractNumId="16" w15:restartNumberingAfterBreak="0">
    <w:nsid w:val="5476062E"/>
    <w:multiLevelType w:val="multilevel"/>
    <w:tmpl w:val="9B523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9E37CA"/>
    <w:multiLevelType w:val="hybridMultilevel"/>
    <w:tmpl w:val="AB905058"/>
    <w:lvl w:ilvl="0" w:tplc="471666A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A7193"/>
    <w:multiLevelType w:val="hybridMultilevel"/>
    <w:tmpl w:val="C1EE6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D34070"/>
    <w:multiLevelType w:val="hybridMultilevel"/>
    <w:tmpl w:val="4CE678A2"/>
    <w:lvl w:ilvl="0" w:tplc="387E9A4E">
      <w:start w:val="1"/>
      <w:numFmt w:val="bullet"/>
      <w:pStyle w:val="TOC3"/>
      <w:lvlText w:val="─"/>
      <w:lvlJc w:val="left"/>
      <w:pPr>
        <w:tabs>
          <w:tab w:val="num" w:pos="1267"/>
        </w:tabs>
        <w:ind w:left="1267"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6020D"/>
    <w:multiLevelType w:val="multilevel"/>
    <w:tmpl w:val="505EA1FA"/>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21" w15:restartNumberingAfterBreak="0">
    <w:nsid w:val="66186296"/>
    <w:multiLevelType w:val="singleLevel"/>
    <w:tmpl w:val="9ADEC414"/>
    <w:lvl w:ilvl="0">
      <w:start w:val="1"/>
      <w:numFmt w:val="decimal"/>
      <w:pStyle w:val="SectionStart"/>
      <w:lvlText w:val="%1"/>
      <w:lvlJc w:val="left"/>
      <w:pPr>
        <w:tabs>
          <w:tab w:val="num" w:pos="0"/>
        </w:tabs>
        <w:ind w:left="0" w:firstLine="0"/>
      </w:pPr>
      <w:rPr>
        <w:rFonts w:hint="default"/>
      </w:rPr>
    </w:lvl>
  </w:abstractNum>
  <w:abstractNum w:abstractNumId="22" w15:restartNumberingAfterBreak="0">
    <w:nsid w:val="6A16190A"/>
    <w:multiLevelType w:val="hybridMultilevel"/>
    <w:tmpl w:val="167259D2"/>
    <w:lvl w:ilvl="0" w:tplc="3EF4A4DC">
      <w:start w:val="201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F932A6"/>
    <w:multiLevelType w:val="singleLevel"/>
    <w:tmpl w:val="BFAA8006"/>
    <w:lvl w:ilvl="0">
      <w:start w:val="1"/>
      <w:numFmt w:val="upperLetter"/>
      <w:pStyle w:val="AppendixStart"/>
      <w:lvlText w:val="Appendix %1"/>
      <w:lvlJc w:val="left"/>
      <w:pPr>
        <w:tabs>
          <w:tab w:val="num" w:pos="0"/>
        </w:tabs>
        <w:ind w:left="0" w:firstLine="0"/>
      </w:pPr>
      <w:rPr>
        <w:rFonts w:hint="default"/>
      </w:rPr>
    </w:lvl>
  </w:abstractNum>
  <w:abstractNum w:abstractNumId="24" w15:restartNumberingAfterBreak="0">
    <w:nsid w:val="6D0C248B"/>
    <w:multiLevelType w:val="multilevel"/>
    <w:tmpl w:val="27DCA814"/>
    <w:name w:val="TableBulletList"/>
    <w:lvl w:ilvl="0">
      <w:start w:val="1"/>
      <w:numFmt w:val="upperLetter"/>
      <w:pStyle w:val="TOC9"/>
      <w:lvlText w:val="Appendix %1:"/>
      <w:lvlJc w:val="left"/>
      <w:pPr>
        <w:tabs>
          <w:tab w:val="num" w:pos="360"/>
        </w:tabs>
        <w:ind w:left="360" w:hanging="360"/>
      </w:pPr>
      <w:rPr>
        <w:rFonts w:ascii="Arial" w:hAnsi="Arial" w:cs="Times New Roman" w:hint="default"/>
        <w:b w:val="0"/>
        <w:bCs w:val="0"/>
        <w:i w:val="0"/>
        <w:iCs w:val="0"/>
        <w:caps w:val="0"/>
        <w:smallCaps w:val="0"/>
        <w:strike w:val="0"/>
        <w:dstrike w:val="0"/>
        <w:noProof w:val="0"/>
        <w:snapToGrid w:val="0"/>
        <w:vanish w:val="0"/>
        <w:color w:val="404040"/>
        <w:spacing w:val="0"/>
        <w:w w:val="0"/>
        <w:kern w:val="0"/>
        <w:position w:val="0"/>
        <w:sz w:val="22"/>
        <w:szCs w:val="18"/>
        <w:u w:val="none" w:color="000000"/>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37"/>
      <w:numFmt w:val="bullet"/>
      <w:lvlText w:val=""/>
      <w:lvlJc w:val="left"/>
      <w:pPr>
        <w:ind w:left="1440" w:hanging="360"/>
      </w:pPr>
      <w:rPr>
        <w:rFonts w:ascii="Symbol" w:eastAsia="Times New Roman"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E1C715A"/>
    <w:multiLevelType w:val="multilevel"/>
    <w:tmpl w:val="50F05CFE"/>
    <w:name w:val="Appendix"/>
    <w:lvl w:ilvl="0">
      <w:start w:val="1"/>
      <w:numFmt w:val="upperLetter"/>
      <w:lvlRestart w:val="0"/>
      <w:lvlText w:val="Appendix: %1."/>
      <w:lvlJc w:val="left"/>
      <w:pPr>
        <w:tabs>
          <w:tab w:val="num" w:pos="360"/>
        </w:tabs>
        <w:ind w:left="360" w:hanging="36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FA5B86"/>
    <w:multiLevelType w:val="multilevel"/>
    <w:tmpl w:val="0409001D"/>
    <w:name w:val="Heading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23"/>
  </w:num>
  <w:num w:numId="3">
    <w:abstractNumId w:val="2"/>
  </w:num>
  <w:num w:numId="4">
    <w:abstractNumId w:val="3"/>
  </w:num>
  <w:num w:numId="5">
    <w:abstractNumId w:val="23"/>
  </w:num>
  <w:num w:numId="6">
    <w:abstractNumId w:val="24"/>
  </w:num>
  <w:num w:numId="7">
    <w:abstractNumId w:val="19"/>
  </w:num>
  <w:num w:numId="8">
    <w:abstractNumId w:val="9"/>
  </w:num>
  <w:num w:numId="9">
    <w:abstractNumId w:val="8"/>
  </w:num>
  <w:num w:numId="10">
    <w:abstractNumId w:val="6"/>
  </w:num>
  <w:num w:numId="11">
    <w:abstractNumId w:val="15"/>
  </w:num>
  <w:num w:numId="12">
    <w:abstractNumId w:val="4"/>
  </w:num>
  <w:num w:numId="13">
    <w:abstractNumId w:val="16"/>
  </w:num>
  <w:num w:numId="14">
    <w:abstractNumId w:val="10"/>
  </w:num>
  <w:num w:numId="15">
    <w:abstractNumId w:val="14"/>
  </w:num>
  <w:num w:numId="16">
    <w:abstractNumId w:val="8"/>
  </w:num>
  <w:num w:numId="17">
    <w:abstractNumId w:val="8"/>
  </w:num>
  <w:num w:numId="18">
    <w:abstractNumId w:val="8"/>
  </w:num>
  <w:num w:numId="19">
    <w:abstractNumId w:val="17"/>
  </w:num>
  <w:num w:numId="20">
    <w:abstractNumId w:val="22"/>
  </w:num>
  <w:num w:numId="21">
    <w:abstractNumId w:val="13"/>
  </w:num>
  <w:num w:numId="22">
    <w:abstractNumId w:val="8"/>
  </w:num>
  <w:num w:numId="23">
    <w:abstractNumId w:val="1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LockTheme/>
  <w:styleLockQFSet/>
  <w:defaultTabStop w:val="227"/>
  <w:displayHorizontalDrawingGridEvery w:val="0"/>
  <w:displayVerticalDrawingGridEvery w:val="0"/>
  <w:doNotUseMarginsForDrawingGridOrigin/>
  <w:noPunctuationKerning/>
  <w:characterSpacingControl w:val="doNotCompress"/>
  <w:hdrShapeDefaults>
    <o:shapedefaults v:ext="edit" spidmax="6145">
      <o:colormru v:ext="edit" colors="#bcd8d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60"/>
    <w:rsid w:val="00001C47"/>
    <w:rsid w:val="0000360B"/>
    <w:rsid w:val="0000472B"/>
    <w:rsid w:val="000047BB"/>
    <w:rsid w:val="000100A8"/>
    <w:rsid w:val="0001182B"/>
    <w:rsid w:val="00013085"/>
    <w:rsid w:val="00013EAE"/>
    <w:rsid w:val="00015EDE"/>
    <w:rsid w:val="00017FCB"/>
    <w:rsid w:val="00025ADD"/>
    <w:rsid w:val="00030DC4"/>
    <w:rsid w:val="00034F57"/>
    <w:rsid w:val="000363E8"/>
    <w:rsid w:val="0003651C"/>
    <w:rsid w:val="00040475"/>
    <w:rsid w:val="000421E5"/>
    <w:rsid w:val="00047E45"/>
    <w:rsid w:val="00053D8B"/>
    <w:rsid w:val="0005535C"/>
    <w:rsid w:val="00056E3E"/>
    <w:rsid w:val="0005770D"/>
    <w:rsid w:val="00060643"/>
    <w:rsid w:val="00062C18"/>
    <w:rsid w:val="0006577E"/>
    <w:rsid w:val="00065CF6"/>
    <w:rsid w:val="000717DD"/>
    <w:rsid w:val="00072A5A"/>
    <w:rsid w:val="000735F5"/>
    <w:rsid w:val="00075BDF"/>
    <w:rsid w:val="00076363"/>
    <w:rsid w:val="00080A06"/>
    <w:rsid w:val="00080BFF"/>
    <w:rsid w:val="000832F2"/>
    <w:rsid w:val="000850ED"/>
    <w:rsid w:val="00085804"/>
    <w:rsid w:val="0008666F"/>
    <w:rsid w:val="0009039C"/>
    <w:rsid w:val="00090E0B"/>
    <w:rsid w:val="000910F5"/>
    <w:rsid w:val="000943F1"/>
    <w:rsid w:val="00095196"/>
    <w:rsid w:val="00095E1C"/>
    <w:rsid w:val="000A3D02"/>
    <w:rsid w:val="000A3EF6"/>
    <w:rsid w:val="000A4957"/>
    <w:rsid w:val="000A672C"/>
    <w:rsid w:val="000A6D48"/>
    <w:rsid w:val="000A6F86"/>
    <w:rsid w:val="000B22E0"/>
    <w:rsid w:val="000B394A"/>
    <w:rsid w:val="000B460B"/>
    <w:rsid w:val="000B5DAD"/>
    <w:rsid w:val="000C466A"/>
    <w:rsid w:val="000C5192"/>
    <w:rsid w:val="000C6910"/>
    <w:rsid w:val="000D0CA4"/>
    <w:rsid w:val="000D1851"/>
    <w:rsid w:val="000D1BA8"/>
    <w:rsid w:val="000D23BC"/>
    <w:rsid w:val="000E004A"/>
    <w:rsid w:val="000E057E"/>
    <w:rsid w:val="000E3149"/>
    <w:rsid w:val="000E5764"/>
    <w:rsid w:val="000F424B"/>
    <w:rsid w:val="000F53CA"/>
    <w:rsid w:val="000F6F72"/>
    <w:rsid w:val="00100EB1"/>
    <w:rsid w:val="00101205"/>
    <w:rsid w:val="00107A20"/>
    <w:rsid w:val="001115A6"/>
    <w:rsid w:val="001118C2"/>
    <w:rsid w:val="00113B93"/>
    <w:rsid w:val="00116AB9"/>
    <w:rsid w:val="001175A6"/>
    <w:rsid w:val="001179E5"/>
    <w:rsid w:val="00121B06"/>
    <w:rsid w:val="00122C44"/>
    <w:rsid w:val="00122F16"/>
    <w:rsid w:val="0012472A"/>
    <w:rsid w:val="00124E3C"/>
    <w:rsid w:val="00126160"/>
    <w:rsid w:val="00126602"/>
    <w:rsid w:val="00130E4C"/>
    <w:rsid w:val="00133ED7"/>
    <w:rsid w:val="001346BC"/>
    <w:rsid w:val="001368EE"/>
    <w:rsid w:val="00137A8F"/>
    <w:rsid w:val="00141C35"/>
    <w:rsid w:val="0014439D"/>
    <w:rsid w:val="001454AE"/>
    <w:rsid w:val="00145D2C"/>
    <w:rsid w:val="00150787"/>
    <w:rsid w:val="00150ABD"/>
    <w:rsid w:val="00153117"/>
    <w:rsid w:val="001533A1"/>
    <w:rsid w:val="00160CCE"/>
    <w:rsid w:val="001620A3"/>
    <w:rsid w:val="0016261E"/>
    <w:rsid w:val="00163EA1"/>
    <w:rsid w:val="0016566C"/>
    <w:rsid w:val="00170D53"/>
    <w:rsid w:val="001712F9"/>
    <w:rsid w:val="00172C3C"/>
    <w:rsid w:val="00174050"/>
    <w:rsid w:val="00174C17"/>
    <w:rsid w:val="00174E0F"/>
    <w:rsid w:val="00175BF6"/>
    <w:rsid w:val="00177BFE"/>
    <w:rsid w:val="0018091D"/>
    <w:rsid w:val="00181203"/>
    <w:rsid w:val="00182DA8"/>
    <w:rsid w:val="00183A91"/>
    <w:rsid w:val="00184C86"/>
    <w:rsid w:val="00184F8A"/>
    <w:rsid w:val="00185763"/>
    <w:rsid w:val="0018604B"/>
    <w:rsid w:val="00186DFD"/>
    <w:rsid w:val="00187255"/>
    <w:rsid w:val="00190D77"/>
    <w:rsid w:val="0019120B"/>
    <w:rsid w:val="001925C3"/>
    <w:rsid w:val="001A1A11"/>
    <w:rsid w:val="001A42EC"/>
    <w:rsid w:val="001B24F4"/>
    <w:rsid w:val="001B77BF"/>
    <w:rsid w:val="001C0974"/>
    <w:rsid w:val="001D198A"/>
    <w:rsid w:val="001D2498"/>
    <w:rsid w:val="001E0606"/>
    <w:rsid w:val="001E4238"/>
    <w:rsid w:val="001F3F79"/>
    <w:rsid w:val="001F40D3"/>
    <w:rsid w:val="001F476E"/>
    <w:rsid w:val="001F7D0B"/>
    <w:rsid w:val="0020369F"/>
    <w:rsid w:val="00206DA5"/>
    <w:rsid w:val="0021014C"/>
    <w:rsid w:val="002109ED"/>
    <w:rsid w:val="002135B0"/>
    <w:rsid w:val="00216A1E"/>
    <w:rsid w:val="00216CB8"/>
    <w:rsid w:val="00217DC7"/>
    <w:rsid w:val="00220003"/>
    <w:rsid w:val="00222167"/>
    <w:rsid w:val="00224449"/>
    <w:rsid w:val="002257DB"/>
    <w:rsid w:val="002326EC"/>
    <w:rsid w:val="00232E65"/>
    <w:rsid w:val="00233196"/>
    <w:rsid w:val="00235072"/>
    <w:rsid w:val="00235E12"/>
    <w:rsid w:val="00235FA8"/>
    <w:rsid w:val="00236955"/>
    <w:rsid w:val="00240871"/>
    <w:rsid w:val="0024119F"/>
    <w:rsid w:val="00243E0A"/>
    <w:rsid w:val="002454A1"/>
    <w:rsid w:val="00251861"/>
    <w:rsid w:val="00253C2A"/>
    <w:rsid w:val="00254BE9"/>
    <w:rsid w:val="00256186"/>
    <w:rsid w:val="0026079F"/>
    <w:rsid w:val="00262AB4"/>
    <w:rsid w:val="00263299"/>
    <w:rsid w:val="00263BEC"/>
    <w:rsid w:val="00272FD9"/>
    <w:rsid w:val="002740F6"/>
    <w:rsid w:val="00275109"/>
    <w:rsid w:val="00276ACD"/>
    <w:rsid w:val="00282E25"/>
    <w:rsid w:val="00290A86"/>
    <w:rsid w:val="0029220C"/>
    <w:rsid w:val="0029647D"/>
    <w:rsid w:val="002A4B46"/>
    <w:rsid w:val="002A5BD6"/>
    <w:rsid w:val="002A6713"/>
    <w:rsid w:val="002B0BD7"/>
    <w:rsid w:val="002B251C"/>
    <w:rsid w:val="002B308A"/>
    <w:rsid w:val="002B4074"/>
    <w:rsid w:val="002B523F"/>
    <w:rsid w:val="002B650A"/>
    <w:rsid w:val="002C018B"/>
    <w:rsid w:val="002C0B59"/>
    <w:rsid w:val="002C153E"/>
    <w:rsid w:val="002C1577"/>
    <w:rsid w:val="002C4482"/>
    <w:rsid w:val="002C4805"/>
    <w:rsid w:val="002D007F"/>
    <w:rsid w:val="002D08D8"/>
    <w:rsid w:val="002D1E36"/>
    <w:rsid w:val="002D36C6"/>
    <w:rsid w:val="002D37A6"/>
    <w:rsid w:val="002D478E"/>
    <w:rsid w:val="002D4856"/>
    <w:rsid w:val="002D715C"/>
    <w:rsid w:val="002E2260"/>
    <w:rsid w:val="002E3DF3"/>
    <w:rsid w:val="002E5A81"/>
    <w:rsid w:val="002E6B0F"/>
    <w:rsid w:val="002E7775"/>
    <w:rsid w:val="002F0E5A"/>
    <w:rsid w:val="002F4AD9"/>
    <w:rsid w:val="002F4F41"/>
    <w:rsid w:val="00300059"/>
    <w:rsid w:val="00302765"/>
    <w:rsid w:val="0030531E"/>
    <w:rsid w:val="003101DF"/>
    <w:rsid w:val="00311C7E"/>
    <w:rsid w:val="00312C53"/>
    <w:rsid w:val="00314AF0"/>
    <w:rsid w:val="00325AC8"/>
    <w:rsid w:val="00326788"/>
    <w:rsid w:val="00326DC7"/>
    <w:rsid w:val="00331428"/>
    <w:rsid w:val="003315BF"/>
    <w:rsid w:val="00331A3B"/>
    <w:rsid w:val="00332EFF"/>
    <w:rsid w:val="00334355"/>
    <w:rsid w:val="00336040"/>
    <w:rsid w:val="003437B2"/>
    <w:rsid w:val="00345256"/>
    <w:rsid w:val="00345600"/>
    <w:rsid w:val="00346F05"/>
    <w:rsid w:val="0035079E"/>
    <w:rsid w:val="00351D37"/>
    <w:rsid w:val="0035234B"/>
    <w:rsid w:val="003527BD"/>
    <w:rsid w:val="00355EB9"/>
    <w:rsid w:val="003562A8"/>
    <w:rsid w:val="003571D7"/>
    <w:rsid w:val="0035736D"/>
    <w:rsid w:val="00357513"/>
    <w:rsid w:val="00360814"/>
    <w:rsid w:val="00361D0E"/>
    <w:rsid w:val="003649B7"/>
    <w:rsid w:val="00364FCA"/>
    <w:rsid w:val="00367A49"/>
    <w:rsid w:val="00372F5A"/>
    <w:rsid w:val="003734BA"/>
    <w:rsid w:val="0037430F"/>
    <w:rsid w:val="00374DB4"/>
    <w:rsid w:val="003756E2"/>
    <w:rsid w:val="00375C43"/>
    <w:rsid w:val="0038406E"/>
    <w:rsid w:val="00384166"/>
    <w:rsid w:val="003842DF"/>
    <w:rsid w:val="003869F2"/>
    <w:rsid w:val="00394AD2"/>
    <w:rsid w:val="00394BBC"/>
    <w:rsid w:val="003950E6"/>
    <w:rsid w:val="003961D4"/>
    <w:rsid w:val="003A0BD4"/>
    <w:rsid w:val="003A3EA6"/>
    <w:rsid w:val="003A6A90"/>
    <w:rsid w:val="003B0EEA"/>
    <w:rsid w:val="003B1B42"/>
    <w:rsid w:val="003B34AE"/>
    <w:rsid w:val="003B43C4"/>
    <w:rsid w:val="003C17E0"/>
    <w:rsid w:val="003C1D5E"/>
    <w:rsid w:val="003C3998"/>
    <w:rsid w:val="003D338A"/>
    <w:rsid w:val="003D33E4"/>
    <w:rsid w:val="003D3D49"/>
    <w:rsid w:val="003D5478"/>
    <w:rsid w:val="003D5BCB"/>
    <w:rsid w:val="003D6047"/>
    <w:rsid w:val="003D6676"/>
    <w:rsid w:val="003E1E4E"/>
    <w:rsid w:val="003E24CE"/>
    <w:rsid w:val="003E3AB5"/>
    <w:rsid w:val="003E4266"/>
    <w:rsid w:val="003F26B3"/>
    <w:rsid w:val="003F5DF4"/>
    <w:rsid w:val="003F702D"/>
    <w:rsid w:val="00400492"/>
    <w:rsid w:val="00400F74"/>
    <w:rsid w:val="0040267F"/>
    <w:rsid w:val="00403A8C"/>
    <w:rsid w:val="00405B2C"/>
    <w:rsid w:val="00406954"/>
    <w:rsid w:val="00407CFA"/>
    <w:rsid w:val="0041071F"/>
    <w:rsid w:val="00410867"/>
    <w:rsid w:val="0041261D"/>
    <w:rsid w:val="00414549"/>
    <w:rsid w:val="00414B20"/>
    <w:rsid w:val="0041527B"/>
    <w:rsid w:val="0041553D"/>
    <w:rsid w:val="00415E5B"/>
    <w:rsid w:val="004162A9"/>
    <w:rsid w:val="00417DA0"/>
    <w:rsid w:val="00420238"/>
    <w:rsid w:val="00433397"/>
    <w:rsid w:val="00435D99"/>
    <w:rsid w:val="00440B05"/>
    <w:rsid w:val="00441147"/>
    <w:rsid w:val="004423EB"/>
    <w:rsid w:val="00443E70"/>
    <w:rsid w:val="00445F62"/>
    <w:rsid w:val="00446932"/>
    <w:rsid w:val="0044751C"/>
    <w:rsid w:val="004478A9"/>
    <w:rsid w:val="00447981"/>
    <w:rsid w:val="00453D0E"/>
    <w:rsid w:val="0045642C"/>
    <w:rsid w:val="00460956"/>
    <w:rsid w:val="00461C98"/>
    <w:rsid w:val="00465149"/>
    <w:rsid w:val="00465496"/>
    <w:rsid w:val="004678B1"/>
    <w:rsid w:val="00467A28"/>
    <w:rsid w:val="00467D38"/>
    <w:rsid w:val="00472A68"/>
    <w:rsid w:val="00474E18"/>
    <w:rsid w:val="004773DD"/>
    <w:rsid w:val="0048056B"/>
    <w:rsid w:val="00480A8B"/>
    <w:rsid w:val="0048168B"/>
    <w:rsid w:val="00482AD1"/>
    <w:rsid w:val="00484082"/>
    <w:rsid w:val="00485364"/>
    <w:rsid w:val="00486F49"/>
    <w:rsid w:val="00490A48"/>
    <w:rsid w:val="00492869"/>
    <w:rsid w:val="00493BCF"/>
    <w:rsid w:val="004953F4"/>
    <w:rsid w:val="00496F98"/>
    <w:rsid w:val="00497041"/>
    <w:rsid w:val="004A10CC"/>
    <w:rsid w:val="004A212C"/>
    <w:rsid w:val="004A25AC"/>
    <w:rsid w:val="004A2C02"/>
    <w:rsid w:val="004A3003"/>
    <w:rsid w:val="004A544E"/>
    <w:rsid w:val="004B2939"/>
    <w:rsid w:val="004B31C7"/>
    <w:rsid w:val="004B4AF4"/>
    <w:rsid w:val="004B6CE2"/>
    <w:rsid w:val="004B790C"/>
    <w:rsid w:val="004C4828"/>
    <w:rsid w:val="004C69F1"/>
    <w:rsid w:val="004C7751"/>
    <w:rsid w:val="004D0A37"/>
    <w:rsid w:val="004D0C8C"/>
    <w:rsid w:val="004D134A"/>
    <w:rsid w:val="004D178B"/>
    <w:rsid w:val="004D22B3"/>
    <w:rsid w:val="004D46B1"/>
    <w:rsid w:val="004D578C"/>
    <w:rsid w:val="004D6D93"/>
    <w:rsid w:val="004D743B"/>
    <w:rsid w:val="004D78AF"/>
    <w:rsid w:val="004E126C"/>
    <w:rsid w:val="004E52A2"/>
    <w:rsid w:val="004E5485"/>
    <w:rsid w:val="004F1A1B"/>
    <w:rsid w:val="004F24A4"/>
    <w:rsid w:val="004F3084"/>
    <w:rsid w:val="004F6CF1"/>
    <w:rsid w:val="00500098"/>
    <w:rsid w:val="00502E75"/>
    <w:rsid w:val="0050338B"/>
    <w:rsid w:val="005061F5"/>
    <w:rsid w:val="00510A61"/>
    <w:rsid w:val="00512253"/>
    <w:rsid w:val="00514B63"/>
    <w:rsid w:val="00515B66"/>
    <w:rsid w:val="005167E2"/>
    <w:rsid w:val="00521C48"/>
    <w:rsid w:val="00521F1F"/>
    <w:rsid w:val="00523897"/>
    <w:rsid w:val="00524997"/>
    <w:rsid w:val="00527CE8"/>
    <w:rsid w:val="00527E3A"/>
    <w:rsid w:val="0053249E"/>
    <w:rsid w:val="00536849"/>
    <w:rsid w:val="005409C0"/>
    <w:rsid w:val="00540BD0"/>
    <w:rsid w:val="00541404"/>
    <w:rsid w:val="005424BA"/>
    <w:rsid w:val="00546002"/>
    <w:rsid w:val="005472C4"/>
    <w:rsid w:val="00553295"/>
    <w:rsid w:val="00553DB5"/>
    <w:rsid w:val="00555C58"/>
    <w:rsid w:val="005664E1"/>
    <w:rsid w:val="0056670D"/>
    <w:rsid w:val="00572823"/>
    <w:rsid w:val="00572C01"/>
    <w:rsid w:val="00576576"/>
    <w:rsid w:val="00582E2E"/>
    <w:rsid w:val="0058517C"/>
    <w:rsid w:val="00586EB9"/>
    <w:rsid w:val="0059232A"/>
    <w:rsid w:val="0059618D"/>
    <w:rsid w:val="00596814"/>
    <w:rsid w:val="005A1F31"/>
    <w:rsid w:val="005A5B64"/>
    <w:rsid w:val="005B1F11"/>
    <w:rsid w:val="005B2D9B"/>
    <w:rsid w:val="005B3559"/>
    <w:rsid w:val="005B3636"/>
    <w:rsid w:val="005B70A8"/>
    <w:rsid w:val="005C0BA9"/>
    <w:rsid w:val="005C0EBA"/>
    <w:rsid w:val="005C4190"/>
    <w:rsid w:val="005C4B66"/>
    <w:rsid w:val="005C5783"/>
    <w:rsid w:val="005C7E28"/>
    <w:rsid w:val="005D1F10"/>
    <w:rsid w:val="005D3544"/>
    <w:rsid w:val="005D470F"/>
    <w:rsid w:val="005D5629"/>
    <w:rsid w:val="005E19B9"/>
    <w:rsid w:val="005E3B97"/>
    <w:rsid w:val="005F0EE6"/>
    <w:rsid w:val="005F5E37"/>
    <w:rsid w:val="005F71CA"/>
    <w:rsid w:val="005F7380"/>
    <w:rsid w:val="00610FCE"/>
    <w:rsid w:val="00613BCA"/>
    <w:rsid w:val="00615619"/>
    <w:rsid w:val="006166A9"/>
    <w:rsid w:val="00617A89"/>
    <w:rsid w:val="00622BD0"/>
    <w:rsid w:val="00623152"/>
    <w:rsid w:val="0062470C"/>
    <w:rsid w:val="00624984"/>
    <w:rsid w:val="00624CFB"/>
    <w:rsid w:val="00625E56"/>
    <w:rsid w:val="00627186"/>
    <w:rsid w:val="00627526"/>
    <w:rsid w:val="006327E4"/>
    <w:rsid w:val="006353D7"/>
    <w:rsid w:val="00636932"/>
    <w:rsid w:val="0063795E"/>
    <w:rsid w:val="00637B4D"/>
    <w:rsid w:val="00637D94"/>
    <w:rsid w:val="006409D5"/>
    <w:rsid w:val="0064180E"/>
    <w:rsid w:val="0064633A"/>
    <w:rsid w:val="00652677"/>
    <w:rsid w:val="0065380F"/>
    <w:rsid w:val="00654C9F"/>
    <w:rsid w:val="00654F47"/>
    <w:rsid w:val="006565F8"/>
    <w:rsid w:val="00660334"/>
    <w:rsid w:val="00662236"/>
    <w:rsid w:val="006651C3"/>
    <w:rsid w:val="00665BE4"/>
    <w:rsid w:val="0066770D"/>
    <w:rsid w:val="00670419"/>
    <w:rsid w:val="00671233"/>
    <w:rsid w:val="00671CD9"/>
    <w:rsid w:val="00671D31"/>
    <w:rsid w:val="0067459A"/>
    <w:rsid w:val="00675130"/>
    <w:rsid w:val="00675628"/>
    <w:rsid w:val="00676991"/>
    <w:rsid w:val="0068327A"/>
    <w:rsid w:val="00685334"/>
    <w:rsid w:val="006854EB"/>
    <w:rsid w:val="00686380"/>
    <w:rsid w:val="0069055B"/>
    <w:rsid w:val="00692D7D"/>
    <w:rsid w:val="00692EE8"/>
    <w:rsid w:val="00696373"/>
    <w:rsid w:val="006A0A71"/>
    <w:rsid w:val="006A1477"/>
    <w:rsid w:val="006A1FB0"/>
    <w:rsid w:val="006A40EA"/>
    <w:rsid w:val="006A48C4"/>
    <w:rsid w:val="006A4BB1"/>
    <w:rsid w:val="006A5A20"/>
    <w:rsid w:val="006B79AD"/>
    <w:rsid w:val="006C061D"/>
    <w:rsid w:val="006C1989"/>
    <w:rsid w:val="006C2FD3"/>
    <w:rsid w:val="006C3111"/>
    <w:rsid w:val="006D2189"/>
    <w:rsid w:val="006D2A07"/>
    <w:rsid w:val="006D2E32"/>
    <w:rsid w:val="006D5115"/>
    <w:rsid w:val="006D5237"/>
    <w:rsid w:val="006D591B"/>
    <w:rsid w:val="006D6A4B"/>
    <w:rsid w:val="006D792E"/>
    <w:rsid w:val="006D7CEF"/>
    <w:rsid w:val="006E008A"/>
    <w:rsid w:val="006E0F6D"/>
    <w:rsid w:val="006E1351"/>
    <w:rsid w:val="006E283A"/>
    <w:rsid w:val="006E7E91"/>
    <w:rsid w:val="006F4BA6"/>
    <w:rsid w:val="006F6B5D"/>
    <w:rsid w:val="00704EBF"/>
    <w:rsid w:val="00706A8D"/>
    <w:rsid w:val="0070700B"/>
    <w:rsid w:val="00711178"/>
    <w:rsid w:val="007121E6"/>
    <w:rsid w:val="007131B6"/>
    <w:rsid w:val="00713449"/>
    <w:rsid w:val="00713C5E"/>
    <w:rsid w:val="00715A72"/>
    <w:rsid w:val="00720979"/>
    <w:rsid w:val="00721776"/>
    <w:rsid w:val="00721AF8"/>
    <w:rsid w:val="0072270C"/>
    <w:rsid w:val="0072283D"/>
    <w:rsid w:val="007268C7"/>
    <w:rsid w:val="00726CA6"/>
    <w:rsid w:val="00730524"/>
    <w:rsid w:val="0073318D"/>
    <w:rsid w:val="00735125"/>
    <w:rsid w:val="007363B5"/>
    <w:rsid w:val="00737477"/>
    <w:rsid w:val="007377A0"/>
    <w:rsid w:val="00737DF4"/>
    <w:rsid w:val="00740656"/>
    <w:rsid w:val="0074307F"/>
    <w:rsid w:val="00743C53"/>
    <w:rsid w:val="007469B6"/>
    <w:rsid w:val="00751992"/>
    <w:rsid w:val="00752C87"/>
    <w:rsid w:val="00755FDE"/>
    <w:rsid w:val="00757FA7"/>
    <w:rsid w:val="007603ED"/>
    <w:rsid w:val="00760A3A"/>
    <w:rsid w:val="00763B6E"/>
    <w:rsid w:val="00764B71"/>
    <w:rsid w:val="00765B15"/>
    <w:rsid w:val="00765ED6"/>
    <w:rsid w:val="007725A0"/>
    <w:rsid w:val="0077409B"/>
    <w:rsid w:val="00776BF7"/>
    <w:rsid w:val="0078023F"/>
    <w:rsid w:val="007808DA"/>
    <w:rsid w:val="00780CF1"/>
    <w:rsid w:val="007834AB"/>
    <w:rsid w:val="007835B1"/>
    <w:rsid w:val="00784864"/>
    <w:rsid w:val="007848D8"/>
    <w:rsid w:val="0079196B"/>
    <w:rsid w:val="00792DB9"/>
    <w:rsid w:val="00793330"/>
    <w:rsid w:val="00793471"/>
    <w:rsid w:val="007946D1"/>
    <w:rsid w:val="00795377"/>
    <w:rsid w:val="0079683D"/>
    <w:rsid w:val="007977EC"/>
    <w:rsid w:val="007A4B7A"/>
    <w:rsid w:val="007A522B"/>
    <w:rsid w:val="007A562D"/>
    <w:rsid w:val="007A5AC7"/>
    <w:rsid w:val="007A720B"/>
    <w:rsid w:val="007A728D"/>
    <w:rsid w:val="007B013B"/>
    <w:rsid w:val="007B59BD"/>
    <w:rsid w:val="007B7889"/>
    <w:rsid w:val="007C3D05"/>
    <w:rsid w:val="007C3D96"/>
    <w:rsid w:val="007C48BF"/>
    <w:rsid w:val="007C4CB6"/>
    <w:rsid w:val="007D1423"/>
    <w:rsid w:val="007D5E17"/>
    <w:rsid w:val="007D6566"/>
    <w:rsid w:val="007D7537"/>
    <w:rsid w:val="007D7FC3"/>
    <w:rsid w:val="007E31B9"/>
    <w:rsid w:val="007E7B1A"/>
    <w:rsid w:val="007F2F73"/>
    <w:rsid w:val="007F57BC"/>
    <w:rsid w:val="007F5F0D"/>
    <w:rsid w:val="0080055A"/>
    <w:rsid w:val="00803B6D"/>
    <w:rsid w:val="008051CC"/>
    <w:rsid w:val="00805D60"/>
    <w:rsid w:val="008067D4"/>
    <w:rsid w:val="00806FB0"/>
    <w:rsid w:val="00810FA4"/>
    <w:rsid w:val="0081311D"/>
    <w:rsid w:val="0081394E"/>
    <w:rsid w:val="00814698"/>
    <w:rsid w:val="008148AE"/>
    <w:rsid w:val="008155E3"/>
    <w:rsid w:val="00817E9E"/>
    <w:rsid w:val="008203DC"/>
    <w:rsid w:val="00822A14"/>
    <w:rsid w:val="0082575E"/>
    <w:rsid w:val="00825EA2"/>
    <w:rsid w:val="00827778"/>
    <w:rsid w:val="008304B9"/>
    <w:rsid w:val="00831EF9"/>
    <w:rsid w:val="00841329"/>
    <w:rsid w:val="00841900"/>
    <w:rsid w:val="0084206F"/>
    <w:rsid w:val="00844EA8"/>
    <w:rsid w:val="00846A4C"/>
    <w:rsid w:val="0085297B"/>
    <w:rsid w:val="008545C2"/>
    <w:rsid w:val="008549C8"/>
    <w:rsid w:val="00854B9C"/>
    <w:rsid w:val="00857B1B"/>
    <w:rsid w:val="00861D62"/>
    <w:rsid w:val="00871886"/>
    <w:rsid w:val="0087201D"/>
    <w:rsid w:val="0087355D"/>
    <w:rsid w:val="008754B0"/>
    <w:rsid w:val="00875E45"/>
    <w:rsid w:val="00876516"/>
    <w:rsid w:val="0087786A"/>
    <w:rsid w:val="00881F7B"/>
    <w:rsid w:val="00886F7A"/>
    <w:rsid w:val="00892B6B"/>
    <w:rsid w:val="00893384"/>
    <w:rsid w:val="00893CDF"/>
    <w:rsid w:val="0089512C"/>
    <w:rsid w:val="00896A32"/>
    <w:rsid w:val="008A6611"/>
    <w:rsid w:val="008A6922"/>
    <w:rsid w:val="008A7932"/>
    <w:rsid w:val="008B4B47"/>
    <w:rsid w:val="008B61B2"/>
    <w:rsid w:val="008B6F35"/>
    <w:rsid w:val="008B740F"/>
    <w:rsid w:val="008C45C8"/>
    <w:rsid w:val="008D21CB"/>
    <w:rsid w:val="008D2CD7"/>
    <w:rsid w:val="008D44AD"/>
    <w:rsid w:val="008D4B04"/>
    <w:rsid w:val="008D51C4"/>
    <w:rsid w:val="008D5666"/>
    <w:rsid w:val="008D5A98"/>
    <w:rsid w:val="008D6575"/>
    <w:rsid w:val="008D7298"/>
    <w:rsid w:val="008E0164"/>
    <w:rsid w:val="008E0DC7"/>
    <w:rsid w:val="008E1E3C"/>
    <w:rsid w:val="008E2996"/>
    <w:rsid w:val="008E2E1A"/>
    <w:rsid w:val="008E4EF4"/>
    <w:rsid w:val="008E7A61"/>
    <w:rsid w:val="008F25A5"/>
    <w:rsid w:val="008F4F94"/>
    <w:rsid w:val="008F6510"/>
    <w:rsid w:val="008F65C4"/>
    <w:rsid w:val="00907CA8"/>
    <w:rsid w:val="00911888"/>
    <w:rsid w:val="00911EF5"/>
    <w:rsid w:val="00912BF1"/>
    <w:rsid w:val="00916B2E"/>
    <w:rsid w:val="00921478"/>
    <w:rsid w:val="00921C4F"/>
    <w:rsid w:val="0092257F"/>
    <w:rsid w:val="00923A36"/>
    <w:rsid w:val="00924315"/>
    <w:rsid w:val="00925451"/>
    <w:rsid w:val="0092683C"/>
    <w:rsid w:val="0092734D"/>
    <w:rsid w:val="009273FB"/>
    <w:rsid w:val="00927D01"/>
    <w:rsid w:val="009312E2"/>
    <w:rsid w:val="00932D30"/>
    <w:rsid w:val="00935910"/>
    <w:rsid w:val="00937CDB"/>
    <w:rsid w:val="0094072D"/>
    <w:rsid w:val="00941AD1"/>
    <w:rsid w:val="00943601"/>
    <w:rsid w:val="009459A6"/>
    <w:rsid w:val="00947E73"/>
    <w:rsid w:val="00950336"/>
    <w:rsid w:val="00952F8C"/>
    <w:rsid w:val="0095365C"/>
    <w:rsid w:val="00955BD9"/>
    <w:rsid w:val="00955C4B"/>
    <w:rsid w:val="00967E80"/>
    <w:rsid w:val="00977D6D"/>
    <w:rsid w:val="009809D3"/>
    <w:rsid w:val="00983011"/>
    <w:rsid w:val="00984F58"/>
    <w:rsid w:val="00985D4F"/>
    <w:rsid w:val="00993C3A"/>
    <w:rsid w:val="00997831"/>
    <w:rsid w:val="009A5348"/>
    <w:rsid w:val="009A5F2C"/>
    <w:rsid w:val="009B19B8"/>
    <w:rsid w:val="009B1E08"/>
    <w:rsid w:val="009B6793"/>
    <w:rsid w:val="009C1751"/>
    <w:rsid w:val="009D1189"/>
    <w:rsid w:val="009D3CDB"/>
    <w:rsid w:val="009D4720"/>
    <w:rsid w:val="009D4AC8"/>
    <w:rsid w:val="009E0208"/>
    <w:rsid w:val="009E0575"/>
    <w:rsid w:val="009E12D6"/>
    <w:rsid w:val="009E3425"/>
    <w:rsid w:val="009F2993"/>
    <w:rsid w:val="009F392F"/>
    <w:rsid w:val="009F399E"/>
    <w:rsid w:val="009F432F"/>
    <w:rsid w:val="009F47FB"/>
    <w:rsid w:val="009F77F1"/>
    <w:rsid w:val="00A0137A"/>
    <w:rsid w:val="00A01459"/>
    <w:rsid w:val="00A01CFA"/>
    <w:rsid w:val="00A04D3C"/>
    <w:rsid w:val="00A0506E"/>
    <w:rsid w:val="00A05B95"/>
    <w:rsid w:val="00A06CBA"/>
    <w:rsid w:val="00A119C1"/>
    <w:rsid w:val="00A11B27"/>
    <w:rsid w:val="00A12294"/>
    <w:rsid w:val="00A12D77"/>
    <w:rsid w:val="00A15833"/>
    <w:rsid w:val="00A15C86"/>
    <w:rsid w:val="00A17539"/>
    <w:rsid w:val="00A2126F"/>
    <w:rsid w:val="00A25C8F"/>
    <w:rsid w:val="00A2650D"/>
    <w:rsid w:val="00A26782"/>
    <w:rsid w:val="00A26BBD"/>
    <w:rsid w:val="00A2774D"/>
    <w:rsid w:val="00A33BEF"/>
    <w:rsid w:val="00A36AB4"/>
    <w:rsid w:val="00A40411"/>
    <w:rsid w:val="00A4225D"/>
    <w:rsid w:val="00A4545C"/>
    <w:rsid w:val="00A45E87"/>
    <w:rsid w:val="00A515C1"/>
    <w:rsid w:val="00A51909"/>
    <w:rsid w:val="00A5484A"/>
    <w:rsid w:val="00A605C6"/>
    <w:rsid w:val="00A61437"/>
    <w:rsid w:val="00A6341E"/>
    <w:rsid w:val="00A649F7"/>
    <w:rsid w:val="00A6528C"/>
    <w:rsid w:val="00A70E65"/>
    <w:rsid w:val="00A72A62"/>
    <w:rsid w:val="00A73BBF"/>
    <w:rsid w:val="00A74906"/>
    <w:rsid w:val="00A77322"/>
    <w:rsid w:val="00A80CF5"/>
    <w:rsid w:val="00A83115"/>
    <w:rsid w:val="00A86807"/>
    <w:rsid w:val="00A86D36"/>
    <w:rsid w:val="00A92F52"/>
    <w:rsid w:val="00A93985"/>
    <w:rsid w:val="00A97EFF"/>
    <w:rsid w:val="00AA1507"/>
    <w:rsid w:val="00AA1C20"/>
    <w:rsid w:val="00AA1D8E"/>
    <w:rsid w:val="00AA2669"/>
    <w:rsid w:val="00AA3A86"/>
    <w:rsid w:val="00AA584F"/>
    <w:rsid w:val="00AA5ADF"/>
    <w:rsid w:val="00AB1920"/>
    <w:rsid w:val="00AB232A"/>
    <w:rsid w:val="00AB266F"/>
    <w:rsid w:val="00AB3358"/>
    <w:rsid w:val="00AB3D43"/>
    <w:rsid w:val="00AB6B87"/>
    <w:rsid w:val="00AB6E24"/>
    <w:rsid w:val="00AB78AA"/>
    <w:rsid w:val="00AC1DE4"/>
    <w:rsid w:val="00AC28C6"/>
    <w:rsid w:val="00AC2D9F"/>
    <w:rsid w:val="00AD529D"/>
    <w:rsid w:val="00AD617F"/>
    <w:rsid w:val="00AD6D25"/>
    <w:rsid w:val="00AE537B"/>
    <w:rsid w:val="00AF179F"/>
    <w:rsid w:val="00AF218B"/>
    <w:rsid w:val="00AF308B"/>
    <w:rsid w:val="00AF3ABE"/>
    <w:rsid w:val="00AF621E"/>
    <w:rsid w:val="00AF699A"/>
    <w:rsid w:val="00AF6D89"/>
    <w:rsid w:val="00AF6DB0"/>
    <w:rsid w:val="00B009FB"/>
    <w:rsid w:val="00B026EB"/>
    <w:rsid w:val="00B1320A"/>
    <w:rsid w:val="00B13538"/>
    <w:rsid w:val="00B147CC"/>
    <w:rsid w:val="00B16130"/>
    <w:rsid w:val="00B16134"/>
    <w:rsid w:val="00B211BD"/>
    <w:rsid w:val="00B21777"/>
    <w:rsid w:val="00B2505A"/>
    <w:rsid w:val="00B25B98"/>
    <w:rsid w:val="00B2659D"/>
    <w:rsid w:val="00B27E80"/>
    <w:rsid w:val="00B3601A"/>
    <w:rsid w:val="00B37B9B"/>
    <w:rsid w:val="00B4020F"/>
    <w:rsid w:val="00B40676"/>
    <w:rsid w:val="00B40CF3"/>
    <w:rsid w:val="00B42A4D"/>
    <w:rsid w:val="00B44971"/>
    <w:rsid w:val="00B46BF4"/>
    <w:rsid w:val="00B52BC7"/>
    <w:rsid w:val="00B52DBD"/>
    <w:rsid w:val="00B53B27"/>
    <w:rsid w:val="00B628DA"/>
    <w:rsid w:val="00B65A09"/>
    <w:rsid w:val="00B66C4F"/>
    <w:rsid w:val="00B7038F"/>
    <w:rsid w:val="00B70CA0"/>
    <w:rsid w:val="00B7219E"/>
    <w:rsid w:val="00B73613"/>
    <w:rsid w:val="00B7371D"/>
    <w:rsid w:val="00B74E65"/>
    <w:rsid w:val="00B80452"/>
    <w:rsid w:val="00B81C44"/>
    <w:rsid w:val="00B83610"/>
    <w:rsid w:val="00B83AAD"/>
    <w:rsid w:val="00B8795C"/>
    <w:rsid w:val="00B90845"/>
    <w:rsid w:val="00B92343"/>
    <w:rsid w:val="00B9655E"/>
    <w:rsid w:val="00BA099B"/>
    <w:rsid w:val="00BA4868"/>
    <w:rsid w:val="00BA49BD"/>
    <w:rsid w:val="00BA5A5C"/>
    <w:rsid w:val="00BA5BCE"/>
    <w:rsid w:val="00BA5C45"/>
    <w:rsid w:val="00BA5E1E"/>
    <w:rsid w:val="00BA67ED"/>
    <w:rsid w:val="00BB06F8"/>
    <w:rsid w:val="00BB3519"/>
    <w:rsid w:val="00BB6A12"/>
    <w:rsid w:val="00BB6BC5"/>
    <w:rsid w:val="00BB7F77"/>
    <w:rsid w:val="00BC02E8"/>
    <w:rsid w:val="00BC3026"/>
    <w:rsid w:val="00BC4A09"/>
    <w:rsid w:val="00BC59A6"/>
    <w:rsid w:val="00BC67D4"/>
    <w:rsid w:val="00BC7858"/>
    <w:rsid w:val="00BD012B"/>
    <w:rsid w:val="00BD117F"/>
    <w:rsid w:val="00BD2C9F"/>
    <w:rsid w:val="00BD690A"/>
    <w:rsid w:val="00BD6F10"/>
    <w:rsid w:val="00BD7189"/>
    <w:rsid w:val="00BE0ACB"/>
    <w:rsid w:val="00BE1706"/>
    <w:rsid w:val="00BE6B45"/>
    <w:rsid w:val="00BF1B51"/>
    <w:rsid w:val="00BF1C3E"/>
    <w:rsid w:val="00BF1E6C"/>
    <w:rsid w:val="00BF205F"/>
    <w:rsid w:val="00BF3B60"/>
    <w:rsid w:val="00BF3D4C"/>
    <w:rsid w:val="00BF70D6"/>
    <w:rsid w:val="00BF7C88"/>
    <w:rsid w:val="00C02DA6"/>
    <w:rsid w:val="00C0333F"/>
    <w:rsid w:val="00C03599"/>
    <w:rsid w:val="00C03CE7"/>
    <w:rsid w:val="00C0446F"/>
    <w:rsid w:val="00C06B6B"/>
    <w:rsid w:val="00C10EFB"/>
    <w:rsid w:val="00C17ED5"/>
    <w:rsid w:val="00C211B5"/>
    <w:rsid w:val="00C2120E"/>
    <w:rsid w:val="00C250FF"/>
    <w:rsid w:val="00C37BB4"/>
    <w:rsid w:val="00C41FDB"/>
    <w:rsid w:val="00C4362C"/>
    <w:rsid w:val="00C441A2"/>
    <w:rsid w:val="00C4501B"/>
    <w:rsid w:val="00C45751"/>
    <w:rsid w:val="00C5021F"/>
    <w:rsid w:val="00C546DD"/>
    <w:rsid w:val="00C5799A"/>
    <w:rsid w:val="00C57C28"/>
    <w:rsid w:val="00C57FF7"/>
    <w:rsid w:val="00C63105"/>
    <w:rsid w:val="00C642FE"/>
    <w:rsid w:val="00C64743"/>
    <w:rsid w:val="00C64FAB"/>
    <w:rsid w:val="00C65B4A"/>
    <w:rsid w:val="00C66006"/>
    <w:rsid w:val="00C6633A"/>
    <w:rsid w:val="00C705E1"/>
    <w:rsid w:val="00C73175"/>
    <w:rsid w:val="00C75C5E"/>
    <w:rsid w:val="00C801E4"/>
    <w:rsid w:val="00C80881"/>
    <w:rsid w:val="00C8164B"/>
    <w:rsid w:val="00C84C0F"/>
    <w:rsid w:val="00C87FA6"/>
    <w:rsid w:val="00C922F9"/>
    <w:rsid w:val="00C93A37"/>
    <w:rsid w:val="00C93D10"/>
    <w:rsid w:val="00C95DC9"/>
    <w:rsid w:val="00CA4A10"/>
    <w:rsid w:val="00CB2730"/>
    <w:rsid w:val="00CB7948"/>
    <w:rsid w:val="00CC0E86"/>
    <w:rsid w:val="00CC1176"/>
    <w:rsid w:val="00CC36C9"/>
    <w:rsid w:val="00CD2387"/>
    <w:rsid w:val="00CD3724"/>
    <w:rsid w:val="00CD3F4B"/>
    <w:rsid w:val="00CE0BAD"/>
    <w:rsid w:val="00CE5A60"/>
    <w:rsid w:val="00CE5C49"/>
    <w:rsid w:val="00CE62C7"/>
    <w:rsid w:val="00CF0008"/>
    <w:rsid w:val="00CF0A5E"/>
    <w:rsid w:val="00CF0D5A"/>
    <w:rsid w:val="00CF0F20"/>
    <w:rsid w:val="00CF1140"/>
    <w:rsid w:val="00CF718E"/>
    <w:rsid w:val="00CF7F94"/>
    <w:rsid w:val="00D01443"/>
    <w:rsid w:val="00D02A24"/>
    <w:rsid w:val="00D02A60"/>
    <w:rsid w:val="00D02B1D"/>
    <w:rsid w:val="00D03807"/>
    <w:rsid w:val="00D10C48"/>
    <w:rsid w:val="00D11A08"/>
    <w:rsid w:val="00D1494B"/>
    <w:rsid w:val="00D15469"/>
    <w:rsid w:val="00D17190"/>
    <w:rsid w:val="00D21859"/>
    <w:rsid w:val="00D22DB4"/>
    <w:rsid w:val="00D3040F"/>
    <w:rsid w:val="00D31327"/>
    <w:rsid w:val="00D315BF"/>
    <w:rsid w:val="00D33BB5"/>
    <w:rsid w:val="00D41B3E"/>
    <w:rsid w:val="00D42CEE"/>
    <w:rsid w:val="00D43A48"/>
    <w:rsid w:val="00D444E6"/>
    <w:rsid w:val="00D463A9"/>
    <w:rsid w:val="00D47380"/>
    <w:rsid w:val="00D47967"/>
    <w:rsid w:val="00D52140"/>
    <w:rsid w:val="00D52B4F"/>
    <w:rsid w:val="00D53104"/>
    <w:rsid w:val="00D54AC6"/>
    <w:rsid w:val="00D54AF4"/>
    <w:rsid w:val="00D56CC3"/>
    <w:rsid w:val="00D603AC"/>
    <w:rsid w:val="00D629CE"/>
    <w:rsid w:val="00D66CB2"/>
    <w:rsid w:val="00D72C77"/>
    <w:rsid w:val="00D7658D"/>
    <w:rsid w:val="00D76F0D"/>
    <w:rsid w:val="00D779E1"/>
    <w:rsid w:val="00D825BE"/>
    <w:rsid w:val="00D848D9"/>
    <w:rsid w:val="00D85910"/>
    <w:rsid w:val="00D86A83"/>
    <w:rsid w:val="00D913CC"/>
    <w:rsid w:val="00D92E33"/>
    <w:rsid w:val="00D93001"/>
    <w:rsid w:val="00D934BF"/>
    <w:rsid w:val="00D956C1"/>
    <w:rsid w:val="00D95D42"/>
    <w:rsid w:val="00D96275"/>
    <w:rsid w:val="00D97218"/>
    <w:rsid w:val="00DA3F42"/>
    <w:rsid w:val="00DA4914"/>
    <w:rsid w:val="00DA4D91"/>
    <w:rsid w:val="00DA55B8"/>
    <w:rsid w:val="00DA5AC6"/>
    <w:rsid w:val="00DB149B"/>
    <w:rsid w:val="00DB2925"/>
    <w:rsid w:val="00DB5C55"/>
    <w:rsid w:val="00DB6608"/>
    <w:rsid w:val="00DC1FF3"/>
    <w:rsid w:val="00DC2108"/>
    <w:rsid w:val="00DC282C"/>
    <w:rsid w:val="00DC2D61"/>
    <w:rsid w:val="00DC3421"/>
    <w:rsid w:val="00DC6839"/>
    <w:rsid w:val="00DD0833"/>
    <w:rsid w:val="00DD3670"/>
    <w:rsid w:val="00DD4DE0"/>
    <w:rsid w:val="00DE179D"/>
    <w:rsid w:val="00DE212B"/>
    <w:rsid w:val="00DE4C22"/>
    <w:rsid w:val="00DE6392"/>
    <w:rsid w:val="00DF0244"/>
    <w:rsid w:val="00DF23AF"/>
    <w:rsid w:val="00DF489C"/>
    <w:rsid w:val="00DF4F77"/>
    <w:rsid w:val="00DF5956"/>
    <w:rsid w:val="00DF64C4"/>
    <w:rsid w:val="00DF7E07"/>
    <w:rsid w:val="00E010B0"/>
    <w:rsid w:val="00E01250"/>
    <w:rsid w:val="00E01B94"/>
    <w:rsid w:val="00E03F8B"/>
    <w:rsid w:val="00E04FC7"/>
    <w:rsid w:val="00E11F84"/>
    <w:rsid w:val="00E16C0F"/>
    <w:rsid w:val="00E17DBE"/>
    <w:rsid w:val="00E2094E"/>
    <w:rsid w:val="00E20D9F"/>
    <w:rsid w:val="00E21C7B"/>
    <w:rsid w:val="00E2312D"/>
    <w:rsid w:val="00E239C5"/>
    <w:rsid w:val="00E2563C"/>
    <w:rsid w:val="00E3054F"/>
    <w:rsid w:val="00E32FD9"/>
    <w:rsid w:val="00E33232"/>
    <w:rsid w:val="00E33E91"/>
    <w:rsid w:val="00E35A8B"/>
    <w:rsid w:val="00E35BA2"/>
    <w:rsid w:val="00E42C08"/>
    <w:rsid w:val="00E4384F"/>
    <w:rsid w:val="00E4399F"/>
    <w:rsid w:val="00E522E6"/>
    <w:rsid w:val="00E528DF"/>
    <w:rsid w:val="00E53D14"/>
    <w:rsid w:val="00E570B1"/>
    <w:rsid w:val="00E57B26"/>
    <w:rsid w:val="00E63F46"/>
    <w:rsid w:val="00E65D90"/>
    <w:rsid w:val="00E666D3"/>
    <w:rsid w:val="00E66E32"/>
    <w:rsid w:val="00E6760F"/>
    <w:rsid w:val="00E67E03"/>
    <w:rsid w:val="00E70EE3"/>
    <w:rsid w:val="00E71602"/>
    <w:rsid w:val="00E72038"/>
    <w:rsid w:val="00E80819"/>
    <w:rsid w:val="00E82230"/>
    <w:rsid w:val="00E83CD5"/>
    <w:rsid w:val="00E86414"/>
    <w:rsid w:val="00E86C17"/>
    <w:rsid w:val="00E917F9"/>
    <w:rsid w:val="00E95EC3"/>
    <w:rsid w:val="00E963D7"/>
    <w:rsid w:val="00EA000C"/>
    <w:rsid w:val="00EA0BB9"/>
    <w:rsid w:val="00EA276A"/>
    <w:rsid w:val="00EA405E"/>
    <w:rsid w:val="00EA49D2"/>
    <w:rsid w:val="00EA5FC5"/>
    <w:rsid w:val="00EA7C78"/>
    <w:rsid w:val="00EB03D8"/>
    <w:rsid w:val="00EB12B7"/>
    <w:rsid w:val="00EB202A"/>
    <w:rsid w:val="00EB3196"/>
    <w:rsid w:val="00EB6170"/>
    <w:rsid w:val="00EB78FB"/>
    <w:rsid w:val="00EC0997"/>
    <w:rsid w:val="00EC15AB"/>
    <w:rsid w:val="00EC1B6E"/>
    <w:rsid w:val="00EC1BC8"/>
    <w:rsid w:val="00EC2C39"/>
    <w:rsid w:val="00EC4517"/>
    <w:rsid w:val="00EC55FD"/>
    <w:rsid w:val="00ED0476"/>
    <w:rsid w:val="00ED0997"/>
    <w:rsid w:val="00ED5C25"/>
    <w:rsid w:val="00ED750D"/>
    <w:rsid w:val="00EE1251"/>
    <w:rsid w:val="00EE14B3"/>
    <w:rsid w:val="00EE1D7D"/>
    <w:rsid w:val="00EE2D91"/>
    <w:rsid w:val="00EE3722"/>
    <w:rsid w:val="00EE4B80"/>
    <w:rsid w:val="00EF0022"/>
    <w:rsid w:val="00EF10E6"/>
    <w:rsid w:val="00EF15CC"/>
    <w:rsid w:val="00EF1F12"/>
    <w:rsid w:val="00EF2A38"/>
    <w:rsid w:val="00EF41C0"/>
    <w:rsid w:val="00EF44D4"/>
    <w:rsid w:val="00EF6DD9"/>
    <w:rsid w:val="00F00E87"/>
    <w:rsid w:val="00F01473"/>
    <w:rsid w:val="00F01814"/>
    <w:rsid w:val="00F02634"/>
    <w:rsid w:val="00F06C01"/>
    <w:rsid w:val="00F102DD"/>
    <w:rsid w:val="00F1082A"/>
    <w:rsid w:val="00F124D8"/>
    <w:rsid w:val="00F1291F"/>
    <w:rsid w:val="00F21D60"/>
    <w:rsid w:val="00F301C5"/>
    <w:rsid w:val="00F32A38"/>
    <w:rsid w:val="00F343F1"/>
    <w:rsid w:val="00F35915"/>
    <w:rsid w:val="00F359CE"/>
    <w:rsid w:val="00F36460"/>
    <w:rsid w:val="00F37090"/>
    <w:rsid w:val="00F429D1"/>
    <w:rsid w:val="00F471DB"/>
    <w:rsid w:val="00F52758"/>
    <w:rsid w:val="00F52ADC"/>
    <w:rsid w:val="00F57B92"/>
    <w:rsid w:val="00F60306"/>
    <w:rsid w:val="00F6396C"/>
    <w:rsid w:val="00F70ADD"/>
    <w:rsid w:val="00F72242"/>
    <w:rsid w:val="00F731F4"/>
    <w:rsid w:val="00F77317"/>
    <w:rsid w:val="00F80D03"/>
    <w:rsid w:val="00F8248C"/>
    <w:rsid w:val="00F841E3"/>
    <w:rsid w:val="00F84590"/>
    <w:rsid w:val="00F85CAE"/>
    <w:rsid w:val="00F917F4"/>
    <w:rsid w:val="00F960C0"/>
    <w:rsid w:val="00F96221"/>
    <w:rsid w:val="00F96264"/>
    <w:rsid w:val="00F96964"/>
    <w:rsid w:val="00FA3204"/>
    <w:rsid w:val="00FA3F4F"/>
    <w:rsid w:val="00FA4321"/>
    <w:rsid w:val="00FA44C6"/>
    <w:rsid w:val="00FA715D"/>
    <w:rsid w:val="00FB0F81"/>
    <w:rsid w:val="00FB3A56"/>
    <w:rsid w:val="00FB67C6"/>
    <w:rsid w:val="00FC135F"/>
    <w:rsid w:val="00FC2BA7"/>
    <w:rsid w:val="00FC6761"/>
    <w:rsid w:val="00FC7C37"/>
    <w:rsid w:val="00FD4BBA"/>
    <w:rsid w:val="00FE11AE"/>
    <w:rsid w:val="00FE3DAC"/>
    <w:rsid w:val="00FE3F7B"/>
    <w:rsid w:val="00FE5EF0"/>
    <w:rsid w:val="00FF09AB"/>
    <w:rsid w:val="00FF1505"/>
    <w:rsid w:val="00FF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cd8d3"/>
    </o:shapedefaults>
    <o:shapelayout v:ext="edit">
      <o:idmap v:ext="edit" data="1"/>
    </o:shapelayout>
  </w:shapeDefaults>
  <w:decimalSymbol w:val="."/>
  <w:listSeparator w:val=","/>
  <w15:docId w15:val="{F7739AC7-F6F6-486E-AE28-B8F3E04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71"/>
    <w:pPr>
      <w:spacing w:line="300" w:lineRule="atLeast"/>
    </w:pPr>
    <w:rPr>
      <w:rFonts w:ascii="Arial" w:hAnsi="Arial" w:cs="Arial"/>
      <w:color w:val="404040"/>
      <w:sz w:val="22"/>
      <w:lang w:val="en-AU"/>
    </w:rPr>
  </w:style>
  <w:style w:type="paragraph" w:styleId="Heading1">
    <w:name w:val="heading 1"/>
    <w:basedOn w:val="Normal"/>
    <w:next w:val="Normal"/>
    <w:qFormat/>
    <w:rsid w:val="00BF3B60"/>
    <w:pPr>
      <w:keepNext/>
      <w:numPr>
        <w:numId w:val="10"/>
      </w:numPr>
      <w:spacing w:after="360" w:line="400" w:lineRule="atLeast"/>
      <w:outlineLvl w:val="0"/>
    </w:pPr>
    <w:rPr>
      <w:caps/>
      <w:color w:val="00A8C8"/>
      <w:spacing w:val="40"/>
      <w:sz w:val="36"/>
    </w:rPr>
  </w:style>
  <w:style w:type="paragraph" w:styleId="Heading2">
    <w:name w:val="heading 2"/>
    <w:basedOn w:val="Normal"/>
    <w:next w:val="Normal"/>
    <w:qFormat/>
    <w:rsid w:val="00BF3B60"/>
    <w:pPr>
      <w:keepNext/>
      <w:outlineLvl w:val="1"/>
    </w:pPr>
    <w:rPr>
      <w:caps/>
      <w:color w:val="002C77"/>
      <w:spacing w:val="40"/>
    </w:rPr>
  </w:style>
  <w:style w:type="paragraph" w:styleId="Heading3">
    <w:name w:val="heading 3"/>
    <w:basedOn w:val="Normal"/>
    <w:next w:val="Normal"/>
    <w:qFormat/>
    <w:rsid w:val="00BF3B60"/>
    <w:pPr>
      <w:keepNext/>
      <w:outlineLvl w:val="2"/>
    </w:pPr>
    <w:rPr>
      <w:b/>
      <w:color w:val="006D9E"/>
    </w:rPr>
  </w:style>
  <w:style w:type="paragraph" w:styleId="Heading4">
    <w:name w:val="heading 4"/>
    <w:basedOn w:val="Normal"/>
    <w:next w:val="Normal"/>
    <w:qFormat/>
    <w:rsid w:val="00BF3B60"/>
    <w:pPr>
      <w:keepNext/>
      <w:numPr>
        <w:ilvl w:val="3"/>
        <w:numId w:val="10"/>
      </w:numPr>
      <w:outlineLvl w:val="3"/>
    </w:pPr>
    <w:rPr>
      <w:b/>
    </w:rPr>
  </w:style>
  <w:style w:type="paragraph" w:styleId="Heading5">
    <w:name w:val="heading 5"/>
    <w:basedOn w:val="Normal"/>
    <w:next w:val="Normal"/>
    <w:qFormat/>
    <w:rsid w:val="00BF3B60"/>
    <w:pPr>
      <w:keepNext/>
      <w:numPr>
        <w:ilvl w:val="4"/>
        <w:numId w:val="10"/>
      </w:numPr>
      <w:outlineLvl w:val="4"/>
    </w:pPr>
    <w:rPr>
      <w:color w:val="006D9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pPr>
      <w:spacing w:line="200" w:lineRule="atLeast"/>
    </w:pPr>
    <w:rPr>
      <w:rFonts w:ascii="Arial" w:hAnsi="Arial" w:cs="Arial"/>
      <w:color w:val="404040"/>
      <w:sz w:val="16"/>
      <w:lang w:val="en-AU"/>
    </w:rPr>
  </w:style>
  <w:style w:type="paragraph" w:customStyle="1" w:styleId="Legalcopy">
    <w:name w:val="Legal copy"/>
    <w:basedOn w:val="Base"/>
    <w:rsid w:val="007D6566"/>
    <w:pPr>
      <w:framePr w:hSpace="187" w:vSpace="187" w:wrap="around" w:hAnchor="text" w:yAlign="bottom"/>
      <w:spacing w:line="140" w:lineRule="atLeast"/>
    </w:pPr>
    <w:rPr>
      <w:sz w:val="12"/>
    </w:rPr>
  </w:style>
  <w:style w:type="character" w:styleId="PageNumber">
    <w:name w:val="page number"/>
    <w:basedOn w:val="DefaultParagraphFont"/>
    <w:rsid w:val="00C73175"/>
    <w:rPr>
      <w:rFonts w:ascii="Arial" w:hAnsi="Arial" w:cs="Arial"/>
      <w:b w:val="0"/>
      <w:i w:val="0"/>
      <w:caps w:val="0"/>
      <w:smallCaps w:val="0"/>
      <w:vanish w:val="0"/>
      <w:color w:val="404040"/>
      <w:sz w:val="16"/>
      <w:u w:val="none"/>
    </w:rPr>
  </w:style>
  <w:style w:type="paragraph" w:customStyle="1" w:styleId="Filestamp">
    <w:name w:val="Filestamp"/>
    <w:basedOn w:val="Base"/>
    <w:rsid w:val="00825EA2"/>
    <w:pPr>
      <w:spacing w:line="120" w:lineRule="atLeast"/>
    </w:pPr>
    <w:rPr>
      <w:noProof/>
      <w:color w:val="808080"/>
      <w:sz w:val="12"/>
    </w:rPr>
  </w:style>
  <w:style w:type="paragraph" w:styleId="FootnoteText">
    <w:name w:val="footnote text"/>
    <w:basedOn w:val="Normal"/>
    <w:semiHidden/>
    <w:pPr>
      <w:spacing w:after="120"/>
    </w:pPr>
    <w:rPr>
      <w:sz w:val="18"/>
    </w:rPr>
  </w:style>
  <w:style w:type="paragraph" w:customStyle="1" w:styleId="LetterDate">
    <w:name w:val="Letter Date"/>
    <w:basedOn w:val="Base"/>
    <w:next w:val="Normal"/>
    <w:rsid w:val="00967E80"/>
    <w:pPr>
      <w:spacing w:before="480" w:after="480" w:line="400" w:lineRule="atLeast"/>
    </w:pPr>
    <w:rPr>
      <w:caps/>
      <w:color w:val="00A8C8"/>
      <w:spacing w:val="40"/>
      <w:sz w:val="36"/>
    </w:rPr>
  </w:style>
  <w:style w:type="paragraph" w:customStyle="1" w:styleId="TableLogoText">
    <w:name w:val="Table Logo Text"/>
    <w:basedOn w:val="Base"/>
    <w:pPr>
      <w:spacing w:line="240" w:lineRule="auto"/>
    </w:pPr>
    <w:rPr>
      <w:sz w:val="24"/>
    </w:rPr>
  </w:style>
  <w:style w:type="paragraph" w:customStyle="1" w:styleId="ReportTitle">
    <w:name w:val="Report Title"/>
    <w:basedOn w:val="Base"/>
    <w:next w:val="Normal"/>
    <w:rsid w:val="00685334"/>
    <w:pPr>
      <w:spacing w:before="240" w:after="240" w:line="520" w:lineRule="atLeast"/>
    </w:pPr>
    <w:rPr>
      <w:b/>
      <w:caps/>
      <w:color w:val="002C77"/>
      <w:spacing w:val="40"/>
      <w:sz w:val="52"/>
    </w:rPr>
  </w:style>
  <w:style w:type="paragraph" w:customStyle="1" w:styleId="ClientName">
    <w:name w:val="Client Name"/>
    <w:basedOn w:val="Base"/>
    <w:rsid w:val="00685334"/>
    <w:pPr>
      <w:spacing w:after="240" w:line="240" w:lineRule="atLeast"/>
    </w:pPr>
    <w:rPr>
      <w:caps/>
      <w:color w:val="00A8C8"/>
      <w:spacing w:val="40"/>
      <w:sz w:val="52"/>
    </w:rPr>
  </w:style>
  <w:style w:type="paragraph" w:customStyle="1" w:styleId="ReportCrossRef">
    <w:name w:val="Report Cross Ref"/>
    <w:basedOn w:val="Base"/>
    <w:rsid w:val="00A06CBA"/>
    <w:pPr>
      <w:spacing w:line="160" w:lineRule="atLeast"/>
    </w:pPr>
    <w:rPr>
      <w:b/>
      <w:caps/>
      <w:color w:val="808080"/>
      <w:spacing w:val="40"/>
    </w:rPr>
  </w:style>
  <w:style w:type="paragraph" w:customStyle="1" w:styleId="ClientNameCrossRef">
    <w:name w:val="Client Name Cross Ref"/>
    <w:basedOn w:val="Base"/>
    <w:rsid w:val="000C6910"/>
    <w:pPr>
      <w:spacing w:line="160" w:lineRule="atLeast"/>
    </w:pPr>
    <w:rPr>
      <w:b/>
      <w:caps/>
      <w:color w:val="808080"/>
      <w:spacing w:val="40"/>
    </w:rPr>
  </w:style>
  <w:style w:type="paragraph" w:styleId="TOC1">
    <w:name w:val="toc 1"/>
    <w:basedOn w:val="Normal"/>
    <w:next w:val="Normal"/>
    <w:uiPriority w:val="39"/>
    <w:rsid w:val="00EC15AB"/>
    <w:pPr>
      <w:numPr>
        <w:numId w:val="3"/>
      </w:numPr>
      <w:tabs>
        <w:tab w:val="right" w:leader="dot" w:pos="9729"/>
      </w:tabs>
      <w:spacing w:before="300" w:line="300" w:lineRule="exact"/>
    </w:pPr>
    <w:rPr>
      <w:noProof/>
    </w:rPr>
  </w:style>
  <w:style w:type="paragraph" w:styleId="TOC2">
    <w:name w:val="toc 2"/>
    <w:basedOn w:val="Normal"/>
    <w:next w:val="Normal"/>
    <w:uiPriority w:val="39"/>
    <w:rsid w:val="007F57BC"/>
    <w:pPr>
      <w:numPr>
        <w:numId w:val="4"/>
      </w:numPr>
      <w:tabs>
        <w:tab w:val="clear" w:pos="806"/>
        <w:tab w:val="left" w:pos="720"/>
        <w:tab w:val="right" w:leader="dot" w:pos="9729"/>
      </w:tabs>
      <w:spacing w:line="300" w:lineRule="exact"/>
    </w:pPr>
    <w:rPr>
      <w:noProof/>
    </w:rPr>
  </w:style>
  <w:style w:type="paragraph" w:customStyle="1" w:styleId="SectionIntro">
    <w:name w:val="Section Intro"/>
    <w:basedOn w:val="Normal"/>
    <w:qFormat/>
    <w:pPr>
      <w:spacing w:line="360" w:lineRule="atLeast"/>
    </w:pPr>
    <w:rPr>
      <w:sz w:val="28"/>
    </w:rPr>
  </w:style>
  <w:style w:type="paragraph" w:customStyle="1" w:styleId="AppendixStart">
    <w:name w:val="Appendix Start"/>
    <w:basedOn w:val="Normal"/>
    <w:next w:val="AppendixHeading1"/>
    <w:qFormat/>
    <w:rsid w:val="00751992"/>
    <w:pPr>
      <w:keepNext/>
      <w:pageBreakBefore/>
      <w:numPr>
        <w:numId w:val="5"/>
      </w:numPr>
      <w:spacing w:before="1100" w:line="240" w:lineRule="auto"/>
    </w:pPr>
    <w:rPr>
      <w:b/>
      <w:caps/>
      <w:color w:val="002C77"/>
      <w:sz w:val="72"/>
    </w:rPr>
  </w:style>
  <w:style w:type="paragraph" w:styleId="NoteHeading">
    <w:name w:val="Note Heading"/>
    <w:basedOn w:val="Normal"/>
    <w:next w:val="NoteText"/>
    <w:qFormat/>
    <w:rsid w:val="0085297B"/>
    <w:pPr>
      <w:spacing w:line="264" w:lineRule="atLeast"/>
    </w:pPr>
  </w:style>
  <w:style w:type="paragraph" w:customStyle="1" w:styleId="NoteText">
    <w:name w:val="Note Text"/>
    <w:basedOn w:val="Normal"/>
    <w:qFormat/>
    <w:pPr>
      <w:spacing w:line="264" w:lineRule="atLeast"/>
    </w:pPr>
  </w:style>
  <w:style w:type="character" w:styleId="FootnoteReference">
    <w:name w:val="footnote reference"/>
    <w:basedOn w:val="DefaultParagraphFont"/>
    <w:semiHidden/>
    <w:rPr>
      <w:vertAlign w:val="superscript"/>
    </w:rPr>
  </w:style>
  <w:style w:type="paragraph" w:customStyle="1" w:styleId="SectionStart">
    <w:name w:val="Section Start"/>
    <w:basedOn w:val="Normal"/>
    <w:next w:val="Heading1"/>
    <w:qFormat/>
    <w:rsid w:val="00751992"/>
    <w:pPr>
      <w:keepNext/>
      <w:pageBreakBefore/>
      <w:numPr>
        <w:numId w:val="1"/>
      </w:numPr>
      <w:spacing w:before="1100" w:line="240" w:lineRule="auto"/>
    </w:pPr>
    <w:rPr>
      <w:b/>
      <w:color w:val="002C77"/>
      <w:sz w:val="72"/>
    </w:rPr>
  </w:style>
  <w:style w:type="paragraph" w:customStyle="1" w:styleId="AddressBlock">
    <w:name w:val="Address Block"/>
    <w:basedOn w:val="Base"/>
    <w:rsid w:val="00482AD1"/>
    <w:pPr>
      <w:spacing w:line="180" w:lineRule="atLeast"/>
    </w:pPr>
    <w:rPr>
      <w:sz w:val="18"/>
    </w:rPr>
  </w:style>
  <w:style w:type="paragraph" w:styleId="TOCHeading">
    <w:name w:val="TOC Heading"/>
    <w:basedOn w:val="Base"/>
    <w:qFormat/>
    <w:rsid w:val="0072270C"/>
    <w:pPr>
      <w:spacing w:after="500" w:line="360" w:lineRule="atLeast"/>
    </w:pPr>
    <w:rPr>
      <w:b/>
      <w:caps/>
      <w:spacing w:val="60"/>
      <w:sz w:val="36"/>
    </w:rPr>
  </w:style>
  <w:style w:type="paragraph" w:styleId="TOC3">
    <w:name w:val="toc 3"/>
    <w:basedOn w:val="Normal"/>
    <w:next w:val="Normal"/>
    <w:rsid w:val="007F57BC"/>
    <w:pPr>
      <w:numPr>
        <w:numId w:val="7"/>
      </w:numPr>
      <w:tabs>
        <w:tab w:val="clear" w:pos="1267"/>
        <w:tab w:val="left" w:pos="1166"/>
        <w:tab w:val="right" w:leader="dot" w:pos="9729"/>
      </w:tabs>
      <w:spacing w:line="300" w:lineRule="exact"/>
    </w:pPr>
  </w:style>
  <w:style w:type="paragraph" w:styleId="Header">
    <w:name w:val="header"/>
    <w:basedOn w:val="Normal"/>
    <w:rsid w:val="00FE5EF0"/>
    <w:pPr>
      <w:tabs>
        <w:tab w:val="center" w:pos="4320"/>
        <w:tab w:val="right" w:pos="8640"/>
      </w:tabs>
      <w:spacing w:line="260" w:lineRule="atLeast"/>
    </w:pPr>
  </w:style>
  <w:style w:type="paragraph" w:styleId="Footer">
    <w:name w:val="footer"/>
    <w:basedOn w:val="Normal"/>
    <w:pPr>
      <w:tabs>
        <w:tab w:val="center" w:pos="4320"/>
        <w:tab w:val="right" w:pos="8640"/>
      </w:tabs>
    </w:pPr>
  </w:style>
  <w:style w:type="paragraph" w:customStyle="1" w:styleId="AppendixHeading1">
    <w:name w:val="Appendix Heading 1"/>
    <w:basedOn w:val="Normal"/>
    <w:next w:val="Normal"/>
    <w:qFormat/>
    <w:rsid w:val="00751992"/>
    <w:pPr>
      <w:keepNext/>
      <w:spacing w:after="360" w:line="400" w:lineRule="atLeast"/>
    </w:pPr>
    <w:rPr>
      <w:caps/>
      <w:color w:val="00A8C8"/>
      <w:sz w:val="36"/>
    </w:rPr>
  </w:style>
  <w:style w:type="paragraph" w:styleId="TOC9">
    <w:name w:val="toc 9"/>
    <w:basedOn w:val="Normal"/>
    <w:next w:val="Normal"/>
    <w:uiPriority w:val="39"/>
    <w:rsid w:val="0020369F"/>
    <w:pPr>
      <w:numPr>
        <w:numId w:val="6"/>
      </w:numPr>
      <w:tabs>
        <w:tab w:val="left" w:pos="1368"/>
        <w:tab w:val="right" w:leader="dot" w:pos="9729"/>
      </w:tabs>
      <w:spacing w:before="240"/>
    </w:pPr>
    <w:rPr>
      <w:noProof/>
    </w:rPr>
  </w:style>
  <w:style w:type="paragraph" w:styleId="TOC4">
    <w:name w:val="toc 4"/>
    <w:basedOn w:val="Normal"/>
    <w:next w:val="Normal"/>
    <w:rsid w:val="007F57BC"/>
    <w:pPr>
      <w:numPr>
        <w:numId w:val="8"/>
      </w:numPr>
      <w:tabs>
        <w:tab w:val="left" w:pos="1526"/>
        <w:tab w:val="right" w:leader="dot" w:pos="9729"/>
      </w:tabs>
      <w:spacing w:line="300" w:lineRule="exact"/>
    </w:pPr>
  </w:style>
  <w:style w:type="paragraph" w:customStyle="1" w:styleId="AppendixHeading2">
    <w:name w:val="Appendix Heading 2"/>
    <w:basedOn w:val="Normal"/>
    <w:next w:val="Normal"/>
    <w:qFormat/>
    <w:rsid w:val="00BF3B60"/>
    <w:pPr>
      <w:keepNext/>
      <w:numPr>
        <w:ilvl w:val="1"/>
        <w:numId w:val="10"/>
      </w:numPr>
      <w:outlineLvl w:val="1"/>
    </w:pPr>
    <w:rPr>
      <w:caps/>
      <w:color w:val="002C77"/>
      <w:spacing w:val="40"/>
    </w:rPr>
  </w:style>
  <w:style w:type="paragraph" w:customStyle="1" w:styleId="AppendixHeading3">
    <w:name w:val="Appendix Heading 3"/>
    <w:basedOn w:val="Normal"/>
    <w:next w:val="Normal"/>
    <w:qFormat/>
    <w:rsid w:val="00BF3B60"/>
    <w:pPr>
      <w:keepNext/>
      <w:numPr>
        <w:ilvl w:val="2"/>
        <w:numId w:val="10"/>
      </w:numPr>
      <w:outlineLvl w:val="2"/>
    </w:pPr>
    <w:rPr>
      <w:b/>
      <w:color w:val="006D9E"/>
    </w:rPr>
  </w:style>
  <w:style w:type="table" w:styleId="TableGrid">
    <w:name w:val="Table Grid"/>
    <w:basedOn w:val="TableNormal"/>
    <w:rsid w:val="00441147"/>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link w:val="LogoChar"/>
    <w:rsid w:val="009B6793"/>
    <w:pPr>
      <w:spacing w:line="560" w:lineRule="exact"/>
      <w:jc w:val="center"/>
    </w:pPr>
    <w:rPr>
      <w:sz w:val="16"/>
      <w:szCs w:val="16"/>
    </w:rPr>
  </w:style>
  <w:style w:type="paragraph" w:customStyle="1" w:styleId="CompanyName">
    <w:name w:val="Company Name"/>
    <w:basedOn w:val="ClientNameCrossRef"/>
    <w:rsid w:val="000C6910"/>
    <w:rPr>
      <w:caps w:val="0"/>
    </w:rPr>
  </w:style>
  <w:style w:type="paragraph" w:customStyle="1" w:styleId="ReportSubtitle">
    <w:name w:val="Report Subtitle"/>
    <w:basedOn w:val="Base"/>
    <w:rsid w:val="00272FD9"/>
    <w:pPr>
      <w:spacing w:before="480" w:after="480" w:line="320" w:lineRule="atLeast"/>
    </w:pPr>
    <w:rPr>
      <w:b/>
      <w:sz w:val="28"/>
    </w:rPr>
  </w:style>
  <w:style w:type="paragraph" w:customStyle="1" w:styleId="ReportTagline">
    <w:name w:val="Report Tagline"/>
    <w:basedOn w:val="Base"/>
    <w:next w:val="Normal"/>
    <w:rsid w:val="00AA2669"/>
    <w:rPr>
      <w:b/>
      <w:caps/>
      <w:color w:val="BFBFBF"/>
      <w:spacing w:val="40"/>
      <w:sz w:val="20"/>
    </w:rPr>
  </w:style>
  <w:style w:type="paragraph" w:customStyle="1" w:styleId="BaseBold">
    <w:name w:val="Base Bold"/>
    <w:next w:val="Base"/>
    <w:link w:val="BaseBoldChar"/>
    <w:qFormat/>
    <w:rsid w:val="00BF3B60"/>
    <w:pPr>
      <w:spacing w:line="200" w:lineRule="atLeast"/>
    </w:pPr>
    <w:rPr>
      <w:rFonts w:ascii="Arial" w:hAnsi="Arial" w:cs="Arial"/>
      <w:color w:val="404040"/>
      <w:sz w:val="18"/>
      <w:lang w:val="en-AU"/>
    </w:rPr>
  </w:style>
  <w:style w:type="character" w:customStyle="1" w:styleId="BaseBoldChar">
    <w:name w:val="Base Bold Char"/>
    <w:basedOn w:val="DefaultParagraphFont"/>
    <w:link w:val="BaseBold"/>
    <w:rsid w:val="00BF3B60"/>
    <w:rPr>
      <w:rFonts w:ascii="Arial" w:hAnsi="Arial" w:cs="Arial"/>
      <w:color w:val="404040"/>
      <w:sz w:val="18"/>
      <w:lang w:val="en-AU"/>
    </w:rPr>
  </w:style>
  <w:style w:type="paragraph" w:styleId="ListBullet">
    <w:name w:val="List Bullet"/>
    <w:basedOn w:val="Normal"/>
    <w:qFormat/>
    <w:rsid w:val="00BF3B60"/>
    <w:pPr>
      <w:numPr>
        <w:ilvl w:val="4"/>
        <w:numId w:val="9"/>
      </w:numPr>
      <w:outlineLvl w:val="4"/>
    </w:pPr>
  </w:style>
  <w:style w:type="paragraph" w:styleId="ListBullet2">
    <w:name w:val="List Bullet 2"/>
    <w:basedOn w:val="Normal"/>
    <w:qFormat/>
    <w:rsid w:val="00BF3B60"/>
    <w:pPr>
      <w:numPr>
        <w:ilvl w:val="5"/>
        <w:numId w:val="9"/>
      </w:numPr>
      <w:outlineLvl w:val="5"/>
    </w:pPr>
  </w:style>
  <w:style w:type="paragraph" w:styleId="ListBullet3">
    <w:name w:val="List Bullet 3"/>
    <w:basedOn w:val="Normal"/>
    <w:qFormat/>
    <w:rsid w:val="00BF3B60"/>
    <w:pPr>
      <w:numPr>
        <w:ilvl w:val="6"/>
        <w:numId w:val="9"/>
      </w:numPr>
      <w:outlineLvl w:val="6"/>
    </w:pPr>
  </w:style>
  <w:style w:type="paragraph" w:styleId="ListBullet4">
    <w:name w:val="List Bullet 4"/>
    <w:basedOn w:val="Normal"/>
    <w:qFormat/>
    <w:rsid w:val="00BF3B60"/>
    <w:pPr>
      <w:numPr>
        <w:ilvl w:val="7"/>
        <w:numId w:val="9"/>
      </w:numPr>
      <w:outlineLvl w:val="7"/>
    </w:pPr>
  </w:style>
  <w:style w:type="paragraph" w:customStyle="1" w:styleId="NormalIndent1">
    <w:name w:val="Normal Indent 1"/>
    <w:basedOn w:val="Normal"/>
    <w:link w:val="NormalIndent1Char"/>
    <w:qFormat/>
    <w:rsid w:val="00BF3B60"/>
    <w:pPr>
      <w:ind w:left="360"/>
    </w:pPr>
  </w:style>
  <w:style w:type="character" w:customStyle="1" w:styleId="NormalIndent1Char">
    <w:name w:val="Normal Indent 1 Char"/>
    <w:basedOn w:val="DefaultParagraphFont"/>
    <w:link w:val="NormalIndent1"/>
    <w:rsid w:val="00BF3B60"/>
    <w:rPr>
      <w:rFonts w:ascii="Arial" w:hAnsi="Arial" w:cs="Arial"/>
      <w:color w:val="404040"/>
      <w:sz w:val="22"/>
      <w:lang w:val="en-AU"/>
    </w:rPr>
  </w:style>
  <w:style w:type="paragraph" w:customStyle="1" w:styleId="NormalIndent2">
    <w:name w:val="Normal Indent 2"/>
    <w:basedOn w:val="Normal"/>
    <w:link w:val="NormalIndent2Char"/>
    <w:qFormat/>
    <w:rsid w:val="00BF3B60"/>
    <w:pPr>
      <w:ind w:left="643"/>
    </w:pPr>
  </w:style>
  <w:style w:type="character" w:customStyle="1" w:styleId="NormalIndent2Char">
    <w:name w:val="Normal Indent 2 Char"/>
    <w:basedOn w:val="DefaultParagraphFont"/>
    <w:link w:val="NormalIndent2"/>
    <w:rsid w:val="00BF3B60"/>
    <w:rPr>
      <w:rFonts w:ascii="Arial" w:hAnsi="Arial" w:cs="Arial"/>
      <w:color w:val="404040"/>
      <w:sz w:val="22"/>
      <w:lang w:val="en-AU"/>
    </w:rPr>
  </w:style>
  <w:style w:type="paragraph" w:customStyle="1" w:styleId="NormalIndent3">
    <w:name w:val="Normal Indent 3"/>
    <w:basedOn w:val="Normal"/>
    <w:link w:val="NormalIndent3Char"/>
    <w:qFormat/>
    <w:rsid w:val="00BF3B60"/>
    <w:pPr>
      <w:ind w:left="926"/>
    </w:pPr>
  </w:style>
  <w:style w:type="character" w:customStyle="1" w:styleId="NormalIndent3Char">
    <w:name w:val="Normal Indent 3 Char"/>
    <w:basedOn w:val="DefaultParagraphFont"/>
    <w:link w:val="NormalIndent3"/>
    <w:rsid w:val="00BF3B60"/>
    <w:rPr>
      <w:rFonts w:ascii="Arial" w:hAnsi="Arial" w:cs="Arial"/>
      <w:color w:val="404040"/>
      <w:sz w:val="22"/>
      <w:lang w:val="en-AU"/>
    </w:rPr>
  </w:style>
  <w:style w:type="paragraph" w:customStyle="1" w:styleId="NormalIndent4">
    <w:name w:val="Normal Indent 4"/>
    <w:basedOn w:val="Normal"/>
    <w:link w:val="NormalIndent4Char"/>
    <w:qFormat/>
    <w:rsid w:val="00BF3B60"/>
    <w:pPr>
      <w:ind w:left="1209"/>
    </w:pPr>
  </w:style>
  <w:style w:type="character" w:customStyle="1" w:styleId="NormalIndent4Char">
    <w:name w:val="Normal Indent 4 Char"/>
    <w:basedOn w:val="DefaultParagraphFont"/>
    <w:link w:val="NormalIndent4"/>
    <w:rsid w:val="00BF3B60"/>
    <w:rPr>
      <w:rFonts w:ascii="Arial" w:hAnsi="Arial" w:cs="Arial"/>
      <w:color w:val="404040"/>
      <w:sz w:val="22"/>
      <w:lang w:val="en-AU"/>
    </w:rPr>
  </w:style>
  <w:style w:type="paragraph" w:styleId="ListNumber">
    <w:name w:val="List Number"/>
    <w:basedOn w:val="Normal"/>
    <w:qFormat/>
    <w:rsid w:val="00BF3B60"/>
    <w:pPr>
      <w:numPr>
        <w:ilvl w:val="5"/>
        <w:numId w:val="11"/>
      </w:numPr>
      <w:outlineLvl w:val="5"/>
    </w:pPr>
  </w:style>
  <w:style w:type="paragraph" w:styleId="ListNumber2">
    <w:name w:val="List Number 2"/>
    <w:basedOn w:val="Normal"/>
    <w:qFormat/>
    <w:rsid w:val="00BF3B60"/>
    <w:pPr>
      <w:numPr>
        <w:ilvl w:val="6"/>
        <w:numId w:val="11"/>
      </w:numPr>
      <w:outlineLvl w:val="6"/>
    </w:pPr>
  </w:style>
  <w:style w:type="paragraph" w:styleId="ListNumber3">
    <w:name w:val="List Number 3"/>
    <w:basedOn w:val="Normal"/>
    <w:qFormat/>
    <w:rsid w:val="00BF3B60"/>
    <w:pPr>
      <w:numPr>
        <w:ilvl w:val="7"/>
        <w:numId w:val="11"/>
      </w:numPr>
      <w:outlineLvl w:val="7"/>
    </w:pPr>
  </w:style>
  <w:style w:type="paragraph" w:styleId="ListNumber4">
    <w:name w:val="List Number 4"/>
    <w:basedOn w:val="Normal"/>
    <w:qFormat/>
    <w:rsid w:val="00BF3B60"/>
    <w:pPr>
      <w:numPr>
        <w:ilvl w:val="8"/>
        <w:numId w:val="11"/>
      </w:numPr>
      <w:outlineLvl w:val="8"/>
    </w:pPr>
  </w:style>
  <w:style w:type="paragraph" w:customStyle="1" w:styleId="LogoHide">
    <w:name w:val="Logo Hide"/>
    <w:basedOn w:val="Base"/>
    <w:next w:val="Base"/>
    <w:link w:val="LogoHideChar"/>
    <w:rsid w:val="00BF3B60"/>
    <w:pPr>
      <w:spacing w:line="20" w:lineRule="exact"/>
    </w:pPr>
    <w:rPr>
      <w:noProof/>
      <w:sz w:val="2"/>
    </w:rPr>
  </w:style>
  <w:style w:type="character" w:customStyle="1" w:styleId="LogoHideChar">
    <w:name w:val="Logo Hide Char"/>
    <w:basedOn w:val="DefaultParagraphFont"/>
    <w:link w:val="LogoHide"/>
    <w:rsid w:val="00BF3B60"/>
    <w:rPr>
      <w:rFonts w:ascii="Arial" w:hAnsi="Arial" w:cs="Arial"/>
      <w:noProof/>
      <w:color w:val="404040"/>
      <w:sz w:val="2"/>
      <w:lang w:val="en-AU"/>
    </w:rPr>
  </w:style>
  <w:style w:type="paragraph" w:customStyle="1" w:styleId="LogoHide2">
    <w:name w:val="Logo Hide 2"/>
    <w:basedOn w:val="Base"/>
    <w:next w:val="Base"/>
    <w:link w:val="LogoHide2Char"/>
    <w:rsid w:val="00BF3B60"/>
    <w:rPr>
      <w:noProof/>
    </w:rPr>
  </w:style>
  <w:style w:type="character" w:customStyle="1" w:styleId="LogoHide2Char">
    <w:name w:val="Logo Hide 2 Char"/>
    <w:basedOn w:val="DefaultParagraphFont"/>
    <w:link w:val="LogoHide2"/>
    <w:rsid w:val="00BF3B60"/>
    <w:rPr>
      <w:rFonts w:ascii="Arial" w:hAnsi="Arial" w:cs="Arial"/>
      <w:noProof/>
      <w:color w:val="404040"/>
      <w:sz w:val="16"/>
      <w:lang w:val="en-AU"/>
    </w:rPr>
  </w:style>
  <w:style w:type="paragraph" w:customStyle="1" w:styleId="Questions">
    <w:name w:val="Questions"/>
    <w:basedOn w:val="Normal"/>
    <w:next w:val="Normal"/>
    <w:link w:val="QuestionsChar"/>
    <w:qFormat/>
    <w:rsid w:val="00BF3B60"/>
    <w:pPr>
      <w:keepNext/>
    </w:pPr>
    <w:rPr>
      <w:b/>
      <w:color w:val="00A8C8"/>
    </w:rPr>
  </w:style>
  <w:style w:type="character" w:customStyle="1" w:styleId="QuestionsChar">
    <w:name w:val="Questions Char"/>
    <w:basedOn w:val="DefaultParagraphFont"/>
    <w:link w:val="Questions"/>
    <w:rsid w:val="00BF3B60"/>
    <w:rPr>
      <w:rFonts w:ascii="Arial" w:hAnsi="Arial" w:cs="Arial"/>
      <w:b/>
      <w:color w:val="00A8C8"/>
      <w:sz w:val="22"/>
      <w:lang w:val="en-AU"/>
    </w:rPr>
  </w:style>
  <w:style w:type="paragraph" w:styleId="Quote">
    <w:name w:val="Quote"/>
    <w:basedOn w:val="Normal"/>
    <w:next w:val="Normal"/>
    <w:link w:val="QuoteChar"/>
    <w:semiHidden/>
    <w:qFormat/>
    <w:rsid w:val="00BF3B60"/>
    <w:pPr>
      <w:spacing w:before="240" w:line="240" w:lineRule="auto"/>
    </w:pPr>
    <w:rPr>
      <w:rFonts w:ascii="Georgia" w:hAnsi="Georgia"/>
      <w:iCs/>
      <w:color w:val="00A8C8"/>
      <w:sz w:val="28"/>
    </w:rPr>
  </w:style>
  <w:style w:type="character" w:customStyle="1" w:styleId="QuoteChar">
    <w:name w:val="Quote Char"/>
    <w:basedOn w:val="DefaultParagraphFont"/>
    <w:link w:val="Quote"/>
    <w:uiPriority w:val="29"/>
    <w:rsid w:val="00BF3B60"/>
    <w:rPr>
      <w:rFonts w:ascii="Georgia" w:hAnsi="Georgia" w:cs="Arial"/>
      <w:iCs/>
      <w:color w:val="00A8C8"/>
      <w:sz w:val="28"/>
      <w:lang w:val="en-AU"/>
    </w:rPr>
  </w:style>
  <w:style w:type="paragraph" w:customStyle="1" w:styleId="TableBullet1">
    <w:name w:val="Table Bullet 1"/>
    <w:basedOn w:val="Normal"/>
    <w:link w:val="TableBullet1Char"/>
    <w:qFormat/>
    <w:rsid w:val="00BF3B60"/>
    <w:pPr>
      <w:numPr>
        <w:ilvl w:val="4"/>
        <w:numId w:val="12"/>
      </w:numPr>
      <w:spacing w:before="60" w:after="60" w:line="260" w:lineRule="atLeast"/>
      <w:outlineLvl w:val="4"/>
    </w:pPr>
    <w:rPr>
      <w:sz w:val="20"/>
    </w:rPr>
  </w:style>
  <w:style w:type="character" w:customStyle="1" w:styleId="TableBullet1Char">
    <w:name w:val="Table Bullet 1 Char"/>
    <w:basedOn w:val="DefaultParagraphFont"/>
    <w:link w:val="TableBullet1"/>
    <w:rsid w:val="00BF3B60"/>
    <w:rPr>
      <w:rFonts w:ascii="Arial" w:hAnsi="Arial" w:cs="Arial"/>
      <w:color w:val="404040"/>
      <w:lang w:val="en-AU"/>
    </w:rPr>
  </w:style>
  <w:style w:type="paragraph" w:customStyle="1" w:styleId="TableBullet2">
    <w:name w:val="Table Bullet 2"/>
    <w:basedOn w:val="Normal"/>
    <w:link w:val="TableBullet2Char"/>
    <w:qFormat/>
    <w:rsid w:val="00BF3B60"/>
    <w:pPr>
      <w:numPr>
        <w:ilvl w:val="5"/>
        <w:numId w:val="12"/>
      </w:numPr>
      <w:spacing w:before="60" w:after="60" w:line="260" w:lineRule="atLeast"/>
      <w:outlineLvl w:val="5"/>
    </w:pPr>
    <w:rPr>
      <w:sz w:val="20"/>
    </w:rPr>
  </w:style>
  <w:style w:type="character" w:customStyle="1" w:styleId="TableBullet2Char">
    <w:name w:val="Table Bullet 2 Char"/>
    <w:basedOn w:val="DefaultParagraphFont"/>
    <w:link w:val="TableBullet2"/>
    <w:rsid w:val="00BF3B60"/>
    <w:rPr>
      <w:rFonts w:ascii="Arial" w:hAnsi="Arial" w:cs="Arial"/>
      <w:color w:val="404040"/>
      <w:lang w:val="en-AU"/>
    </w:rPr>
  </w:style>
  <w:style w:type="paragraph" w:customStyle="1" w:styleId="TableBullet3">
    <w:name w:val="Table Bullet 3"/>
    <w:basedOn w:val="Normal"/>
    <w:link w:val="TableBullet3Char"/>
    <w:qFormat/>
    <w:rsid w:val="00BF3B60"/>
    <w:pPr>
      <w:numPr>
        <w:ilvl w:val="6"/>
        <w:numId w:val="12"/>
      </w:numPr>
      <w:spacing w:before="60" w:after="60" w:line="260" w:lineRule="atLeast"/>
      <w:outlineLvl w:val="6"/>
    </w:pPr>
    <w:rPr>
      <w:sz w:val="20"/>
    </w:rPr>
  </w:style>
  <w:style w:type="character" w:customStyle="1" w:styleId="TableBullet3Char">
    <w:name w:val="Table Bullet 3 Char"/>
    <w:basedOn w:val="DefaultParagraphFont"/>
    <w:link w:val="TableBullet3"/>
    <w:rsid w:val="00BF3B60"/>
    <w:rPr>
      <w:rFonts w:ascii="Arial" w:hAnsi="Arial" w:cs="Arial"/>
      <w:color w:val="404040"/>
      <w:lang w:val="en-AU"/>
    </w:rPr>
  </w:style>
  <w:style w:type="paragraph" w:customStyle="1" w:styleId="TableBullet4">
    <w:name w:val="Table Bullet 4"/>
    <w:basedOn w:val="Normal"/>
    <w:link w:val="TableBullet4Char"/>
    <w:qFormat/>
    <w:rsid w:val="00BF3B60"/>
    <w:pPr>
      <w:numPr>
        <w:ilvl w:val="7"/>
        <w:numId w:val="12"/>
      </w:numPr>
      <w:spacing w:before="60" w:after="60" w:line="260" w:lineRule="atLeast"/>
      <w:outlineLvl w:val="7"/>
    </w:pPr>
    <w:rPr>
      <w:sz w:val="20"/>
    </w:rPr>
  </w:style>
  <w:style w:type="character" w:customStyle="1" w:styleId="TableBullet4Char">
    <w:name w:val="Table Bullet 4 Char"/>
    <w:basedOn w:val="DefaultParagraphFont"/>
    <w:link w:val="TableBullet4"/>
    <w:rsid w:val="00BF3B60"/>
    <w:rPr>
      <w:rFonts w:ascii="Arial" w:hAnsi="Arial" w:cs="Arial"/>
      <w:color w:val="404040"/>
      <w:lang w:val="en-AU"/>
    </w:rPr>
  </w:style>
  <w:style w:type="paragraph" w:customStyle="1" w:styleId="TableHeadingText">
    <w:name w:val="Table Heading Text"/>
    <w:basedOn w:val="Normal"/>
    <w:link w:val="TableHeadingTextChar"/>
    <w:qFormat/>
    <w:rsid w:val="00BF3B60"/>
    <w:pPr>
      <w:keepNext/>
      <w:spacing w:before="60" w:after="60" w:line="260" w:lineRule="atLeast"/>
    </w:pPr>
    <w:rPr>
      <w:b/>
      <w:caps/>
      <w:color w:val="FFFFFF"/>
      <w:spacing w:val="40"/>
      <w:sz w:val="20"/>
    </w:rPr>
  </w:style>
  <w:style w:type="character" w:customStyle="1" w:styleId="TableHeadingTextChar">
    <w:name w:val="Table Heading Text Char"/>
    <w:basedOn w:val="DefaultParagraphFont"/>
    <w:link w:val="TableHeadingText"/>
    <w:rsid w:val="00BF3B60"/>
    <w:rPr>
      <w:rFonts w:ascii="Arial" w:hAnsi="Arial" w:cs="Arial"/>
      <w:b/>
      <w:caps/>
      <w:color w:val="FFFFFF"/>
      <w:spacing w:val="40"/>
      <w:lang w:val="en-AU"/>
    </w:rPr>
  </w:style>
  <w:style w:type="paragraph" w:customStyle="1" w:styleId="TableText">
    <w:name w:val="Table Text"/>
    <w:basedOn w:val="Normal"/>
    <w:link w:val="TableTextChar"/>
    <w:qFormat/>
    <w:rsid w:val="00BF3B60"/>
    <w:pPr>
      <w:spacing w:before="60" w:after="60" w:line="260" w:lineRule="atLeast"/>
    </w:pPr>
    <w:rPr>
      <w:sz w:val="20"/>
    </w:rPr>
  </w:style>
  <w:style w:type="character" w:customStyle="1" w:styleId="TableTextChar">
    <w:name w:val="Table Text Char"/>
    <w:basedOn w:val="DefaultParagraphFont"/>
    <w:link w:val="TableText"/>
    <w:rsid w:val="00BF3B60"/>
    <w:rPr>
      <w:rFonts w:ascii="Arial" w:hAnsi="Arial" w:cs="Arial"/>
      <w:color w:val="404040"/>
      <w:lang w:val="en-AU"/>
    </w:rPr>
  </w:style>
  <w:style w:type="paragraph" w:customStyle="1" w:styleId="LegalCompanyAddress">
    <w:name w:val="Legal Company Address"/>
    <w:basedOn w:val="Base"/>
    <w:link w:val="LegalCompanyAddressChar"/>
    <w:rsid w:val="00BF3B60"/>
    <w:rPr>
      <w:spacing w:val="5"/>
      <w:sz w:val="22"/>
    </w:rPr>
  </w:style>
  <w:style w:type="character" w:customStyle="1" w:styleId="LegalCompanyAddressChar">
    <w:name w:val="Legal Company Address Char"/>
    <w:basedOn w:val="DefaultParagraphFont"/>
    <w:link w:val="LegalCompanyAddress"/>
    <w:rsid w:val="00BF3B60"/>
    <w:rPr>
      <w:rFonts w:ascii="Arial" w:hAnsi="Arial" w:cs="Arial"/>
      <w:color w:val="404040"/>
      <w:spacing w:val="5"/>
      <w:sz w:val="22"/>
      <w:lang w:val="en-AU"/>
    </w:rPr>
  </w:style>
  <w:style w:type="paragraph" w:customStyle="1" w:styleId="LegalCompanyName">
    <w:name w:val="Legal Company Name"/>
    <w:basedOn w:val="Base"/>
    <w:link w:val="LegalCompanyNameChar"/>
    <w:rsid w:val="00BF3B60"/>
    <w:rPr>
      <w:b/>
      <w:caps/>
      <w:spacing w:val="40"/>
      <w:sz w:val="24"/>
    </w:rPr>
  </w:style>
  <w:style w:type="character" w:customStyle="1" w:styleId="LegalCompanyNameChar">
    <w:name w:val="Legal Company Name Char"/>
    <w:basedOn w:val="DefaultParagraphFont"/>
    <w:link w:val="LegalCompanyName"/>
    <w:rsid w:val="00BF3B60"/>
    <w:rPr>
      <w:rFonts w:ascii="Arial" w:hAnsi="Arial" w:cs="Arial"/>
      <w:b/>
      <w:caps/>
      <w:color w:val="404040"/>
      <w:spacing w:val="40"/>
      <w:sz w:val="24"/>
      <w:lang w:val="en-AU"/>
    </w:rPr>
  </w:style>
  <w:style w:type="paragraph" w:styleId="BalloonText">
    <w:name w:val="Balloon Text"/>
    <w:basedOn w:val="Normal"/>
    <w:link w:val="BalloonTextChar"/>
    <w:rsid w:val="00BF3B6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F3B60"/>
    <w:rPr>
      <w:rFonts w:ascii="Tahoma" w:hAnsi="Tahoma" w:cs="Tahoma"/>
      <w:color w:val="404040"/>
      <w:sz w:val="16"/>
      <w:szCs w:val="16"/>
      <w:lang w:val="en-AU"/>
    </w:rPr>
  </w:style>
  <w:style w:type="paragraph" w:styleId="Bibliography">
    <w:name w:val="Bibliography"/>
    <w:basedOn w:val="Normal"/>
    <w:next w:val="Normal"/>
    <w:uiPriority w:val="37"/>
    <w:semiHidden/>
    <w:rsid w:val="00BF3B60"/>
  </w:style>
  <w:style w:type="character" w:styleId="BookTitle">
    <w:name w:val="Book Title"/>
    <w:basedOn w:val="DefaultParagraphFont"/>
    <w:uiPriority w:val="33"/>
    <w:semiHidden/>
    <w:qFormat/>
    <w:rsid w:val="00BF3B60"/>
    <w:rPr>
      <w:b/>
      <w:bCs/>
      <w:smallCaps/>
      <w:spacing w:val="5"/>
    </w:rPr>
  </w:style>
  <w:style w:type="paragraph" w:styleId="Caption">
    <w:name w:val="caption"/>
    <w:basedOn w:val="Normal"/>
    <w:next w:val="Normal"/>
    <w:semiHidden/>
    <w:qFormat/>
    <w:rsid w:val="00BF3B60"/>
    <w:pPr>
      <w:spacing w:after="200" w:line="240" w:lineRule="auto"/>
    </w:pPr>
    <w:rPr>
      <w:b/>
      <w:bCs/>
      <w:color w:val="4F81BD" w:themeColor="accent1"/>
      <w:sz w:val="18"/>
      <w:szCs w:val="18"/>
    </w:rPr>
  </w:style>
  <w:style w:type="paragraph" w:styleId="DocumentMap">
    <w:name w:val="Document Map"/>
    <w:basedOn w:val="Normal"/>
    <w:link w:val="DocumentMapChar"/>
    <w:semiHidden/>
    <w:rsid w:val="00BF3B60"/>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BF3B60"/>
    <w:rPr>
      <w:rFonts w:ascii="Tahoma" w:hAnsi="Tahoma" w:cs="Tahoma"/>
      <w:color w:val="404040"/>
      <w:sz w:val="16"/>
      <w:szCs w:val="16"/>
      <w:lang w:val="en-AU"/>
    </w:rPr>
  </w:style>
  <w:style w:type="paragraph" w:styleId="ListParagraph">
    <w:name w:val="List Paragraph"/>
    <w:basedOn w:val="Normal"/>
    <w:uiPriority w:val="34"/>
    <w:qFormat/>
    <w:rsid w:val="00BF3B60"/>
    <w:pPr>
      <w:ind w:left="720"/>
      <w:contextualSpacing/>
    </w:pPr>
  </w:style>
  <w:style w:type="paragraph" w:styleId="MacroText">
    <w:name w:val="macro"/>
    <w:link w:val="MacroTextChar"/>
    <w:semiHidden/>
    <w:rsid w:val="00BF3B60"/>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Arial"/>
      <w:color w:val="404040"/>
      <w:lang w:val="en-AU"/>
    </w:rPr>
  </w:style>
  <w:style w:type="character" w:customStyle="1" w:styleId="MacroTextChar">
    <w:name w:val="Macro Text Char"/>
    <w:basedOn w:val="DefaultParagraphFont"/>
    <w:link w:val="MacroText"/>
    <w:rsid w:val="00BF3B60"/>
    <w:rPr>
      <w:rFonts w:ascii="Consolas" w:hAnsi="Consolas" w:cs="Arial"/>
      <w:color w:val="404040"/>
      <w:lang w:val="en-AU"/>
    </w:rPr>
  </w:style>
  <w:style w:type="paragraph" w:styleId="NoSpacing">
    <w:name w:val="No Spacing"/>
    <w:uiPriority w:val="1"/>
    <w:semiHidden/>
    <w:qFormat/>
    <w:rsid w:val="00BF3B60"/>
    <w:rPr>
      <w:rFonts w:ascii="Arial" w:hAnsi="Arial" w:cs="Arial"/>
      <w:color w:val="404040"/>
      <w:sz w:val="22"/>
      <w:lang w:val="en-AU"/>
    </w:rPr>
  </w:style>
  <w:style w:type="paragraph" w:styleId="NormalWeb">
    <w:name w:val="Normal (Web)"/>
    <w:basedOn w:val="Normal"/>
    <w:uiPriority w:val="99"/>
    <w:semiHidden/>
    <w:rsid w:val="00BF3B60"/>
    <w:rPr>
      <w:rFonts w:ascii="Times New Roman" w:hAnsi="Times New Roman" w:cs="Times New Roman"/>
      <w:sz w:val="24"/>
      <w:szCs w:val="24"/>
    </w:rPr>
  </w:style>
  <w:style w:type="character" w:styleId="PlaceholderText">
    <w:name w:val="Placeholder Text"/>
    <w:basedOn w:val="DefaultParagraphFont"/>
    <w:uiPriority w:val="99"/>
    <w:semiHidden/>
    <w:rsid w:val="00BF3B60"/>
    <w:rPr>
      <w:color w:val="808080"/>
    </w:rPr>
  </w:style>
  <w:style w:type="paragraph" w:styleId="TableofAuthorities">
    <w:name w:val="table of authorities"/>
    <w:basedOn w:val="Normal"/>
    <w:next w:val="Normal"/>
    <w:semiHidden/>
    <w:rsid w:val="00BF3B60"/>
    <w:pPr>
      <w:ind w:left="220" w:hanging="220"/>
    </w:pPr>
  </w:style>
  <w:style w:type="paragraph" w:styleId="TableofFigures">
    <w:name w:val="table of figures"/>
    <w:basedOn w:val="Normal"/>
    <w:next w:val="Normal"/>
    <w:semiHidden/>
    <w:rsid w:val="00BF3B60"/>
  </w:style>
  <w:style w:type="paragraph" w:styleId="TOAHeading">
    <w:name w:val="toa heading"/>
    <w:basedOn w:val="Normal"/>
    <w:next w:val="Normal"/>
    <w:semiHidden/>
    <w:rsid w:val="00BF3B60"/>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rsid w:val="00BF3B60"/>
    <w:rPr>
      <w:sz w:val="16"/>
      <w:szCs w:val="16"/>
    </w:rPr>
  </w:style>
  <w:style w:type="paragraph" w:styleId="CommentText">
    <w:name w:val="annotation text"/>
    <w:basedOn w:val="Normal"/>
    <w:link w:val="CommentTextChar"/>
    <w:rsid w:val="00BF3B60"/>
    <w:pPr>
      <w:spacing w:line="240" w:lineRule="auto"/>
    </w:pPr>
    <w:rPr>
      <w:sz w:val="20"/>
    </w:rPr>
  </w:style>
  <w:style w:type="character" w:customStyle="1" w:styleId="CommentTextChar">
    <w:name w:val="Comment Text Char"/>
    <w:basedOn w:val="DefaultParagraphFont"/>
    <w:link w:val="CommentText"/>
    <w:rsid w:val="00BF3B60"/>
    <w:rPr>
      <w:rFonts w:ascii="Arial" w:hAnsi="Arial" w:cs="Arial"/>
      <w:color w:val="404040"/>
      <w:lang w:val="en-AU"/>
    </w:rPr>
  </w:style>
  <w:style w:type="paragraph" w:styleId="CommentSubject">
    <w:name w:val="annotation subject"/>
    <w:basedOn w:val="CommentText"/>
    <w:next w:val="CommentText"/>
    <w:link w:val="CommentSubjectChar"/>
    <w:rsid w:val="00BF3B60"/>
    <w:rPr>
      <w:b/>
      <w:bCs/>
    </w:rPr>
  </w:style>
  <w:style w:type="character" w:customStyle="1" w:styleId="CommentSubjectChar">
    <w:name w:val="Comment Subject Char"/>
    <w:basedOn w:val="CommentTextChar"/>
    <w:link w:val="CommentSubject"/>
    <w:rsid w:val="00BF3B60"/>
    <w:rPr>
      <w:rFonts w:ascii="Arial" w:hAnsi="Arial" w:cs="Arial"/>
      <w:b/>
      <w:bCs/>
      <w:color w:val="404040"/>
      <w:lang w:val="en-AU"/>
    </w:rPr>
  </w:style>
  <w:style w:type="character" w:styleId="EndnoteReference">
    <w:name w:val="endnote reference"/>
    <w:basedOn w:val="DefaultParagraphFont"/>
    <w:semiHidden/>
    <w:rsid w:val="00BF3B60"/>
    <w:rPr>
      <w:vertAlign w:val="superscript"/>
    </w:rPr>
  </w:style>
  <w:style w:type="paragraph" w:styleId="EndnoteText">
    <w:name w:val="endnote text"/>
    <w:basedOn w:val="Normal"/>
    <w:link w:val="EndnoteTextChar"/>
    <w:rsid w:val="00BF3B60"/>
    <w:pPr>
      <w:spacing w:line="240" w:lineRule="auto"/>
    </w:pPr>
    <w:rPr>
      <w:sz w:val="20"/>
    </w:rPr>
  </w:style>
  <w:style w:type="character" w:customStyle="1" w:styleId="EndnoteTextChar">
    <w:name w:val="Endnote Text Char"/>
    <w:basedOn w:val="DefaultParagraphFont"/>
    <w:link w:val="EndnoteText"/>
    <w:rsid w:val="00BF3B60"/>
    <w:rPr>
      <w:rFonts w:ascii="Arial" w:hAnsi="Arial" w:cs="Arial"/>
      <w:color w:val="404040"/>
      <w:lang w:val="en-AU"/>
    </w:rPr>
  </w:style>
  <w:style w:type="character" w:styleId="HTMLAcronym">
    <w:name w:val="HTML Acronym"/>
    <w:basedOn w:val="DefaultParagraphFont"/>
    <w:semiHidden/>
    <w:rsid w:val="00BF3B60"/>
  </w:style>
  <w:style w:type="paragraph" w:styleId="HTMLAddress">
    <w:name w:val="HTML Address"/>
    <w:basedOn w:val="Normal"/>
    <w:link w:val="HTMLAddressChar"/>
    <w:semiHidden/>
    <w:rsid w:val="00BF3B60"/>
    <w:pPr>
      <w:spacing w:line="240" w:lineRule="auto"/>
    </w:pPr>
    <w:rPr>
      <w:i/>
      <w:iCs/>
    </w:rPr>
  </w:style>
  <w:style w:type="character" w:customStyle="1" w:styleId="HTMLAddressChar">
    <w:name w:val="HTML Address Char"/>
    <w:basedOn w:val="DefaultParagraphFont"/>
    <w:link w:val="HTMLAddress"/>
    <w:rsid w:val="00BF3B60"/>
    <w:rPr>
      <w:rFonts w:ascii="Arial" w:hAnsi="Arial" w:cs="Arial"/>
      <w:i/>
      <w:iCs/>
      <w:color w:val="404040"/>
      <w:sz w:val="22"/>
      <w:lang w:val="en-AU"/>
    </w:rPr>
  </w:style>
  <w:style w:type="character" w:styleId="HTMLCite">
    <w:name w:val="HTML Cite"/>
    <w:basedOn w:val="DefaultParagraphFont"/>
    <w:semiHidden/>
    <w:rsid w:val="00BF3B60"/>
    <w:rPr>
      <w:i/>
      <w:iCs/>
    </w:rPr>
  </w:style>
  <w:style w:type="character" w:styleId="HTMLCode">
    <w:name w:val="HTML Code"/>
    <w:basedOn w:val="DefaultParagraphFont"/>
    <w:semiHidden/>
    <w:rsid w:val="00BF3B60"/>
    <w:rPr>
      <w:rFonts w:ascii="Consolas" w:hAnsi="Consolas"/>
      <w:sz w:val="20"/>
      <w:szCs w:val="20"/>
    </w:rPr>
  </w:style>
  <w:style w:type="character" w:styleId="HTMLDefinition">
    <w:name w:val="HTML Definition"/>
    <w:basedOn w:val="DefaultParagraphFont"/>
    <w:semiHidden/>
    <w:rsid w:val="00BF3B60"/>
    <w:rPr>
      <w:i/>
      <w:iCs/>
    </w:rPr>
  </w:style>
  <w:style w:type="character" w:styleId="HTMLKeyboard">
    <w:name w:val="HTML Keyboard"/>
    <w:basedOn w:val="DefaultParagraphFont"/>
    <w:semiHidden/>
    <w:rsid w:val="00BF3B60"/>
    <w:rPr>
      <w:rFonts w:ascii="Consolas" w:hAnsi="Consolas"/>
      <w:sz w:val="20"/>
      <w:szCs w:val="20"/>
    </w:rPr>
  </w:style>
  <w:style w:type="paragraph" w:styleId="HTMLPreformatted">
    <w:name w:val="HTML Preformatted"/>
    <w:basedOn w:val="Normal"/>
    <w:link w:val="HTMLPreformattedChar"/>
    <w:semiHidden/>
    <w:rsid w:val="00BF3B60"/>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BF3B60"/>
    <w:rPr>
      <w:rFonts w:ascii="Consolas" w:hAnsi="Consolas" w:cs="Arial"/>
      <w:color w:val="404040"/>
      <w:lang w:val="en-AU"/>
    </w:rPr>
  </w:style>
  <w:style w:type="character" w:styleId="HTMLSample">
    <w:name w:val="HTML Sample"/>
    <w:basedOn w:val="DefaultParagraphFont"/>
    <w:semiHidden/>
    <w:rsid w:val="00BF3B60"/>
    <w:rPr>
      <w:rFonts w:ascii="Consolas" w:hAnsi="Consolas"/>
      <w:sz w:val="24"/>
      <w:szCs w:val="24"/>
    </w:rPr>
  </w:style>
  <w:style w:type="character" w:styleId="HTMLTypewriter">
    <w:name w:val="HTML Typewriter"/>
    <w:basedOn w:val="DefaultParagraphFont"/>
    <w:semiHidden/>
    <w:rsid w:val="00BF3B60"/>
    <w:rPr>
      <w:rFonts w:ascii="Consolas" w:hAnsi="Consolas"/>
      <w:sz w:val="20"/>
      <w:szCs w:val="20"/>
    </w:rPr>
  </w:style>
  <w:style w:type="character" w:styleId="HTMLVariable">
    <w:name w:val="HTML Variable"/>
    <w:basedOn w:val="DefaultParagraphFont"/>
    <w:semiHidden/>
    <w:rsid w:val="00BF3B60"/>
    <w:rPr>
      <w:i/>
      <w:iCs/>
    </w:rPr>
  </w:style>
  <w:style w:type="paragraph" w:styleId="Index1">
    <w:name w:val="index 1"/>
    <w:basedOn w:val="Normal"/>
    <w:next w:val="Normal"/>
    <w:autoRedefine/>
    <w:semiHidden/>
    <w:rsid w:val="00BF3B60"/>
    <w:pPr>
      <w:spacing w:line="240" w:lineRule="auto"/>
      <w:ind w:left="220" w:hanging="220"/>
    </w:pPr>
  </w:style>
  <w:style w:type="paragraph" w:styleId="Index2">
    <w:name w:val="index 2"/>
    <w:basedOn w:val="Normal"/>
    <w:next w:val="Normal"/>
    <w:autoRedefine/>
    <w:semiHidden/>
    <w:rsid w:val="00BF3B60"/>
    <w:pPr>
      <w:spacing w:line="240" w:lineRule="auto"/>
      <w:ind w:left="440" w:hanging="220"/>
    </w:pPr>
  </w:style>
  <w:style w:type="paragraph" w:styleId="Index3">
    <w:name w:val="index 3"/>
    <w:basedOn w:val="Normal"/>
    <w:next w:val="Normal"/>
    <w:autoRedefine/>
    <w:semiHidden/>
    <w:rsid w:val="00BF3B60"/>
    <w:pPr>
      <w:spacing w:line="240" w:lineRule="auto"/>
      <w:ind w:left="660" w:hanging="220"/>
    </w:pPr>
  </w:style>
  <w:style w:type="paragraph" w:styleId="Index4">
    <w:name w:val="index 4"/>
    <w:basedOn w:val="Normal"/>
    <w:next w:val="Normal"/>
    <w:autoRedefine/>
    <w:semiHidden/>
    <w:rsid w:val="00BF3B60"/>
    <w:pPr>
      <w:spacing w:line="240" w:lineRule="auto"/>
      <w:ind w:left="880" w:hanging="220"/>
    </w:pPr>
  </w:style>
  <w:style w:type="paragraph" w:styleId="Index5">
    <w:name w:val="index 5"/>
    <w:basedOn w:val="Normal"/>
    <w:next w:val="Normal"/>
    <w:autoRedefine/>
    <w:semiHidden/>
    <w:rsid w:val="00BF3B60"/>
    <w:pPr>
      <w:spacing w:line="240" w:lineRule="auto"/>
      <w:ind w:left="1100" w:hanging="220"/>
    </w:pPr>
  </w:style>
  <w:style w:type="paragraph" w:styleId="Index6">
    <w:name w:val="index 6"/>
    <w:basedOn w:val="Normal"/>
    <w:next w:val="Normal"/>
    <w:autoRedefine/>
    <w:semiHidden/>
    <w:rsid w:val="00BF3B60"/>
    <w:pPr>
      <w:spacing w:line="240" w:lineRule="auto"/>
      <w:ind w:left="1320" w:hanging="220"/>
    </w:pPr>
  </w:style>
  <w:style w:type="paragraph" w:styleId="Index7">
    <w:name w:val="index 7"/>
    <w:basedOn w:val="Normal"/>
    <w:next w:val="Normal"/>
    <w:autoRedefine/>
    <w:semiHidden/>
    <w:rsid w:val="00BF3B60"/>
    <w:pPr>
      <w:spacing w:line="240" w:lineRule="auto"/>
      <w:ind w:left="1540" w:hanging="220"/>
    </w:pPr>
  </w:style>
  <w:style w:type="paragraph" w:styleId="Index8">
    <w:name w:val="index 8"/>
    <w:basedOn w:val="Normal"/>
    <w:next w:val="Normal"/>
    <w:autoRedefine/>
    <w:semiHidden/>
    <w:rsid w:val="00BF3B60"/>
    <w:pPr>
      <w:spacing w:line="240" w:lineRule="auto"/>
      <w:ind w:left="1760" w:hanging="220"/>
    </w:pPr>
  </w:style>
  <w:style w:type="paragraph" w:styleId="Index9">
    <w:name w:val="index 9"/>
    <w:basedOn w:val="Normal"/>
    <w:next w:val="Normal"/>
    <w:autoRedefine/>
    <w:semiHidden/>
    <w:rsid w:val="00BF3B60"/>
    <w:pPr>
      <w:spacing w:line="240" w:lineRule="auto"/>
      <w:ind w:left="1980" w:hanging="220"/>
    </w:pPr>
  </w:style>
  <w:style w:type="paragraph" w:styleId="IndexHeading">
    <w:name w:val="index heading"/>
    <w:basedOn w:val="Normal"/>
    <w:next w:val="Index1"/>
    <w:semiHidden/>
    <w:rsid w:val="00BF3B6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F3B60"/>
    <w:rPr>
      <w:b/>
      <w:bCs/>
      <w:i/>
      <w:iCs/>
      <w:color w:val="4F81BD" w:themeColor="accent1"/>
    </w:rPr>
  </w:style>
  <w:style w:type="paragraph" w:styleId="IntenseQuote">
    <w:name w:val="Intense Quote"/>
    <w:basedOn w:val="Normal"/>
    <w:next w:val="Normal"/>
    <w:link w:val="IntenseQuoteChar"/>
    <w:uiPriority w:val="30"/>
    <w:semiHidden/>
    <w:qFormat/>
    <w:rsid w:val="00BF3B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3B60"/>
    <w:rPr>
      <w:rFonts w:ascii="Arial" w:hAnsi="Arial" w:cs="Arial"/>
      <w:b/>
      <w:bCs/>
      <w:i/>
      <w:iCs/>
      <w:color w:val="4F81BD" w:themeColor="accent1"/>
      <w:sz w:val="22"/>
      <w:lang w:val="en-AU"/>
    </w:rPr>
  </w:style>
  <w:style w:type="character" w:styleId="IntenseReference">
    <w:name w:val="Intense Reference"/>
    <w:basedOn w:val="DefaultParagraphFont"/>
    <w:uiPriority w:val="32"/>
    <w:semiHidden/>
    <w:qFormat/>
    <w:rsid w:val="00BF3B60"/>
    <w:rPr>
      <w:b/>
      <w:bCs/>
      <w:smallCaps/>
      <w:color w:val="C0504D" w:themeColor="accent2"/>
      <w:spacing w:val="5"/>
      <w:u w:val="single"/>
    </w:rPr>
  </w:style>
  <w:style w:type="character" w:styleId="SubtleEmphasis">
    <w:name w:val="Subtle Emphasis"/>
    <w:basedOn w:val="DefaultParagraphFont"/>
    <w:uiPriority w:val="19"/>
    <w:semiHidden/>
    <w:qFormat/>
    <w:rsid w:val="00BF3B60"/>
    <w:rPr>
      <w:i/>
      <w:iCs/>
      <w:color w:val="808080" w:themeColor="text1" w:themeTint="7F"/>
    </w:rPr>
  </w:style>
  <w:style w:type="character" w:styleId="SubtleReference">
    <w:name w:val="Subtle Reference"/>
    <w:basedOn w:val="DefaultParagraphFont"/>
    <w:uiPriority w:val="31"/>
    <w:semiHidden/>
    <w:qFormat/>
    <w:rsid w:val="00BF3B60"/>
    <w:rPr>
      <w:smallCaps/>
      <w:color w:val="C0504D" w:themeColor="accent2"/>
      <w:u w:val="single"/>
    </w:rPr>
  </w:style>
  <w:style w:type="character" w:customStyle="1" w:styleId="LogoChar">
    <w:name w:val="Logo Char"/>
    <w:basedOn w:val="DefaultParagraphFont"/>
    <w:link w:val="Logo"/>
    <w:rsid w:val="00BF3B60"/>
    <w:rPr>
      <w:rFonts w:ascii="Arial" w:hAnsi="Arial" w:cs="Arial"/>
      <w:color w:val="404040"/>
      <w:sz w:val="16"/>
      <w:szCs w:val="16"/>
      <w:lang w:val="en-AU"/>
    </w:rPr>
  </w:style>
  <w:style w:type="character" w:customStyle="1" w:styleId="TextHide">
    <w:name w:val="Text Hide"/>
    <w:basedOn w:val="DefaultParagraphFont"/>
    <w:rsid w:val="00BF3B60"/>
    <w:rPr>
      <w:szCs w:val="20"/>
    </w:rPr>
  </w:style>
  <w:style w:type="paragraph" w:styleId="BodyTextIndent">
    <w:name w:val="Body Text Indent"/>
    <w:basedOn w:val="Normal"/>
    <w:link w:val="BodyTextIndentChar"/>
    <w:rsid w:val="00BF3B60"/>
    <w:pPr>
      <w:tabs>
        <w:tab w:val="left" w:pos="-1440"/>
        <w:tab w:val="left" w:pos="-720"/>
      </w:tabs>
      <w:suppressAutoHyphens/>
      <w:spacing w:line="240" w:lineRule="auto"/>
      <w:ind w:left="426"/>
    </w:pPr>
    <w:rPr>
      <w:rFonts w:ascii="Times New Roman" w:hAnsi="Times New Roman" w:cs="Times New Roman"/>
      <w:color w:val="auto"/>
      <w:sz w:val="24"/>
    </w:rPr>
  </w:style>
  <w:style w:type="character" w:customStyle="1" w:styleId="BodyTextIndentChar">
    <w:name w:val="Body Text Indent Char"/>
    <w:basedOn w:val="DefaultParagraphFont"/>
    <w:link w:val="BodyTextIndent"/>
    <w:rsid w:val="00BF3B60"/>
    <w:rPr>
      <w:sz w:val="24"/>
      <w:lang w:val="en-AU"/>
    </w:rPr>
  </w:style>
  <w:style w:type="paragraph" w:styleId="Revision">
    <w:name w:val="Revision"/>
    <w:hidden/>
    <w:uiPriority w:val="99"/>
    <w:semiHidden/>
    <w:rsid w:val="00BF3B60"/>
    <w:rPr>
      <w:rFonts w:ascii="Arial" w:hAnsi="Arial" w:cs="Arial"/>
      <w:sz w:val="22"/>
      <w:lang w:val="en-GB"/>
    </w:rPr>
  </w:style>
  <w:style w:type="paragraph" w:customStyle="1" w:styleId="Figuretitle">
    <w:name w:val="Figure title"/>
    <w:next w:val="Normal"/>
    <w:qFormat/>
    <w:rsid w:val="00BF3B60"/>
    <w:pPr>
      <w:keepNext/>
      <w:keepLines/>
      <w:spacing w:before="340" w:after="170"/>
    </w:pPr>
    <w:rPr>
      <w:rFonts w:ascii="Arial" w:hAnsi="Arial"/>
      <w:b/>
      <w:color w:val="005A77"/>
      <w:spacing w:val="-6"/>
      <w:sz w:val="24"/>
      <w:szCs w:val="24"/>
    </w:rPr>
  </w:style>
  <w:style w:type="numbering" w:customStyle="1" w:styleId="Numbers">
    <w:name w:val="Numbers"/>
    <w:basedOn w:val="NoList"/>
    <w:rsid w:val="00BF3B60"/>
    <w:pPr>
      <w:numPr>
        <w:numId w:val="15"/>
      </w:numPr>
    </w:pPr>
  </w:style>
  <w:style w:type="paragraph" w:customStyle="1" w:styleId="Tabletitle">
    <w:name w:val="Table title"/>
    <w:next w:val="Normal"/>
    <w:qFormat/>
    <w:rsid w:val="00BF3B60"/>
    <w:pPr>
      <w:keepNext/>
      <w:spacing w:before="340" w:after="170"/>
    </w:pPr>
    <w:rPr>
      <w:rFonts w:ascii="Arial" w:hAnsi="Arial"/>
      <w:b/>
      <w:color w:val="005A77"/>
      <w:spacing w:val="-6"/>
      <w:sz w:val="24"/>
      <w:szCs w:val="24"/>
    </w:rPr>
  </w:style>
  <w:style w:type="paragraph" w:customStyle="1" w:styleId="Notetitle">
    <w:name w:val="Note title"/>
    <w:qFormat/>
    <w:rsid w:val="00BF3B60"/>
    <w:pPr>
      <w:keepNext/>
      <w:spacing w:before="340" w:after="170"/>
    </w:pPr>
    <w:rPr>
      <w:rFonts w:ascii="Arial" w:eastAsia="MS Gothic" w:hAnsi="Arial"/>
      <w:b/>
      <w:bCs/>
      <w:iCs/>
      <w:color w:val="005A77"/>
      <w:spacing w:val="-6"/>
      <w:sz w:val="24"/>
      <w:szCs w:val="28"/>
    </w:rPr>
  </w:style>
  <w:style w:type="paragraph" w:customStyle="1" w:styleId="Numberedpara1stindent">
    <w:name w:val="Numbered para (1st indent)"/>
    <w:basedOn w:val="Normal"/>
    <w:rsid w:val="00BF3B60"/>
    <w:pPr>
      <w:tabs>
        <w:tab w:val="num" w:pos="567"/>
      </w:tabs>
      <w:spacing w:line="240" w:lineRule="auto"/>
      <w:ind w:left="567" w:hanging="567"/>
    </w:pPr>
    <w:rPr>
      <w:rFonts w:ascii="Cambria" w:hAnsi="Cambria" w:cs="Times New Roman"/>
      <w:color w:val="auto"/>
      <w:szCs w:val="24"/>
    </w:rPr>
  </w:style>
  <w:style w:type="paragraph" w:customStyle="1" w:styleId="Numberedpara2ndindent">
    <w:name w:val="Numbered para (2nd indent)"/>
    <w:basedOn w:val="Normal"/>
    <w:rsid w:val="00BF3B60"/>
    <w:pPr>
      <w:tabs>
        <w:tab w:val="num" w:pos="851"/>
      </w:tabs>
      <w:spacing w:line="240" w:lineRule="auto"/>
      <w:ind w:left="851" w:hanging="284"/>
    </w:pPr>
    <w:rPr>
      <w:rFonts w:ascii="Cambria" w:hAnsi="Cambria" w:cs="Times New Roman"/>
      <w:color w:val="auto"/>
      <w:szCs w:val="24"/>
    </w:rPr>
  </w:style>
  <w:style w:type="paragraph" w:customStyle="1" w:styleId="Numberedpara3rdindent">
    <w:name w:val="Numbered para (3rd indent)"/>
    <w:basedOn w:val="Normal"/>
    <w:rsid w:val="00BF3B60"/>
    <w:pPr>
      <w:tabs>
        <w:tab w:val="num" w:pos="1134"/>
      </w:tabs>
      <w:spacing w:line="240" w:lineRule="auto"/>
      <w:ind w:left="1135" w:hanging="284"/>
    </w:pPr>
    <w:rPr>
      <w:rFonts w:ascii="Cambria" w:hAnsi="Cambria" w:cs="Times New Roman"/>
      <w:color w:val="auto"/>
      <w:szCs w:val="24"/>
    </w:rPr>
  </w:style>
  <w:style w:type="paragraph" w:styleId="BodyTextIndent2">
    <w:name w:val="Body Text Indent 2"/>
    <w:basedOn w:val="Normal"/>
    <w:link w:val="BodyTextIndent2Char"/>
    <w:rsid w:val="00676991"/>
    <w:pPr>
      <w:spacing w:after="120" w:line="480" w:lineRule="auto"/>
      <w:ind w:left="283"/>
    </w:pPr>
  </w:style>
  <w:style w:type="character" w:customStyle="1" w:styleId="BodyTextIndent2Char">
    <w:name w:val="Body Text Indent 2 Char"/>
    <w:basedOn w:val="DefaultParagraphFont"/>
    <w:link w:val="BodyTextIndent2"/>
    <w:rsid w:val="00676991"/>
    <w:rPr>
      <w:rFonts w:ascii="Arial" w:hAnsi="Arial" w:cs="Arial"/>
      <w:color w:val="404040"/>
      <w:sz w:val="22"/>
      <w:lang w:val="en-AU"/>
    </w:rPr>
  </w:style>
  <w:style w:type="paragraph" w:customStyle="1" w:styleId="Default">
    <w:name w:val="Default"/>
    <w:rsid w:val="00814698"/>
    <w:pPr>
      <w:autoSpaceDE w:val="0"/>
      <w:autoSpaceDN w:val="0"/>
      <w:adjustRightInd w:val="0"/>
    </w:pPr>
    <w:rPr>
      <w:rFonts w:ascii="QKXAS F+ Calibri" w:hAnsi="QKXAS F+ Calibri" w:cs="QKXAS F+ Calibri"/>
      <w:color w:val="000000"/>
      <w:sz w:val="24"/>
      <w:szCs w:val="24"/>
      <w:lang w:val="en-AU"/>
    </w:rPr>
  </w:style>
  <w:style w:type="paragraph" w:customStyle="1" w:styleId="BoxText">
    <w:name w:val="Box Text"/>
    <w:basedOn w:val="Normal"/>
    <w:rsid w:val="00985D4F"/>
    <w:pPr>
      <w:spacing w:before="120" w:after="120" w:line="240" w:lineRule="auto"/>
    </w:pPr>
    <w:rPr>
      <w:rFont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6.xml"/><Relationship Id="rId35"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footer8.xml.rels><?xml version="1.0" encoding="UTF-8" standalone="yes"?>
<Relationships xmlns="http://schemas.openxmlformats.org/package/2006/relationships"><Relationship Id="rId1"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MC%20Templates\Templates\ReportVerti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mageControl xmlns:xsi="http://www.w3.org/2001/XMLSchema-instance" xmlns:xsd="http://www.w3.org/2001/XMLSchema">
  <TypeOfImage>SolidColour</TypeOfImage>
  <Usage>WordCoverVertical</Usage>
  <PaletteName>Sapphire</PaletteName>
  <Design engine="MER2015">
    <Triangles>
      <Triangle>
        <RowGrid>1</RowGrid>
        <ColumnGrid>1</ColumnGrid>
        <Flip>0</Flip>
        <ColorNumber>4</ColorNumber>
        <Opacity>1</Opacity>
      </Triangle>
      <Triangle>
        <RowGrid>2</RowGrid>
        <ColumnGrid>2</ColumnGrid>
        <Flip>0</Flip>
        <ColorNumber>3</ColorNumber>
        <Opacity>1</Opacity>
      </Triangle>
      <Triangle>
        <RowGrid>3</RowGrid>
        <ColumnGrid>1</ColumnGrid>
        <Flip>0</Flip>
        <ColorNumber>4</ColorNumber>
        <Opacity>1</Opacity>
      </Triangle>
      <Triangle>
        <RowGrid>2</RowGrid>
        <ColumnGrid>2</ColumnGrid>
        <Flip>1</Flip>
        <ColorNumber>0</ColorNumber>
        <Opacity>1</Opacity>
      </Triangle>
      <Triangle>
        <RowGrid>5</RowGrid>
        <ColumnGrid>1</ColumnGrid>
        <Flip>0</Flip>
        <ColorNumber>3</ColorNumber>
        <Opacity>1</Opacity>
      </Triangle>
    </Triangles>
    <BlankCoordinates>
      <BlankCoordinate>
        <X>1</X>
        <Y>5</Y>
      </BlankCoordinate>
      <BlankCoordinate>
        <X>2</X>
        <Y>4</Y>
      </BlankCoordinate>
      <BlankCoordinate>
        <X>0</X>
        <Y>4</Y>
      </BlankCoordinate>
      <BlankCoordinate>
        <X>0</X>
        <Y>3</Y>
      </BlankCoordinate>
      <BlankCoordinate>
        <X>3</X>
        <Y>3</Y>
      </BlankCoordinate>
      <BlankCoordinate>
        <X>2</X>
        <Y>2</Y>
      </BlankCoordinate>
      <BlankCoordinate>
        <X>2</X>
        <Y>2</Y>
      </BlankCoordinate>
      <BlankCoordinate>
        <X>3</X>
        <Y>1</Y>
      </BlankCoordinate>
      <BlankCoordinate>
        <X>1</X>
        <Y>1</Y>
      </BlankCoordinate>
      <BlankCoordinate>
        <X>2</X>
        <Y>0</Y>
      </BlankCoordinate>
      <BlankCoordinate>
        <X>-1</X>
        <Y>0</Y>
      </BlankCoordinate>
      <BlankCoordinate>
        <X>-1</X>
        <Y>5</Y>
      </BlankCoordinate>
    </BlankCoordinates>
    <ImageRightCropPercent>0</ImageRightCropPercent>
    <TotalRows>5</TotalRows>
    <TrianglesGridShiftPercent>0</TrianglesGridShiftPercent>
    <ImageBlankTopRows>0</ImageBlankTopRows>
  </Design>
</ImageContro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5B62-A74C-4534-9275-3071A16DCB96}">
  <ds:schemaRefs>
    <ds:schemaRef ds:uri="http://www.w3.org/2001/XMLSchema"/>
  </ds:schemaRefs>
</ds:datastoreItem>
</file>

<file path=customXml/itemProps2.xml><?xml version="1.0" encoding="utf-8"?>
<ds:datastoreItem xmlns:ds="http://schemas.openxmlformats.org/officeDocument/2006/customXml" ds:itemID="{84394E70-3194-4F1D-9BD6-CBBEA983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ReportVertical</Template>
  <TotalTime>7</TotalTime>
  <Pages>56</Pages>
  <Words>12122</Words>
  <Characters>64626</Characters>
  <Application>Microsoft Office Word</Application>
  <DocSecurity>0</DocSecurity>
  <Lines>538</Lines>
  <Paragraphs>153</Paragraphs>
  <ScaleCrop>false</ScaleCrop>
  <HeadingPairs>
    <vt:vector size="2" baseType="variant">
      <vt:variant>
        <vt:lpstr>Title</vt:lpstr>
      </vt:variant>
      <vt:variant>
        <vt:i4>1</vt:i4>
      </vt:variant>
    </vt:vector>
  </HeadingPairs>
  <TitlesOfParts>
    <vt:vector size="1" baseType="lpstr">
      <vt:lpstr>PSS AND CSS</vt:lpstr>
    </vt:vector>
  </TitlesOfParts>
  <Company>Mercer (Australia) Pty Ltd</Company>
  <LinksUpToDate>false</LinksUpToDate>
  <CharactersWithSpaces>76595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 and CSS - Long Term Cost Report 2017</dc:title>
  <dc:creator>Department of Finance</dc:creator>
  <dc:description>MMC Templates
Marsh &amp; McLennan Companies</dc:description>
  <cp:lastModifiedBy>Truong, Minh</cp:lastModifiedBy>
  <cp:revision>5</cp:revision>
  <cp:lastPrinted>2018-06-25T07:15:00Z</cp:lastPrinted>
  <dcterms:created xsi:type="dcterms:W3CDTF">2019-06-26T02:46:00Z</dcterms:created>
  <dcterms:modified xsi:type="dcterms:W3CDTF">2019-07-04T04:17:00Z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Template">
    <vt:lpwstr>ReportVertical</vt:lpwstr>
  </property>
  <property fmtid="{D5CDD505-2E9C-101B-9397-08002B2CF9AE}" pid="3" name="MMCOA_PaperResize">
    <vt:lpwstr>StdAndCustom</vt:lpwstr>
  </property>
  <property fmtid="{D5CDD505-2E9C-101B-9397-08002B2CF9AE}" pid="4" name="MMCOA_CurrentPaperSetup">
    <vt:lpwstr>A4</vt:lpwstr>
  </property>
  <property fmtid="{D5CDD505-2E9C-101B-9397-08002B2CF9AE}" pid="5" name="MMCOA_Redate">
    <vt:lpwstr>Date;</vt:lpwstr>
  </property>
  <property fmtid="{D5CDD505-2E9C-101B-9397-08002B2CF9AE}" pid="6" name="MMCOA_BIC">
    <vt:bool>true</vt:bool>
  </property>
  <property fmtid="{D5CDD505-2E9C-101B-9397-08002B2CF9AE}" pid="7" name="BICCompanyNameNo1">
    <vt:lpwstr>Mercer</vt:lpwstr>
  </property>
  <property fmtid="{D5CDD505-2E9C-101B-9397-08002B2CF9AE}" pid="8" name="BICCompanyNameNo2">
    <vt:lpwstr/>
  </property>
  <property fmtid="{D5CDD505-2E9C-101B-9397-08002B2CF9AE}" pid="9" name="BICCompanyNameNo3">
    <vt:lpwstr/>
  </property>
  <property fmtid="{D5CDD505-2E9C-101B-9397-08002B2CF9AE}" pid="10" name="BICCompanyNameNo4">
    <vt:lpwstr> </vt:lpwstr>
  </property>
  <property fmtid="{D5CDD505-2E9C-101B-9397-08002B2CF9AE}" pid="11" name="BICCompanyAddressNo1">
    <vt:lpwstr>ABN 32 005 315 917_x000d_
Collins Square_x000d_
727 Collins Street Melbourne VIC 3008_x000d_
GPO Box 9946 Melbourne VIC 3001</vt:lpwstr>
  </property>
  <property fmtid="{D5CDD505-2E9C-101B-9397-08002B2CF9AE}" pid="12" name="BICCompanyAddressNo2">
    <vt:lpwstr/>
  </property>
  <property fmtid="{D5CDD505-2E9C-101B-9397-08002B2CF9AE}" pid="13" name="BICCompanyAddressNo3">
    <vt:lpwstr/>
  </property>
  <property fmtid="{D5CDD505-2E9C-101B-9397-08002B2CF9AE}" pid="14" name="BICCompanyAddressNo4">
    <vt:lpwstr> </vt:lpwstr>
  </property>
  <property fmtid="{D5CDD505-2E9C-101B-9397-08002B2CF9AE}" pid="15" name="BICCompanyPhoneNo1">
    <vt:lpwstr>+61 3 9623 5555</vt:lpwstr>
  </property>
  <property fmtid="{D5CDD505-2E9C-101B-9397-08002B2CF9AE}" pid="16" name="BICCompanyPhoneNo2">
    <vt:lpwstr/>
  </property>
  <property fmtid="{D5CDD505-2E9C-101B-9397-08002B2CF9AE}" pid="17" name="BICCompanyPhoneNo3">
    <vt:lpwstr/>
  </property>
  <property fmtid="{D5CDD505-2E9C-101B-9397-08002B2CF9AE}" pid="18" name="BICCompanyPhoneNo4">
    <vt:lpwstr> </vt:lpwstr>
  </property>
  <property fmtid="{D5CDD505-2E9C-101B-9397-08002B2CF9AE}" pid="19" name="BICCompanyAbbreviatedNameNo1">
    <vt:lpwstr>Mercer</vt:lpwstr>
  </property>
  <property fmtid="{D5CDD505-2E9C-101B-9397-08002B2CF9AE}" pid="20" name="BICCompanyAbbreviatedNameNo2">
    <vt:lpwstr/>
  </property>
  <property fmtid="{D5CDD505-2E9C-101B-9397-08002B2CF9AE}" pid="21" name="BICCompanyAbbreviatedNameNo3">
    <vt:lpwstr/>
  </property>
  <property fmtid="{D5CDD505-2E9C-101B-9397-08002B2CF9AE}" pid="22" name="BICCompanyAbbreviatedNameNo4">
    <vt:lpwstr> </vt:lpwstr>
  </property>
  <property fmtid="{D5CDD505-2E9C-101B-9397-08002B2CF9AE}" pid="23" name="BICCompanyAbbreviationNo1">
    <vt:lpwstr>MER</vt:lpwstr>
  </property>
  <property fmtid="{D5CDD505-2E9C-101B-9397-08002B2CF9AE}" pid="24" name="BICCompanyAbbreviationNo2">
    <vt:lpwstr/>
  </property>
  <property fmtid="{D5CDD505-2E9C-101B-9397-08002B2CF9AE}" pid="25" name="BICCompanyAbbreviationNo3">
    <vt:lpwstr/>
  </property>
  <property fmtid="{D5CDD505-2E9C-101B-9397-08002B2CF9AE}" pid="26" name="BICCompanyAbbreviationNo4">
    <vt:lpwstr> </vt:lpwstr>
  </property>
  <property fmtid="{D5CDD505-2E9C-101B-9397-08002B2CF9AE}" pid="27" name="MMCOA_TemplateVersion">
    <vt:lpwstr>7.0</vt:lpwstr>
  </property>
  <property fmtid="{D5CDD505-2E9C-101B-9397-08002B2CF9AE}" pid="28" name="MMCOA_UI_Language">
    <vt:lpwstr>en-GB</vt:lpwstr>
  </property>
  <property fmtid="{D5CDD505-2E9C-101B-9397-08002B2CF9AE}" pid="29" name="MMCOA_BaseCo">
    <vt:lpwstr>MER</vt:lpwstr>
  </property>
  <property fmtid="{D5CDD505-2E9C-101B-9397-08002B2CF9AE}" pid="30" name="MMCOA_Brand">
    <vt:lpwstr>MER2015</vt:lpwstr>
  </property>
  <property fmtid="{D5CDD505-2E9C-101B-9397-08002B2CF9AE}" pid="31" name="MMCOA_Language">
    <vt:lpwstr>en-AU</vt:lpwstr>
  </property>
  <property fmtid="{D5CDD505-2E9C-101B-9397-08002B2CF9AE}" pid="32" name="MMCOA_LanguageDateFormat">
    <vt:lpwstr>d MMMM yyyy</vt:lpwstr>
  </property>
  <property fmtid="{D5CDD505-2E9C-101B-9397-08002B2CF9AE}" pid="33" name="MMCOA_CoverColour">
    <vt:lpwstr>MMC_BlueCover</vt:lpwstr>
  </property>
  <property fmtid="{D5CDD505-2E9C-101B-9397-08002B2CF9AE}" pid="34" name="MMCOA_CoverDesignId">
    <vt:lpwstr>{F10F5B62-A74C-4534-9275-3071A16DCB96}</vt:lpwstr>
  </property>
  <property fmtid="{D5CDD505-2E9C-101B-9397-08002B2CF9AE}" pid="35" name="MMCOA_UseBlackHeadings">
    <vt:lpwstr>No</vt:lpwstr>
  </property>
  <property fmtid="{D5CDD505-2E9C-101B-9397-08002B2CF9AE}" pid="36" name="MMCOA_SectionNewPage">
    <vt:lpwstr>Yes</vt:lpwstr>
  </property>
  <property fmtid="{D5CDD505-2E9C-101B-9397-08002B2CF9AE}" pid="37" name="MMCOA_BaseStyle">
    <vt:lpwstr>Base</vt:lpwstr>
  </property>
  <property fmtid="{D5CDD505-2E9C-101B-9397-08002B2CF9AE}" pid="38" name="MMCOA_BaseBoldStyle">
    <vt:lpwstr>Base Bold</vt:lpwstr>
  </property>
  <property fmtid="{D5CDD505-2E9C-101B-9397-08002B2CF9AE}" pid="39" name="MMCOA_StyleMap">
    <vt:lpwstr>UnNumbered</vt:lpwstr>
  </property>
  <property fmtid="{D5CDD505-2E9C-101B-9397-08002B2CF9AE}" pid="40" name="MMCOA_StyleKeyBindings">
    <vt:lpwstr>NormalþList BulletþList Bullet 2þList Bullet 3þList Bullet 4þHeading 1þHeading 2þHeading 3þNormal Indent 1þNormal Indent 2þNormal Indent 3þNormal Indent 4þList NumberþList Number 2þList Number 3þList </vt:lpwstr>
  </property>
  <property fmtid="{D5CDD505-2E9C-101B-9397-08002B2CF9AE}" pid="41" name="MMCOA_StyleKeyBindings2">
    <vt:lpwstr>Number 4þHeading 5</vt:lpwstr>
  </property>
  <property fmtid="{D5CDD505-2E9C-101B-9397-08002B2CF9AE}" pid="42" name="MMCOA_StyleKeyBindingsKeys">
    <vt:lpwstr>846þ1590þ1591þ1592þ1593þ1585þ1586þ1587þ1653þ1654þ1655þ1656þ1648þ1649þ1650þ1651þ1589</vt:lpwstr>
  </property>
  <property fmtid="{D5CDD505-2E9C-101B-9397-08002B2CF9AE}" pid="43" name="MMCOA_TableStyles">
    <vt:lpwstr>Table Heading Text;Table Text</vt:lpwstr>
  </property>
  <property fmtid="{D5CDD505-2E9C-101B-9397-08002B2CF9AE}" pid="44" name="MMCOA_TOCStyles">
    <vt:lpwstr>Appendix Heading 1,9</vt:lpwstr>
  </property>
  <property fmtid="{D5CDD505-2E9C-101B-9397-08002B2CF9AE}" pid="45" name="MMCOA_Date">
    <vt:lpwstr>25 June 2018</vt:lpwstr>
  </property>
  <property fmtid="{D5CDD505-2E9C-101B-9397-08002B2CF9AE}" pid="46" name="MPR_DocID">
    <vt:lpwstr>681f2f01f3004eb49ee9d493181fd648</vt:lpwstr>
  </property>
</Properties>
</file>