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27" w:rsidRPr="008F4627" w:rsidRDefault="008F4627" w:rsidP="008F4627">
      <w:pPr>
        <w:spacing w:after="0" w:line="240" w:lineRule="auto"/>
        <w:jc w:val="right"/>
        <w:rPr>
          <w:rFonts w:ascii="Times New Roman" w:eastAsia="Times New Roman" w:hAnsi="Times New Roman" w:cs="Times New Roman"/>
          <w:sz w:val="24"/>
          <w:szCs w:val="24"/>
        </w:rPr>
      </w:pPr>
    </w:p>
    <w:p w:rsidR="008F4627" w:rsidRPr="008F4627" w:rsidRDefault="008F4627" w:rsidP="008F4627">
      <w:pPr>
        <w:spacing w:before="360" w:after="0" w:line="240" w:lineRule="auto"/>
        <w:jc w:val="center"/>
        <w:rPr>
          <w:rFonts w:ascii="Times New Roman" w:eastAsia="Times New Roman" w:hAnsi="Times New Roman" w:cs="Times New Roman"/>
          <w:sz w:val="24"/>
          <w:szCs w:val="24"/>
        </w:rPr>
      </w:pPr>
      <w:r w:rsidRPr="008F4627">
        <w:rPr>
          <w:rFonts w:ascii="Times New Roman" w:eastAsia="Times New Roman" w:hAnsi="Times New Roman" w:cs="Times New Roman"/>
          <w:caps/>
          <w:noProof/>
          <w:sz w:val="24"/>
          <w:szCs w:val="24"/>
          <w:lang w:eastAsia="en-AU"/>
        </w:rPr>
        <w:drawing>
          <wp:inline distT="0" distB="0" distL="0" distR="0">
            <wp:extent cx="2470150"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371600"/>
                    </a:xfrm>
                    <a:prstGeom prst="rect">
                      <a:avLst/>
                    </a:prstGeom>
                    <a:noFill/>
                    <a:ln>
                      <a:noFill/>
                    </a:ln>
                  </pic:spPr>
                </pic:pic>
              </a:graphicData>
            </a:graphic>
          </wp:inline>
        </w:drawing>
      </w:r>
    </w:p>
    <w:p w:rsidR="008F4627" w:rsidRPr="008F4627" w:rsidRDefault="008F4627" w:rsidP="008F4627">
      <w:pPr>
        <w:spacing w:before="360" w:after="0" w:line="240" w:lineRule="auto"/>
        <w:jc w:val="center"/>
        <w:rPr>
          <w:rFonts w:ascii="Times New Roman" w:eastAsia="Times New Roman" w:hAnsi="Times New Roman" w:cs="Times New Roman"/>
          <w:sz w:val="36"/>
          <w:szCs w:val="36"/>
        </w:rPr>
      </w:pPr>
      <w:r w:rsidRPr="008F4627">
        <w:rPr>
          <w:rFonts w:ascii="Times New Roman" w:eastAsia="Times New Roman" w:hAnsi="Times New Roman" w:cs="Times New Roman"/>
          <w:sz w:val="36"/>
          <w:szCs w:val="36"/>
        </w:rPr>
        <w:t xml:space="preserve">Australian Government response to the </w:t>
      </w:r>
      <w:r w:rsidRPr="008F4627">
        <w:rPr>
          <w:rFonts w:ascii="Times New Roman" w:eastAsia="Times New Roman" w:hAnsi="Times New Roman" w:cs="Times New Roman"/>
          <w:sz w:val="36"/>
          <w:szCs w:val="36"/>
        </w:rPr>
        <w:br/>
      </w:r>
      <w:r>
        <w:rPr>
          <w:rFonts w:ascii="Times New Roman" w:eastAsia="Times New Roman" w:hAnsi="Times New Roman" w:cs="Times New Roman"/>
          <w:sz w:val="36"/>
          <w:szCs w:val="36"/>
        </w:rPr>
        <w:t>Joint Committee of Public Accounts and Audit</w:t>
      </w:r>
      <w:r w:rsidR="002A2168">
        <w:rPr>
          <w:rFonts w:ascii="Times New Roman" w:eastAsia="Times New Roman" w:hAnsi="Times New Roman" w:cs="Times New Roman"/>
          <w:sz w:val="36"/>
          <w:szCs w:val="36"/>
        </w:rPr>
        <w:t xml:space="preserve"> R</w:t>
      </w:r>
      <w:r w:rsidRPr="008F4627">
        <w:rPr>
          <w:rFonts w:ascii="Times New Roman" w:eastAsia="Times New Roman" w:hAnsi="Times New Roman" w:cs="Times New Roman"/>
          <w:sz w:val="36"/>
          <w:szCs w:val="36"/>
        </w:rPr>
        <w:t>eport</w:t>
      </w:r>
      <w:r w:rsidR="002A2168">
        <w:rPr>
          <w:rFonts w:ascii="Times New Roman" w:eastAsia="Times New Roman" w:hAnsi="Times New Roman" w:cs="Times New Roman"/>
          <w:sz w:val="36"/>
          <w:szCs w:val="36"/>
        </w:rPr>
        <w:t xml:space="preserve"> 453</w:t>
      </w:r>
      <w:r w:rsidRPr="008F4627">
        <w:rPr>
          <w:rFonts w:ascii="Times New Roman" w:eastAsia="Times New Roman" w:hAnsi="Times New Roman" w:cs="Times New Roman"/>
          <w:sz w:val="36"/>
          <w:szCs w:val="36"/>
        </w:rPr>
        <w:t>:</w:t>
      </w:r>
    </w:p>
    <w:p w:rsidR="008F4627" w:rsidRPr="008F4627" w:rsidRDefault="008F4627" w:rsidP="008F4627">
      <w:pPr>
        <w:spacing w:before="240" w:after="0" w:line="240" w:lineRule="auto"/>
        <w:jc w:val="center"/>
        <w:rPr>
          <w:rFonts w:ascii="Times New Roman" w:eastAsia="Times New Roman" w:hAnsi="Times New Roman" w:cs="Times New Roman"/>
          <w:sz w:val="36"/>
          <w:szCs w:val="36"/>
        </w:rPr>
      </w:pPr>
      <w:bookmarkStart w:id="0" w:name="_GoBack"/>
      <w:r>
        <w:rPr>
          <w:rFonts w:ascii="Times New Roman" w:eastAsia="Times New Roman" w:hAnsi="Times New Roman" w:cs="Times New Roman"/>
          <w:sz w:val="36"/>
          <w:szCs w:val="36"/>
        </w:rPr>
        <w:t>Development of the Commonwealth Performance Framework</w:t>
      </w:r>
    </w:p>
    <w:bookmarkEnd w:id="0"/>
    <w:p w:rsidR="008F4627" w:rsidRPr="008F4627" w:rsidRDefault="008F4627" w:rsidP="008F4627">
      <w:pPr>
        <w:spacing w:before="8520" w:after="36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caps/>
          <w:sz w:val="28"/>
          <w:szCs w:val="28"/>
        </w:rPr>
        <w:t>SEPTEMBER 2016</w:t>
      </w:r>
    </w:p>
    <w:p w:rsidR="008F4627" w:rsidRDefault="008F4627" w:rsidP="0015073A">
      <w:pPr>
        <w:ind w:left="-142" w:right="-188"/>
        <w:rPr>
          <w:rFonts w:asciiTheme="majorHAnsi" w:hAnsiTheme="majorHAnsi" w:cs="Times New Roman"/>
          <w:b/>
          <w:color w:val="000000" w:themeColor="text1"/>
          <w:sz w:val="24"/>
          <w:szCs w:val="24"/>
        </w:rPr>
      </w:pPr>
    </w:p>
    <w:p w:rsidR="00E23831" w:rsidRPr="002D1F9C" w:rsidRDefault="0015073A" w:rsidP="0015073A">
      <w:pPr>
        <w:ind w:left="-142" w:right="-188"/>
        <w:rPr>
          <w:rFonts w:asciiTheme="majorHAnsi" w:hAnsiTheme="majorHAnsi" w:cs="Times New Roman"/>
          <w:b/>
          <w:color w:val="000000" w:themeColor="text1"/>
          <w:sz w:val="24"/>
          <w:szCs w:val="24"/>
        </w:rPr>
      </w:pPr>
      <w:r w:rsidRPr="002D1F9C">
        <w:rPr>
          <w:rFonts w:asciiTheme="majorHAnsi" w:hAnsiTheme="majorHAnsi" w:cs="Times New Roman"/>
          <w:b/>
          <w:color w:val="000000" w:themeColor="text1"/>
          <w:sz w:val="24"/>
          <w:szCs w:val="24"/>
        </w:rPr>
        <w:lastRenderedPageBreak/>
        <w:t xml:space="preserve">Government response to the Joint Committee of Public Accounts and Audit </w:t>
      </w:r>
      <w:r w:rsidR="0046390C">
        <w:rPr>
          <w:rFonts w:asciiTheme="majorHAnsi" w:hAnsiTheme="majorHAnsi" w:cs="Times New Roman"/>
          <w:b/>
          <w:color w:val="000000" w:themeColor="text1"/>
          <w:sz w:val="24"/>
          <w:szCs w:val="24"/>
        </w:rPr>
        <w:br/>
      </w:r>
      <w:r w:rsidR="00873006" w:rsidRPr="002D1F9C">
        <w:rPr>
          <w:rFonts w:asciiTheme="majorHAnsi" w:hAnsiTheme="majorHAnsi" w:cs="Times New Roman"/>
          <w:b/>
          <w:color w:val="000000" w:themeColor="text1"/>
          <w:sz w:val="24"/>
          <w:szCs w:val="24"/>
        </w:rPr>
        <w:t>Report 453:</w:t>
      </w:r>
      <w:r w:rsidRPr="002D1F9C">
        <w:rPr>
          <w:rFonts w:asciiTheme="majorHAnsi" w:hAnsiTheme="majorHAnsi" w:cs="Times New Roman"/>
          <w:b/>
          <w:color w:val="000000" w:themeColor="text1"/>
          <w:sz w:val="24"/>
          <w:szCs w:val="24"/>
        </w:rPr>
        <w:t xml:space="preserve"> </w:t>
      </w:r>
      <w:r w:rsidR="007877AB" w:rsidRPr="002D1F9C">
        <w:rPr>
          <w:rFonts w:asciiTheme="majorHAnsi" w:hAnsiTheme="majorHAnsi" w:cs="Times New Roman"/>
          <w:b/>
          <w:color w:val="000000" w:themeColor="text1"/>
          <w:sz w:val="24"/>
          <w:szCs w:val="24"/>
        </w:rPr>
        <w:t>D</w:t>
      </w:r>
      <w:r w:rsidRPr="002D1F9C">
        <w:rPr>
          <w:rFonts w:asciiTheme="majorHAnsi" w:hAnsiTheme="majorHAnsi" w:cs="Times New Roman"/>
          <w:b/>
          <w:color w:val="000000" w:themeColor="text1"/>
          <w:sz w:val="24"/>
          <w:szCs w:val="24"/>
        </w:rPr>
        <w:t xml:space="preserve">evelopment of the </w:t>
      </w:r>
      <w:r w:rsidR="007877AB" w:rsidRPr="002D1F9C">
        <w:rPr>
          <w:rFonts w:asciiTheme="majorHAnsi" w:hAnsiTheme="majorHAnsi" w:cs="Times New Roman"/>
          <w:b/>
          <w:color w:val="000000" w:themeColor="text1"/>
          <w:sz w:val="24"/>
          <w:szCs w:val="24"/>
        </w:rPr>
        <w:t>Commonwealth Performance F</w:t>
      </w:r>
      <w:r w:rsidRPr="002D1F9C">
        <w:rPr>
          <w:rFonts w:asciiTheme="majorHAnsi" w:hAnsiTheme="majorHAnsi" w:cs="Times New Roman"/>
          <w:b/>
          <w:color w:val="000000" w:themeColor="text1"/>
          <w:sz w:val="24"/>
          <w:szCs w:val="24"/>
        </w:rPr>
        <w:t>ramework</w:t>
      </w:r>
    </w:p>
    <w:tbl>
      <w:tblPr>
        <w:tblStyle w:val="TableGrid"/>
        <w:tblW w:w="0" w:type="auto"/>
        <w:tblCellMar>
          <w:top w:w="108" w:type="dxa"/>
          <w:bottom w:w="108" w:type="dxa"/>
        </w:tblCellMar>
        <w:tblLook w:val="04A0" w:firstRow="1" w:lastRow="0" w:firstColumn="1" w:lastColumn="0" w:noHBand="0" w:noVBand="1"/>
      </w:tblPr>
      <w:tblGrid>
        <w:gridCol w:w="4129"/>
        <w:gridCol w:w="4887"/>
      </w:tblGrid>
      <w:tr w:rsidR="00503086" w:rsidRPr="001E4B9A" w:rsidTr="009F3D79">
        <w:tc>
          <w:tcPr>
            <w:tcW w:w="4219" w:type="dxa"/>
          </w:tcPr>
          <w:p w:rsidR="00503086" w:rsidRPr="002D1F9C" w:rsidRDefault="00503086" w:rsidP="0015073A">
            <w:pPr>
              <w:spacing w:before="60" w:after="120"/>
              <w:rPr>
                <w:rFonts w:asciiTheme="majorHAnsi" w:hAnsiTheme="majorHAnsi" w:cs="Times New Roman"/>
                <w:b/>
              </w:rPr>
            </w:pPr>
            <w:r w:rsidRPr="002D1F9C">
              <w:rPr>
                <w:rFonts w:asciiTheme="majorHAnsi" w:hAnsiTheme="majorHAnsi" w:cs="Times New Roman"/>
                <w:b/>
              </w:rPr>
              <w:t>Recommendation 1</w:t>
            </w:r>
          </w:p>
          <w:p w:rsidR="00503086" w:rsidRPr="002D1F9C" w:rsidRDefault="00503086" w:rsidP="0015073A">
            <w:pPr>
              <w:spacing w:after="120"/>
              <w:rPr>
                <w:rFonts w:asciiTheme="majorHAnsi" w:hAnsiTheme="majorHAnsi" w:cs="Times New Roman"/>
              </w:rPr>
            </w:pPr>
            <w:r w:rsidRPr="002D1F9C">
              <w:rPr>
                <w:rFonts w:asciiTheme="majorHAnsi" w:hAnsiTheme="majorHAnsi" w:cs="Times New Roman"/>
              </w:rPr>
              <w:t>The Committee recommends that relevant Resource Management Guidance issued by the Department of Finance demonstrates, via better practice examples, how a ‘clear read’ of performance information might be achieved – throughout an entity’s annual performance reporting cycle and for joined-up programs.</w:t>
            </w:r>
          </w:p>
        </w:tc>
        <w:tc>
          <w:tcPr>
            <w:tcW w:w="5023" w:type="dxa"/>
          </w:tcPr>
          <w:p w:rsidR="00E877D3" w:rsidRPr="002D1F9C" w:rsidRDefault="00873006" w:rsidP="00E877D3">
            <w:pPr>
              <w:spacing w:before="60" w:after="120"/>
              <w:rPr>
                <w:rFonts w:asciiTheme="majorHAnsi" w:hAnsiTheme="majorHAnsi" w:cs="Times New Roman"/>
                <w:b/>
                <w:i/>
              </w:rPr>
            </w:pPr>
            <w:r w:rsidRPr="002D1F9C">
              <w:rPr>
                <w:rFonts w:asciiTheme="majorHAnsi" w:hAnsiTheme="majorHAnsi" w:cs="Times New Roman"/>
                <w:b/>
                <w:i/>
              </w:rPr>
              <w:t>The Government agrees</w:t>
            </w:r>
          </w:p>
          <w:p w:rsidR="00A65CA5" w:rsidRPr="002D1F9C" w:rsidRDefault="00EE13F4" w:rsidP="0015073A">
            <w:pPr>
              <w:spacing w:after="120"/>
              <w:rPr>
                <w:rFonts w:asciiTheme="majorHAnsi" w:hAnsiTheme="majorHAnsi" w:cs="Times New Roman"/>
              </w:rPr>
            </w:pPr>
            <w:r w:rsidRPr="002D1F9C">
              <w:rPr>
                <w:rFonts w:asciiTheme="majorHAnsi" w:hAnsiTheme="majorHAnsi" w:cs="Times New Roman"/>
              </w:rPr>
              <w:t>The Finance Secretary’s direction</w:t>
            </w:r>
            <w:r w:rsidR="002B58B3" w:rsidRPr="002D1F9C">
              <w:rPr>
                <w:rFonts w:asciiTheme="majorHAnsi" w:hAnsiTheme="majorHAnsi" w:cs="Times New Roman"/>
              </w:rPr>
              <w:t xml:space="preserve">, </w:t>
            </w:r>
            <w:r w:rsidR="008266DC" w:rsidRPr="002D1F9C">
              <w:rPr>
                <w:rFonts w:asciiTheme="majorHAnsi" w:hAnsiTheme="majorHAnsi" w:cs="Times New Roman"/>
              </w:rPr>
              <w:t xml:space="preserve">issued under subsection 36(3) of the </w:t>
            </w:r>
            <w:r w:rsidR="008266DC" w:rsidRPr="002D1F9C">
              <w:rPr>
                <w:rFonts w:asciiTheme="majorHAnsi" w:hAnsiTheme="majorHAnsi" w:cs="Times New Roman"/>
                <w:i/>
              </w:rPr>
              <w:t xml:space="preserve">Public Governance, Performance and Accountability Act 2013 </w:t>
            </w:r>
            <w:r w:rsidR="008266DC" w:rsidRPr="002D1F9C">
              <w:rPr>
                <w:rFonts w:asciiTheme="majorHAnsi" w:hAnsiTheme="majorHAnsi" w:cs="Times New Roman"/>
              </w:rPr>
              <w:t xml:space="preserve">(PGPA Act), </w:t>
            </w:r>
            <w:r w:rsidR="00A65CA5" w:rsidRPr="002D1F9C">
              <w:rPr>
                <w:rFonts w:asciiTheme="majorHAnsi" w:hAnsiTheme="majorHAnsi" w:cs="Times New Roman"/>
              </w:rPr>
              <w:t>sets out the mandatory minimum requirements for the provision of performance information in Portfolio Budget Statements (PBS).  Th</w:t>
            </w:r>
            <w:r w:rsidR="008266DC" w:rsidRPr="002D1F9C">
              <w:rPr>
                <w:rFonts w:asciiTheme="majorHAnsi" w:hAnsiTheme="majorHAnsi" w:cs="Times New Roman"/>
              </w:rPr>
              <w:t xml:space="preserve">e requirements provide for </w:t>
            </w:r>
            <w:r w:rsidR="00A65CA5" w:rsidRPr="002D1F9C">
              <w:rPr>
                <w:rFonts w:asciiTheme="majorHAnsi" w:hAnsiTheme="majorHAnsi" w:cs="Times New Roman"/>
              </w:rPr>
              <w:t>a clear read throughout an entity’s annual performance reporting cycle and for joined-up programs</w:t>
            </w:r>
            <w:r w:rsidR="008266DC" w:rsidRPr="002D1F9C">
              <w:rPr>
                <w:rFonts w:asciiTheme="majorHAnsi" w:hAnsiTheme="majorHAnsi" w:cs="Times New Roman"/>
              </w:rPr>
              <w:t>.  In particular, the direction requires entities to</w:t>
            </w:r>
            <w:r w:rsidR="00A65CA5" w:rsidRPr="002D1F9C">
              <w:rPr>
                <w:rFonts w:asciiTheme="majorHAnsi" w:hAnsiTheme="majorHAnsi" w:cs="Times New Roman"/>
              </w:rPr>
              <w:t>:</w:t>
            </w:r>
          </w:p>
          <w:p w:rsidR="005A6821" w:rsidRPr="002D1F9C" w:rsidRDefault="005A6821" w:rsidP="0015073A">
            <w:pPr>
              <w:spacing w:after="120"/>
              <w:rPr>
                <w:rFonts w:asciiTheme="majorHAnsi" w:hAnsiTheme="majorHAnsi" w:cs="Times New Roman"/>
              </w:rPr>
            </w:pPr>
            <w:r w:rsidRPr="002D1F9C">
              <w:rPr>
                <w:rFonts w:asciiTheme="majorHAnsi" w:hAnsiTheme="majorHAnsi" w:cs="Times New Roman"/>
                <w:b/>
                <w:i/>
              </w:rPr>
              <w:t>Map outcomes, programs and performance criteria to the entity’s purpose as expressed in its corporate plan</w:t>
            </w:r>
            <w:r w:rsidRPr="002D1F9C">
              <w:rPr>
                <w:rFonts w:asciiTheme="majorHAnsi" w:hAnsiTheme="majorHAnsi" w:cs="Times New Roman"/>
              </w:rPr>
              <w:t xml:space="preserve"> – th</w:t>
            </w:r>
            <w:r w:rsidR="00FD5D10" w:rsidRPr="002D1F9C">
              <w:rPr>
                <w:rFonts w:asciiTheme="majorHAnsi" w:hAnsiTheme="majorHAnsi" w:cs="Times New Roman"/>
              </w:rPr>
              <w:t>i</w:t>
            </w:r>
            <w:r w:rsidRPr="002D1F9C">
              <w:rPr>
                <w:rFonts w:asciiTheme="majorHAnsi" w:hAnsiTheme="majorHAnsi" w:cs="Times New Roman"/>
              </w:rPr>
              <w:t>s provide</w:t>
            </w:r>
            <w:r w:rsidR="00FD5D10" w:rsidRPr="002D1F9C">
              <w:rPr>
                <w:rFonts w:asciiTheme="majorHAnsi" w:hAnsiTheme="majorHAnsi" w:cs="Times New Roman"/>
              </w:rPr>
              <w:t>s</w:t>
            </w:r>
            <w:r w:rsidR="00EF7C41" w:rsidRPr="002D1F9C">
              <w:rPr>
                <w:rFonts w:asciiTheme="majorHAnsi" w:hAnsiTheme="majorHAnsi" w:cs="Times New Roman"/>
              </w:rPr>
              <w:t xml:space="preserve"> for </w:t>
            </w:r>
            <w:r w:rsidRPr="002D1F9C">
              <w:rPr>
                <w:rFonts w:asciiTheme="majorHAnsi" w:hAnsiTheme="majorHAnsi" w:cs="Times New Roman"/>
              </w:rPr>
              <w:t>a clear read from documents and papers relating to the Budget and an entity’s performance cycle documents.</w:t>
            </w:r>
          </w:p>
          <w:p w:rsidR="00A65CA5" w:rsidRPr="002D1F9C" w:rsidRDefault="005A6821" w:rsidP="0015073A">
            <w:pPr>
              <w:spacing w:after="120"/>
              <w:rPr>
                <w:rFonts w:asciiTheme="majorHAnsi" w:hAnsiTheme="majorHAnsi" w:cs="Times New Roman"/>
              </w:rPr>
            </w:pPr>
            <w:r w:rsidRPr="002D1F9C">
              <w:rPr>
                <w:rFonts w:asciiTheme="majorHAnsi" w:hAnsiTheme="majorHAnsi" w:cs="Times New Roman"/>
                <w:b/>
                <w:i/>
              </w:rPr>
              <w:t>For ne</w:t>
            </w:r>
            <w:r w:rsidR="00AB40A1" w:rsidRPr="002D1F9C">
              <w:rPr>
                <w:rFonts w:asciiTheme="majorHAnsi" w:hAnsiTheme="majorHAnsi" w:cs="Times New Roman"/>
                <w:b/>
                <w:i/>
              </w:rPr>
              <w:t>w</w:t>
            </w:r>
            <w:r w:rsidRPr="002D1F9C">
              <w:rPr>
                <w:rFonts w:asciiTheme="majorHAnsi" w:hAnsiTheme="majorHAnsi" w:cs="Times New Roman"/>
                <w:b/>
                <w:i/>
              </w:rPr>
              <w:t>,</w:t>
            </w:r>
            <w:r w:rsidR="00AB40A1" w:rsidRPr="002D1F9C">
              <w:rPr>
                <w:rFonts w:asciiTheme="majorHAnsi" w:hAnsiTheme="majorHAnsi" w:cs="Times New Roman"/>
                <w:b/>
                <w:i/>
              </w:rPr>
              <w:t xml:space="preserve"> </w:t>
            </w:r>
            <w:r w:rsidRPr="002D1F9C">
              <w:rPr>
                <w:rFonts w:asciiTheme="majorHAnsi" w:hAnsiTheme="majorHAnsi" w:cs="Times New Roman"/>
                <w:b/>
                <w:i/>
              </w:rPr>
              <w:t>or materially changed existing programs, outline all performance criteria, targets and expected dates of achievement</w:t>
            </w:r>
            <w:r w:rsidRPr="002D1F9C">
              <w:rPr>
                <w:rFonts w:asciiTheme="majorHAnsi" w:hAnsiTheme="majorHAnsi" w:cs="Times New Roman"/>
              </w:rPr>
              <w:t xml:space="preserve"> – this provides a clear read </w:t>
            </w:r>
            <w:r w:rsidR="00AB40A1" w:rsidRPr="002D1F9C">
              <w:rPr>
                <w:rFonts w:asciiTheme="majorHAnsi" w:hAnsiTheme="majorHAnsi" w:cs="Times New Roman"/>
              </w:rPr>
              <w:t xml:space="preserve">in respect to new measures </w:t>
            </w:r>
            <w:r w:rsidRPr="002D1F9C">
              <w:rPr>
                <w:rFonts w:asciiTheme="majorHAnsi" w:hAnsiTheme="majorHAnsi" w:cs="Times New Roman"/>
              </w:rPr>
              <w:t>from Budget documents to the PBS</w:t>
            </w:r>
            <w:r w:rsidR="00AB40A1" w:rsidRPr="002D1F9C">
              <w:rPr>
                <w:rFonts w:asciiTheme="majorHAnsi" w:hAnsiTheme="majorHAnsi" w:cs="Times New Roman"/>
              </w:rPr>
              <w:t>, and through the mapping described above, to an entities performance cycle documents.</w:t>
            </w:r>
          </w:p>
          <w:p w:rsidR="00AB40A1" w:rsidRPr="002D1F9C" w:rsidRDefault="00AB40A1" w:rsidP="0015073A">
            <w:pPr>
              <w:spacing w:after="120"/>
              <w:rPr>
                <w:rFonts w:asciiTheme="majorHAnsi" w:hAnsiTheme="majorHAnsi" w:cs="Times New Roman"/>
              </w:rPr>
            </w:pPr>
            <w:r w:rsidRPr="002D1F9C">
              <w:rPr>
                <w:rFonts w:asciiTheme="majorHAnsi" w:hAnsiTheme="majorHAnsi" w:cs="Times New Roman"/>
                <w:b/>
                <w:i/>
              </w:rPr>
              <w:t>Report links with the programs and outcomes of other entities</w:t>
            </w:r>
            <w:r w:rsidR="00423A08" w:rsidRPr="002D1F9C">
              <w:rPr>
                <w:rFonts w:asciiTheme="majorHAnsi" w:hAnsiTheme="majorHAnsi" w:cs="Times New Roman"/>
              </w:rPr>
              <w:t xml:space="preserve"> – this provides a clear read for joined-up programs</w:t>
            </w:r>
            <w:r w:rsidR="008266DC" w:rsidRPr="002D1F9C">
              <w:rPr>
                <w:rFonts w:asciiTheme="majorHAnsi" w:hAnsiTheme="majorHAnsi" w:cs="Times New Roman"/>
              </w:rPr>
              <w:t xml:space="preserve"> across entities.</w:t>
            </w:r>
          </w:p>
          <w:p w:rsidR="00AB40A1" w:rsidRPr="002D1F9C" w:rsidRDefault="00423A08" w:rsidP="0015073A">
            <w:pPr>
              <w:spacing w:after="120"/>
              <w:rPr>
                <w:rFonts w:asciiTheme="majorHAnsi" w:hAnsiTheme="majorHAnsi" w:cs="Times New Roman"/>
              </w:rPr>
            </w:pPr>
            <w:r w:rsidRPr="002D1F9C">
              <w:rPr>
                <w:rFonts w:asciiTheme="majorHAnsi" w:hAnsiTheme="majorHAnsi" w:cs="Times New Roman"/>
              </w:rPr>
              <w:t>2016-17 PBS guidance reflect</w:t>
            </w:r>
            <w:r w:rsidR="006E7090" w:rsidRPr="002D1F9C">
              <w:rPr>
                <w:rFonts w:asciiTheme="majorHAnsi" w:hAnsiTheme="majorHAnsi" w:cs="Times New Roman"/>
              </w:rPr>
              <w:t>s</w:t>
            </w:r>
            <w:r w:rsidRPr="002D1F9C">
              <w:rPr>
                <w:rFonts w:asciiTheme="majorHAnsi" w:hAnsiTheme="majorHAnsi" w:cs="Times New Roman"/>
              </w:rPr>
              <w:t xml:space="preserve"> the requirements of the Finance Secretary’s Direction.  In addition, Resource Management Guidance related to the enhanced Commonwealth performance framework is being</w:t>
            </w:r>
            <w:r w:rsidR="003D368C" w:rsidRPr="002D1F9C">
              <w:rPr>
                <w:rFonts w:asciiTheme="majorHAnsi" w:hAnsiTheme="majorHAnsi" w:cs="Times New Roman"/>
              </w:rPr>
              <w:t xml:space="preserve"> </w:t>
            </w:r>
            <w:r w:rsidRPr="002D1F9C">
              <w:rPr>
                <w:rFonts w:asciiTheme="majorHAnsi" w:hAnsiTheme="majorHAnsi" w:cs="Times New Roman"/>
              </w:rPr>
              <w:t xml:space="preserve">updated where relevant.   </w:t>
            </w:r>
          </w:p>
          <w:p w:rsidR="006D15CF" w:rsidRPr="002D1F9C" w:rsidRDefault="00A7584E" w:rsidP="00B32371">
            <w:pPr>
              <w:spacing w:after="120"/>
              <w:rPr>
                <w:rFonts w:asciiTheme="majorHAnsi" w:hAnsiTheme="majorHAnsi" w:cs="Times New Roman"/>
              </w:rPr>
            </w:pPr>
            <w:r w:rsidRPr="002D1F9C">
              <w:rPr>
                <w:rFonts w:asciiTheme="majorHAnsi" w:hAnsiTheme="majorHAnsi" w:cs="Times New Roman"/>
              </w:rPr>
              <w:t>In respect to better practice examples, these</w:t>
            </w:r>
            <w:r w:rsidR="005301AD" w:rsidRPr="002D1F9C">
              <w:rPr>
                <w:rFonts w:asciiTheme="majorHAnsi" w:hAnsiTheme="majorHAnsi" w:cs="Times New Roman"/>
              </w:rPr>
              <w:t xml:space="preserve"> </w:t>
            </w:r>
            <w:r w:rsidR="00096FB1" w:rsidRPr="002D1F9C">
              <w:rPr>
                <w:rFonts w:asciiTheme="majorHAnsi" w:hAnsiTheme="majorHAnsi" w:cs="Times New Roman"/>
              </w:rPr>
              <w:t>will emerge</w:t>
            </w:r>
            <w:r w:rsidR="005301AD" w:rsidRPr="002D1F9C">
              <w:rPr>
                <w:rFonts w:asciiTheme="majorHAnsi" w:hAnsiTheme="majorHAnsi" w:cs="Times New Roman"/>
              </w:rPr>
              <w:t xml:space="preserve"> over the next two to three reporting </w:t>
            </w:r>
            <w:r w:rsidR="00096FB1" w:rsidRPr="002D1F9C">
              <w:rPr>
                <w:rFonts w:asciiTheme="majorHAnsi" w:hAnsiTheme="majorHAnsi" w:cs="Times New Roman"/>
              </w:rPr>
              <w:t xml:space="preserve">cycles </w:t>
            </w:r>
            <w:r w:rsidR="00BD4083" w:rsidRPr="002D1F9C">
              <w:rPr>
                <w:rFonts w:asciiTheme="majorHAnsi" w:hAnsiTheme="majorHAnsi" w:cs="Times New Roman"/>
              </w:rPr>
              <w:t>with</w:t>
            </w:r>
            <w:r w:rsidR="00096FB1" w:rsidRPr="002D1F9C">
              <w:rPr>
                <w:rFonts w:asciiTheme="majorHAnsi" w:hAnsiTheme="majorHAnsi" w:cs="Times New Roman"/>
              </w:rPr>
              <w:t xml:space="preserve"> improved performance </w:t>
            </w:r>
            <w:r w:rsidR="00BD4083" w:rsidRPr="002D1F9C">
              <w:rPr>
                <w:rFonts w:asciiTheme="majorHAnsi" w:hAnsiTheme="majorHAnsi" w:cs="Times New Roman"/>
              </w:rPr>
              <w:t>information included in PBS,</w:t>
            </w:r>
            <w:r w:rsidR="00096FB1" w:rsidRPr="002D1F9C">
              <w:rPr>
                <w:rFonts w:asciiTheme="majorHAnsi" w:hAnsiTheme="majorHAnsi" w:cs="Times New Roman"/>
              </w:rPr>
              <w:t xml:space="preserve"> corporate plan</w:t>
            </w:r>
            <w:r w:rsidR="00BD4083" w:rsidRPr="002D1F9C">
              <w:rPr>
                <w:rFonts w:asciiTheme="majorHAnsi" w:hAnsiTheme="majorHAnsi" w:cs="Times New Roman"/>
              </w:rPr>
              <w:t>s</w:t>
            </w:r>
            <w:r w:rsidR="00096FB1" w:rsidRPr="002D1F9C">
              <w:rPr>
                <w:rFonts w:asciiTheme="majorHAnsi" w:hAnsiTheme="majorHAnsi" w:cs="Times New Roman"/>
              </w:rPr>
              <w:t xml:space="preserve"> and annual performance statements. </w:t>
            </w:r>
            <w:r w:rsidR="00423A08" w:rsidRPr="002D1F9C">
              <w:rPr>
                <w:rFonts w:asciiTheme="majorHAnsi" w:hAnsiTheme="majorHAnsi" w:cs="Times New Roman"/>
              </w:rPr>
              <w:t>As better practice examples emerge</w:t>
            </w:r>
            <w:r w:rsidR="006E7090" w:rsidRPr="002D1F9C">
              <w:rPr>
                <w:rFonts w:asciiTheme="majorHAnsi" w:hAnsiTheme="majorHAnsi" w:cs="Times New Roman"/>
              </w:rPr>
              <w:t>,</w:t>
            </w:r>
            <w:r w:rsidR="00423A08" w:rsidRPr="002D1F9C">
              <w:rPr>
                <w:rFonts w:asciiTheme="majorHAnsi" w:hAnsiTheme="majorHAnsi" w:cs="Times New Roman"/>
              </w:rPr>
              <w:t xml:space="preserve"> they will be provided to </w:t>
            </w:r>
            <w:r w:rsidR="00BD4083" w:rsidRPr="002D1F9C">
              <w:rPr>
                <w:rFonts w:asciiTheme="majorHAnsi" w:hAnsiTheme="majorHAnsi" w:cs="Times New Roman"/>
              </w:rPr>
              <w:t xml:space="preserve">all </w:t>
            </w:r>
            <w:r w:rsidR="00423A08" w:rsidRPr="002D1F9C">
              <w:rPr>
                <w:rFonts w:asciiTheme="majorHAnsi" w:hAnsiTheme="majorHAnsi" w:cs="Times New Roman"/>
              </w:rPr>
              <w:t xml:space="preserve">entities through </w:t>
            </w:r>
            <w:r w:rsidR="00B32371" w:rsidRPr="002D1F9C">
              <w:rPr>
                <w:rFonts w:asciiTheme="majorHAnsi" w:hAnsiTheme="majorHAnsi" w:cs="Times New Roman"/>
              </w:rPr>
              <w:t xml:space="preserve">Finance </w:t>
            </w:r>
            <w:r w:rsidR="00423A08" w:rsidRPr="002D1F9C">
              <w:rPr>
                <w:rFonts w:asciiTheme="majorHAnsi" w:hAnsiTheme="majorHAnsi" w:cs="Times New Roman"/>
              </w:rPr>
              <w:t xml:space="preserve">communication channels including </w:t>
            </w:r>
            <w:r w:rsidR="00BD4083" w:rsidRPr="002D1F9C">
              <w:rPr>
                <w:rFonts w:asciiTheme="majorHAnsi" w:hAnsiTheme="majorHAnsi" w:cs="Times New Roman"/>
              </w:rPr>
              <w:t xml:space="preserve">the </w:t>
            </w:r>
            <w:r w:rsidR="00423A08" w:rsidRPr="002D1F9C">
              <w:rPr>
                <w:rFonts w:asciiTheme="majorHAnsi" w:hAnsiTheme="majorHAnsi" w:cs="Times New Roman"/>
              </w:rPr>
              <w:t xml:space="preserve">Community of Practice </w:t>
            </w:r>
            <w:r w:rsidR="00BD4083" w:rsidRPr="002D1F9C">
              <w:rPr>
                <w:rFonts w:asciiTheme="majorHAnsi" w:hAnsiTheme="majorHAnsi" w:cs="Times New Roman"/>
              </w:rPr>
              <w:t xml:space="preserve">networks and activities, Lessons Learned papers and where appropriate, </w:t>
            </w:r>
            <w:r w:rsidR="006E7090" w:rsidRPr="002D1F9C">
              <w:rPr>
                <w:rFonts w:asciiTheme="majorHAnsi" w:hAnsiTheme="majorHAnsi" w:cs="Times New Roman"/>
              </w:rPr>
              <w:t xml:space="preserve">in written </w:t>
            </w:r>
            <w:r w:rsidR="00BD4083" w:rsidRPr="002D1F9C">
              <w:rPr>
                <w:rFonts w:asciiTheme="majorHAnsi" w:hAnsiTheme="majorHAnsi" w:cs="Times New Roman"/>
              </w:rPr>
              <w:t>guidance</w:t>
            </w:r>
            <w:r w:rsidR="006E7090" w:rsidRPr="002D1F9C">
              <w:rPr>
                <w:rFonts w:asciiTheme="majorHAnsi" w:hAnsiTheme="majorHAnsi" w:cs="Times New Roman"/>
              </w:rPr>
              <w:t xml:space="preserve"> itself</w:t>
            </w:r>
            <w:r w:rsidR="00BD4083" w:rsidRPr="002D1F9C">
              <w:rPr>
                <w:rFonts w:asciiTheme="majorHAnsi" w:hAnsiTheme="majorHAnsi" w:cs="Times New Roman"/>
              </w:rPr>
              <w:t>.</w:t>
            </w:r>
          </w:p>
        </w:tc>
      </w:tr>
    </w:tbl>
    <w:p w:rsidR="007877AB" w:rsidRPr="001E4B9A" w:rsidRDefault="007877AB">
      <w:r w:rsidRPr="001E4B9A">
        <w:br w:type="page"/>
      </w:r>
    </w:p>
    <w:tbl>
      <w:tblPr>
        <w:tblStyle w:val="TableGrid"/>
        <w:tblW w:w="0" w:type="auto"/>
        <w:tblCellMar>
          <w:top w:w="108" w:type="dxa"/>
          <w:bottom w:w="108" w:type="dxa"/>
        </w:tblCellMar>
        <w:tblLook w:val="04A0" w:firstRow="1" w:lastRow="0" w:firstColumn="1" w:lastColumn="0" w:noHBand="0" w:noVBand="1"/>
      </w:tblPr>
      <w:tblGrid>
        <w:gridCol w:w="4128"/>
        <w:gridCol w:w="4888"/>
      </w:tblGrid>
      <w:tr w:rsidR="00503086" w:rsidRPr="001E4B9A" w:rsidTr="009F3D79">
        <w:tc>
          <w:tcPr>
            <w:tcW w:w="4219" w:type="dxa"/>
          </w:tcPr>
          <w:p w:rsidR="00503086" w:rsidRPr="002D1F9C" w:rsidRDefault="00503086" w:rsidP="00E877D3">
            <w:pPr>
              <w:spacing w:before="60" w:after="120"/>
              <w:rPr>
                <w:rFonts w:asciiTheme="majorHAnsi" w:hAnsiTheme="majorHAnsi" w:cs="Times New Roman"/>
                <w:b/>
              </w:rPr>
            </w:pPr>
            <w:r w:rsidRPr="002D1F9C">
              <w:rPr>
                <w:rFonts w:asciiTheme="majorHAnsi" w:hAnsiTheme="majorHAnsi" w:cs="Times New Roman"/>
                <w:b/>
              </w:rPr>
              <w:lastRenderedPageBreak/>
              <w:t>Recommendation 2</w:t>
            </w:r>
          </w:p>
          <w:p w:rsidR="00503086" w:rsidRPr="002D1F9C" w:rsidRDefault="00503086" w:rsidP="00FD5D10">
            <w:pPr>
              <w:spacing w:after="120"/>
              <w:rPr>
                <w:rFonts w:asciiTheme="majorHAnsi" w:hAnsiTheme="majorHAnsi" w:cs="Arial"/>
              </w:rPr>
            </w:pPr>
            <w:r w:rsidRPr="002D1F9C">
              <w:rPr>
                <w:rFonts w:asciiTheme="majorHAnsi" w:hAnsiTheme="majorHAnsi" w:cs="Times New Roman"/>
              </w:rPr>
              <w:t xml:space="preserve">The Committee recommends that the Department of Finance consults with the Australian National Audit Office </w:t>
            </w:r>
            <w:r w:rsidR="009F3D79" w:rsidRPr="002D1F9C">
              <w:rPr>
                <w:rFonts w:asciiTheme="majorHAnsi" w:hAnsiTheme="majorHAnsi" w:cs="Times New Roman"/>
              </w:rPr>
              <w:t xml:space="preserve">(ANAO) </w:t>
            </w:r>
            <w:r w:rsidRPr="002D1F9C">
              <w:rPr>
                <w:rFonts w:asciiTheme="majorHAnsi" w:hAnsiTheme="majorHAnsi" w:cs="Times New Roman"/>
              </w:rPr>
              <w:t xml:space="preserve">and other stakeholders to establish clear criteria that performance information should satisfy within the Commonwealth Performance Framework and Portfolio Budget Statements, and that these criteria are included in relevant </w:t>
            </w:r>
            <w:r w:rsidR="00FD5D10" w:rsidRPr="002D1F9C">
              <w:rPr>
                <w:rFonts w:asciiTheme="majorHAnsi" w:hAnsiTheme="majorHAnsi" w:cs="Times New Roman"/>
              </w:rPr>
              <w:t>R</w:t>
            </w:r>
            <w:r w:rsidRPr="002D1F9C">
              <w:rPr>
                <w:rFonts w:asciiTheme="majorHAnsi" w:hAnsiTheme="majorHAnsi" w:cs="Times New Roman"/>
              </w:rPr>
              <w:t xml:space="preserve">esource </w:t>
            </w:r>
            <w:r w:rsidR="00FD5D10" w:rsidRPr="002D1F9C">
              <w:rPr>
                <w:rFonts w:asciiTheme="majorHAnsi" w:hAnsiTheme="majorHAnsi" w:cs="Times New Roman"/>
              </w:rPr>
              <w:t>M</w:t>
            </w:r>
            <w:r w:rsidRPr="002D1F9C">
              <w:rPr>
                <w:rFonts w:asciiTheme="majorHAnsi" w:hAnsiTheme="majorHAnsi" w:cs="Times New Roman"/>
              </w:rPr>
              <w:t xml:space="preserve">anagement </w:t>
            </w:r>
            <w:r w:rsidR="00FD5D10" w:rsidRPr="002D1F9C">
              <w:rPr>
                <w:rFonts w:asciiTheme="majorHAnsi" w:hAnsiTheme="majorHAnsi" w:cs="Times New Roman"/>
              </w:rPr>
              <w:t>G</w:t>
            </w:r>
            <w:r w:rsidRPr="002D1F9C">
              <w:rPr>
                <w:rFonts w:asciiTheme="majorHAnsi" w:hAnsiTheme="majorHAnsi" w:cs="Times New Roman"/>
              </w:rPr>
              <w:t>uidelines.</w:t>
            </w:r>
          </w:p>
        </w:tc>
        <w:tc>
          <w:tcPr>
            <w:tcW w:w="5023" w:type="dxa"/>
          </w:tcPr>
          <w:p w:rsidR="005301AD" w:rsidRPr="002D1F9C" w:rsidRDefault="007877AB" w:rsidP="005301AD">
            <w:pPr>
              <w:spacing w:before="60" w:after="120"/>
              <w:rPr>
                <w:rFonts w:asciiTheme="majorHAnsi" w:hAnsiTheme="majorHAnsi" w:cs="Times New Roman"/>
                <w:b/>
                <w:i/>
              </w:rPr>
            </w:pPr>
            <w:r w:rsidRPr="002D1F9C">
              <w:rPr>
                <w:rFonts w:asciiTheme="majorHAnsi" w:hAnsiTheme="majorHAnsi" w:cs="Times New Roman"/>
                <w:b/>
                <w:i/>
              </w:rPr>
              <w:t>The Government agrees</w:t>
            </w:r>
          </w:p>
          <w:p w:rsidR="00893F8A" w:rsidRPr="002D1F9C" w:rsidRDefault="00260372" w:rsidP="007877AB">
            <w:pPr>
              <w:rPr>
                <w:rFonts w:asciiTheme="majorHAnsi" w:hAnsiTheme="majorHAnsi" w:cs="Times New Roman"/>
              </w:rPr>
            </w:pPr>
            <w:r w:rsidRPr="002D1F9C">
              <w:rPr>
                <w:rFonts w:asciiTheme="majorHAnsi" w:hAnsiTheme="majorHAnsi" w:cs="Times New Roman"/>
              </w:rPr>
              <w:t xml:space="preserve">Finance, </w:t>
            </w:r>
            <w:r w:rsidR="00600C99" w:rsidRPr="002D1F9C">
              <w:rPr>
                <w:rFonts w:asciiTheme="majorHAnsi" w:hAnsiTheme="majorHAnsi" w:cs="Times New Roman"/>
              </w:rPr>
              <w:t xml:space="preserve">in consultation </w:t>
            </w:r>
            <w:r w:rsidRPr="002D1F9C">
              <w:rPr>
                <w:rFonts w:asciiTheme="majorHAnsi" w:hAnsiTheme="majorHAnsi" w:cs="Times New Roman"/>
              </w:rPr>
              <w:t xml:space="preserve">with the ANAO, </w:t>
            </w:r>
            <w:r w:rsidR="00ED6F7E" w:rsidRPr="002D1F9C">
              <w:rPr>
                <w:rFonts w:asciiTheme="majorHAnsi" w:hAnsiTheme="majorHAnsi" w:cs="Times New Roman"/>
              </w:rPr>
              <w:t>is</w:t>
            </w:r>
            <w:r w:rsidRPr="002D1F9C">
              <w:rPr>
                <w:rFonts w:asciiTheme="majorHAnsi" w:hAnsiTheme="majorHAnsi" w:cs="Times New Roman"/>
              </w:rPr>
              <w:t xml:space="preserve"> </w:t>
            </w:r>
            <w:r w:rsidR="00893F8A" w:rsidRPr="002D1F9C">
              <w:rPr>
                <w:rFonts w:asciiTheme="majorHAnsi" w:hAnsiTheme="majorHAnsi" w:cs="Times New Roman"/>
              </w:rPr>
              <w:t>develop</w:t>
            </w:r>
            <w:r w:rsidR="00ED6F7E" w:rsidRPr="002D1F9C">
              <w:rPr>
                <w:rFonts w:asciiTheme="majorHAnsi" w:hAnsiTheme="majorHAnsi" w:cs="Times New Roman"/>
              </w:rPr>
              <w:t>ing</w:t>
            </w:r>
            <w:r w:rsidR="00893F8A" w:rsidRPr="002D1F9C">
              <w:rPr>
                <w:rFonts w:asciiTheme="majorHAnsi" w:hAnsiTheme="majorHAnsi" w:cs="Times New Roman"/>
              </w:rPr>
              <w:t xml:space="preserve"> </w:t>
            </w:r>
            <w:r w:rsidR="00BD4083" w:rsidRPr="002D1F9C">
              <w:rPr>
                <w:rFonts w:asciiTheme="majorHAnsi" w:hAnsiTheme="majorHAnsi" w:cs="Times New Roman"/>
              </w:rPr>
              <w:t>clear criteria that</w:t>
            </w:r>
            <w:r w:rsidR="00027A2C" w:rsidRPr="002D1F9C">
              <w:rPr>
                <w:rFonts w:asciiTheme="majorHAnsi" w:hAnsiTheme="majorHAnsi" w:cs="Times New Roman"/>
              </w:rPr>
              <w:t xml:space="preserve"> performance information should satisfy</w:t>
            </w:r>
            <w:r w:rsidR="00893F8A" w:rsidRPr="002D1F9C">
              <w:rPr>
                <w:rFonts w:asciiTheme="majorHAnsi" w:hAnsiTheme="majorHAnsi" w:cs="Times New Roman"/>
              </w:rPr>
              <w:t xml:space="preserve"> </w:t>
            </w:r>
            <w:r w:rsidR="00027A2C" w:rsidRPr="002D1F9C">
              <w:rPr>
                <w:rFonts w:asciiTheme="majorHAnsi" w:hAnsiTheme="majorHAnsi" w:cs="Times New Roman"/>
              </w:rPr>
              <w:t xml:space="preserve">within </w:t>
            </w:r>
            <w:r w:rsidR="005F2FE9" w:rsidRPr="002D1F9C">
              <w:rPr>
                <w:rFonts w:asciiTheme="majorHAnsi" w:hAnsiTheme="majorHAnsi" w:cs="Times New Roman"/>
              </w:rPr>
              <w:t>PBSs</w:t>
            </w:r>
            <w:r w:rsidR="00D472CF" w:rsidRPr="002D1F9C">
              <w:rPr>
                <w:rFonts w:asciiTheme="majorHAnsi" w:hAnsiTheme="majorHAnsi" w:cs="Times New Roman"/>
              </w:rPr>
              <w:t>,</w:t>
            </w:r>
            <w:r w:rsidR="00893F8A" w:rsidRPr="002D1F9C">
              <w:rPr>
                <w:rFonts w:asciiTheme="majorHAnsi" w:hAnsiTheme="majorHAnsi" w:cs="Times New Roman"/>
              </w:rPr>
              <w:t xml:space="preserve"> corporate plans, a</w:t>
            </w:r>
            <w:r w:rsidRPr="002D1F9C">
              <w:rPr>
                <w:rFonts w:asciiTheme="majorHAnsi" w:hAnsiTheme="majorHAnsi" w:cs="Times New Roman"/>
              </w:rPr>
              <w:t>nd annual performance statement</w:t>
            </w:r>
            <w:r w:rsidR="00027A2C" w:rsidRPr="002D1F9C">
              <w:rPr>
                <w:rFonts w:asciiTheme="majorHAnsi" w:hAnsiTheme="majorHAnsi" w:cs="Times New Roman"/>
              </w:rPr>
              <w:t>s</w:t>
            </w:r>
            <w:r w:rsidR="00893F8A" w:rsidRPr="002D1F9C">
              <w:rPr>
                <w:rFonts w:asciiTheme="majorHAnsi" w:hAnsiTheme="majorHAnsi" w:cs="Times New Roman"/>
              </w:rPr>
              <w:t xml:space="preserve">. </w:t>
            </w:r>
          </w:p>
          <w:p w:rsidR="00893F8A" w:rsidRPr="002D1F9C" w:rsidRDefault="00893F8A" w:rsidP="007877AB">
            <w:pPr>
              <w:rPr>
                <w:rFonts w:asciiTheme="majorHAnsi" w:hAnsiTheme="majorHAnsi" w:cs="Times New Roman"/>
              </w:rPr>
            </w:pPr>
          </w:p>
          <w:p w:rsidR="00893F8A" w:rsidRPr="002D1F9C" w:rsidRDefault="00E152F6" w:rsidP="007877AB">
            <w:pPr>
              <w:rPr>
                <w:rFonts w:asciiTheme="majorHAnsi" w:hAnsiTheme="majorHAnsi" w:cs="Times New Roman"/>
              </w:rPr>
            </w:pPr>
            <w:r w:rsidRPr="002D1F9C">
              <w:rPr>
                <w:rFonts w:asciiTheme="majorHAnsi" w:hAnsiTheme="majorHAnsi" w:cs="Times New Roman"/>
              </w:rPr>
              <w:t xml:space="preserve">The </w:t>
            </w:r>
            <w:r w:rsidR="005D0AF5" w:rsidRPr="002D1F9C">
              <w:rPr>
                <w:rFonts w:asciiTheme="majorHAnsi" w:hAnsiTheme="majorHAnsi" w:cs="Times New Roman"/>
              </w:rPr>
              <w:t xml:space="preserve">draft </w:t>
            </w:r>
            <w:r w:rsidRPr="002D1F9C">
              <w:rPr>
                <w:rFonts w:asciiTheme="majorHAnsi" w:hAnsiTheme="majorHAnsi" w:cs="Times New Roman"/>
              </w:rPr>
              <w:t xml:space="preserve">criteria reflect the principles </w:t>
            </w:r>
            <w:r w:rsidR="0026519E" w:rsidRPr="002D1F9C">
              <w:rPr>
                <w:rFonts w:asciiTheme="majorHAnsi" w:hAnsiTheme="majorHAnsi" w:cs="Times New Roman"/>
              </w:rPr>
              <w:t xml:space="preserve">of being </w:t>
            </w:r>
            <w:r w:rsidRPr="002D1F9C">
              <w:rPr>
                <w:rFonts w:asciiTheme="majorHAnsi" w:hAnsiTheme="majorHAnsi" w:cs="Times New Roman"/>
              </w:rPr>
              <w:t>“Relevant, Reliable and Complete”, as identified by the Committee in its Report 453.</w:t>
            </w:r>
            <w:r w:rsidR="00027A2C" w:rsidRPr="002D1F9C">
              <w:rPr>
                <w:rFonts w:asciiTheme="majorHAnsi" w:hAnsiTheme="majorHAnsi" w:cs="Times New Roman"/>
              </w:rPr>
              <w:t xml:space="preserve"> The</w:t>
            </w:r>
            <w:r w:rsidR="0026519E" w:rsidRPr="002D1F9C">
              <w:rPr>
                <w:rFonts w:asciiTheme="majorHAnsi" w:hAnsiTheme="majorHAnsi" w:cs="Times New Roman"/>
              </w:rPr>
              <w:t>y</w:t>
            </w:r>
            <w:r w:rsidR="00027A2C" w:rsidRPr="002D1F9C">
              <w:rPr>
                <w:rFonts w:asciiTheme="majorHAnsi" w:hAnsiTheme="majorHAnsi" w:cs="Times New Roman"/>
              </w:rPr>
              <w:t xml:space="preserve"> </w:t>
            </w:r>
            <w:r w:rsidR="00FD5D10" w:rsidRPr="002D1F9C">
              <w:rPr>
                <w:rFonts w:asciiTheme="majorHAnsi" w:hAnsiTheme="majorHAnsi" w:cs="Times New Roman"/>
              </w:rPr>
              <w:t>are</w:t>
            </w:r>
            <w:r w:rsidR="00027A2C" w:rsidRPr="002D1F9C">
              <w:rPr>
                <w:rFonts w:asciiTheme="majorHAnsi" w:hAnsiTheme="majorHAnsi" w:cs="Times New Roman"/>
              </w:rPr>
              <w:t xml:space="preserve"> built on </w:t>
            </w:r>
            <w:r w:rsidR="00EE3165" w:rsidRPr="002D1F9C">
              <w:rPr>
                <w:rFonts w:asciiTheme="majorHAnsi" w:hAnsiTheme="majorHAnsi" w:cs="Times New Roman"/>
              </w:rPr>
              <w:t>principles</w:t>
            </w:r>
            <w:r w:rsidR="00136A8C" w:rsidRPr="002D1F9C">
              <w:rPr>
                <w:rFonts w:asciiTheme="majorHAnsi" w:hAnsiTheme="majorHAnsi" w:cs="Times New Roman"/>
              </w:rPr>
              <w:t xml:space="preserve"> developed by</w:t>
            </w:r>
            <w:r w:rsidR="00027A2C" w:rsidRPr="002D1F9C">
              <w:rPr>
                <w:rFonts w:asciiTheme="majorHAnsi" w:hAnsiTheme="majorHAnsi" w:cs="Times New Roman"/>
              </w:rPr>
              <w:t xml:space="preserve"> the Productivity Commission</w:t>
            </w:r>
            <w:r w:rsidR="00136A8C" w:rsidRPr="002D1F9C">
              <w:rPr>
                <w:rFonts w:asciiTheme="majorHAnsi" w:hAnsiTheme="majorHAnsi" w:cs="Times New Roman"/>
              </w:rPr>
              <w:t xml:space="preserve"> for use with inter-jurisdictional performance assessments </w:t>
            </w:r>
            <w:r w:rsidR="00600C99" w:rsidRPr="002D1F9C">
              <w:rPr>
                <w:rFonts w:asciiTheme="majorHAnsi" w:hAnsiTheme="majorHAnsi" w:cs="Times New Roman"/>
              </w:rPr>
              <w:t xml:space="preserve">for the </w:t>
            </w:r>
            <w:r w:rsidR="00FD5D10" w:rsidRPr="002D1F9C">
              <w:rPr>
                <w:rFonts w:asciiTheme="majorHAnsi" w:hAnsiTheme="majorHAnsi" w:cs="Times New Roman"/>
              </w:rPr>
              <w:t xml:space="preserve">Report on Government Services. </w:t>
            </w:r>
          </w:p>
          <w:p w:rsidR="00B32371" w:rsidRPr="002D1F9C" w:rsidRDefault="00B32371" w:rsidP="007877AB">
            <w:pPr>
              <w:rPr>
                <w:rFonts w:asciiTheme="majorHAnsi" w:hAnsiTheme="majorHAnsi" w:cs="Times New Roman"/>
              </w:rPr>
            </w:pPr>
          </w:p>
          <w:p w:rsidR="007877AB" w:rsidRPr="002D1F9C" w:rsidRDefault="00B32371" w:rsidP="00884DC7">
            <w:pPr>
              <w:rPr>
                <w:rFonts w:asciiTheme="majorHAnsi" w:hAnsiTheme="majorHAnsi" w:cs="Arial"/>
              </w:rPr>
            </w:pPr>
            <w:r w:rsidRPr="002D1F9C">
              <w:rPr>
                <w:rFonts w:asciiTheme="majorHAnsi" w:hAnsiTheme="majorHAnsi" w:cs="Times New Roman"/>
              </w:rPr>
              <w:t xml:space="preserve">Finance is currently </w:t>
            </w:r>
            <w:r w:rsidR="00884DC7" w:rsidRPr="002D1F9C">
              <w:rPr>
                <w:rFonts w:asciiTheme="majorHAnsi" w:hAnsiTheme="majorHAnsi" w:cs="Times New Roman"/>
              </w:rPr>
              <w:t xml:space="preserve">finalising </w:t>
            </w:r>
            <w:r w:rsidRPr="002D1F9C">
              <w:rPr>
                <w:rFonts w:asciiTheme="majorHAnsi" w:hAnsiTheme="majorHAnsi" w:cs="Times New Roman"/>
              </w:rPr>
              <w:t xml:space="preserve">the </w:t>
            </w:r>
            <w:r w:rsidR="00884DC7" w:rsidRPr="002D1F9C">
              <w:rPr>
                <w:rFonts w:asciiTheme="majorHAnsi" w:hAnsiTheme="majorHAnsi" w:cs="Times New Roman"/>
              </w:rPr>
              <w:t xml:space="preserve">development of the </w:t>
            </w:r>
            <w:r w:rsidRPr="002D1F9C">
              <w:rPr>
                <w:rFonts w:asciiTheme="majorHAnsi" w:hAnsiTheme="majorHAnsi" w:cs="Times New Roman"/>
              </w:rPr>
              <w:t>criteria</w:t>
            </w:r>
            <w:r w:rsidR="00884DC7" w:rsidRPr="002D1F9C">
              <w:rPr>
                <w:rFonts w:asciiTheme="majorHAnsi" w:hAnsiTheme="majorHAnsi" w:cs="Times New Roman"/>
              </w:rPr>
              <w:t xml:space="preserve"> in consultation with stakeholders</w:t>
            </w:r>
            <w:r w:rsidRPr="002D1F9C">
              <w:rPr>
                <w:rFonts w:asciiTheme="majorHAnsi" w:hAnsiTheme="majorHAnsi" w:cs="Times New Roman"/>
              </w:rPr>
              <w:t>. The criteria will be included in relevant Resource Management Guidelines.</w:t>
            </w:r>
          </w:p>
        </w:tc>
      </w:tr>
      <w:tr w:rsidR="00246E03" w:rsidTr="00246E03">
        <w:tblPrEx>
          <w:tblCellMar>
            <w:top w:w="0" w:type="dxa"/>
            <w:bottom w:w="0" w:type="dxa"/>
          </w:tblCellMar>
        </w:tblPrEx>
        <w:tc>
          <w:tcPr>
            <w:tcW w:w="4219" w:type="dxa"/>
          </w:tcPr>
          <w:p w:rsidR="00246E03" w:rsidRPr="002D1F9C" w:rsidRDefault="00246E03" w:rsidP="00246E03">
            <w:pPr>
              <w:spacing w:before="60" w:after="120"/>
              <w:rPr>
                <w:rFonts w:asciiTheme="majorHAnsi" w:hAnsiTheme="majorHAnsi" w:cs="Times New Roman"/>
                <w:b/>
              </w:rPr>
            </w:pPr>
            <w:r w:rsidRPr="002D1F9C">
              <w:rPr>
                <w:rFonts w:asciiTheme="majorHAnsi" w:hAnsiTheme="majorHAnsi" w:cs="Times New Roman"/>
                <w:b/>
              </w:rPr>
              <w:t>Recommendation 3</w:t>
            </w:r>
          </w:p>
          <w:p w:rsidR="00246E03" w:rsidRPr="002D1F9C" w:rsidRDefault="00246E03" w:rsidP="00246E03">
            <w:pPr>
              <w:spacing w:after="120"/>
              <w:rPr>
                <w:rFonts w:asciiTheme="majorHAnsi" w:hAnsiTheme="majorHAnsi" w:cs="Times New Roman"/>
              </w:rPr>
            </w:pPr>
            <w:r w:rsidRPr="002D1F9C">
              <w:rPr>
                <w:rFonts w:asciiTheme="majorHAnsi" w:hAnsiTheme="majorHAnsi" w:cs="Times New Roman"/>
              </w:rPr>
              <w:t>The Committee recommends that the Department of Finance commit to an ongoing monitoring, reporting and evaluation initiative for the Commonwealth Performance Framework, performance information in Portfolio Budget Statements and the broader Public Management Reform Agenda. Summary results from this initiative should be publicly reported and submitted to the Committee.</w:t>
            </w:r>
          </w:p>
          <w:p w:rsidR="00246E03" w:rsidRPr="002D1F9C" w:rsidRDefault="00246E03" w:rsidP="00246E03">
            <w:pPr>
              <w:spacing w:after="120"/>
              <w:rPr>
                <w:rFonts w:asciiTheme="majorHAnsi" w:hAnsiTheme="majorHAnsi" w:cs="Times New Roman"/>
              </w:rPr>
            </w:pPr>
            <w:r w:rsidRPr="002D1F9C">
              <w:rPr>
                <w:rFonts w:asciiTheme="majorHAnsi" w:hAnsiTheme="majorHAnsi" w:cs="Times New Roman"/>
              </w:rPr>
              <w:t>Further, the Committee requests that the Department of Finance consider how it might implement this initiative</w:t>
            </w:r>
            <w:r w:rsidR="008F1742" w:rsidRPr="002D1F9C">
              <w:rPr>
                <w:rFonts w:asciiTheme="majorHAnsi" w:hAnsiTheme="majorHAnsi" w:cs="Times New Roman"/>
              </w:rPr>
              <w:t xml:space="preserve"> </w:t>
            </w:r>
            <w:r w:rsidRPr="002D1F9C">
              <w:rPr>
                <w:rFonts w:asciiTheme="majorHAnsi" w:hAnsiTheme="majorHAnsi" w:cs="Times New Roman"/>
              </w:rPr>
              <w:t>— including providing details on what may be monitored and included or excluded from summary reports — and inform the Committee of its preferred approach in time for its next meeting with the Committee in February 2016.</w:t>
            </w:r>
          </w:p>
        </w:tc>
        <w:tc>
          <w:tcPr>
            <w:tcW w:w="5023" w:type="dxa"/>
          </w:tcPr>
          <w:p w:rsidR="00246E03" w:rsidRPr="002D1F9C" w:rsidRDefault="000F1199" w:rsidP="00246E03">
            <w:pPr>
              <w:spacing w:before="60" w:after="120"/>
              <w:rPr>
                <w:rFonts w:asciiTheme="majorHAnsi" w:hAnsiTheme="majorHAnsi" w:cs="Times New Roman"/>
                <w:b/>
                <w:i/>
              </w:rPr>
            </w:pPr>
            <w:r w:rsidRPr="002D1F9C">
              <w:rPr>
                <w:rFonts w:asciiTheme="majorHAnsi" w:hAnsiTheme="majorHAnsi" w:cs="Times New Roman"/>
                <w:b/>
                <w:i/>
              </w:rPr>
              <w:t>The Government agrees</w:t>
            </w:r>
          </w:p>
          <w:p w:rsidR="005D0AF5" w:rsidRPr="002D1F9C" w:rsidRDefault="00246E03" w:rsidP="00FD5D10">
            <w:pPr>
              <w:spacing w:before="60" w:after="120"/>
              <w:rPr>
                <w:rFonts w:asciiTheme="majorHAnsi" w:hAnsiTheme="majorHAnsi" w:cs="Times New Roman"/>
              </w:rPr>
            </w:pPr>
            <w:r w:rsidRPr="002D1F9C">
              <w:rPr>
                <w:rFonts w:asciiTheme="majorHAnsi" w:hAnsiTheme="majorHAnsi" w:cs="Times New Roman"/>
              </w:rPr>
              <w:t xml:space="preserve">Finance </w:t>
            </w:r>
            <w:r w:rsidR="00955537" w:rsidRPr="002D1F9C">
              <w:rPr>
                <w:rFonts w:asciiTheme="majorHAnsi" w:hAnsiTheme="majorHAnsi" w:cs="Times New Roman"/>
              </w:rPr>
              <w:t xml:space="preserve">will </w:t>
            </w:r>
            <w:r w:rsidR="006B667E" w:rsidRPr="002D1F9C">
              <w:rPr>
                <w:rFonts w:asciiTheme="majorHAnsi" w:hAnsiTheme="majorHAnsi" w:cs="Times New Roman"/>
              </w:rPr>
              <w:t xml:space="preserve">continue </w:t>
            </w:r>
            <w:r w:rsidR="007C2D77" w:rsidRPr="002D1F9C">
              <w:rPr>
                <w:rFonts w:asciiTheme="majorHAnsi" w:hAnsiTheme="majorHAnsi" w:cs="Times New Roman"/>
              </w:rPr>
              <w:t>to</w:t>
            </w:r>
            <w:r w:rsidR="006B667E" w:rsidRPr="002D1F9C">
              <w:rPr>
                <w:rFonts w:asciiTheme="majorHAnsi" w:hAnsiTheme="majorHAnsi" w:cs="Times New Roman"/>
              </w:rPr>
              <w:t xml:space="preserve"> </w:t>
            </w:r>
            <w:r w:rsidRPr="002D1F9C">
              <w:rPr>
                <w:rFonts w:asciiTheme="majorHAnsi" w:hAnsiTheme="majorHAnsi" w:cs="Times New Roman"/>
              </w:rPr>
              <w:t>monitor</w:t>
            </w:r>
            <w:r w:rsidR="006B667E" w:rsidRPr="002D1F9C">
              <w:rPr>
                <w:rFonts w:asciiTheme="majorHAnsi" w:hAnsiTheme="majorHAnsi" w:cs="Times New Roman"/>
              </w:rPr>
              <w:t xml:space="preserve"> </w:t>
            </w:r>
            <w:r w:rsidRPr="002D1F9C">
              <w:rPr>
                <w:rFonts w:asciiTheme="majorHAnsi" w:hAnsiTheme="majorHAnsi" w:cs="Times New Roman"/>
              </w:rPr>
              <w:t>the implementation of the enhanced Com</w:t>
            </w:r>
            <w:r w:rsidR="006B667E" w:rsidRPr="002D1F9C">
              <w:rPr>
                <w:rFonts w:asciiTheme="majorHAnsi" w:hAnsiTheme="majorHAnsi" w:cs="Times New Roman"/>
              </w:rPr>
              <w:t xml:space="preserve">monwealth performance framework. </w:t>
            </w:r>
            <w:r w:rsidR="00B32371" w:rsidRPr="002D1F9C">
              <w:rPr>
                <w:rFonts w:asciiTheme="majorHAnsi" w:hAnsiTheme="majorHAnsi" w:cs="Times New Roman"/>
              </w:rPr>
              <w:t xml:space="preserve">Finance </w:t>
            </w:r>
            <w:r w:rsidR="00955537" w:rsidRPr="002D1F9C">
              <w:rPr>
                <w:rFonts w:asciiTheme="majorHAnsi" w:hAnsiTheme="majorHAnsi" w:cs="Times New Roman"/>
              </w:rPr>
              <w:t xml:space="preserve">will </w:t>
            </w:r>
            <w:r w:rsidR="005F2FE9" w:rsidRPr="002D1F9C">
              <w:rPr>
                <w:rFonts w:asciiTheme="majorHAnsi" w:hAnsiTheme="majorHAnsi" w:cs="Times New Roman"/>
              </w:rPr>
              <w:t xml:space="preserve">also </w:t>
            </w:r>
            <w:r w:rsidR="00B32371" w:rsidRPr="002D1F9C">
              <w:rPr>
                <w:rFonts w:asciiTheme="majorHAnsi" w:hAnsiTheme="majorHAnsi" w:cs="Times New Roman"/>
              </w:rPr>
              <w:t>continu</w:t>
            </w:r>
            <w:r w:rsidR="00955537" w:rsidRPr="002D1F9C">
              <w:rPr>
                <w:rFonts w:asciiTheme="majorHAnsi" w:hAnsiTheme="majorHAnsi" w:cs="Times New Roman"/>
              </w:rPr>
              <w:t xml:space="preserve">e </w:t>
            </w:r>
            <w:r w:rsidR="00ED6F7E" w:rsidRPr="002D1F9C">
              <w:rPr>
                <w:rFonts w:asciiTheme="majorHAnsi" w:hAnsiTheme="majorHAnsi" w:cs="Times New Roman"/>
              </w:rPr>
              <w:t>supporting</w:t>
            </w:r>
            <w:r w:rsidR="00955537" w:rsidRPr="002D1F9C">
              <w:rPr>
                <w:rFonts w:asciiTheme="majorHAnsi" w:hAnsiTheme="majorHAnsi" w:cs="Times New Roman"/>
              </w:rPr>
              <w:t xml:space="preserve"> entities to </w:t>
            </w:r>
            <w:r w:rsidR="00ED6F7E" w:rsidRPr="002D1F9C">
              <w:rPr>
                <w:rFonts w:asciiTheme="majorHAnsi" w:hAnsiTheme="majorHAnsi" w:cs="Times New Roman"/>
              </w:rPr>
              <w:t>help</w:t>
            </w:r>
            <w:r w:rsidR="00955537" w:rsidRPr="002D1F9C">
              <w:rPr>
                <w:rFonts w:asciiTheme="majorHAnsi" w:hAnsiTheme="majorHAnsi" w:cs="Times New Roman"/>
              </w:rPr>
              <w:t xml:space="preserve"> </w:t>
            </w:r>
            <w:r w:rsidR="005068DD" w:rsidRPr="002D1F9C">
              <w:rPr>
                <w:rFonts w:asciiTheme="majorHAnsi" w:hAnsiTheme="majorHAnsi" w:cs="Times New Roman"/>
              </w:rPr>
              <w:t xml:space="preserve">them </w:t>
            </w:r>
            <w:r w:rsidR="00222798" w:rsidRPr="002D1F9C">
              <w:rPr>
                <w:rFonts w:asciiTheme="majorHAnsi" w:hAnsiTheme="majorHAnsi" w:cs="Times New Roman"/>
              </w:rPr>
              <w:t>improve performance reporting</w:t>
            </w:r>
            <w:r w:rsidR="00955537" w:rsidRPr="002D1F9C">
              <w:rPr>
                <w:rFonts w:asciiTheme="majorHAnsi" w:hAnsiTheme="majorHAnsi" w:cs="Times New Roman"/>
              </w:rPr>
              <w:t>.</w:t>
            </w:r>
            <w:r w:rsidR="00222798" w:rsidRPr="002D1F9C">
              <w:rPr>
                <w:rFonts w:asciiTheme="majorHAnsi" w:hAnsiTheme="majorHAnsi" w:cs="Times New Roman"/>
              </w:rPr>
              <w:t xml:space="preserve"> </w:t>
            </w:r>
            <w:r w:rsidR="00ED6F7E" w:rsidRPr="002D1F9C">
              <w:rPr>
                <w:rFonts w:asciiTheme="majorHAnsi" w:hAnsiTheme="majorHAnsi" w:cs="Times New Roman"/>
              </w:rPr>
              <w:t>These support activities include providing</w:t>
            </w:r>
            <w:r w:rsidR="00283E30" w:rsidRPr="002D1F9C">
              <w:rPr>
                <w:rFonts w:asciiTheme="majorHAnsi" w:hAnsiTheme="majorHAnsi" w:cs="Times New Roman"/>
              </w:rPr>
              <w:t xml:space="preserve"> information and networking opportunities through the Community of Practice, producing Lessons Learned papers and refining and enhancing guidance. </w:t>
            </w:r>
          </w:p>
          <w:p w:rsidR="00125FC8" w:rsidRPr="002D1F9C" w:rsidRDefault="005068DD" w:rsidP="00246E03">
            <w:pPr>
              <w:spacing w:before="60" w:after="120"/>
              <w:rPr>
                <w:rFonts w:asciiTheme="majorHAnsi" w:hAnsiTheme="majorHAnsi" w:cs="Times New Roman"/>
              </w:rPr>
            </w:pPr>
            <w:r w:rsidRPr="002D1F9C">
              <w:rPr>
                <w:rFonts w:asciiTheme="majorHAnsi" w:hAnsiTheme="majorHAnsi" w:cs="Times New Roman"/>
              </w:rPr>
              <w:t xml:space="preserve">It is noted that </w:t>
            </w:r>
            <w:r w:rsidR="00ED6F7E" w:rsidRPr="002D1F9C">
              <w:rPr>
                <w:rFonts w:asciiTheme="majorHAnsi" w:hAnsiTheme="majorHAnsi" w:cs="Times New Roman"/>
              </w:rPr>
              <w:t xml:space="preserve">the </w:t>
            </w:r>
            <w:r w:rsidR="00125FC8" w:rsidRPr="002D1F9C">
              <w:rPr>
                <w:rFonts w:asciiTheme="majorHAnsi" w:hAnsiTheme="majorHAnsi" w:cs="Times New Roman"/>
              </w:rPr>
              <w:t xml:space="preserve">ANAO is undertaking an audit of </w:t>
            </w:r>
            <w:r w:rsidR="00FF1FA7" w:rsidRPr="002D1F9C">
              <w:rPr>
                <w:rFonts w:asciiTheme="majorHAnsi" w:hAnsiTheme="majorHAnsi" w:cs="Times New Roman"/>
              </w:rPr>
              <w:t xml:space="preserve">the </w:t>
            </w:r>
            <w:r w:rsidR="004C49E7" w:rsidRPr="002D1F9C">
              <w:rPr>
                <w:rFonts w:asciiTheme="majorHAnsi" w:hAnsiTheme="majorHAnsi" w:cs="Times New Roman"/>
              </w:rPr>
              <w:t>implementation of the</w:t>
            </w:r>
            <w:r w:rsidR="00125FC8" w:rsidRPr="002D1F9C">
              <w:rPr>
                <w:rFonts w:asciiTheme="majorHAnsi" w:hAnsiTheme="majorHAnsi" w:cs="Times New Roman"/>
              </w:rPr>
              <w:t xml:space="preserve"> enhanced Commonwealth performance framework</w:t>
            </w:r>
            <w:r w:rsidR="00321BCD" w:rsidRPr="002D1F9C">
              <w:rPr>
                <w:rFonts w:asciiTheme="majorHAnsi" w:hAnsiTheme="majorHAnsi" w:cs="Times New Roman"/>
              </w:rPr>
              <w:t xml:space="preserve">, including an assessment of </w:t>
            </w:r>
            <w:r w:rsidR="00ED6F7E" w:rsidRPr="002D1F9C">
              <w:rPr>
                <w:rFonts w:asciiTheme="majorHAnsi" w:hAnsiTheme="majorHAnsi" w:cs="Times New Roman"/>
              </w:rPr>
              <w:t>the corporate planning process of a number of entities</w:t>
            </w:r>
            <w:r w:rsidR="00125FC8" w:rsidRPr="002D1F9C">
              <w:rPr>
                <w:rFonts w:asciiTheme="majorHAnsi" w:hAnsiTheme="majorHAnsi" w:cs="Times New Roman"/>
              </w:rPr>
              <w:t>.</w:t>
            </w:r>
            <w:r w:rsidRPr="002D1F9C">
              <w:rPr>
                <w:rFonts w:asciiTheme="majorHAnsi" w:hAnsiTheme="majorHAnsi" w:cs="Times New Roman"/>
              </w:rPr>
              <w:t xml:space="preserve"> The audit findings </w:t>
            </w:r>
            <w:r w:rsidR="00125FC8" w:rsidRPr="002D1F9C">
              <w:rPr>
                <w:rFonts w:asciiTheme="majorHAnsi" w:hAnsiTheme="majorHAnsi" w:cs="Times New Roman"/>
              </w:rPr>
              <w:t>will be presented to Parliament in the near future. It is underst</w:t>
            </w:r>
            <w:r w:rsidR="00955537" w:rsidRPr="002D1F9C">
              <w:rPr>
                <w:rFonts w:asciiTheme="majorHAnsi" w:hAnsiTheme="majorHAnsi" w:cs="Times New Roman"/>
              </w:rPr>
              <w:t>ood</w:t>
            </w:r>
            <w:r w:rsidR="00125FC8" w:rsidRPr="002D1F9C">
              <w:rPr>
                <w:rFonts w:asciiTheme="majorHAnsi" w:hAnsiTheme="majorHAnsi" w:cs="Times New Roman"/>
              </w:rPr>
              <w:t xml:space="preserve"> that the ANAO intends to undertake further audits of the implementation of the framework, including an audit of </w:t>
            </w:r>
            <w:r w:rsidR="000C5787" w:rsidRPr="002D1F9C">
              <w:rPr>
                <w:rFonts w:asciiTheme="majorHAnsi" w:hAnsiTheme="majorHAnsi" w:cs="Times New Roman"/>
              </w:rPr>
              <w:t xml:space="preserve">the </w:t>
            </w:r>
            <w:r w:rsidR="00125FC8" w:rsidRPr="002D1F9C">
              <w:rPr>
                <w:rFonts w:asciiTheme="majorHAnsi" w:hAnsiTheme="majorHAnsi" w:cs="Times New Roman"/>
              </w:rPr>
              <w:t xml:space="preserve">first round of Annual Performance Statements. </w:t>
            </w:r>
          </w:p>
          <w:p w:rsidR="002D1F9C" w:rsidRPr="002D1F9C" w:rsidRDefault="00460046" w:rsidP="008E0057">
            <w:pPr>
              <w:spacing w:before="60" w:after="120"/>
              <w:rPr>
                <w:rFonts w:asciiTheme="majorHAnsi" w:hAnsiTheme="majorHAnsi" w:cs="Times New Roman"/>
              </w:rPr>
            </w:pPr>
            <w:r w:rsidRPr="002D1F9C">
              <w:rPr>
                <w:rFonts w:asciiTheme="majorHAnsi" w:hAnsiTheme="majorHAnsi" w:cs="Times New Roman"/>
              </w:rPr>
              <w:t xml:space="preserve">It </w:t>
            </w:r>
            <w:r w:rsidR="00125FC8" w:rsidRPr="002D1F9C">
              <w:rPr>
                <w:rFonts w:asciiTheme="majorHAnsi" w:hAnsiTheme="majorHAnsi" w:cs="Times New Roman"/>
              </w:rPr>
              <w:t xml:space="preserve">is a requirement of </w:t>
            </w:r>
            <w:r w:rsidR="00082BD0" w:rsidRPr="002D1F9C">
              <w:rPr>
                <w:rFonts w:asciiTheme="majorHAnsi" w:hAnsiTheme="majorHAnsi" w:cs="Times New Roman"/>
              </w:rPr>
              <w:t xml:space="preserve">section 112 of </w:t>
            </w:r>
            <w:r w:rsidR="000C5787" w:rsidRPr="002D1F9C">
              <w:rPr>
                <w:rFonts w:asciiTheme="majorHAnsi" w:hAnsiTheme="majorHAnsi" w:cs="Times New Roman"/>
              </w:rPr>
              <w:t xml:space="preserve">the </w:t>
            </w:r>
            <w:r w:rsidR="00F400EB" w:rsidRPr="002D1F9C">
              <w:rPr>
                <w:rFonts w:asciiTheme="majorHAnsi" w:hAnsiTheme="majorHAnsi" w:cs="Times New Roman"/>
              </w:rPr>
              <w:t xml:space="preserve">PGPA Act that </w:t>
            </w:r>
            <w:r w:rsidR="00283E30" w:rsidRPr="002D1F9C">
              <w:rPr>
                <w:rFonts w:asciiTheme="majorHAnsi" w:hAnsiTheme="majorHAnsi" w:cs="Times New Roman"/>
              </w:rPr>
              <w:t>the Finance Minister must, in consultation with the J</w:t>
            </w:r>
            <w:r w:rsidR="005F2FE9" w:rsidRPr="002D1F9C">
              <w:rPr>
                <w:rFonts w:asciiTheme="majorHAnsi" w:hAnsiTheme="majorHAnsi" w:cs="Times New Roman"/>
              </w:rPr>
              <w:t xml:space="preserve">oint Committee of </w:t>
            </w:r>
            <w:r w:rsidR="00283E30" w:rsidRPr="002D1F9C">
              <w:rPr>
                <w:rFonts w:asciiTheme="majorHAnsi" w:hAnsiTheme="majorHAnsi" w:cs="Times New Roman"/>
              </w:rPr>
              <w:t>P</w:t>
            </w:r>
            <w:r w:rsidR="005F2FE9" w:rsidRPr="002D1F9C">
              <w:rPr>
                <w:rFonts w:asciiTheme="majorHAnsi" w:hAnsiTheme="majorHAnsi" w:cs="Times New Roman"/>
              </w:rPr>
              <w:t xml:space="preserve">ublic </w:t>
            </w:r>
            <w:r w:rsidR="00283E30" w:rsidRPr="002D1F9C">
              <w:rPr>
                <w:rFonts w:asciiTheme="majorHAnsi" w:hAnsiTheme="majorHAnsi" w:cs="Times New Roman"/>
              </w:rPr>
              <w:t>A</w:t>
            </w:r>
            <w:r w:rsidR="005F2FE9" w:rsidRPr="002D1F9C">
              <w:rPr>
                <w:rFonts w:asciiTheme="majorHAnsi" w:hAnsiTheme="majorHAnsi" w:cs="Times New Roman"/>
              </w:rPr>
              <w:t xml:space="preserve">ccounts and </w:t>
            </w:r>
            <w:r w:rsidR="00283E30" w:rsidRPr="002D1F9C">
              <w:rPr>
                <w:rFonts w:asciiTheme="majorHAnsi" w:hAnsiTheme="majorHAnsi" w:cs="Times New Roman"/>
              </w:rPr>
              <w:t>A</w:t>
            </w:r>
            <w:r w:rsidR="005F2FE9" w:rsidRPr="002D1F9C">
              <w:rPr>
                <w:rFonts w:asciiTheme="majorHAnsi" w:hAnsiTheme="majorHAnsi" w:cs="Times New Roman"/>
              </w:rPr>
              <w:t>udit</w:t>
            </w:r>
            <w:r w:rsidR="00283E30" w:rsidRPr="002D1F9C">
              <w:rPr>
                <w:rFonts w:asciiTheme="majorHAnsi" w:hAnsiTheme="majorHAnsi" w:cs="Times New Roman"/>
              </w:rPr>
              <w:t xml:space="preserve">, cause an independent </w:t>
            </w:r>
            <w:r w:rsidR="00F93F4D" w:rsidRPr="002D1F9C">
              <w:rPr>
                <w:rFonts w:asciiTheme="majorHAnsi" w:hAnsiTheme="majorHAnsi" w:cs="Times New Roman"/>
              </w:rPr>
              <w:t xml:space="preserve">review </w:t>
            </w:r>
            <w:r w:rsidR="00283E30" w:rsidRPr="002D1F9C">
              <w:rPr>
                <w:rFonts w:asciiTheme="majorHAnsi" w:hAnsiTheme="majorHAnsi" w:cs="Times New Roman"/>
              </w:rPr>
              <w:t xml:space="preserve">of the operation of the PGPA Act and the rules. </w:t>
            </w:r>
            <w:r w:rsidR="00F959C2" w:rsidRPr="002D1F9C">
              <w:rPr>
                <w:rFonts w:asciiTheme="majorHAnsi" w:hAnsiTheme="majorHAnsi" w:cs="Times New Roman"/>
              </w:rPr>
              <w:t xml:space="preserve">This review </w:t>
            </w:r>
            <w:r w:rsidR="008E0057" w:rsidRPr="002D1F9C">
              <w:rPr>
                <w:rFonts w:asciiTheme="majorHAnsi" w:hAnsiTheme="majorHAnsi" w:cs="Times New Roman"/>
              </w:rPr>
              <w:t xml:space="preserve">must be conducted </w:t>
            </w:r>
            <w:r w:rsidR="00F959C2" w:rsidRPr="002D1F9C">
              <w:rPr>
                <w:rFonts w:asciiTheme="majorHAnsi" w:hAnsiTheme="majorHAnsi" w:cs="Times New Roman"/>
              </w:rPr>
              <w:t xml:space="preserve">as soon as practicable after </w:t>
            </w:r>
            <w:r w:rsidR="008E0057" w:rsidRPr="002D1F9C">
              <w:rPr>
                <w:rFonts w:asciiTheme="majorHAnsi" w:hAnsiTheme="majorHAnsi" w:cs="Times New Roman"/>
              </w:rPr>
              <w:t>the end of 3 years after this section commences (</w:t>
            </w:r>
            <w:r w:rsidR="00F959C2" w:rsidRPr="002D1F9C">
              <w:rPr>
                <w:rFonts w:asciiTheme="majorHAnsi" w:hAnsiTheme="majorHAnsi" w:cs="Times New Roman"/>
              </w:rPr>
              <w:t>1 July 2017</w:t>
            </w:r>
            <w:r w:rsidR="008E0057" w:rsidRPr="002D1F9C">
              <w:rPr>
                <w:rFonts w:asciiTheme="majorHAnsi" w:hAnsiTheme="majorHAnsi" w:cs="Times New Roman"/>
              </w:rPr>
              <w:t>)</w:t>
            </w:r>
            <w:r w:rsidR="00F959C2" w:rsidRPr="002D1F9C">
              <w:rPr>
                <w:rFonts w:asciiTheme="majorHAnsi" w:hAnsiTheme="majorHAnsi" w:cs="Times New Roman"/>
              </w:rPr>
              <w:t xml:space="preserve">. It is expected that this review, </w:t>
            </w:r>
            <w:r w:rsidR="008E0057" w:rsidRPr="002D1F9C">
              <w:rPr>
                <w:rFonts w:asciiTheme="majorHAnsi" w:hAnsiTheme="majorHAnsi" w:cs="Times New Roman"/>
              </w:rPr>
              <w:t xml:space="preserve">of which the report </w:t>
            </w:r>
            <w:r w:rsidR="00F959C2" w:rsidRPr="002D1F9C">
              <w:rPr>
                <w:rFonts w:asciiTheme="majorHAnsi" w:hAnsiTheme="majorHAnsi" w:cs="Times New Roman"/>
              </w:rPr>
              <w:t>is to be tabled in each House of Parliament, would comment on the ongoing monitoring, reporting and evaluation of the frame</w:t>
            </w:r>
            <w:r w:rsidR="00F93F4D" w:rsidRPr="002D1F9C">
              <w:rPr>
                <w:rFonts w:asciiTheme="majorHAnsi" w:hAnsiTheme="majorHAnsi" w:cs="Times New Roman"/>
              </w:rPr>
              <w:t>work</w:t>
            </w:r>
            <w:r w:rsidR="00F959C2" w:rsidRPr="002D1F9C">
              <w:rPr>
                <w:rFonts w:asciiTheme="majorHAnsi" w:hAnsiTheme="majorHAnsi" w:cs="Times New Roman"/>
              </w:rPr>
              <w:t xml:space="preserve">. </w:t>
            </w:r>
          </w:p>
        </w:tc>
      </w:tr>
      <w:tr w:rsidR="00503086" w:rsidRPr="001E4B9A" w:rsidTr="00E62CD0">
        <w:tc>
          <w:tcPr>
            <w:tcW w:w="4219" w:type="dxa"/>
          </w:tcPr>
          <w:p w:rsidR="00E877D3" w:rsidRPr="001E4B9A" w:rsidRDefault="00246E03" w:rsidP="00E877D3">
            <w:pPr>
              <w:spacing w:before="60" w:after="120"/>
              <w:rPr>
                <w:rFonts w:ascii="Times New Roman" w:hAnsi="Times New Roman" w:cs="Times New Roman"/>
                <w:b/>
              </w:rPr>
            </w:pPr>
            <w:r>
              <w:lastRenderedPageBreak/>
              <w:br w:type="page"/>
            </w:r>
            <w:r w:rsidR="00E877D3" w:rsidRPr="001E4B9A">
              <w:rPr>
                <w:rFonts w:ascii="Times New Roman" w:hAnsi="Times New Roman" w:cs="Times New Roman"/>
                <w:b/>
              </w:rPr>
              <w:t>Recommendation 4</w:t>
            </w:r>
          </w:p>
          <w:p w:rsidR="00503086" w:rsidRPr="001E4B9A" w:rsidRDefault="00E877D3" w:rsidP="009F3D79">
            <w:pPr>
              <w:spacing w:after="120"/>
              <w:rPr>
                <w:rFonts w:ascii="Arial Narrow" w:hAnsi="Arial Narrow" w:cs="Arial"/>
              </w:rPr>
            </w:pPr>
            <w:r w:rsidRPr="001E4B9A">
              <w:rPr>
                <w:rFonts w:ascii="Times New Roman" w:hAnsi="Times New Roman" w:cs="Times New Roman"/>
              </w:rPr>
              <w:t>That the Department of Finance Direction issuing requirements for performance information in Portfolio Budget Statements (PBSs) include a minimum requirement or explicit statement that a performance criterion within PBSs must state the target to be achieved (the expected achievement) for the relevant appropriation wherever possible and the date by which the target is intended to be achieved.</w:t>
            </w:r>
          </w:p>
        </w:tc>
        <w:tc>
          <w:tcPr>
            <w:tcW w:w="5023" w:type="dxa"/>
          </w:tcPr>
          <w:p w:rsidR="00E877D3" w:rsidRPr="001E4B9A" w:rsidRDefault="00C121A4" w:rsidP="00E877D3">
            <w:pPr>
              <w:spacing w:before="60" w:after="120"/>
              <w:rPr>
                <w:rFonts w:ascii="Times New Roman" w:hAnsi="Times New Roman" w:cs="Times New Roman"/>
                <w:b/>
                <w:i/>
              </w:rPr>
            </w:pPr>
            <w:r w:rsidRPr="001E4B9A">
              <w:rPr>
                <w:rFonts w:ascii="Times New Roman" w:hAnsi="Times New Roman" w:cs="Times New Roman"/>
                <w:b/>
                <w:i/>
              </w:rPr>
              <w:t>The Government agrees</w:t>
            </w:r>
          </w:p>
          <w:p w:rsidR="00992CB5" w:rsidRPr="001E4B9A" w:rsidRDefault="009D1389" w:rsidP="002D1F9C">
            <w:pPr>
              <w:spacing w:before="60" w:after="120"/>
              <w:rPr>
                <w:rFonts w:ascii="Times New Roman" w:hAnsi="Times New Roman" w:cs="Times New Roman"/>
              </w:rPr>
            </w:pPr>
            <w:r w:rsidRPr="001E4B9A">
              <w:rPr>
                <w:rFonts w:ascii="Times New Roman" w:hAnsi="Times New Roman" w:cs="Times New Roman"/>
              </w:rPr>
              <w:t xml:space="preserve">The </w:t>
            </w:r>
            <w:r w:rsidR="007D3CE0">
              <w:rPr>
                <w:rFonts w:ascii="Times New Roman" w:hAnsi="Times New Roman" w:cs="Times New Roman"/>
              </w:rPr>
              <w:t>Finance Secretary</w:t>
            </w:r>
            <w:r w:rsidR="00F93F4D">
              <w:rPr>
                <w:rFonts w:ascii="Times New Roman" w:hAnsi="Times New Roman" w:cs="Times New Roman"/>
              </w:rPr>
              <w:t>’s</w:t>
            </w:r>
            <w:r w:rsidRPr="001E4B9A">
              <w:rPr>
                <w:rFonts w:ascii="Times New Roman" w:hAnsi="Times New Roman" w:cs="Times New Roman"/>
              </w:rPr>
              <w:t xml:space="preserve"> direction </w:t>
            </w:r>
            <w:r w:rsidR="00A257DE">
              <w:rPr>
                <w:rFonts w:ascii="Times New Roman" w:hAnsi="Times New Roman" w:cs="Times New Roman"/>
              </w:rPr>
              <w:t xml:space="preserve">includes the </w:t>
            </w:r>
            <w:r w:rsidR="008378A0">
              <w:rPr>
                <w:rFonts w:ascii="Times New Roman" w:hAnsi="Times New Roman" w:cs="Times New Roman"/>
              </w:rPr>
              <w:t xml:space="preserve">requirement </w:t>
            </w:r>
            <w:r w:rsidR="00A257DE">
              <w:rPr>
                <w:rFonts w:ascii="Times New Roman" w:hAnsi="Times New Roman" w:cs="Times New Roman"/>
              </w:rPr>
              <w:t xml:space="preserve">that an entity must state </w:t>
            </w:r>
            <w:r w:rsidR="008378A0">
              <w:rPr>
                <w:rFonts w:ascii="Times New Roman" w:hAnsi="Times New Roman" w:cs="Times New Roman"/>
              </w:rPr>
              <w:t xml:space="preserve">targets </w:t>
            </w:r>
            <w:r w:rsidR="00D43C1B">
              <w:rPr>
                <w:rFonts w:ascii="Times New Roman" w:hAnsi="Times New Roman" w:cs="Times New Roman"/>
              </w:rPr>
              <w:t>to be achieved and expected dates of achievement</w:t>
            </w:r>
            <w:r w:rsidR="00A257DE">
              <w:rPr>
                <w:rFonts w:ascii="Times New Roman" w:hAnsi="Times New Roman" w:cs="Times New Roman"/>
              </w:rPr>
              <w:t xml:space="preserve"> in their PBS. The </w:t>
            </w:r>
            <w:r w:rsidR="00600C99">
              <w:rPr>
                <w:rFonts w:ascii="Times New Roman" w:hAnsi="Times New Roman" w:cs="Times New Roman"/>
              </w:rPr>
              <w:t>2016-17 PBS guidance reflect</w:t>
            </w:r>
            <w:r w:rsidR="00294D4C">
              <w:rPr>
                <w:rFonts w:ascii="Times New Roman" w:hAnsi="Times New Roman" w:cs="Times New Roman"/>
              </w:rPr>
              <w:t>s</w:t>
            </w:r>
            <w:r w:rsidR="00600C99">
              <w:rPr>
                <w:rFonts w:ascii="Times New Roman" w:hAnsi="Times New Roman" w:cs="Times New Roman"/>
              </w:rPr>
              <w:t xml:space="preserve"> the requirements of the Finance Secretary’s Direction.</w:t>
            </w:r>
            <w:r w:rsidR="00992CB5" w:rsidRPr="001E4B9A">
              <w:rPr>
                <w:rFonts w:ascii="Times New Roman" w:hAnsi="Times New Roman" w:cs="Times New Roman"/>
              </w:rPr>
              <w:t xml:space="preserve"> </w:t>
            </w:r>
          </w:p>
        </w:tc>
      </w:tr>
      <w:tr w:rsidR="00E877D3" w:rsidRPr="001E4B9A" w:rsidTr="00E62CD0">
        <w:tc>
          <w:tcPr>
            <w:tcW w:w="4219" w:type="dxa"/>
          </w:tcPr>
          <w:p w:rsidR="00E877D3" w:rsidRPr="001E4B9A" w:rsidRDefault="00E877D3" w:rsidP="00E877D3">
            <w:pPr>
              <w:spacing w:before="60" w:after="120"/>
              <w:rPr>
                <w:rFonts w:ascii="Times New Roman" w:hAnsi="Times New Roman" w:cs="Times New Roman"/>
                <w:b/>
              </w:rPr>
            </w:pPr>
            <w:r w:rsidRPr="001E4B9A">
              <w:rPr>
                <w:rFonts w:ascii="Times New Roman" w:hAnsi="Times New Roman" w:cs="Times New Roman"/>
                <w:b/>
              </w:rPr>
              <w:t>Recommendation 5</w:t>
            </w:r>
          </w:p>
          <w:p w:rsidR="00E877D3" w:rsidRPr="001E4B9A" w:rsidRDefault="00563AED" w:rsidP="0015073A">
            <w:pPr>
              <w:spacing w:after="120"/>
              <w:rPr>
                <w:rFonts w:ascii="Times New Roman" w:hAnsi="Times New Roman" w:cs="Times New Roman"/>
                <w:b/>
              </w:rPr>
            </w:pPr>
            <w:r w:rsidRPr="001E4B9A">
              <w:rPr>
                <w:rFonts w:ascii="Times New Roman" w:hAnsi="Times New Roman" w:cs="Times New Roman"/>
              </w:rPr>
              <w:t>That the Department of Finance Direction issuing requirements for performance information in Portfolio Budget Statements include a minimum requirement that the most recent Annual Performance Statement for an entity must be included in the entity’s Portfolio Budget Statement, and that related guidance continue to request entities to include more up to date performance information in the PBS wherever practicable.</w:t>
            </w:r>
          </w:p>
        </w:tc>
        <w:tc>
          <w:tcPr>
            <w:tcW w:w="5023" w:type="dxa"/>
          </w:tcPr>
          <w:p w:rsidR="00E877D3" w:rsidRPr="001E4B9A" w:rsidRDefault="008658C9" w:rsidP="00E877D3">
            <w:pPr>
              <w:spacing w:before="60" w:after="120"/>
              <w:rPr>
                <w:rFonts w:ascii="Times New Roman" w:hAnsi="Times New Roman" w:cs="Times New Roman"/>
                <w:b/>
                <w:i/>
              </w:rPr>
            </w:pPr>
            <w:r>
              <w:rPr>
                <w:rFonts w:ascii="Times New Roman" w:hAnsi="Times New Roman" w:cs="Times New Roman"/>
                <w:b/>
                <w:i/>
              </w:rPr>
              <w:t>The Government</w:t>
            </w:r>
            <w:r w:rsidR="00FD5D10">
              <w:rPr>
                <w:rFonts w:ascii="Times New Roman" w:hAnsi="Times New Roman" w:cs="Times New Roman"/>
                <w:b/>
                <w:i/>
              </w:rPr>
              <w:t xml:space="preserve"> </w:t>
            </w:r>
            <w:r>
              <w:rPr>
                <w:rFonts w:ascii="Times New Roman" w:hAnsi="Times New Roman" w:cs="Times New Roman"/>
                <w:b/>
                <w:i/>
              </w:rPr>
              <w:t>agrees</w:t>
            </w:r>
            <w:r w:rsidR="00F50319">
              <w:rPr>
                <w:rFonts w:ascii="Times New Roman" w:hAnsi="Times New Roman" w:cs="Times New Roman"/>
                <w:b/>
                <w:i/>
              </w:rPr>
              <w:t xml:space="preserve"> </w:t>
            </w:r>
          </w:p>
          <w:p w:rsidR="00563AED" w:rsidRPr="001E4B9A" w:rsidRDefault="0026519E" w:rsidP="00E877D3">
            <w:pPr>
              <w:spacing w:before="60" w:after="120"/>
              <w:rPr>
                <w:rFonts w:ascii="Times New Roman" w:hAnsi="Times New Roman" w:cs="Times New Roman"/>
              </w:rPr>
            </w:pPr>
            <w:r w:rsidRPr="001E4B9A">
              <w:rPr>
                <w:rFonts w:ascii="Times New Roman" w:hAnsi="Times New Roman" w:cs="Times New Roman"/>
              </w:rPr>
              <w:t xml:space="preserve">The </w:t>
            </w:r>
            <w:r>
              <w:rPr>
                <w:rFonts w:ascii="Times New Roman" w:hAnsi="Times New Roman" w:cs="Times New Roman"/>
              </w:rPr>
              <w:t>Finance Secretary</w:t>
            </w:r>
            <w:r w:rsidR="00F93F4D">
              <w:rPr>
                <w:rFonts w:ascii="Times New Roman" w:hAnsi="Times New Roman" w:cs="Times New Roman"/>
              </w:rPr>
              <w:t>’s</w:t>
            </w:r>
            <w:r w:rsidRPr="001E4B9A">
              <w:rPr>
                <w:rFonts w:ascii="Times New Roman" w:hAnsi="Times New Roman" w:cs="Times New Roman"/>
              </w:rPr>
              <w:t xml:space="preserve"> direction </w:t>
            </w:r>
            <w:r>
              <w:rPr>
                <w:rFonts w:ascii="Times New Roman" w:hAnsi="Times New Roman" w:cs="Times New Roman"/>
              </w:rPr>
              <w:t xml:space="preserve">includes the </w:t>
            </w:r>
            <w:r w:rsidR="00BF6457" w:rsidRPr="001E4B9A">
              <w:rPr>
                <w:rFonts w:ascii="Times New Roman" w:hAnsi="Times New Roman" w:cs="Times New Roman"/>
              </w:rPr>
              <w:t xml:space="preserve">requirement that </w:t>
            </w:r>
            <w:r w:rsidR="00BF6457">
              <w:rPr>
                <w:rFonts w:ascii="Times New Roman" w:hAnsi="Times New Roman" w:cs="Times New Roman"/>
              </w:rPr>
              <w:t xml:space="preserve">an entity’s </w:t>
            </w:r>
            <w:r w:rsidR="00BF6457" w:rsidRPr="001E4B9A">
              <w:rPr>
                <w:rFonts w:ascii="Times New Roman" w:hAnsi="Times New Roman" w:cs="Times New Roman"/>
              </w:rPr>
              <w:t>most recent Annual Performance Statement</w:t>
            </w:r>
            <w:r w:rsidR="00082BD0">
              <w:rPr>
                <w:rFonts w:ascii="Times New Roman" w:hAnsi="Times New Roman" w:cs="Times New Roman"/>
              </w:rPr>
              <w:t xml:space="preserve"> (APS)</w:t>
            </w:r>
            <w:r w:rsidR="00BF6457" w:rsidRPr="001E4B9A">
              <w:rPr>
                <w:rFonts w:ascii="Times New Roman" w:hAnsi="Times New Roman" w:cs="Times New Roman"/>
              </w:rPr>
              <w:t xml:space="preserve"> be included in the entity’s </w:t>
            </w:r>
            <w:r w:rsidR="00082BD0">
              <w:rPr>
                <w:rFonts w:ascii="Times New Roman" w:hAnsi="Times New Roman" w:cs="Times New Roman"/>
              </w:rPr>
              <w:t>PBS</w:t>
            </w:r>
            <w:r>
              <w:rPr>
                <w:rFonts w:ascii="Times New Roman" w:hAnsi="Times New Roman" w:cs="Times New Roman"/>
              </w:rPr>
              <w:t xml:space="preserve">. </w:t>
            </w:r>
          </w:p>
          <w:p w:rsidR="00A21BF5" w:rsidRDefault="00C0413C" w:rsidP="00C0413C">
            <w:pPr>
              <w:spacing w:before="60" w:after="120"/>
              <w:rPr>
                <w:rFonts w:ascii="Times New Roman" w:hAnsi="Times New Roman" w:cs="Times New Roman"/>
              </w:rPr>
            </w:pPr>
            <w:r>
              <w:rPr>
                <w:rFonts w:ascii="Times New Roman" w:hAnsi="Times New Roman" w:cs="Times New Roman"/>
              </w:rPr>
              <w:t xml:space="preserve">As the </w:t>
            </w:r>
            <w:r w:rsidR="00C71F6E" w:rsidRPr="001E4B9A">
              <w:rPr>
                <w:rFonts w:ascii="Times New Roman" w:hAnsi="Times New Roman" w:cs="Times New Roman"/>
              </w:rPr>
              <w:t xml:space="preserve">first set </w:t>
            </w:r>
            <w:r w:rsidR="00082BD0">
              <w:rPr>
                <w:rFonts w:ascii="Times New Roman" w:hAnsi="Times New Roman" w:cs="Times New Roman"/>
              </w:rPr>
              <w:t>of APS</w:t>
            </w:r>
            <w:r w:rsidR="005F2FE9">
              <w:rPr>
                <w:rFonts w:ascii="Times New Roman" w:hAnsi="Times New Roman" w:cs="Times New Roman"/>
              </w:rPr>
              <w:t>s</w:t>
            </w:r>
            <w:r w:rsidR="00C71F6E" w:rsidRPr="001E4B9A">
              <w:rPr>
                <w:rFonts w:ascii="Times New Roman" w:hAnsi="Times New Roman" w:cs="Times New Roman"/>
              </w:rPr>
              <w:t xml:space="preserve"> </w:t>
            </w:r>
            <w:r>
              <w:rPr>
                <w:rFonts w:ascii="Times New Roman" w:hAnsi="Times New Roman" w:cs="Times New Roman"/>
              </w:rPr>
              <w:t>are</w:t>
            </w:r>
            <w:r w:rsidR="00C71F6E" w:rsidRPr="001E4B9A">
              <w:rPr>
                <w:rFonts w:ascii="Times New Roman" w:hAnsi="Times New Roman" w:cs="Times New Roman"/>
              </w:rPr>
              <w:t xml:space="preserve"> </w:t>
            </w:r>
            <w:r w:rsidR="00864D14">
              <w:rPr>
                <w:rFonts w:ascii="Times New Roman" w:hAnsi="Times New Roman" w:cs="Times New Roman"/>
              </w:rPr>
              <w:t>to be</w:t>
            </w:r>
            <w:r w:rsidR="00C71F6E" w:rsidRPr="001E4B9A">
              <w:rPr>
                <w:rFonts w:ascii="Times New Roman" w:hAnsi="Times New Roman" w:cs="Times New Roman"/>
              </w:rPr>
              <w:t xml:space="preserve"> inclu</w:t>
            </w:r>
            <w:r w:rsidR="00864D14">
              <w:rPr>
                <w:rFonts w:ascii="Times New Roman" w:hAnsi="Times New Roman" w:cs="Times New Roman"/>
              </w:rPr>
              <w:t>ded</w:t>
            </w:r>
            <w:r w:rsidR="00C71F6E" w:rsidRPr="001E4B9A">
              <w:rPr>
                <w:rFonts w:ascii="Times New Roman" w:hAnsi="Times New Roman" w:cs="Times New Roman"/>
              </w:rPr>
              <w:t xml:space="preserve"> in 2015-16 </w:t>
            </w:r>
            <w:r w:rsidR="00082BD0">
              <w:rPr>
                <w:rFonts w:ascii="Times New Roman" w:hAnsi="Times New Roman" w:cs="Times New Roman"/>
              </w:rPr>
              <w:t>A</w:t>
            </w:r>
            <w:r w:rsidR="00C71F6E" w:rsidRPr="001E4B9A">
              <w:rPr>
                <w:rFonts w:ascii="Times New Roman" w:hAnsi="Times New Roman" w:cs="Times New Roman"/>
              </w:rPr>
              <w:t xml:space="preserve">nnual </w:t>
            </w:r>
            <w:r w:rsidR="00082BD0">
              <w:rPr>
                <w:rFonts w:ascii="Times New Roman" w:hAnsi="Times New Roman" w:cs="Times New Roman"/>
              </w:rPr>
              <w:t>R</w:t>
            </w:r>
            <w:r w:rsidR="00C71F6E" w:rsidRPr="001E4B9A">
              <w:rPr>
                <w:rFonts w:ascii="Times New Roman" w:hAnsi="Times New Roman" w:cs="Times New Roman"/>
              </w:rPr>
              <w:t xml:space="preserve">eports, </w:t>
            </w:r>
            <w:r w:rsidR="00864D14">
              <w:rPr>
                <w:rFonts w:ascii="Times New Roman" w:hAnsi="Times New Roman" w:cs="Times New Roman"/>
              </w:rPr>
              <w:t xml:space="preserve">which are </w:t>
            </w:r>
            <w:r w:rsidR="00C71F6E" w:rsidRPr="001E4B9A">
              <w:rPr>
                <w:rFonts w:ascii="Times New Roman" w:hAnsi="Times New Roman" w:cs="Times New Roman"/>
              </w:rPr>
              <w:t>to be published during October 2016</w:t>
            </w:r>
            <w:r>
              <w:rPr>
                <w:rFonts w:ascii="Times New Roman" w:hAnsi="Times New Roman" w:cs="Times New Roman"/>
              </w:rPr>
              <w:t>, this requirement d</w:t>
            </w:r>
            <w:r w:rsidR="000C5787">
              <w:rPr>
                <w:rFonts w:ascii="Times New Roman" w:hAnsi="Times New Roman" w:cs="Times New Roman"/>
              </w:rPr>
              <w:t>oes</w:t>
            </w:r>
            <w:r>
              <w:rPr>
                <w:rFonts w:ascii="Times New Roman" w:hAnsi="Times New Roman" w:cs="Times New Roman"/>
              </w:rPr>
              <w:t xml:space="preserve"> not apply to the 201</w:t>
            </w:r>
            <w:r w:rsidR="00F93F4D">
              <w:rPr>
                <w:rFonts w:ascii="Times New Roman" w:hAnsi="Times New Roman" w:cs="Times New Roman"/>
              </w:rPr>
              <w:t>6</w:t>
            </w:r>
            <w:r>
              <w:rPr>
                <w:rFonts w:ascii="Times New Roman" w:hAnsi="Times New Roman" w:cs="Times New Roman"/>
              </w:rPr>
              <w:t>-1</w:t>
            </w:r>
            <w:r w:rsidR="00F93F4D">
              <w:rPr>
                <w:rFonts w:ascii="Times New Roman" w:hAnsi="Times New Roman" w:cs="Times New Roman"/>
              </w:rPr>
              <w:t>7</w:t>
            </w:r>
            <w:r>
              <w:rPr>
                <w:rFonts w:ascii="Times New Roman" w:hAnsi="Times New Roman" w:cs="Times New Roman"/>
              </w:rPr>
              <w:t xml:space="preserve"> PBS.</w:t>
            </w:r>
            <w:r w:rsidR="00082BD0">
              <w:rPr>
                <w:rFonts w:ascii="Times New Roman" w:hAnsi="Times New Roman" w:cs="Times New Roman"/>
              </w:rPr>
              <w:t xml:space="preserve"> </w:t>
            </w:r>
            <w:r w:rsidR="00321BCD">
              <w:rPr>
                <w:rFonts w:ascii="Times New Roman" w:hAnsi="Times New Roman" w:cs="Times New Roman"/>
              </w:rPr>
              <w:t>E</w:t>
            </w:r>
            <w:r w:rsidR="00082BD0">
              <w:rPr>
                <w:rFonts w:ascii="Times New Roman" w:hAnsi="Times New Roman" w:cs="Times New Roman"/>
              </w:rPr>
              <w:t>ntities 2015-16 APS will be included in their 2017-18 PBS.</w:t>
            </w:r>
          </w:p>
          <w:p w:rsidR="00A21BF5" w:rsidRDefault="00223CA3" w:rsidP="00A21BF5">
            <w:pPr>
              <w:spacing w:before="60" w:after="120"/>
              <w:rPr>
                <w:rFonts w:ascii="Times New Roman" w:hAnsi="Times New Roman" w:cs="Times New Roman"/>
              </w:rPr>
            </w:pPr>
            <w:r>
              <w:rPr>
                <w:rFonts w:ascii="Times New Roman" w:hAnsi="Times New Roman" w:cs="Times New Roman"/>
              </w:rPr>
              <w:t>E</w:t>
            </w:r>
            <w:r w:rsidR="005C6D5E">
              <w:rPr>
                <w:rFonts w:ascii="Times New Roman" w:hAnsi="Times New Roman" w:cs="Times New Roman"/>
              </w:rPr>
              <w:t>arly consultation</w:t>
            </w:r>
            <w:r w:rsidR="00594EE9">
              <w:rPr>
                <w:rFonts w:ascii="Times New Roman" w:hAnsi="Times New Roman" w:cs="Times New Roman"/>
              </w:rPr>
              <w:t>s</w:t>
            </w:r>
            <w:r w:rsidR="005C6D5E">
              <w:rPr>
                <w:rFonts w:ascii="Times New Roman" w:hAnsi="Times New Roman" w:cs="Times New Roman"/>
              </w:rPr>
              <w:t xml:space="preserve"> ha</w:t>
            </w:r>
            <w:r w:rsidR="00594EE9">
              <w:rPr>
                <w:rFonts w:ascii="Times New Roman" w:hAnsi="Times New Roman" w:cs="Times New Roman"/>
              </w:rPr>
              <w:t>ve</w:t>
            </w:r>
            <w:r w:rsidR="005C6D5E">
              <w:rPr>
                <w:rFonts w:ascii="Times New Roman" w:hAnsi="Times New Roman" w:cs="Times New Roman"/>
              </w:rPr>
              <w:t xml:space="preserve"> indicated that</w:t>
            </w:r>
            <w:r w:rsidR="00A21BF5">
              <w:rPr>
                <w:rFonts w:ascii="Times New Roman" w:hAnsi="Times New Roman" w:cs="Times New Roman"/>
              </w:rPr>
              <w:t xml:space="preserve"> the inclusion of the APS in the PBS has the potential to </w:t>
            </w:r>
            <w:r w:rsidR="005C6D5E">
              <w:rPr>
                <w:rFonts w:ascii="Times New Roman" w:hAnsi="Times New Roman" w:cs="Times New Roman"/>
              </w:rPr>
              <w:t>increase</w:t>
            </w:r>
            <w:r w:rsidR="00A21BF5">
              <w:rPr>
                <w:rFonts w:ascii="Times New Roman" w:hAnsi="Times New Roman" w:cs="Times New Roman"/>
              </w:rPr>
              <w:t xml:space="preserve"> the </w:t>
            </w:r>
            <w:r w:rsidR="005C6D5E">
              <w:rPr>
                <w:rFonts w:ascii="Times New Roman" w:hAnsi="Times New Roman" w:cs="Times New Roman"/>
              </w:rPr>
              <w:t xml:space="preserve">size of </w:t>
            </w:r>
            <w:r w:rsidR="00A21BF5">
              <w:rPr>
                <w:rFonts w:ascii="Times New Roman" w:hAnsi="Times New Roman" w:cs="Times New Roman"/>
              </w:rPr>
              <w:t>PBS</w:t>
            </w:r>
            <w:r w:rsidR="005C6D5E">
              <w:rPr>
                <w:rFonts w:ascii="Times New Roman" w:hAnsi="Times New Roman" w:cs="Times New Roman"/>
              </w:rPr>
              <w:t>s</w:t>
            </w:r>
            <w:r w:rsidR="00A21BF5">
              <w:rPr>
                <w:rFonts w:ascii="Times New Roman" w:hAnsi="Times New Roman" w:cs="Times New Roman"/>
              </w:rPr>
              <w:t xml:space="preserve"> </w:t>
            </w:r>
            <w:r w:rsidR="00294D4C">
              <w:rPr>
                <w:rFonts w:ascii="Times New Roman" w:hAnsi="Times New Roman" w:cs="Times New Roman"/>
              </w:rPr>
              <w:t>significantly</w:t>
            </w:r>
            <w:r w:rsidR="00F50319">
              <w:rPr>
                <w:rFonts w:ascii="Times New Roman" w:hAnsi="Times New Roman" w:cs="Times New Roman"/>
              </w:rPr>
              <w:t>,</w:t>
            </w:r>
            <w:r w:rsidR="00294D4C">
              <w:rPr>
                <w:rFonts w:ascii="Times New Roman" w:hAnsi="Times New Roman" w:cs="Times New Roman"/>
              </w:rPr>
              <w:t xml:space="preserve"> </w:t>
            </w:r>
            <w:r w:rsidR="005C6D5E">
              <w:rPr>
                <w:rFonts w:ascii="Times New Roman" w:hAnsi="Times New Roman" w:cs="Times New Roman"/>
              </w:rPr>
              <w:t>affecting</w:t>
            </w:r>
            <w:r w:rsidR="00A21BF5">
              <w:rPr>
                <w:rFonts w:ascii="Times New Roman" w:hAnsi="Times New Roman" w:cs="Times New Roman"/>
              </w:rPr>
              <w:t xml:space="preserve"> </w:t>
            </w:r>
            <w:r w:rsidR="004C49E7">
              <w:rPr>
                <w:rFonts w:ascii="Times New Roman" w:hAnsi="Times New Roman" w:cs="Times New Roman"/>
              </w:rPr>
              <w:t xml:space="preserve">accessibility </w:t>
            </w:r>
            <w:r w:rsidR="005C6D5E">
              <w:rPr>
                <w:rFonts w:ascii="Times New Roman" w:hAnsi="Times New Roman" w:cs="Times New Roman"/>
              </w:rPr>
              <w:t>and readability</w:t>
            </w:r>
            <w:r w:rsidR="00594EE9">
              <w:rPr>
                <w:rFonts w:ascii="Times New Roman" w:hAnsi="Times New Roman" w:cs="Times New Roman"/>
              </w:rPr>
              <w:t>. This is</w:t>
            </w:r>
            <w:r w:rsidR="00A21BF5">
              <w:rPr>
                <w:rFonts w:ascii="Times New Roman" w:hAnsi="Times New Roman" w:cs="Times New Roman"/>
              </w:rPr>
              <w:t xml:space="preserve"> particularly </w:t>
            </w:r>
            <w:r w:rsidR="00594EE9">
              <w:rPr>
                <w:rFonts w:ascii="Times New Roman" w:hAnsi="Times New Roman" w:cs="Times New Roman"/>
              </w:rPr>
              <w:t xml:space="preserve">the case </w:t>
            </w:r>
            <w:r w:rsidR="00A21BF5">
              <w:rPr>
                <w:rFonts w:ascii="Times New Roman" w:hAnsi="Times New Roman" w:cs="Times New Roman"/>
              </w:rPr>
              <w:t xml:space="preserve">for large portfolios </w:t>
            </w:r>
            <w:r w:rsidR="00594EE9">
              <w:rPr>
                <w:rFonts w:ascii="Times New Roman" w:hAnsi="Times New Roman" w:cs="Times New Roman"/>
              </w:rPr>
              <w:t>that have</w:t>
            </w:r>
            <w:r w:rsidR="00A21BF5">
              <w:rPr>
                <w:rFonts w:ascii="Times New Roman" w:hAnsi="Times New Roman" w:cs="Times New Roman"/>
              </w:rPr>
              <w:t xml:space="preserve"> a number </w:t>
            </w:r>
            <w:r w:rsidR="00594EE9">
              <w:rPr>
                <w:rFonts w:ascii="Times New Roman" w:hAnsi="Times New Roman" w:cs="Times New Roman"/>
              </w:rPr>
              <w:t>of portfolio entities</w:t>
            </w:r>
            <w:r w:rsidR="00294D4C">
              <w:rPr>
                <w:rFonts w:ascii="Times New Roman" w:hAnsi="Times New Roman" w:cs="Times New Roman"/>
              </w:rPr>
              <w:t>, or a large number of programs</w:t>
            </w:r>
            <w:r w:rsidR="00594EE9">
              <w:rPr>
                <w:rFonts w:ascii="Times New Roman" w:hAnsi="Times New Roman" w:cs="Times New Roman"/>
              </w:rPr>
              <w:t xml:space="preserve">. </w:t>
            </w:r>
          </w:p>
          <w:p w:rsidR="00C0413C" w:rsidRPr="001E4B9A" w:rsidRDefault="00C0413C" w:rsidP="00F50319">
            <w:pPr>
              <w:spacing w:before="60" w:after="120"/>
              <w:rPr>
                <w:rFonts w:ascii="Arial Narrow" w:hAnsi="Arial Narrow" w:cs="Arial"/>
              </w:rPr>
            </w:pPr>
            <w:r>
              <w:rPr>
                <w:rFonts w:ascii="Times New Roman" w:hAnsi="Times New Roman" w:cs="Times New Roman"/>
              </w:rPr>
              <w:t xml:space="preserve">Finance </w:t>
            </w:r>
            <w:r w:rsidR="00F50319">
              <w:rPr>
                <w:rFonts w:ascii="Times New Roman" w:hAnsi="Times New Roman" w:cs="Times New Roman"/>
              </w:rPr>
              <w:t>may discuss this</w:t>
            </w:r>
            <w:r>
              <w:rPr>
                <w:rFonts w:ascii="Times New Roman" w:hAnsi="Times New Roman" w:cs="Times New Roman"/>
              </w:rPr>
              <w:t xml:space="preserve"> requirement </w:t>
            </w:r>
            <w:r w:rsidR="00F50319">
              <w:rPr>
                <w:rFonts w:ascii="Times New Roman" w:hAnsi="Times New Roman" w:cs="Times New Roman"/>
              </w:rPr>
              <w:t xml:space="preserve">with the Committee </w:t>
            </w:r>
            <w:r>
              <w:rPr>
                <w:rFonts w:ascii="Times New Roman" w:hAnsi="Times New Roman" w:cs="Times New Roman"/>
              </w:rPr>
              <w:t xml:space="preserve">following the </w:t>
            </w:r>
            <w:r w:rsidR="00F50319">
              <w:rPr>
                <w:rFonts w:ascii="Times New Roman" w:hAnsi="Times New Roman" w:cs="Times New Roman"/>
              </w:rPr>
              <w:t>production</w:t>
            </w:r>
            <w:r>
              <w:rPr>
                <w:rFonts w:ascii="Times New Roman" w:hAnsi="Times New Roman" w:cs="Times New Roman"/>
              </w:rPr>
              <w:t xml:space="preserve"> of the 2015-16 Annual Performance Statements</w:t>
            </w:r>
            <w:r w:rsidR="004C49E7">
              <w:rPr>
                <w:rFonts w:ascii="Times New Roman" w:hAnsi="Times New Roman" w:cs="Times New Roman"/>
              </w:rPr>
              <w:t>.</w:t>
            </w:r>
          </w:p>
        </w:tc>
      </w:tr>
      <w:tr w:rsidR="00503086" w:rsidRPr="001E4B9A" w:rsidTr="00E62CD0">
        <w:tc>
          <w:tcPr>
            <w:tcW w:w="4219" w:type="dxa"/>
          </w:tcPr>
          <w:p w:rsidR="00E877D3" w:rsidRPr="001E4B9A" w:rsidRDefault="00E877D3" w:rsidP="0015073A">
            <w:pPr>
              <w:spacing w:before="60" w:after="120"/>
              <w:rPr>
                <w:rFonts w:ascii="Times New Roman" w:hAnsi="Times New Roman" w:cs="Times New Roman"/>
                <w:b/>
              </w:rPr>
            </w:pPr>
            <w:r w:rsidRPr="001E4B9A">
              <w:rPr>
                <w:rFonts w:ascii="Times New Roman" w:hAnsi="Times New Roman" w:cs="Times New Roman"/>
                <w:b/>
              </w:rPr>
              <w:t xml:space="preserve">Recommendation 6 </w:t>
            </w:r>
          </w:p>
          <w:p w:rsidR="00E877D3" w:rsidRPr="001E4B9A" w:rsidRDefault="00E877D3" w:rsidP="0015073A">
            <w:pPr>
              <w:spacing w:after="120"/>
              <w:rPr>
                <w:rFonts w:ascii="Times New Roman" w:hAnsi="Times New Roman" w:cs="Times New Roman"/>
              </w:rPr>
            </w:pPr>
            <w:r w:rsidRPr="001E4B9A">
              <w:rPr>
                <w:rFonts w:ascii="Times New Roman" w:hAnsi="Times New Roman" w:cs="Times New Roman"/>
              </w:rPr>
              <w:t xml:space="preserve">That the Department of Finance consider amending the Direction issuing requirements for performance information in Portfolio Budget Statements to include a minimum requirement or explicit statement that entities must update their corporate plans as soon as practicable following relevant appropriations being approved by Parliament. </w:t>
            </w:r>
          </w:p>
          <w:p w:rsidR="002D1F9C" w:rsidRDefault="00E877D3" w:rsidP="0015073A">
            <w:pPr>
              <w:spacing w:after="120"/>
              <w:rPr>
                <w:rFonts w:ascii="Arial Narrow" w:hAnsi="Arial Narrow" w:cs="Arial"/>
              </w:rPr>
            </w:pPr>
            <w:r w:rsidRPr="001E4B9A">
              <w:rPr>
                <w:rFonts w:ascii="Times New Roman" w:hAnsi="Times New Roman" w:cs="Times New Roman"/>
              </w:rPr>
              <w:t>Further, the Committee requests that the Department of Finance consider and report on ways in which draft updates to entity corporate plans — conditional on budget appropriation — might be provided for Senate Estimates scrutiny following the tabling of each budget proposal.</w:t>
            </w:r>
          </w:p>
          <w:p w:rsidR="00503086" w:rsidRPr="002D1F9C" w:rsidRDefault="002D1F9C" w:rsidP="002D1F9C">
            <w:pPr>
              <w:tabs>
                <w:tab w:val="left" w:pos="939"/>
              </w:tabs>
              <w:rPr>
                <w:rFonts w:ascii="Arial Narrow" w:hAnsi="Arial Narrow" w:cs="Arial"/>
              </w:rPr>
            </w:pPr>
            <w:r>
              <w:rPr>
                <w:rFonts w:ascii="Arial Narrow" w:hAnsi="Arial Narrow" w:cs="Arial"/>
              </w:rPr>
              <w:tab/>
            </w:r>
          </w:p>
        </w:tc>
        <w:tc>
          <w:tcPr>
            <w:tcW w:w="5023" w:type="dxa"/>
          </w:tcPr>
          <w:p w:rsidR="00563AED" w:rsidRPr="001E4B9A" w:rsidRDefault="007D41A2" w:rsidP="00563AED">
            <w:pPr>
              <w:spacing w:before="60" w:after="120"/>
              <w:rPr>
                <w:rFonts w:ascii="Times New Roman" w:hAnsi="Times New Roman" w:cs="Times New Roman"/>
                <w:b/>
                <w:i/>
              </w:rPr>
            </w:pPr>
            <w:r>
              <w:rPr>
                <w:rFonts w:ascii="Times New Roman" w:hAnsi="Times New Roman" w:cs="Times New Roman"/>
                <w:b/>
                <w:i/>
              </w:rPr>
              <w:t>The Government agree</w:t>
            </w:r>
            <w:r w:rsidR="003979B0">
              <w:rPr>
                <w:rFonts w:ascii="Times New Roman" w:hAnsi="Times New Roman" w:cs="Times New Roman"/>
                <w:b/>
                <w:i/>
              </w:rPr>
              <w:t>s</w:t>
            </w:r>
            <w:r>
              <w:rPr>
                <w:rFonts w:ascii="Times New Roman" w:hAnsi="Times New Roman" w:cs="Times New Roman"/>
                <w:b/>
                <w:i/>
              </w:rPr>
              <w:t xml:space="preserve"> </w:t>
            </w:r>
          </w:p>
          <w:p w:rsidR="003979B0" w:rsidRPr="001E4B9A" w:rsidRDefault="003979B0" w:rsidP="003979B0">
            <w:pPr>
              <w:spacing w:before="60" w:after="120"/>
              <w:rPr>
                <w:rFonts w:ascii="Times New Roman" w:hAnsi="Times New Roman" w:cs="Times New Roman"/>
              </w:rPr>
            </w:pPr>
            <w:r>
              <w:rPr>
                <w:rFonts w:ascii="Times New Roman" w:hAnsi="Times New Roman" w:cs="Times New Roman"/>
              </w:rPr>
              <w:t xml:space="preserve">It is agreed that, where relevant, </w:t>
            </w:r>
            <w:r w:rsidRPr="001E4B9A">
              <w:rPr>
                <w:rFonts w:ascii="Times New Roman" w:hAnsi="Times New Roman" w:cs="Times New Roman"/>
              </w:rPr>
              <w:t>an entity’s corporate plan should be updated as soon as practicable following relevant appropriations being approved by Parliament.</w:t>
            </w:r>
          </w:p>
          <w:p w:rsidR="00755E6D" w:rsidRDefault="00890B77" w:rsidP="00AA1938">
            <w:pPr>
              <w:spacing w:before="60" w:after="120"/>
              <w:rPr>
                <w:rFonts w:ascii="Times New Roman" w:hAnsi="Times New Roman" w:cs="Times New Roman"/>
              </w:rPr>
            </w:pPr>
            <w:r>
              <w:rPr>
                <w:rFonts w:ascii="Times New Roman" w:hAnsi="Times New Roman" w:cs="Times New Roman"/>
              </w:rPr>
              <w:t xml:space="preserve">The </w:t>
            </w:r>
            <w:r w:rsidR="001A1193">
              <w:rPr>
                <w:rFonts w:ascii="Times New Roman" w:hAnsi="Times New Roman" w:cs="Times New Roman"/>
              </w:rPr>
              <w:t>Finance Secretary’s direction requires entit</w:t>
            </w:r>
            <w:r w:rsidR="00F959C2">
              <w:rPr>
                <w:rFonts w:ascii="Times New Roman" w:hAnsi="Times New Roman" w:cs="Times New Roman"/>
              </w:rPr>
              <w:t>ie</w:t>
            </w:r>
            <w:r w:rsidR="001A1193">
              <w:rPr>
                <w:rFonts w:ascii="Times New Roman" w:hAnsi="Times New Roman" w:cs="Times New Roman"/>
              </w:rPr>
              <w:t xml:space="preserve">s to </w:t>
            </w:r>
            <w:r w:rsidR="00460046">
              <w:rPr>
                <w:rFonts w:ascii="Times New Roman" w:hAnsi="Times New Roman" w:cs="Times New Roman"/>
              </w:rPr>
              <w:t xml:space="preserve">report all performance criteria, targets </w:t>
            </w:r>
            <w:r w:rsidR="00460046" w:rsidRPr="00E408A0">
              <w:rPr>
                <w:rFonts w:ascii="Times New Roman" w:hAnsi="Times New Roman" w:cs="Times New Roman"/>
              </w:rPr>
              <w:t xml:space="preserve">and expected dates of achievement </w:t>
            </w:r>
            <w:r w:rsidR="00460046">
              <w:rPr>
                <w:rFonts w:ascii="Times New Roman" w:hAnsi="Times New Roman" w:cs="Times New Roman"/>
              </w:rPr>
              <w:t xml:space="preserve">in their PBS where there are new programs, or material changes to existing programs as a result of </w:t>
            </w:r>
            <w:r w:rsidR="00460046" w:rsidRPr="001E4B9A">
              <w:rPr>
                <w:rFonts w:ascii="Times New Roman" w:hAnsi="Times New Roman" w:cs="Times New Roman"/>
              </w:rPr>
              <w:t>budget measures</w:t>
            </w:r>
            <w:r w:rsidR="00460046">
              <w:rPr>
                <w:rFonts w:ascii="Times New Roman" w:hAnsi="Times New Roman" w:cs="Times New Roman"/>
              </w:rPr>
              <w:t xml:space="preserve">. This will </w:t>
            </w:r>
            <w:r w:rsidR="00293B67">
              <w:rPr>
                <w:rFonts w:ascii="Times New Roman" w:hAnsi="Times New Roman" w:cs="Times New Roman"/>
              </w:rPr>
              <w:t xml:space="preserve">allow for </w:t>
            </w:r>
            <w:r w:rsidR="00460046">
              <w:rPr>
                <w:rFonts w:ascii="Times New Roman" w:hAnsi="Times New Roman" w:cs="Times New Roman"/>
              </w:rPr>
              <w:t xml:space="preserve">Senate Estimates </w:t>
            </w:r>
            <w:r w:rsidR="00293B67">
              <w:rPr>
                <w:rFonts w:ascii="Times New Roman" w:hAnsi="Times New Roman" w:cs="Times New Roman"/>
              </w:rPr>
              <w:t>scrutiny</w:t>
            </w:r>
            <w:r w:rsidR="00294D4C">
              <w:rPr>
                <w:rFonts w:ascii="Times New Roman" w:hAnsi="Times New Roman" w:cs="Times New Roman"/>
              </w:rPr>
              <w:t xml:space="preserve"> of the performance information </w:t>
            </w:r>
            <w:r w:rsidR="00E00E36">
              <w:rPr>
                <w:rFonts w:ascii="Times New Roman" w:hAnsi="Times New Roman" w:cs="Times New Roman"/>
              </w:rPr>
              <w:t>of all new or materially changed</w:t>
            </w:r>
            <w:r w:rsidR="00294D4C">
              <w:rPr>
                <w:rFonts w:ascii="Times New Roman" w:hAnsi="Times New Roman" w:cs="Times New Roman"/>
              </w:rPr>
              <w:t xml:space="preserve"> programs</w:t>
            </w:r>
            <w:r w:rsidR="00293B67">
              <w:rPr>
                <w:rFonts w:ascii="Times New Roman" w:hAnsi="Times New Roman" w:cs="Times New Roman"/>
              </w:rPr>
              <w:t xml:space="preserve"> following the tabling of budget proposals.</w:t>
            </w:r>
            <w:r w:rsidR="00755E6D">
              <w:rPr>
                <w:rFonts w:ascii="Times New Roman" w:hAnsi="Times New Roman" w:cs="Times New Roman"/>
              </w:rPr>
              <w:t xml:space="preserve"> </w:t>
            </w:r>
          </w:p>
          <w:p w:rsidR="002D1F9C" w:rsidRPr="001E4B9A" w:rsidRDefault="00755E6D" w:rsidP="002D1F9C">
            <w:pPr>
              <w:spacing w:before="60"/>
              <w:rPr>
                <w:rFonts w:ascii="Arial Narrow" w:hAnsi="Arial Narrow" w:cs="Arial"/>
              </w:rPr>
            </w:pPr>
            <w:r>
              <w:rPr>
                <w:rFonts w:ascii="Times New Roman" w:hAnsi="Times New Roman" w:cs="Times New Roman"/>
              </w:rPr>
              <w:t>As a result of this requirement</w:t>
            </w:r>
            <w:r w:rsidR="005933C0">
              <w:rPr>
                <w:rFonts w:ascii="Times New Roman" w:hAnsi="Times New Roman" w:cs="Times New Roman"/>
              </w:rPr>
              <w:t xml:space="preserve">, there </w:t>
            </w:r>
            <w:r w:rsidR="003979B0">
              <w:rPr>
                <w:rFonts w:ascii="Times New Roman" w:hAnsi="Times New Roman" w:cs="Times New Roman"/>
              </w:rPr>
              <w:t xml:space="preserve">may be </w:t>
            </w:r>
            <w:r w:rsidR="005933C0">
              <w:rPr>
                <w:rFonts w:ascii="Times New Roman" w:hAnsi="Times New Roman" w:cs="Times New Roman"/>
              </w:rPr>
              <w:t>no need for draft updates to corporate plans to be provided for Senate Estimates.</w:t>
            </w:r>
          </w:p>
        </w:tc>
      </w:tr>
    </w:tbl>
    <w:p w:rsidR="00E23831" w:rsidRDefault="00E23831" w:rsidP="002D1F9C"/>
    <w:sectPr w:rsidR="00E23831" w:rsidSect="002D1F9C">
      <w:footerReference w:type="default" r:id="rId8"/>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C0" w:rsidRDefault="005933C0" w:rsidP="00E23831">
      <w:pPr>
        <w:spacing w:after="0" w:line="240" w:lineRule="auto"/>
      </w:pPr>
      <w:r>
        <w:separator/>
      </w:r>
    </w:p>
  </w:endnote>
  <w:endnote w:type="continuationSeparator" w:id="0">
    <w:p w:rsidR="005933C0" w:rsidRDefault="005933C0" w:rsidP="00E2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54294410"/>
      <w:docPartObj>
        <w:docPartGallery w:val="Page Numbers (Bottom of Page)"/>
        <w:docPartUnique/>
      </w:docPartObj>
    </w:sdtPr>
    <w:sdtEndPr/>
    <w:sdtContent>
      <w:sdt>
        <w:sdtPr>
          <w:rPr>
            <w:rFonts w:ascii="Times New Roman" w:hAnsi="Times New Roman" w:cs="Times New Roman"/>
            <w:sz w:val="20"/>
            <w:szCs w:val="20"/>
          </w:rPr>
          <w:id w:val="565050523"/>
          <w:docPartObj>
            <w:docPartGallery w:val="Page Numbers (Top of Page)"/>
            <w:docPartUnique/>
          </w:docPartObj>
        </w:sdtPr>
        <w:sdtEndPr/>
        <w:sdtContent>
          <w:p w:rsidR="005933C0" w:rsidRPr="007877AB" w:rsidRDefault="005933C0">
            <w:pPr>
              <w:pStyle w:val="Footer"/>
              <w:jc w:val="right"/>
              <w:rPr>
                <w:rFonts w:ascii="Times New Roman" w:hAnsi="Times New Roman" w:cs="Times New Roman"/>
                <w:sz w:val="20"/>
                <w:szCs w:val="20"/>
              </w:rPr>
            </w:pPr>
            <w:r w:rsidRPr="007877AB">
              <w:rPr>
                <w:rFonts w:ascii="Times New Roman" w:hAnsi="Times New Roman" w:cs="Times New Roman"/>
                <w:sz w:val="20"/>
                <w:szCs w:val="20"/>
              </w:rPr>
              <w:t xml:space="preserve">Page </w:t>
            </w:r>
            <w:r w:rsidR="00303142" w:rsidRPr="007877AB">
              <w:rPr>
                <w:rFonts w:ascii="Times New Roman" w:hAnsi="Times New Roman" w:cs="Times New Roman"/>
                <w:b/>
                <w:sz w:val="20"/>
                <w:szCs w:val="20"/>
              </w:rPr>
              <w:fldChar w:fldCharType="begin"/>
            </w:r>
            <w:r w:rsidRPr="007877AB">
              <w:rPr>
                <w:rFonts w:ascii="Times New Roman" w:hAnsi="Times New Roman" w:cs="Times New Roman"/>
                <w:b/>
                <w:sz w:val="20"/>
                <w:szCs w:val="20"/>
              </w:rPr>
              <w:instrText xml:space="preserve"> PAGE </w:instrText>
            </w:r>
            <w:r w:rsidR="00303142" w:rsidRPr="007877AB">
              <w:rPr>
                <w:rFonts w:ascii="Times New Roman" w:hAnsi="Times New Roman" w:cs="Times New Roman"/>
                <w:b/>
                <w:sz w:val="20"/>
                <w:szCs w:val="20"/>
              </w:rPr>
              <w:fldChar w:fldCharType="separate"/>
            </w:r>
            <w:r w:rsidR="00723E71">
              <w:rPr>
                <w:rFonts w:ascii="Times New Roman" w:hAnsi="Times New Roman" w:cs="Times New Roman"/>
                <w:b/>
                <w:noProof/>
                <w:sz w:val="20"/>
                <w:szCs w:val="20"/>
              </w:rPr>
              <w:t>2</w:t>
            </w:r>
            <w:r w:rsidR="00303142" w:rsidRPr="007877AB">
              <w:rPr>
                <w:rFonts w:ascii="Times New Roman" w:hAnsi="Times New Roman" w:cs="Times New Roman"/>
                <w:b/>
                <w:sz w:val="20"/>
                <w:szCs w:val="20"/>
              </w:rPr>
              <w:fldChar w:fldCharType="end"/>
            </w:r>
            <w:r w:rsidRPr="007877AB">
              <w:rPr>
                <w:rFonts w:ascii="Times New Roman" w:hAnsi="Times New Roman" w:cs="Times New Roman"/>
                <w:sz w:val="20"/>
                <w:szCs w:val="20"/>
              </w:rPr>
              <w:t xml:space="preserve"> of </w:t>
            </w:r>
            <w:r w:rsidR="00303142" w:rsidRPr="007877AB">
              <w:rPr>
                <w:rFonts w:ascii="Times New Roman" w:hAnsi="Times New Roman" w:cs="Times New Roman"/>
                <w:b/>
                <w:sz w:val="20"/>
                <w:szCs w:val="20"/>
              </w:rPr>
              <w:fldChar w:fldCharType="begin"/>
            </w:r>
            <w:r w:rsidRPr="007877AB">
              <w:rPr>
                <w:rFonts w:ascii="Times New Roman" w:hAnsi="Times New Roman" w:cs="Times New Roman"/>
                <w:b/>
                <w:sz w:val="20"/>
                <w:szCs w:val="20"/>
              </w:rPr>
              <w:instrText xml:space="preserve"> NUMPAGES  </w:instrText>
            </w:r>
            <w:r w:rsidR="00303142" w:rsidRPr="007877AB">
              <w:rPr>
                <w:rFonts w:ascii="Times New Roman" w:hAnsi="Times New Roman" w:cs="Times New Roman"/>
                <w:b/>
                <w:sz w:val="20"/>
                <w:szCs w:val="20"/>
              </w:rPr>
              <w:fldChar w:fldCharType="separate"/>
            </w:r>
            <w:r w:rsidR="00723E71">
              <w:rPr>
                <w:rFonts w:ascii="Times New Roman" w:hAnsi="Times New Roman" w:cs="Times New Roman"/>
                <w:b/>
                <w:noProof/>
                <w:sz w:val="20"/>
                <w:szCs w:val="20"/>
              </w:rPr>
              <w:t>4</w:t>
            </w:r>
            <w:r w:rsidR="00303142" w:rsidRPr="007877AB">
              <w:rPr>
                <w:rFonts w:ascii="Times New Roman" w:hAnsi="Times New Roman" w:cs="Times New Roman"/>
                <w:b/>
                <w:sz w:val="20"/>
                <w:szCs w:val="20"/>
              </w:rPr>
              <w:fldChar w:fldCharType="end"/>
            </w:r>
          </w:p>
        </w:sdtContent>
      </w:sdt>
    </w:sdtContent>
  </w:sdt>
  <w:p w:rsidR="005933C0" w:rsidRDefault="0059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C0" w:rsidRDefault="005933C0" w:rsidP="00E23831">
      <w:pPr>
        <w:spacing w:after="0" w:line="240" w:lineRule="auto"/>
      </w:pPr>
      <w:r>
        <w:separator/>
      </w:r>
    </w:p>
  </w:footnote>
  <w:footnote w:type="continuationSeparator" w:id="0">
    <w:p w:rsidR="005933C0" w:rsidRDefault="005933C0" w:rsidP="00E23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31"/>
    <w:rsid w:val="0001070A"/>
    <w:rsid w:val="00027A2C"/>
    <w:rsid w:val="000430BC"/>
    <w:rsid w:val="000543D5"/>
    <w:rsid w:val="000604A6"/>
    <w:rsid w:val="00082BD0"/>
    <w:rsid w:val="000834EC"/>
    <w:rsid w:val="00096FB1"/>
    <w:rsid w:val="000A5FE3"/>
    <w:rsid w:val="000B3C45"/>
    <w:rsid w:val="000C5787"/>
    <w:rsid w:val="000D34E7"/>
    <w:rsid w:val="000D36C5"/>
    <w:rsid w:val="000D4792"/>
    <w:rsid w:val="000E58E0"/>
    <w:rsid w:val="000F1199"/>
    <w:rsid w:val="000F700E"/>
    <w:rsid w:val="00102B3B"/>
    <w:rsid w:val="001106C4"/>
    <w:rsid w:val="00125FC8"/>
    <w:rsid w:val="0012600C"/>
    <w:rsid w:val="0013310A"/>
    <w:rsid w:val="00136A8C"/>
    <w:rsid w:val="0015073A"/>
    <w:rsid w:val="00184F55"/>
    <w:rsid w:val="0019390C"/>
    <w:rsid w:val="001A1193"/>
    <w:rsid w:val="001B3142"/>
    <w:rsid w:val="001B7AC3"/>
    <w:rsid w:val="001C2481"/>
    <w:rsid w:val="001D4EFC"/>
    <w:rsid w:val="001E4B9A"/>
    <w:rsid w:val="0020525A"/>
    <w:rsid w:val="00206D6A"/>
    <w:rsid w:val="00222798"/>
    <w:rsid w:val="00223CA3"/>
    <w:rsid w:val="00233990"/>
    <w:rsid w:val="00246E03"/>
    <w:rsid w:val="00255B07"/>
    <w:rsid w:val="00260372"/>
    <w:rsid w:val="0026519E"/>
    <w:rsid w:val="002672E6"/>
    <w:rsid w:val="00283E30"/>
    <w:rsid w:val="0029268E"/>
    <w:rsid w:val="00293B67"/>
    <w:rsid w:val="00294D4C"/>
    <w:rsid w:val="002A2168"/>
    <w:rsid w:val="002B0B2E"/>
    <w:rsid w:val="002B58B3"/>
    <w:rsid w:val="002C5873"/>
    <w:rsid w:val="002D1F9C"/>
    <w:rsid w:val="002D2381"/>
    <w:rsid w:val="002D2F54"/>
    <w:rsid w:val="002D628E"/>
    <w:rsid w:val="002E3CF0"/>
    <w:rsid w:val="002F200A"/>
    <w:rsid w:val="003011BB"/>
    <w:rsid w:val="003013F3"/>
    <w:rsid w:val="00303142"/>
    <w:rsid w:val="00320981"/>
    <w:rsid w:val="00321477"/>
    <w:rsid w:val="00321BCD"/>
    <w:rsid w:val="003246EA"/>
    <w:rsid w:val="0037418F"/>
    <w:rsid w:val="00375C3A"/>
    <w:rsid w:val="003979B0"/>
    <w:rsid w:val="003A5085"/>
    <w:rsid w:val="003B68C7"/>
    <w:rsid w:val="003D368C"/>
    <w:rsid w:val="003D714C"/>
    <w:rsid w:val="003F70E2"/>
    <w:rsid w:val="0040556C"/>
    <w:rsid w:val="00405BFA"/>
    <w:rsid w:val="00413695"/>
    <w:rsid w:val="00416252"/>
    <w:rsid w:val="0041688F"/>
    <w:rsid w:val="004239BB"/>
    <w:rsid w:val="00423A08"/>
    <w:rsid w:val="0043095C"/>
    <w:rsid w:val="00445F26"/>
    <w:rsid w:val="004470EF"/>
    <w:rsid w:val="00460046"/>
    <w:rsid w:val="0046390C"/>
    <w:rsid w:val="00471C5F"/>
    <w:rsid w:val="0047475D"/>
    <w:rsid w:val="004B7D22"/>
    <w:rsid w:val="004C49E7"/>
    <w:rsid w:val="004C5927"/>
    <w:rsid w:val="004F1A38"/>
    <w:rsid w:val="0050006E"/>
    <w:rsid w:val="00503086"/>
    <w:rsid w:val="005030B1"/>
    <w:rsid w:val="005068DD"/>
    <w:rsid w:val="0051201C"/>
    <w:rsid w:val="00513F78"/>
    <w:rsid w:val="00527EC8"/>
    <w:rsid w:val="005301AD"/>
    <w:rsid w:val="005312BA"/>
    <w:rsid w:val="00532074"/>
    <w:rsid w:val="00542797"/>
    <w:rsid w:val="00563AED"/>
    <w:rsid w:val="00564895"/>
    <w:rsid w:val="00567040"/>
    <w:rsid w:val="00574F6D"/>
    <w:rsid w:val="00575F89"/>
    <w:rsid w:val="00586335"/>
    <w:rsid w:val="005933C0"/>
    <w:rsid w:val="00594EE9"/>
    <w:rsid w:val="005A6821"/>
    <w:rsid w:val="005B3E3F"/>
    <w:rsid w:val="005C4E98"/>
    <w:rsid w:val="005C6D5E"/>
    <w:rsid w:val="005D0AF5"/>
    <w:rsid w:val="005D1EFC"/>
    <w:rsid w:val="005D5CD6"/>
    <w:rsid w:val="005F2FE9"/>
    <w:rsid w:val="00600C99"/>
    <w:rsid w:val="006273BA"/>
    <w:rsid w:val="006367E6"/>
    <w:rsid w:val="00653BE6"/>
    <w:rsid w:val="00654036"/>
    <w:rsid w:val="006632A9"/>
    <w:rsid w:val="0067607A"/>
    <w:rsid w:val="00680CD6"/>
    <w:rsid w:val="006A18ED"/>
    <w:rsid w:val="006B667E"/>
    <w:rsid w:val="006B7F42"/>
    <w:rsid w:val="006D15CF"/>
    <w:rsid w:val="006E7090"/>
    <w:rsid w:val="006F66BC"/>
    <w:rsid w:val="006F791E"/>
    <w:rsid w:val="00717559"/>
    <w:rsid w:val="00722C62"/>
    <w:rsid w:val="00723E71"/>
    <w:rsid w:val="007240A9"/>
    <w:rsid w:val="00727581"/>
    <w:rsid w:val="00743C31"/>
    <w:rsid w:val="00752EA1"/>
    <w:rsid w:val="00755E6D"/>
    <w:rsid w:val="00762E92"/>
    <w:rsid w:val="00765802"/>
    <w:rsid w:val="007822D3"/>
    <w:rsid w:val="00785B15"/>
    <w:rsid w:val="007877AB"/>
    <w:rsid w:val="007B4BF3"/>
    <w:rsid w:val="007C2D77"/>
    <w:rsid w:val="007D3CE0"/>
    <w:rsid w:val="007D41A2"/>
    <w:rsid w:val="007F37AB"/>
    <w:rsid w:val="007F4ABF"/>
    <w:rsid w:val="007F6058"/>
    <w:rsid w:val="00800605"/>
    <w:rsid w:val="00802A65"/>
    <w:rsid w:val="008033CD"/>
    <w:rsid w:val="008266DC"/>
    <w:rsid w:val="008378A0"/>
    <w:rsid w:val="008458ED"/>
    <w:rsid w:val="008520CA"/>
    <w:rsid w:val="00853608"/>
    <w:rsid w:val="008558FF"/>
    <w:rsid w:val="00864D14"/>
    <w:rsid w:val="008658C9"/>
    <w:rsid w:val="00873006"/>
    <w:rsid w:val="0088348E"/>
    <w:rsid w:val="00884DC7"/>
    <w:rsid w:val="00890B77"/>
    <w:rsid w:val="00893F8A"/>
    <w:rsid w:val="008B338E"/>
    <w:rsid w:val="008C7F56"/>
    <w:rsid w:val="008D7CE6"/>
    <w:rsid w:val="008E0057"/>
    <w:rsid w:val="008E0585"/>
    <w:rsid w:val="008F1742"/>
    <w:rsid w:val="008F2ED0"/>
    <w:rsid w:val="008F4627"/>
    <w:rsid w:val="009220A6"/>
    <w:rsid w:val="0092312A"/>
    <w:rsid w:val="00924B25"/>
    <w:rsid w:val="00955537"/>
    <w:rsid w:val="00960BDD"/>
    <w:rsid w:val="00960CB7"/>
    <w:rsid w:val="009649E7"/>
    <w:rsid w:val="009676CC"/>
    <w:rsid w:val="00985B97"/>
    <w:rsid w:val="00992CB5"/>
    <w:rsid w:val="00995A95"/>
    <w:rsid w:val="009A025D"/>
    <w:rsid w:val="009A2A6E"/>
    <w:rsid w:val="009A6BD1"/>
    <w:rsid w:val="009D1389"/>
    <w:rsid w:val="009D57E2"/>
    <w:rsid w:val="009E60B5"/>
    <w:rsid w:val="009E7652"/>
    <w:rsid w:val="009F3D79"/>
    <w:rsid w:val="00A023C7"/>
    <w:rsid w:val="00A1340F"/>
    <w:rsid w:val="00A2114B"/>
    <w:rsid w:val="00A21BF5"/>
    <w:rsid w:val="00A254AF"/>
    <w:rsid w:val="00A257DE"/>
    <w:rsid w:val="00A53B23"/>
    <w:rsid w:val="00A65CA5"/>
    <w:rsid w:val="00A726FC"/>
    <w:rsid w:val="00A7584E"/>
    <w:rsid w:val="00A76C14"/>
    <w:rsid w:val="00A770C6"/>
    <w:rsid w:val="00A94E72"/>
    <w:rsid w:val="00AA1938"/>
    <w:rsid w:val="00AA3C22"/>
    <w:rsid w:val="00AB1453"/>
    <w:rsid w:val="00AB40A1"/>
    <w:rsid w:val="00AB7334"/>
    <w:rsid w:val="00AB745B"/>
    <w:rsid w:val="00AD647E"/>
    <w:rsid w:val="00B03139"/>
    <w:rsid w:val="00B1691D"/>
    <w:rsid w:val="00B17B5C"/>
    <w:rsid w:val="00B32371"/>
    <w:rsid w:val="00B44784"/>
    <w:rsid w:val="00B56AB6"/>
    <w:rsid w:val="00B646D0"/>
    <w:rsid w:val="00B66FDB"/>
    <w:rsid w:val="00B67DFA"/>
    <w:rsid w:val="00BC6EE4"/>
    <w:rsid w:val="00BD4083"/>
    <w:rsid w:val="00BE21E6"/>
    <w:rsid w:val="00BF6457"/>
    <w:rsid w:val="00C0413C"/>
    <w:rsid w:val="00C121A4"/>
    <w:rsid w:val="00C14872"/>
    <w:rsid w:val="00C4231F"/>
    <w:rsid w:val="00C6345D"/>
    <w:rsid w:val="00C70564"/>
    <w:rsid w:val="00C71F6E"/>
    <w:rsid w:val="00C72EFB"/>
    <w:rsid w:val="00C858E7"/>
    <w:rsid w:val="00C86077"/>
    <w:rsid w:val="00C9752E"/>
    <w:rsid w:val="00CA3C94"/>
    <w:rsid w:val="00CB08A6"/>
    <w:rsid w:val="00CB4A44"/>
    <w:rsid w:val="00CE10B5"/>
    <w:rsid w:val="00CF1061"/>
    <w:rsid w:val="00CF4BBC"/>
    <w:rsid w:val="00CF6C73"/>
    <w:rsid w:val="00D01599"/>
    <w:rsid w:val="00D057CC"/>
    <w:rsid w:val="00D0644A"/>
    <w:rsid w:val="00D33156"/>
    <w:rsid w:val="00D34289"/>
    <w:rsid w:val="00D41A4B"/>
    <w:rsid w:val="00D436D5"/>
    <w:rsid w:val="00D43C1B"/>
    <w:rsid w:val="00D448BC"/>
    <w:rsid w:val="00D4550B"/>
    <w:rsid w:val="00D470FF"/>
    <w:rsid w:val="00D472CF"/>
    <w:rsid w:val="00D718C9"/>
    <w:rsid w:val="00DA6CC5"/>
    <w:rsid w:val="00DB6BF8"/>
    <w:rsid w:val="00DD3B24"/>
    <w:rsid w:val="00E00E36"/>
    <w:rsid w:val="00E0288C"/>
    <w:rsid w:val="00E111D3"/>
    <w:rsid w:val="00E131F5"/>
    <w:rsid w:val="00E14992"/>
    <w:rsid w:val="00E152F6"/>
    <w:rsid w:val="00E17249"/>
    <w:rsid w:val="00E1729A"/>
    <w:rsid w:val="00E211C2"/>
    <w:rsid w:val="00E23831"/>
    <w:rsid w:val="00E252C7"/>
    <w:rsid w:val="00E36ACB"/>
    <w:rsid w:val="00E371B6"/>
    <w:rsid w:val="00E408A0"/>
    <w:rsid w:val="00E45E19"/>
    <w:rsid w:val="00E56C2C"/>
    <w:rsid w:val="00E62CD0"/>
    <w:rsid w:val="00E64B07"/>
    <w:rsid w:val="00E755D2"/>
    <w:rsid w:val="00E804D0"/>
    <w:rsid w:val="00E877D3"/>
    <w:rsid w:val="00E90C84"/>
    <w:rsid w:val="00E97B4E"/>
    <w:rsid w:val="00EC1DDB"/>
    <w:rsid w:val="00EC6D09"/>
    <w:rsid w:val="00ED6F7E"/>
    <w:rsid w:val="00EE13F4"/>
    <w:rsid w:val="00EE3165"/>
    <w:rsid w:val="00EF429B"/>
    <w:rsid w:val="00EF6E96"/>
    <w:rsid w:val="00EF7C41"/>
    <w:rsid w:val="00F06801"/>
    <w:rsid w:val="00F149EC"/>
    <w:rsid w:val="00F16F51"/>
    <w:rsid w:val="00F400EB"/>
    <w:rsid w:val="00F50319"/>
    <w:rsid w:val="00F84012"/>
    <w:rsid w:val="00F93F4D"/>
    <w:rsid w:val="00F959C2"/>
    <w:rsid w:val="00FA08C9"/>
    <w:rsid w:val="00FC2615"/>
    <w:rsid w:val="00FD5D10"/>
    <w:rsid w:val="00FD7175"/>
    <w:rsid w:val="00FF1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4012CEA-AAF5-4050-B30B-9BA6DDA6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38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3831"/>
  </w:style>
  <w:style w:type="paragraph" w:styleId="Footer">
    <w:name w:val="footer"/>
    <w:basedOn w:val="Normal"/>
    <w:link w:val="FooterChar"/>
    <w:uiPriority w:val="99"/>
    <w:unhideWhenUsed/>
    <w:rsid w:val="00E23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831"/>
  </w:style>
  <w:style w:type="paragraph" w:styleId="BalloonText">
    <w:name w:val="Balloon Text"/>
    <w:basedOn w:val="Normal"/>
    <w:link w:val="BalloonTextChar"/>
    <w:uiPriority w:val="99"/>
    <w:semiHidden/>
    <w:unhideWhenUsed/>
    <w:rsid w:val="00E2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831"/>
    <w:rPr>
      <w:rFonts w:ascii="Tahoma" w:hAnsi="Tahoma" w:cs="Tahoma"/>
      <w:sz w:val="16"/>
      <w:szCs w:val="16"/>
    </w:rPr>
  </w:style>
  <w:style w:type="table" w:styleId="TableGrid">
    <w:name w:val="Table Grid"/>
    <w:basedOn w:val="TableNormal"/>
    <w:uiPriority w:val="59"/>
    <w:rsid w:val="0050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073A"/>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7877AB"/>
    <w:rPr>
      <w:color w:val="0000FF" w:themeColor="hyperlink"/>
      <w:u w:val="single"/>
    </w:rPr>
  </w:style>
  <w:style w:type="paragraph" w:styleId="EndnoteText">
    <w:name w:val="endnote text"/>
    <w:basedOn w:val="Normal"/>
    <w:link w:val="EndnoteTextChar"/>
    <w:uiPriority w:val="99"/>
    <w:semiHidden/>
    <w:unhideWhenUsed/>
    <w:rsid w:val="004168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88F"/>
    <w:rPr>
      <w:sz w:val="20"/>
      <w:szCs w:val="20"/>
    </w:rPr>
  </w:style>
  <w:style w:type="character" w:styleId="EndnoteReference">
    <w:name w:val="endnote reference"/>
    <w:basedOn w:val="DefaultParagraphFont"/>
    <w:uiPriority w:val="99"/>
    <w:semiHidden/>
    <w:unhideWhenUsed/>
    <w:rsid w:val="0041688F"/>
    <w:rPr>
      <w:vertAlign w:val="superscript"/>
    </w:rPr>
  </w:style>
  <w:style w:type="paragraph" w:styleId="FootnoteText">
    <w:name w:val="footnote text"/>
    <w:basedOn w:val="Normal"/>
    <w:link w:val="FootnoteTextChar"/>
    <w:uiPriority w:val="99"/>
    <w:semiHidden/>
    <w:unhideWhenUsed/>
    <w:rsid w:val="00D71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8C9"/>
    <w:rPr>
      <w:sz w:val="20"/>
      <w:szCs w:val="20"/>
    </w:rPr>
  </w:style>
  <w:style w:type="character" w:styleId="FootnoteReference">
    <w:name w:val="footnote reference"/>
    <w:basedOn w:val="DefaultParagraphFont"/>
    <w:uiPriority w:val="99"/>
    <w:semiHidden/>
    <w:unhideWhenUsed/>
    <w:rsid w:val="00D718C9"/>
    <w:rPr>
      <w:vertAlign w:val="superscript"/>
    </w:rPr>
  </w:style>
  <w:style w:type="character" w:styleId="CommentReference">
    <w:name w:val="annotation reference"/>
    <w:basedOn w:val="DefaultParagraphFont"/>
    <w:uiPriority w:val="99"/>
    <w:semiHidden/>
    <w:unhideWhenUsed/>
    <w:rsid w:val="000543D5"/>
    <w:rPr>
      <w:sz w:val="16"/>
      <w:szCs w:val="16"/>
    </w:rPr>
  </w:style>
  <w:style w:type="paragraph" w:styleId="CommentText">
    <w:name w:val="annotation text"/>
    <w:basedOn w:val="Normal"/>
    <w:link w:val="CommentTextChar"/>
    <w:uiPriority w:val="99"/>
    <w:semiHidden/>
    <w:unhideWhenUsed/>
    <w:rsid w:val="000543D5"/>
    <w:pPr>
      <w:spacing w:line="240" w:lineRule="auto"/>
    </w:pPr>
    <w:rPr>
      <w:sz w:val="20"/>
      <w:szCs w:val="20"/>
    </w:rPr>
  </w:style>
  <w:style w:type="character" w:customStyle="1" w:styleId="CommentTextChar">
    <w:name w:val="Comment Text Char"/>
    <w:basedOn w:val="DefaultParagraphFont"/>
    <w:link w:val="CommentText"/>
    <w:uiPriority w:val="99"/>
    <w:semiHidden/>
    <w:rsid w:val="000543D5"/>
    <w:rPr>
      <w:sz w:val="20"/>
      <w:szCs w:val="20"/>
    </w:rPr>
  </w:style>
  <w:style w:type="paragraph" w:styleId="CommentSubject">
    <w:name w:val="annotation subject"/>
    <w:basedOn w:val="CommentText"/>
    <w:next w:val="CommentText"/>
    <w:link w:val="CommentSubjectChar"/>
    <w:uiPriority w:val="99"/>
    <w:semiHidden/>
    <w:unhideWhenUsed/>
    <w:rsid w:val="000543D5"/>
    <w:rPr>
      <w:b/>
      <w:bCs/>
    </w:rPr>
  </w:style>
  <w:style w:type="character" w:customStyle="1" w:styleId="CommentSubjectChar">
    <w:name w:val="Comment Subject Char"/>
    <w:basedOn w:val="CommentTextChar"/>
    <w:link w:val="CommentSubject"/>
    <w:uiPriority w:val="99"/>
    <w:semiHidden/>
    <w:rsid w:val="000543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4F4F1-D7F4-4D08-B700-B6279167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Government response to JCPAA report 453 - Development of the Commonwealth Performance Framework</vt:lpstr>
    </vt:vector>
  </TitlesOfParts>
  <Company>FINANCE</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JCPAA report 453 - Development of the Commonwealth Performance Framework</dc:title>
  <dc:subject>Government response to JCPAA report 453 - Development of the Commonwealth Performance Framework</dc:subject>
  <dc:creator>mordav</dc:creator>
  <cp:keywords>Government response, JCPAA report 453, Development of the Commonwealth Performance Framework, Performance Framework, PGPA Act</cp:keywords>
  <cp:lastModifiedBy>Gordon, Helen</cp:lastModifiedBy>
  <cp:revision>3</cp:revision>
  <cp:lastPrinted>2016-10-10T20:10:00Z</cp:lastPrinted>
  <dcterms:created xsi:type="dcterms:W3CDTF">2016-10-10T20:10:00Z</dcterms:created>
  <dcterms:modified xsi:type="dcterms:W3CDTF">2016-10-10T20:11:00Z</dcterms:modified>
  <cp:category>Resource Management</cp:category>
  <cp:contentStatus>Final</cp:contentStatus>
</cp:coreProperties>
</file>