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34"/>
      </w:tblGrid>
      <w:tr w:rsidR="003950E6" w:rsidTr="00441147">
        <w:trPr>
          <w:trHeight w:val="1701"/>
        </w:trPr>
        <w:tc>
          <w:tcPr>
            <w:tcW w:w="9134" w:type="dxa"/>
            <w:tcBorders>
              <w:top w:val="nil"/>
              <w:left w:val="nil"/>
              <w:bottom w:val="nil"/>
              <w:right w:val="nil"/>
            </w:tcBorders>
          </w:tcPr>
          <w:p w:rsidR="00D41B3E" w:rsidRDefault="00BF3B60" w:rsidP="00394AD2">
            <w:pPr>
              <w:pStyle w:val="ReportTagline"/>
              <w:jc w:val="both"/>
            </w:pPr>
            <w:bookmarkStart w:id="0" w:name="BrandTagline"/>
            <w:r>
              <w:rPr>
                <w:noProof/>
                <w:lang w:eastAsia="en-AU"/>
              </w:rPr>
              <mc:AlternateContent>
                <mc:Choice Requires="wpg">
                  <w:drawing>
                    <wp:anchor distT="0" distB="0" distL="114300" distR="114300" simplePos="0" relativeHeight="251667456" behindDoc="1" locked="0" layoutInCell="0" allowOverlap="1" wp14:anchorId="78122471" wp14:editId="6B0D0AF8">
                      <wp:simplePos x="0" y="0"/>
                      <wp:positionH relativeFrom="page">
                        <wp:posOffset>-236764</wp:posOffset>
                      </wp:positionH>
                      <wp:positionV relativeFrom="page">
                        <wp:posOffset>0</wp:posOffset>
                      </wp:positionV>
                      <wp:extent cx="7813221" cy="10009414"/>
                      <wp:effectExtent l="0" t="0" r="0" b="0"/>
                      <wp:wrapNone/>
                      <wp:docPr id="11" name="MMCPrism"/>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813221" cy="10009414"/>
                                <a:chOff x="0" y="0"/>
                                <a:chExt cx="11684635" cy="14974570"/>
                              </a:xfrm>
                            </wpg:grpSpPr>
                            <wps:wsp>
                              <wps:cNvPr id="2" name="MMCPrismCoverAnchorTriangle1"/>
                              <wps:cNvSpPr/>
                              <wps:spPr>
                                <a:xfrm>
                                  <a:off x="0" y="0"/>
                                  <a:ext cx="3432175" cy="2984500"/>
                                </a:xfrm>
                                <a:prstGeom prst="triangle">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MMCPrismCoverAnchorTriangle2"/>
                              <wps:cNvSpPr/>
                              <wps:spPr>
                                <a:xfrm>
                                  <a:off x="0" y="11990070"/>
                                  <a:ext cx="3432175" cy="2984500"/>
                                </a:xfrm>
                                <a:prstGeom prst="triangle">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MMCPrismCoverAnchorTriangle3"/>
                              <wps:cNvSpPr/>
                              <wps:spPr>
                                <a:xfrm>
                                  <a:off x="8223885" y="0"/>
                                  <a:ext cx="3432175" cy="2984500"/>
                                </a:xfrm>
                                <a:prstGeom prst="triangle">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MMCPrismCoverAnchorTriangle4"/>
                              <wps:cNvSpPr/>
                              <wps:spPr>
                                <a:xfrm>
                                  <a:off x="8223885" y="11990070"/>
                                  <a:ext cx="3432175" cy="2984500"/>
                                </a:xfrm>
                                <a:prstGeom prst="triangle">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MMCPrismTriangle1"/>
                              <wps:cNvSpPr/>
                              <wps:spPr>
                                <a:xfrm>
                                  <a:off x="8252460" y="11990070"/>
                                  <a:ext cx="3432175" cy="2984500"/>
                                </a:xfrm>
                                <a:prstGeom prst="triangle">
                                  <a:avLst/>
                                </a:prstGeom>
                                <a:solidFill>
                                  <a:srgbClr val="A6E2E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MMCPrismTriangle2"/>
                              <wps:cNvSpPr/>
                              <wps:spPr>
                                <a:xfrm>
                                  <a:off x="6537960" y="9006840"/>
                                  <a:ext cx="3432175" cy="2984500"/>
                                </a:xfrm>
                                <a:prstGeom prst="triangle">
                                  <a:avLst/>
                                </a:prstGeom>
                                <a:solidFill>
                                  <a:srgbClr val="006D9E"/>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MMCPrismTriangle3"/>
                              <wps:cNvSpPr/>
                              <wps:spPr>
                                <a:xfrm>
                                  <a:off x="8252460" y="6017895"/>
                                  <a:ext cx="3432175" cy="2984500"/>
                                </a:xfrm>
                                <a:prstGeom prst="triangle">
                                  <a:avLst/>
                                </a:prstGeom>
                                <a:solidFill>
                                  <a:srgbClr val="A6E2E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MMCPrismTriangle4"/>
                              <wps:cNvSpPr/>
                              <wps:spPr>
                                <a:xfrm flipV="1">
                                  <a:off x="6537960" y="6017895"/>
                                  <a:ext cx="3432175" cy="2984500"/>
                                </a:xfrm>
                                <a:prstGeom prst="triangle">
                                  <a:avLst/>
                                </a:prstGeom>
                                <a:solidFill>
                                  <a:srgbClr val="D9D9D9"/>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MMCPrismTriangle5"/>
                              <wps:cNvSpPr/>
                              <wps:spPr>
                                <a:xfrm>
                                  <a:off x="8252460" y="51435"/>
                                  <a:ext cx="3432175" cy="2984500"/>
                                </a:xfrm>
                                <a:prstGeom prst="triangle">
                                  <a:avLst/>
                                </a:prstGeom>
                                <a:solidFill>
                                  <a:srgbClr val="006D9E"/>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97A322" id="MMCPrism" o:spid="_x0000_s1026" style="position:absolute;margin-left:-18.65pt;margin-top:0;width:615.2pt;height:788.15pt;z-index:-251649024;mso-position-horizontal-relative:page;mso-position-vertical-relative:page;mso-width-relative:margin;mso-height-relative:margin" coordsize="116846,149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" o:allowincell="f">
                      <o:lock v:ext="edit" aspectratio="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MMCPrismCoverAnchorTriangle1" o:spid="_x0000_s1027" type="#_x0000_t5" style="position:absolute;width:34321;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" filled="f" fillcolor="#4f81bd [3204]" stroked="f" strokecolor="#243f60 [1604]" strokeweight="2pt"/>
                      <v:shape id="MMCPrismCoverAnchorTriangle2" o:spid="_x0000_s1028" type="#_x0000_t5" style="position:absolute;top:119900;width:34321;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" filled="f" fillcolor="#4f81bd [3204]" stroked="f" strokecolor="#243f60 [1604]" strokeweight="2pt"/>
                      <v:shape id="MMCPrismCoverAnchorTriangle3" o:spid="_x0000_s1029" type="#_x0000_t5" style="position:absolute;left:82238;width:34322;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" filled="f" fillcolor="#4f81bd [3204]" stroked="f" strokecolor="#243f60 [1604]" strokeweight="2pt"/>
                      <v:shape id="MMCPrismCoverAnchorTriangle4" o:spid="_x0000_s1030" type="#_x0000_t5" style="position:absolute;left:82238;top:119900;width:34322;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" filled="f" fillcolor="#4f81bd [3204]" stroked="f" strokecolor="#243f60 [1604]" strokeweight="2pt"/>
                      <v:shape id="MMCPrismTriangle1" o:spid="_x0000_s1031" type="#_x0000_t5" style="position:absolute;left:82524;top:119900;width:34322;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" fillcolor="#a6e2ef" stroked="f" strokecolor="#243f60 [1604]" strokeweight="2pt"/>
                      <v:shape id="MMCPrismTriangle2" o:spid="_x0000_s1032" type="#_x0000_t5" style="position:absolute;left:65379;top:90068;width:34322;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" fillcolor="#006d9e" stroked="f" strokecolor="#243f60 [1604]" strokeweight="2pt"/>
                      <v:shape id="MMCPrismTriangle3" o:spid="_x0000_s1033" type="#_x0000_t5" style="position:absolute;left:82524;top:60178;width:34322;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" fillcolor="#a6e2ef" stroked="f" strokecolor="#243f60 [1604]" strokeweight="2pt"/>
                      <v:shape id="MMCPrismTriangle4" o:spid="_x0000_s1034" type="#_x0000_t5" style="position:absolute;left:65379;top:60178;width:34322;height:2984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" fillcolor="#d9d9d9" stroked="f" strokecolor="#243f60 [1604]" strokeweight="2pt"/>
                      <v:shape id="MMCPrismTriangle5" o:spid="_x0000_s1035" type="#_x0000_t5" style="position:absolute;left:82524;top:514;width:34322;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" fillcolor="#006d9e" stroked="f" strokecolor="#243f60 [1604]" strokeweight="2pt"/>
                      <w10:wrap anchorx="page" anchory="page"/>
                    </v:group>
                  </w:pict>
                </mc:Fallback>
              </mc:AlternateContent>
            </w:r>
            <w:r w:rsidR="00CB2730">
              <w:rPr>
                <w:noProof/>
                <w:lang w:eastAsia="en-AU"/>
              </w:rPr>
              <w:t xml:space="preserve"> </w:t>
            </w:r>
            <w:r>
              <w:rPr>
                <w:noProof/>
                <w:lang w:eastAsia="en-AU"/>
              </w:rPr>
              <w:t>Health Wealth Career</w:t>
            </w:r>
            <w:bookmarkEnd w:id="0"/>
          </w:p>
          <w:p w:rsidR="00BF3B60" w:rsidRDefault="003950E6" w:rsidP="00685334">
            <w:pPr>
              <w:pStyle w:val="ReportTitle"/>
            </w:pPr>
            <w:r>
              <w:br w:type="page"/>
            </w:r>
            <w:bookmarkStart w:id="1" w:name="ReportTitle"/>
          </w:p>
          <w:p w:rsidR="00BF3B60" w:rsidRDefault="00BF3B60" w:rsidP="00685334">
            <w:pPr>
              <w:pStyle w:val="ReportTitle"/>
            </w:pPr>
            <w:r w:rsidRPr="005651C7">
              <w:rPr>
                <w:caps w:val="0"/>
                <w:sz w:val="32"/>
                <w:szCs w:val="32"/>
              </w:rPr>
              <w:t>DEPARTMENT OF FINANCE</w:t>
            </w:r>
          </w:p>
          <w:p w:rsidR="00BF3B60" w:rsidRPr="00BF3B60" w:rsidRDefault="00BF3B60" w:rsidP="00685334">
            <w:pPr>
              <w:pStyle w:val="ReportTitle"/>
              <w:rPr>
                <w:sz w:val="24"/>
                <w:szCs w:val="24"/>
              </w:rPr>
            </w:pPr>
          </w:p>
          <w:p w:rsidR="003950E6" w:rsidRPr="00CB2730" w:rsidRDefault="003E5772" w:rsidP="00685334">
            <w:pPr>
              <w:pStyle w:val="ReportTitle"/>
              <w:rPr>
                <w:sz w:val="48"/>
              </w:rPr>
            </w:pPr>
            <w:r>
              <w:rPr>
                <w:sz w:val="48"/>
                <w:szCs w:val="48"/>
              </w:rPr>
              <w:t>Fed</w:t>
            </w:r>
            <w:r w:rsidR="00157F97">
              <w:rPr>
                <w:sz w:val="48"/>
                <w:szCs w:val="48"/>
              </w:rPr>
              <w:t xml:space="preserve">eral Circuit Court </w:t>
            </w:r>
            <w:r w:rsidR="006020A9">
              <w:rPr>
                <w:sz w:val="48"/>
                <w:szCs w:val="48"/>
              </w:rPr>
              <w:t>judges</w:t>
            </w:r>
            <w:r w:rsidR="00157F97">
              <w:rPr>
                <w:sz w:val="48"/>
                <w:szCs w:val="48"/>
              </w:rPr>
              <w:t xml:space="preserve"> </w:t>
            </w:r>
            <w:r>
              <w:rPr>
                <w:sz w:val="48"/>
                <w:szCs w:val="48"/>
              </w:rPr>
              <w:t xml:space="preserve">Death and </w:t>
            </w:r>
            <w:r w:rsidR="006020A9">
              <w:rPr>
                <w:sz w:val="48"/>
                <w:szCs w:val="48"/>
              </w:rPr>
              <w:t xml:space="preserve">disability </w:t>
            </w:r>
            <w:r>
              <w:rPr>
                <w:sz w:val="48"/>
                <w:szCs w:val="48"/>
              </w:rPr>
              <w:t>Scheme</w:t>
            </w:r>
            <w:r>
              <w:rPr>
                <w:sz w:val="48"/>
                <w:szCs w:val="48"/>
              </w:rPr>
              <w:br/>
            </w:r>
            <w:r w:rsidR="00BF3B60" w:rsidRPr="00CB2730">
              <w:rPr>
                <w:sz w:val="48"/>
              </w:rPr>
              <w:t xml:space="preserve">Long Term Cost Report </w:t>
            </w:r>
            <w:r w:rsidR="00357513" w:rsidRPr="00CB2730">
              <w:rPr>
                <w:sz w:val="48"/>
              </w:rPr>
              <w:t>2017</w:t>
            </w:r>
            <w:bookmarkEnd w:id="1"/>
          </w:p>
          <w:p w:rsidR="00BF3B60" w:rsidRPr="00BF3B60" w:rsidRDefault="00BF3B60">
            <w:pPr>
              <w:pStyle w:val="ClientName"/>
              <w:rPr>
                <w:sz w:val="24"/>
                <w:szCs w:val="24"/>
              </w:rPr>
            </w:pPr>
            <w:bookmarkStart w:id="2" w:name="ReportSubTitle"/>
          </w:p>
          <w:p w:rsidR="003950E6" w:rsidRPr="00CB2730" w:rsidRDefault="00BF3B60">
            <w:pPr>
              <w:pStyle w:val="ClientName"/>
              <w:rPr>
                <w:sz w:val="28"/>
              </w:rPr>
            </w:pPr>
            <w:r w:rsidRPr="00CB2730">
              <w:rPr>
                <w:sz w:val="28"/>
              </w:rPr>
              <w:t xml:space="preserve">A report on the long term </w:t>
            </w:r>
            <w:r w:rsidR="00CB2730" w:rsidRPr="00CB2730">
              <w:rPr>
                <w:sz w:val="28"/>
              </w:rPr>
              <w:t>C</w:t>
            </w:r>
            <w:r w:rsidRPr="00CB2730">
              <w:rPr>
                <w:sz w:val="28"/>
              </w:rPr>
              <w:t xml:space="preserve">ost of the </w:t>
            </w:r>
            <w:r w:rsidR="00CB2730">
              <w:rPr>
                <w:sz w:val="28"/>
              </w:rPr>
              <w:br/>
            </w:r>
            <w:r w:rsidR="003E5772" w:rsidRPr="003E5772">
              <w:rPr>
                <w:sz w:val="28"/>
              </w:rPr>
              <w:t xml:space="preserve">Federal Circuit Court </w:t>
            </w:r>
            <w:r w:rsidR="006020A9">
              <w:rPr>
                <w:sz w:val="28"/>
              </w:rPr>
              <w:t>judges</w:t>
            </w:r>
            <w:r w:rsidR="003E5772" w:rsidRPr="003E5772">
              <w:rPr>
                <w:sz w:val="28"/>
              </w:rPr>
              <w:t xml:space="preserve"> Death and </w:t>
            </w:r>
            <w:r w:rsidR="006020A9">
              <w:rPr>
                <w:sz w:val="28"/>
              </w:rPr>
              <w:t>disabil</w:t>
            </w:r>
            <w:r w:rsidR="006020A9" w:rsidRPr="003E5772">
              <w:rPr>
                <w:sz w:val="28"/>
              </w:rPr>
              <w:t xml:space="preserve">ity </w:t>
            </w:r>
            <w:r w:rsidR="003E5772" w:rsidRPr="003E5772">
              <w:rPr>
                <w:sz w:val="28"/>
              </w:rPr>
              <w:t>Scheme</w:t>
            </w:r>
            <w:bookmarkEnd w:id="2"/>
          </w:p>
          <w:p w:rsidR="0065380F" w:rsidRDefault="0065380F" w:rsidP="0065380F">
            <w:pPr>
              <w:pStyle w:val="ClientName"/>
              <w:rPr>
                <w:b/>
                <w:sz w:val="28"/>
                <w:szCs w:val="28"/>
              </w:rPr>
            </w:pPr>
            <w:bookmarkStart w:id="3" w:name="ClientName"/>
            <w:bookmarkEnd w:id="3"/>
          </w:p>
          <w:p w:rsidR="00BF3B60" w:rsidRDefault="00BF3B60" w:rsidP="00BF3B60">
            <w:pPr>
              <w:pStyle w:val="ClientName"/>
              <w:rPr>
                <w:b/>
                <w:sz w:val="28"/>
                <w:szCs w:val="28"/>
              </w:rPr>
            </w:pPr>
            <w:r w:rsidRPr="00BF3B60">
              <w:rPr>
                <w:b/>
                <w:sz w:val="28"/>
                <w:szCs w:val="28"/>
              </w:rPr>
              <w:t>Prepared by Mercer Consulting (Australia) Pty Ltd</w:t>
            </w:r>
            <w:r>
              <w:rPr>
                <w:b/>
                <w:sz w:val="28"/>
                <w:szCs w:val="28"/>
              </w:rPr>
              <w:t xml:space="preserve"> </w:t>
            </w:r>
            <w:r w:rsidRPr="00BF3B60">
              <w:rPr>
                <w:b/>
                <w:sz w:val="28"/>
                <w:szCs w:val="28"/>
              </w:rPr>
              <w:t>using data as at 30 June</w:t>
            </w:r>
            <w:r w:rsidRPr="005F06F8">
              <w:rPr>
                <w:b/>
                <w:sz w:val="28"/>
                <w:szCs w:val="28"/>
              </w:rPr>
              <w:t xml:space="preserve"> </w:t>
            </w:r>
            <w:r w:rsidR="00357513">
              <w:rPr>
                <w:b/>
                <w:sz w:val="28"/>
                <w:szCs w:val="28"/>
              </w:rPr>
              <w:t>2017</w:t>
            </w:r>
          </w:p>
          <w:p w:rsidR="00BF3B60" w:rsidRDefault="00BF3B60" w:rsidP="00272FD9">
            <w:pPr>
              <w:pStyle w:val="ReportSubtitle"/>
              <w:rPr>
                <w:b w:val="0"/>
                <w:caps/>
                <w:color w:val="00A8C8"/>
                <w:spacing w:val="40"/>
                <w:sz w:val="36"/>
              </w:rPr>
            </w:pPr>
          </w:p>
          <w:p w:rsidR="00441147" w:rsidRPr="00441147" w:rsidRDefault="00D91992" w:rsidP="001E0A7B">
            <w:pPr>
              <w:pStyle w:val="ReportSubtitle"/>
            </w:pPr>
            <w:r>
              <w:rPr>
                <w:b w:val="0"/>
                <w:caps/>
                <w:noProof/>
                <w:color w:val="00A8C8"/>
                <w:spacing w:val="40"/>
                <w:sz w:val="36"/>
              </w:rPr>
              <w:t>25 June 2018</w:t>
            </w:r>
            <w:bookmarkStart w:id="4" w:name="_GoBack"/>
            <w:bookmarkEnd w:id="4"/>
          </w:p>
        </w:tc>
      </w:tr>
    </w:tbl>
    <w:p w:rsidR="008074DA" w:rsidRDefault="008074DA" w:rsidP="00240871">
      <w:bookmarkStart w:id="5" w:name="Prism"/>
      <w:bookmarkEnd w:id="5"/>
    </w:p>
    <w:p w:rsidR="008074DA" w:rsidRDefault="008074DA" w:rsidP="008074DA"/>
    <w:p w:rsidR="008074DA" w:rsidRDefault="008074DA" w:rsidP="008074DA">
      <w:pPr>
        <w:tabs>
          <w:tab w:val="left" w:pos="2509"/>
        </w:tabs>
      </w:pPr>
      <w:r>
        <w:tab/>
      </w:r>
    </w:p>
    <w:p w:rsidR="008074DA" w:rsidRDefault="008074DA" w:rsidP="008074DA"/>
    <w:p w:rsidR="003950E6" w:rsidRPr="008074DA" w:rsidRDefault="003950E6" w:rsidP="008074DA">
      <w:pPr>
        <w:sectPr w:rsidR="003950E6" w:rsidRPr="008074DA" w:rsidSect="00BF3B60">
          <w:footerReference w:type="even" r:id="rId9"/>
          <w:headerReference w:type="first" r:id="rId10"/>
          <w:footerReference w:type="first" r:id="rId11"/>
          <w:pgSz w:w="11906" w:h="16838"/>
          <w:pgMar w:top="1474" w:right="1077" w:bottom="1043" w:left="1077" w:header="0" w:footer="0" w:gutter="0"/>
          <w:cols w:space="720"/>
          <w:titlePg/>
          <w:docGrid w:linePitch="299"/>
        </w:sectPr>
      </w:pPr>
    </w:p>
    <w:p w:rsidR="00A36B7F" w:rsidRDefault="00541404" w:rsidP="00541404">
      <w:pPr>
        <w:pStyle w:val="TOCHeading"/>
        <w:spacing w:after="400"/>
        <w:rPr>
          <w:noProof/>
        </w:rPr>
      </w:pPr>
      <w:bookmarkStart w:id="11" w:name="MMC_Contents"/>
      <w:r>
        <w:lastRenderedPageBreak/>
        <w:t>Contents</w:t>
      </w:r>
      <w:bookmarkEnd w:id="11"/>
      <w:r>
        <w:t xml:space="preserve"> </w:t>
      </w:r>
      <w:bookmarkStart w:id="12" w:name="TOC_Here"/>
      <w:bookmarkEnd w:id="12"/>
      <w:r>
        <w:fldChar w:fldCharType="begin"/>
      </w:r>
      <w:r>
        <w:instrText xml:space="preserve"> TOC \o "1-2" \t "Appendix Heading 1,9" \* MERGEFORMAT  \* MERGEFORMAT  \* MERGEFORMAT </w:instrText>
      </w:r>
      <w:r>
        <w:fldChar w:fldCharType="separate"/>
      </w:r>
    </w:p>
    <w:p w:rsidR="00A36B7F" w:rsidRDefault="00A36B7F">
      <w:pPr>
        <w:pStyle w:val="TOC1"/>
        <w:rPr>
          <w:rFonts w:asciiTheme="minorHAnsi" w:eastAsiaTheme="minorEastAsia" w:hAnsiTheme="minorHAnsi" w:cstheme="minorBidi"/>
          <w:color w:val="auto"/>
          <w:szCs w:val="22"/>
          <w:lang w:eastAsia="en-AU"/>
        </w:rPr>
      </w:pPr>
      <w:r>
        <w:t>Executive Summary</w:t>
      </w:r>
      <w:r>
        <w:tab/>
      </w:r>
      <w:r>
        <w:fldChar w:fldCharType="begin"/>
      </w:r>
      <w:r>
        <w:instrText xml:space="preserve"> PAGEREF _Toc517692337 \h </w:instrText>
      </w:r>
      <w:r>
        <w:fldChar w:fldCharType="separate"/>
      </w:r>
      <w:r>
        <w:t>1</w:t>
      </w:r>
      <w:r>
        <w:fldChar w:fldCharType="end"/>
      </w:r>
    </w:p>
    <w:p w:rsidR="00A36B7F" w:rsidRDefault="00A36B7F">
      <w:pPr>
        <w:pStyle w:val="TOC1"/>
        <w:rPr>
          <w:rFonts w:asciiTheme="minorHAnsi" w:eastAsiaTheme="minorEastAsia" w:hAnsiTheme="minorHAnsi" w:cstheme="minorBidi"/>
          <w:color w:val="auto"/>
          <w:szCs w:val="22"/>
          <w:lang w:eastAsia="en-AU"/>
        </w:rPr>
      </w:pPr>
      <w:r>
        <w:t>Scheme Information</w:t>
      </w:r>
      <w:r>
        <w:tab/>
      </w:r>
      <w:r>
        <w:fldChar w:fldCharType="begin"/>
      </w:r>
      <w:r>
        <w:instrText xml:space="preserve"> PAGEREF _Toc517692338 \h </w:instrText>
      </w:r>
      <w:r>
        <w:fldChar w:fldCharType="separate"/>
      </w:r>
      <w:r>
        <w:t>3</w:t>
      </w:r>
      <w:r>
        <w:fldChar w:fldCharType="end"/>
      </w:r>
    </w:p>
    <w:p w:rsidR="00A36B7F" w:rsidRDefault="00A36B7F">
      <w:pPr>
        <w:pStyle w:val="TOC1"/>
        <w:rPr>
          <w:rFonts w:asciiTheme="minorHAnsi" w:eastAsiaTheme="minorEastAsia" w:hAnsiTheme="minorHAnsi" w:cstheme="minorBidi"/>
          <w:color w:val="auto"/>
          <w:szCs w:val="22"/>
          <w:lang w:eastAsia="en-AU"/>
        </w:rPr>
      </w:pPr>
      <w:r>
        <w:t>Membership and Data</w:t>
      </w:r>
      <w:r>
        <w:tab/>
      </w:r>
      <w:r>
        <w:fldChar w:fldCharType="begin"/>
      </w:r>
      <w:r>
        <w:instrText xml:space="preserve"> PAGEREF _Toc517692339 \h </w:instrText>
      </w:r>
      <w:r>
        <w:fldChar w:fldCharType="separate"/>
      </w:r>
      <w:r>
        <w:t>4</w:t>
      </w:r>
      <w:r>
        <w:fldChar w:fldCharType="end"/>
      </w:r>
    </w:p>
    <w:p w:rsidR="00A36B7F" w:rsidRDefault="00A36B7F">
      <w:pPr>
        <w:pStyle w:val="TOC1"/>
        <w:rPr>
          <w:rFonts w:asciiTheme="minorHAnsi" w:eastAsiaTheme="minorEastAsia" w:hAnsiTheme="minorHAnsi" w:cstheme="minorBidi"/>
          <w:color w:val="auto"/>
          <w:szCs w:val="22"/>
          <w:lang w:eastAsia="en-AU"/>
        </w:rPr>
      </w:pPr>
      <w:r>
        <w:t>Assumptions</w:t>
      </w:r>
      <w:r>
        <w:tab/>
      </w:r>
      <w:r>
        <w:fldChar w:fldCharType="begin"/>
      </w:r>
      <w:r>
        <w:instrText xml:space="preserve"> PAGEREF _Toc517692340 \h </w:instrText>
      </w:r>
      <w:r>
        <w:fldChar w:fldCharType="separate"/>
      </w:r>
      <w:r>
        <w:t>5</w:t>
      </w:r>
      <w:r>
        <w:fldChar w:fldCharType="end"/>
      </w:r>
    </w:p>
    <w:p w:rsidR="00A36B7F" w:rsidRDefault="00A36B7F">
      <w:pPr>
        <w:pStyle w:val="TOC1"/>
        <w:rPr>
          <w:rFonts w:asciiTheme="minorHAnsi" w:eastAsiaTheme="minorEastAsia" w:hAnsiTheme="minorHAnsi" w:cstheme="minorBidi"/>
          <w:color w:val="auto"/>
          <w:szCs w:val="22"/>
          <w:lang w:eastAsia="en-AU"/>
        </w:rPr>
      </w:pPr>
      <w:r>
        <w:t>Accrued Liability</w:t>
      </w:r>
      <w:r>
        <w:tab/>
      </w:r>
      <w:r>
        <w:fldChar w:fldCharType="begin"/>
      </w:r>
      <w:r>
        <w:instrText xml:space="preserve"> PAGEREF _Toc517692341 \h </w:instrText>
      </w:r>
      <w:r>
        <w:fldChar w:fldCharType="separate"/>
      </w:r>
      <w:r>
        <w:t>8</w:t>
      </w:r>
      <w:r>
        <w:fldChar w:fldCharType="end"/>
      </w:r>
    </w:p>
    <w:p w:rsidR="00A36B7F" w:rsidRDefault="00A36B7F">
      <w:pPr>
        <w:pStyle w:val="TOC1"/>
        <w:rPr>
          <w:rFonts w:asciiTheme="minorHAnsi" w:eastAsiaTheme="minorEastAsia" w:hAnsiTheme="minorHAnsi" w:cstheme="minorBidi"/>
          <w:color w:val="auto"/>
          <w:szCs w:val="22"/>
          <w:lang w:eastAsia="en-AU"/>
        </w:rPr>
      </w:pPr>
      <w:r>
        <w:t>Projected Outlays</w:t>
      </w:r>
      <w:r>
        <w:tab/>
      </w:r>
      <w:r>
        <w:fldChar w:fldCharType="begin"/>
      </w:r>
      <w:r>
        <w:instrText xml:space="preserve"> PAGEREF _Toc517692342 \h </w:instrText>
      </w:r>
      <w:r>
        <w:fldChar w:fldCharType="separate"/>
      </w:r>
      <w:r>
        <w:t>10</w:t>
      </w:r>
      <w:r>
        <w:fldChar w:fldCharType="end"/>
      </w:r>
    </w:p>
    <w:p w:rsidR="00A36B7F" w:rsidRDefault="00A36B7F">
      <w:pPr>
        <w:pStyle w:val="TOC1"/>
        <w:rPr>
          <w:rFonts w:asciiTheme="minorHAnsi" w:eastAsiaTheme="minorEastAsia" w:hAnsiTheme="minorHAnsi" w:cstheme="minorBidi"/>
          <w:color w:val="auto"/>
          <w:szCs w:val="22"/>
          <w:lang w:eastAsia="en-AU"/>
        </w:rPr>
      </w:pPr>
      <w:r>
        <w:t>Projected Premium Costs</w:t>
      </w:r>
      <w:r>
        <w:tab/>
      </w:r>
      <w:r>
        <w:fldChar w:fldCharType="begin"/>
      </w:r>
      <w:r>
        <w:instrText xml:space="preserve"> PAGEREF _Toc517692343 \h </w:instrText>
      </w:r>
      <w:r>
        <w:fldChar w:fldCharType="separate"/>
      </w:r>
      <w:r>
        <w:t>11</w:t>
      </w:r>
      <w:r>
        <w:fldChar w:fldCharType="end"/>
      </w:r>
    </w:p>
    <w:p w:rsidR="00A36B7F" w:rsidRDefault="00A36B7F">
      <w:pPr>
        <w:pStyle w:val="TOC1"/>
        <w:rPr>
          <w:rFonts w:asciiTheme="minorHAnsi" w:eastAsiaTheme="minorEastAsia" w:hAnsiTheme="minorHAnsi" w:cstheme="minorBidi"/>
          <w:color w:val="auto"/>
          <w:szCs w:val="22"/>
          <w:lang w:eastAsia="en-AU"/>
        </w:rPr>
      </w:pPr>
      <w:r>
        <w:t>Sensitivity Analysis</w:t>
      </w:r>
      <w:r>
        <w:tab/>
      </w:r>
      <w:r>
        <w:fldChar w:fldCharType="begin"/>
      </w:r>
      <w:r>
        <w:instrText xml:space="preserve"> PAGEREF _Toc517692344 \h </w:instrText>
      </w:r>
      <w:r>
        <w:fldChar w:fldCharType="separate"/>
      </w:r>
      <w:r>
        <w:t>12</w:t>
      </w:r>
      <w:r>
        <w:fldChar w:fldCharType="end"/>
      </w:r>
    </w:p>
    <w:p w:rsidR="00A36B7F" w:rsidRDefault="00A36B7F">
      <w:pPr>
        <w:pStyle w:val="TOC1"/>
        <w:rPr>
          <w:rFonts w:asciiTheme="minorHAnsi" w:eastAsiaTheme="minorEastAsia" w:hAnsiTheme="minorHAnsi" w:cstheme="minorBidi"/>
          <w:color w:val="auto"/>
          <w:szCs w:val="22"/>
          <w:lang w:eastAsia="en-AU"/>
        </w:rPr>
      </w:pPr>
      <w:r>
        <w:t>Actuary’s Certification</w:t>
      </w:r>
      <w:r>
        <w:tab/>
      </w:r>
      <w:r>
        <w:fldChar w:fldCharType="begin"/>
      </w:r>
      <w:r>
        <w:instrText xml:space="preserve"> PAGEREF _Toc517692345 \h </w:instrText>
      </w:r>
      <w:r>
        <w:fldChar w:fldCharType="separate"/>
      </w:r>
      <w:r>
        <w:t>13</w:t>
      </w:r>
      <w:r>
        <w:fldChar w:fldCharType="end"/>
      </w:r>
    </w:p>
    <w:p w:rsidR="00A36B7F" w:rsidRDefault="00A36B7F">
      <w:pPr>
        <w:pStyle w:val="TOC9"/>
        <w:rPr>
          <w:rFonts w:asciiTheme="minorHAnsi" w:eastAsiaTheme="minorEastAsia" w:hAnsiTheme="minorHAnsi" w:cstheme="minorBidi"/>
          <w:color w:val="auto"/>
          <w:szCs w:val="22"/>
          <w:lang w:eastAsia="en-AU"/>
        </w:rPr>
      </w:pPr>
      <w:r>
        <w:t>Summary of Benefits</w:t>
      </w:r>
      <w:r>
        <w:tab/>
      </w:r>
      <w:r>
        <w:fldChar w:fldCharType="begin"/>
      </w:r>
      <w:r>
        <w:instrText xml:space="preserve"> PAGEREF _Toc517692346 \h </w:instrText>
      </w:r>
      <w:r>
        <w:fldChar w:fldCharType="separate"/>
      </w:r>
      <w:r>
        <w:t>15</w:t>
      </w:r>
      <w:r>
        <w:fldChar w:fldCharType="end"/>
      </w:r>
    </w:p>
    <w:p w:rsidR="00A36B7F" w:rsidRDefault="00A36B7F">
      <w:pPr>
        <w:pStyle w:val="TOC9"/>
        <w:rPr>
          <w:rFonts w:asciiTheme="minorHAnsi" w:eastAsiaTheme="minorEastAsia" w:hAnsiTheme="minorHAnsi" w:cstheme="minorBidi"/>
          <w:color w:val="auto"/>
          <w:szCs w:val="22"/>
          <w:lang w:eastAsia="en-AU"/>
        </w:rPr>
      </w:pPr>
      <w:r>
        <w:t>Experience of the Scheme</w:t>
      </w:r>
      <w:r>
        <w:tab/>
      </w:r>
      <w:r>
        <w:fldChar w:fldCharType="begin"/>
      </w:r>
      <w:r>
        <w:instrText xml:space="preserve"> PAGEREF _Toc517692347 \h </w:instrText>
      </w:r>
      <w:r>
        <w:fldChar w:fldCharType="separate"/>
      </w:r>
      <w:r>
        <w:t>16</w:t>
      </w:r>
      <w:r>
        <w:fldChar w:fldCharType="end"/>
      </w:r>
    </w:p>
    <w:p w:rsidR="00A36B7F" w:rsidRDefault="00A36B7F">
      <w:pPr>
        <w:pStyle w:val="TOC9"/>
        <w:rPr>
          <w:rFonts w:asciiTheme="minorHAnsi" w:eastAsiaTheme="minorEastAsia" w:hAnsiTheme="minorHAnsi" w:cstheme="minorBidi"/>
          <w:color w:val="auto"/>
          <w:szCs w:val="22"/>
          <w:lang w:eastAsia="en-AU"/>
        </w:rPr>
      </w:pPr>
      <w:r>
        <w:t>Details of Actuarial Assumptions</w:t>
      </w:r>
      <w:r>
        <w:tab/>
      </w:r>
      <w:r>
        <w:fldChar w:fldCharType="begin"/>
      </w:r>
      <w:r>
        <w:instrText xml:space="preserve"> PAGEREF _Toc517692348 \h </w:instrText>
      </w:r>
      <w:r>
        <w:fldChar w:fldCharType="separate"/>
      </w:r>
      <w:r>
        <w:t>18</w:t>
      </w:r>
      <w:r>
        <w:fldChar w:fldCharType="end"/>
      </w:r>
    </w:p>
    <w:p w:rsidR="00541404" w:rsidRPr="008074DA" w:rsidRDefault="00541404" w:rsidP="00A36B7F">
      <w:pPr>
        <w:pStyle w:val="TOCHeading"/>
        <w:spacing w:after="400"/>
        <w:sectPr w:rsidR="00541404" w:rsidRPr="008074DA" w:rsidSect="004F24A4">
          <w:headerReference w:type="even" r:id="rId12"/>
          <w:headerReference w:type="default" r:id="rId13"/>
          <w:footerReference w:type="default" r:id="rId14"/>
          <w:headerReference w:type="first" r:id="rId15"/>
          <w:footerReference w:type="first" r:id="rId16"/>
          <w:pgSz w:w="11906" w:h="16838" w:code="9"/>
          <w:pgMar w:top="2268" w:right="1077" w:bottom="1814" w:left="1077" w:header="624" w:footer="760" w:gutter="0"/>
          <w:pgNumType w:fmt="lowerRoman" w:start="1"/>
          <w:cols w:space="720"/>
          <w:docGrid w:linePitch="299"/>
        </w:sectPr>
      </w:pPr>
      <w:r>
        <w:fldChar w:fldCharType="end"/>
      </w:r>
    </w:p>
    <w:p w:rsidR="003950E6" w:rsidRDefault="003950E6" w:rsidP="0003651C">
      <w:pPr>
        <w:pStyle w:val="SectionStart"/>
        <w:pBdr>
          <w:bottom w:val="single" w:sz="12" w:space="1" w:color="auto"/>
        </w:pBdr>
        <w:spacing w:before="0" w:after="380"/>
      </w:pPr>
    </w:p>
    <w:p w:rsidR="00BF3B60" w:rsidRPr="006A7D44" w:rsidRDefault="00BF3B60" w:rsidP="00240871">
      <w:pPr>
        <w:pStyle w:val="Heading1"/>
        <w:numPr>
          <w:ilvl w:val="0"/>
          <w:numId w:val="13"/>
        </w:numPr>
        <w:spacing w:after="0"/>
      </w:pPr>
      <w:bookmarkStart w:id="13" w:name="_Toc325023257"/>
      <w:bookmarkStart w:id="14" w:name="_Toc423600575"/>
      <w:bookmarkStart w:id="15" w:name="_Toc493666042"/>
      <w:bookmarkStart w:id="16" w:name="_Toc508267337"/>
      <w:bookmarkStart w:id="17" w:name="_Toc511385927"/>
      <w:bookmarkStart w:id="18" w:name="_Toc517692337"/>
      <w:r w:rsidRPr="00FB7916">
        <w:t>Executive Summary</w:t>
      </w:r>
      <w:bookmarkEnd w:id="13"/>
      <w:bookmarkEnd w:id="14"/>
      <w:bookmarkEnd w:id="15"/>
      <w:bookmarkEnd w:id="16"/>
      <w:bookmarkEnd w:id="17"/>
      <w:bookmarkEnd w:id="18"/>
    </w:p>
    <w:p w:rsidR="00854B9C" w:rsidRDefault="00854B9C" w:rsidP="00240871"/>
    <w:p w:rsidR="00BF3B60" w:rsidRDefault="00BF3B60" w:rsidP="00240871">
      <w:r w:rsidRPr="00CC38D3">
        <w:t xml:space="preserve">We are pleased to present this report on the actuarial investigation of the long term costs of the </w:t>
      </w:r>
      <w:r w:rsidR="00D8157B">
        <w:t xml:space="preserve">Federal Circuit Court </w:t>
      </w:r>
      <w:r w:rsidR="006020A9">
        <w:t>Judges</w:t>
      </w:r>
      <w:r w:rsidR="00D8157B">
        <w:t xml:space="preserve"> Death and </w:t>
      </w:r>
      <w:r w:rsidR="006020A9">
        <w:t xml:space="preserve">Disability </w:t>
      </w:r>
      <w:r w:rsidR="00D8157B">
        <w:t xml:space="preserve">Scheme </w:t>
      </w:r>
      <w:r w:rsidR="00830BB8">
        <w:t>(the</w:t>
      </w:r>
      <w:r w:rsidR="00854B9C">
        <w:t xml:space="preserve"> Scheme</w:t>
      </w:r>
      <w:r w:rsidR="006020A9">
        <w:t xml:space="preserve"> or FCCJDDS</w:t>
      </w:r>
      <w:r w:rsidR="00854B9C">
        <w:t>)</w:t>
      </w:r>
      <w:r>
        <w:t xml:space="preserve">, </w:t>
      </w:r>
      <w:r w:rsidRPr="00CC38D3">
        <w:t>prepared a</w:t>
      </w:r>
      <w:r>
        <w:t>t the request of the Department </w:t>
      </w:r>
      <w:r w:rsidRPr="00CC38D3">
        <w:t xml:space="preserve">of </w:t>
      </w:r>
      <w:r w:rsidRPr="00932D30">
        <w:t>Finance.  This</w:t>
      </w:r>
      <w:r w:rsidRPr="00CC38D3">
        <w:t xml:space="preserve"> </w:t>
      </w:r>
      <w:r>
        <w:t>report</w:t>
      </w:r>
      <w:r w:rsidRPr="00CC38D3">
        <w:t xml:space="preserve"> has been carried out based on membership data as at 30 June </w:t>
      </w:r>
      <w:r w:rsidR="00357513">
        <w:t>2017</w:t>
      </w:r>
      <w:r w:rsidRPr="00CC38D3">
        <w:t>.</w:t>
      </w:r>
    </w:p>
    <w:p w:rsidR="00B52DBD" w:rsidRPr="00240871" w:rsidRDefault="00B52DBD" w:rsidP="00854B9C"/>
    <w:p w:rsidR="00BF3B60" w:rsidRPr="00331A3B" w:rsidRDefault="00BF3B60" w:rsidP="00331A3B">
      <w:pPr>
        <w:rPr>
          <w:caps/>
          <w:color w:val="002C77"/>
          <w:spacing w:val="40"/>
        </w:rPr>
      </w:pPr>
      <w:bookmarkStart w:id="19" w:name="_Toc508267338"/>
      <w:r w:rsidRPr="00331A3B">
        <w:rPr>
          <w:caps/>
          <w:color w:val="002C77"/>
          <w:spacing w:val="40"/>
        </w:rPr>
        <w:t>Previous Long Term Cost Report</w:t>
      </w:r>
      <w:bookmarkEnd w:id="19"/>
    </w:p>
    <w:p w:rsidR="00240871" w:rsidRPr="00240871" w:rsidRDefault="00240871" w:rsidP="00240871"/>
    <w:p w:rsidR="00BF3B60" w:rsidRPr="00FB7916" w:rsidRDefault="00BF3B60" w:rsidP="00240871">
      <w:r w:rsidRPr="00E65459">
        <w:t xml:space="preserve">The previous actuarial investigation into the long term costs of the </w:t>
      </w:r>
      <w:r w:rsidR="00830BB8">
        <w:t>Scheme</w:t>
      </w:r>
      <w:r w:rsidR="00854B9C">
        <w:t xml:space="preserve"> </w:t>
      </w:r>
      <w:r w:rsidRPr="00E65459">
        <w:t>w</w:t>
      </w:r>
      <w:r w:rsidRPr="00FB7916">
        <w:t xml:space="preserve">as </w:t>
      </w:r>
      <w:r w:rsidRPr="00E65459">
        <w:t xml:space="preserve">undertaken by </w:t>
      </w:r>
      <w:r w:rsidR="00830BB8">
        <w:t>the Australian Government Actuary</w:t>
      </w:r>
      <w:r w:rsidRPr="00C52CCA">
        <w:t xml:space="preserve">, </w:t>
      </w:r>
      <w:r w:rsidRPr="00E65459">
        <w:t>based on data as at 30 June </w:t>
      </w:r>
      <w:r w:rsidR="00357513">
        <w:t>2014</w:t>
      </w:r>
      <w:r w:rsidRPr="00E65459">
        <w:t>.  The outcomes of th</w:t>
      </w:r>
      <w:r w:rsidR="00854B9C">
        <w:t>at</w:t>
      </w:r>
      <w:r w:rsidRPr="00E65459">
        <w:t xml:space="preserve"> investigation are outlined in </w:t>
      </w:r>
      <w:r w:rsidR="00830BB8">
        <w:t xml:space="preserve">a </w:t>
      </w:r>
      <w:r w:rsidR="00776BF7">
        <w:t xml:space="preserve">report entitled </w:t>
      </w:r>
      <w:r w:rsidR="00D8157B">
        <w:rPr>
          <w:i/>
        </w:rPr>
        <w:t>The Federal Circuit Court of Australia Death and Invalidity Scheme, a Report on the Long Term Costs</w:t>
      </w:r>
      <w:r w:rsidR="00854B9C" w:rsidRPr="00854B9C">
        <w:t xml:space="preserve">, dated </w:t>
      </w:r>
      <w:r w:rsidR="00830BB8" w:rsidRPr="00854B9C">
        <w:t>2</w:t>
      </w:r>
      <w:r w:rsidR="00D8157B">
        <w:t xml:space="preserve">4 August </w:t>
      </w:r>
      <w:r w:rsidR="00854B9C" w:rsidRPr="00854B9C">
        <w:t>2015</w:t>
      </w:r>
      <w:r w:rsidR="00776BF7">
        <w:t xml:space="preserve"> (2014 LTCR)</w:t>
      </w:r>
      <w:r w:rsidRPr="00854B9C">
        <w:t>.</w:t>
      </w:r>
    </w:p>
    <w:p w:rsidR="00854B9C" w:rsidRPr="00240871" w:rsidRDefault="00854B9C" w:rsidP="00854B9C"/>
    <w:p w:rsidR="00BF3B60" w:rsidRPr="00331A3B" w:rsidRDefault="00BF3B60" w:rsidP="00331A3B">
      <w:pPr>
        <w:rPr>
          <w:caps/>
          <w:color w:val="002C77"/>
          <w:spacing w:val="40"/>
        </w:rPr>
      </w:pPr>
      <w:bookmarkStart w:id="20" w:name="_Toc508267339"/>
      <w:r w:rsidRPr="00331A3B">
        <w:rPr>
          <w:caps/>
          <w:color w:val="002C77"/>
          <w:spacing w:val="40"/>
        </w:rPr>
        <w:t>Purpose of the Report</w:t>
      </w:r>
      <w:bookmarkEnd w:id="20"/>
    </w:p>
    <w:p w:rsidR="00240871" w:rsidRDefault="00240871" w:rsidP="00240871">
      <w:bookmarkStart w:id="21" w:name="_Toc325023258"/>
    </w:p>
    <w:p w:rsidR="00BF3B60" w:rsidRPr="00FB7916" w:rsidRDefault="008E7A61" w:rsidP="00240871">
      <w:pPr>
        <w:rPr>
          <w:b/>
        </w:rPr>
      </w:pPr>
      <w:r>
        <w:t xml:space="preserve">This report </w:t>
      </w:r>
      <w:r w:rsidRPr="0037059C">
        <w:t>estimate</w:t>
      </w:r>
      <w:r>
        <w:t>s</w:t>
      </w:r>
      <w:r w:rsidRPr="0037059C">
        <w:t xml:space="preserve"> the long term cost of providing benefits to members of the </w:t>
      </w:r>
      <w:r w:rsidR="00830BB8">
        <w:t>Scheme</w:t>
      </w:r>
      <w:r>
        <w:t xml:space="preserve">. </w:t>
      </w:r>
      <w:r w:rsidR="00BF3B60" w:rsidRPr="0037059C">
        <w:t xml:space="preserve">The </w:t>
      </w:r>
      <w:r w:rsidR="0011074A">
        <w:t>S</w:t>
      </w:r>
      <w:r w:rsidR="00BF3B60" w:rsidRPr="0037059C">
        <w:t>cheme costs have been estimated in three ways:</w:t>
      </w:r>
      <w:bookmarkEnd w:id="21"/>
    </w:p>
    <w:p w:rsidR="00BF3B60" w:rsidRPr="007C4CB6" w:rsidRDefault="00830BB8" w:rsidP="00240871">
      <w:pPr>
        <w:pStyle w:val="ListBullet"/>
      </w:pPr>
      <w:r>
        <w:t>accrued</w:t>
      </w:r>
      <w:r w:rsidRPr="007C4CB6">
        <w:t xml:space="preserve"> </w:t>
      </w:r>
      <w:r w:rsidR="00BF3B60" w:rsidRPr="007C4CB6">
        <w:t>liability as at 30 June </w:t>
      </w:r>
      <w:r w:rsidR="00357513" w:rsidRPr="007C4CB6">
        <w:t>2017</w:t>
      </w:r>
      <w:r w:rsidR="00BF3B60" w:rsidRPr="007C4CB6">
        <w:t>;</w:t>
      </w:r>
    </w:p>
    <w:p w:rsidR="00BF3B60" w:rsidRDefault="00BF3B60" w:rsidP="00240871">
      <w:pPr>
        <w:pStyle w:val="ListBullet"/>
      </w:pPr>
      <w:r>
        <w:t xml:space="preserve">projected </w:t>
      </w:r>
      <w:r w:rsidR="00A1113B">
        <w:t xml:space="preserve">annual </w:t>
      </w:r>
      <w:r>
        <w:t>o</w:t>
      </w:r>
      <w:r w:rsidRPr="008879AA">
        <w:t>utlays; and</w:t>
      </w:r>
    </w:p>
    <w:p w:rsidR="00BF3B60" w:rsidRPr="009607F8" w:rsidRDefault="00D8157B" w:rsidP="00240871">
      <w:pPr>
        <w:pStyle w:val="ListBullet"/>
      </w:pPr>
      <w:r w:rsidRPr="009607F8">
        <w:t>projected future premium costs</w:t>
      </w:r>
      <w:r w:rsidR="00BF3B60" w:rsidRPr="009607F8">
        <w:t>.</w:t>
      </w:r>
    </w:p>
    <w:p w:rsidR="00893CDF" w:rsidRPr="00240871" w:rsidRDefault="00893CDF" w:rsidP="00854B9C"/>
    <w:p w:rsidR="00BF3B60" w:rsidRPr="00331A3B" w:rsidRDefault="00830BB8" w:rsidP="00331A3B">
      <w:pPr>
        <w:rPr>
          <w:caps/>
          <w:color w:val="002C77"/>
          <w:spacing w:val="40"/>
        </w:rPr>
      </w:pPr>
      <w:bookmarkStart w:id="22" w:name="_Toc508267340"/>
      <w:r>
        <w:rPr>
          <w:caps/>
          <w:color w:val="002C77"/>
          <w:spacing w:val="40"/>
        </w:rPr>
        <w:t>Accru</w:t>
      </w:r>
      <w:r w:rsidRPr="00331A3B">
        <w:rPr>
          <w:caps/>
          <w:color w:val="002C77"/>
          <w:spacing w:val="40"/>
        </w:rPr>
        <w:t xml:space="preserve">ed </w:t>
      </w:r>
      <w:r w:rsidR="00BF3B60" w:rsidRPr="00331A3B">
        <w:rPr>
          <w:caps/>
          <w:color w:val="002C77"/>
          <w:spacing w:val="40"/>
        </w:rPr>
        <w:t>Liabilit</w:t>
      </w:r>
      <w:r w:rsidR="009E12D6">
        <w:rPr>
          <w:caps/>
          <w:color w:val="002C77"/>
          <w:spacing w:val="40"/>
        </w:rPr>
        <w:t>y</w:t>
      </w:r>
      <w:bookmarkEnd w:id="22"/>
    </w:p>
    <w:p w:rsidR="00BF3B60" w:rsidRDefault="00BF3B60" w:rsidP="00240871"/>
    <w:p w:rsidR="007C4CB6" w:rsidRDefault="007C4CB6" w:rsidP="007C4CB6">
      <w:r>
        <w:t xml:space="preserve">The </w:t>
      </w:r>
      <w:r w:rsidR="00830BB8">
        <w:t xml:space="preserve">accrued </w:t>
      </w:r>
      <w:r>
        <w:t xml:space="preserve">liability </w:t>
      </w:r>
      <w:r w:rsidRPr="006B0EDF">
        <w:t xml:space="preserve">represents an estimate of the </w:t>
      </w:r>
      <w:r>
        <w:t xml:space="preserve">present value of the </w:t>
      </w:r>
      <w:r w:rsidR="008433DF">
        <w:t>benefit</w:t>
      </w:r>
      <w:r w:rsidR="00830BB8">
        <w:t xml:space="preserve"> </w:t>
      </w:r>
      <w:r>
        <w:t xml:space="preserve">entitlements </w:t>
      </w:r>
      <w:r w:rsidR="008433DF">
        <w:t xml:space="preserve">currently </w:t>
      </w:r>
      <w:r>
        <w:t xml:space="preserve">in </w:t>
      </w:r>
      <w:r w:rsidR="008433DF">
        <w:t>payment</w:t>
      </w:r>
      <w:r>
        <w:t>.</w:t>
      </w:r>
      <w:r>
        <w:rPr>
          <w:spacing w:val="-3"/>
        </w:rPr>
        <w:t xml:space="preserve"> </w:t>
      </w:r>
      <w:r>
        <w:t xml:space="preserve">The total </w:t>
      </w:r>
      <w:r w:rsidR="00830BB8">
        <w:t xml:space="preserve">accrued </w:t>
      </w:r>
      <w:r>
        <w:t xml:space="preserve">liability of the </w:t>
      </w:r>
      <w:r w:rsidR="00830BB8">
        <w:t>Scheme</w:t>
      </w:r>
      <w:r>
        <w:t xml:space="preserve"> at 30 June 2017 </w:t>
      </w:r>
      <w:r w:rsidRPr="00671F5D">
        <w:t>w</w:t>
      </w:r>
      <w:r>
        <w:t xml:space="preserve">as </w:t>
      </w:r>
      <w:r w:rsidRPr="00671F5D">
        <w:t>$</w:t>
      </w:r>
      <w:r w:rsidR="008433DF">
        <w:t>1.718</w:t>
      </w:r>
      <w:r>
        <w:t xml:space="preserve"> </w:t>
      </w:r>
      <w:r w:rsidR="00830BB8">
        <w:t>m</w:t>
      </w:r>
      <w:r>
        <w:t>illion</w:t>
      </w:r>
      <w:r w:rsidRPr="00671F5D">
        <w:t>.</w:t>
      </w:r>
      <w:r w:rsidR="00D33BB5">
        <w:t xml:space="preserve"> </w:t>
      </w:r>
      <w:r>
        <w:t xml:space="preserve">This compares </w:t>
      </w:r>
      <w:r w:rsidRPr="009E7E43">
        <w:t xml:space="preserve">with </w:t>
      </w:r>
      <w:r w:rsidR="003437B2">
        <w:t xml:space="preserve">the </w:t>
      </w:r>
      <w:r w:rsidR="00CC1070">
        <w:t>acc</w:t>
      </w:r>
      <w:r w:rsidR="00830BB8">
        <w:t xml:space="preserve">rued </w:t>
      </w:r>
      <w:r w:rsidR="002135B0">
        <w:t xml:space="preserve">liability </w:t>
      </w:r>
      <w:r w:rsidRPr="009E7E43">
        <w:t>calculated as at 30 June 2014 (the effective date of the previous report) of $</w:t>
      </w:r>
      <w:r w:rsidR="008433DF">
        <w:t>1.402</w:t>
      </w:r>
      <w:r w:rsidR="00830BB8">
        <w:t xml:space="preserve"> m</w:t>
      </w:r>
      <w:r w:rsidR="002135B0">
        <w:t>illion</w:t>
      </w:r>
      <w:r w:rsidRPr="009E7E43">
        <w:t>.</w:t>
      </w:r>
    </w:p>
    <w:p w:rsidR="008549C8" w:rsidRDefault="008549C8" w:rsidP="007C4CB6"/>
    <w:p w:rsidR="007C4CB6" w:rsidRDefault="007C4CB6" w:rsidP="007C4CB6">
      <w:r w:rsidRPr="00671F5D">
        <w:t xml:space="preserve">The </w:t>
      </w:r>
      <w:r w:rsidR="00830BB8">
        <w:t xml:space="preserve">accrued </w:t>
      </w:r>
      <w:r w:rsidR="002135B0">
        <w:t xml:space="preserve">liability </w:t>
      </w:r>
      <w:r>
        <w:t xml:space="preserve">was expected to increase during the </w:t>
      </w:r>
      <w:r w:rsidR="00060643">
        <w:t>investigation</w:t>
      </w:r>
      <w:r>
        <w:t xml:space="preserve"> period as </w:t>
      </w:r>
      <w:r w:rsidR="00085420">
        <w:t xml:space="preserve">the impact of </w:t>
      </w:r>
      <w:r w:rsidR="008D5666">
        <w:t>further</w:t>
      </w:r>
      <w:r>
        <w:t xml:space="preserve"> </w:t>
      </w:r>
      <w:r w:rsidR="003A4848">
        <w:t xml:space="preserve">incidents of </w:t>
      </w:r>
      <w:r w:rsidR="00EB152E">
        <w:t xml:space="preserve">death and invalidity </w:t>
      </w:r>
      <w:r>
        <w:t xml:space="preserve">and </w:t>
      </w:r>
      <w:r w:rsidRPr="00671F5D">
        <w:t>notional</w:t>
      </w:r>
      <w:r w:rsidR="008433DF">
        <w:t xml:space="preserve"> interest on accrued liabilit</w:t>
      </w:r>
      <w:r w:rsidR="003A4848">
        <w:t>ies</w:t>
      </w:r>
      <w:r>
        <w:t xml:space="preserve"> were expected to </w:t>
      </w:r>
      <w:r w:rsidR="008D5666">
        <w:t xml:space="preserve">more than outweigh the reduction in liabilities </w:t>
      </w:r>
      <w:r w:rsidR="00805D60">
        <w:t>as a result of</w:t>
      </w:r>
      <w:r w:rsidR="008549C8">
        <w:t xml:space="preserve"> </w:t>
      </w:r>
      <w:r>
        <w:t>benefit payments during the period.</w:t>
      </w:r>
    </w:p>
    <w:p w:rsidR="00CC1070" w:rsidRDefault="00CC1070" w:rsidP="007C4CB6"/>
    <w:p w:rsidR="00E03F8B" w:rsidRDefault="002135B0">
      <w:r w:rsidRPr="00B40676">
        <w:t xml:space="preserve">The 2014 LTCR projected that the </w:t>
      </w:r>
      <w:r w:rsidR="007E4875">
        <w:t>accrued</w:t>
      </w:r>
      <w:r w:rsidRPr="00B40676">
        <w:t xml:space="preserve"> liability would be $</w:t>
      </w:r>
      <w:r w:rsidR="008433DF">
        <w:t>2.130</w:t>
      </w:r>
      <w:r w:rsidRPr="00B40676">
        <w:t xml:space="preserve"> </w:t>
      </w:r>
      <w:r w:rsidR="00CC1070">
        <w:t>m</w:t>
      </w:r>
      <w:r w:rsidRPr="00B40676">
        <w:t>illion as at 30 June 2017, $</w:t>
      </w:r>
      <w:r w:rsidR="008433DF">
        <w:t>0.412</w:t>
      </w:r>
      <w:r w:rsidR="00B40676" w:rsidRPr="00B40676">
        <w:t xml:space="preserve"> </w:t>
      </w:r>
      <w:r w:rsidR="00CC1070">
        <w:t>m</w:t>
      </w:r>
      <w:r w:rsidR="00B40676" w:rsidRPr="00B40676">
        <w:t xml:space="preserve">illion </w:t>
      </w:r>
      <w:r w:rsidR="008433DF">
        <w:t>more</w:t>
      </w:r>
      <w:r w:rsidRPr="00B40676">
        <w:t xml:space="preserve"> than the current</w:t>
      </w:r>
      <w:r w:rsidRPr="00FD7816">
        <w:t xml:space="preserve"> estimate</w:t>
      </w:r>
      <w:r>
        <w:t>.</w:t>
      </w:r>
      <w:r w:rsidR="008549C8">
        <w:t xml:space="preserve"> </w:t>
      </w:r>
      <w:r>
        <w:t xml:space="preserve">The factors leading to the </w:t>
      </w:r>
      <w:r w:rsidR="00955BD9">
        <w:t xml:space="preserve">difference in the </w:t>
      </w:r>
      <w:r>
        <w:t xml:space="preserve">previously projected </w:t>
      </w:r>
      <w:r w:rsidR="007E4875">
        <w:t>accrued</w:t>
      </w:r>
      <w:r>
        <w:t xml:space="preserve"> liability </w:t>
      </w:r>
      <w:r w:rsidR="00E03F8B" w:rsidRPr="0058458C">
        <w:t xml:space="preserve">are </w:t>
      </w:r>
      <w:r w:rsidR="006F6B5D">
        <w:t>quantified</w:t>
      </w:r>
      <w:r w:rsidR="00E03F8B" w:rsidRPr="0058458C">
        <w:t xml:space="preserve"> in the </w:t>
      </w:r>
      <w:r w:rsidR="002109ED">
        <w:t>following</w:t>
      </w:r>
      <w:r w:rsidR="00F37090" w:rsidRPr="00F37090">
        <w:t xml:space="preserve"> </w:t>
      </w:r>
      <w:r w:rsidR="00F37090">
        <w:t>chart</w:t>
      </w:r>
      <w:r w:rsidR="00E03F8B" w:rsidRPr="0058458C">
        <w:t>:</w:t>
      </w:r>
    </w:p>
    <w:p w:rsidR="008D5666" w:rsidRDefault="008D5666" w:rsidP="00E03F8B"/>
    <w:p w:rsidR="003A4848" w:rsidRDefault="00E31619" w:rsidP="00E03F8B">
      <w:r>
        <w:rPr>
          <w:noProof/>
          <w:lang w:eastAsia="en-AU"/>
        </w:rPr>
        <w:drawing>
          <wp:inline distT="0" distB="0" distL="0" distR="0" wp14:anchorId="7230EAA9" wp14:editId="59A73D2B">
            <wp:extent cx="5760000" cy="2855433"/>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00" cy="2855433"/>
                    </a:xfrm>
                    <a:prstGeom prst="rect">
                      <a:avLst/>
                    </a:prstGeom>
                    <a:noFill/>
                  </pic:spPr>
                </pic:pic>
              </a:graphicData>
            </a:graphic>
          </wp:inline>
        </w:drawing>
      </w:r>
    </w:p>
    <w:p w:rsidR="003A4848" w:rsidRDefault="003A4848" w:rsidP="00E03F8B"/>
    <w:p w:rsidR="008549C8" w:rsidRDefault="003A4848" w:rsidP="00E03F8B">
      <w:r>
        <w:t>T</w:t>
      </w:r>
      <w:r w:rsidR="004D178B">
        <w:t xml:space="preserve">he most significant item is </w:t>
      </w:r>
      <w:r w:rsidR="008A083F">
        <w:t xml:space="preserve">the membership experience, which includes both the number of </w:t>
      </w:r>
      <w:r>
        <w:t xml:space="preserve">incidents of death and invalidity </w:t>
      </w:r>
      <w:r w:rsidR="008A083F">
        <w:t>and the age of members dying or retiring due to invalidity</w:t>
      </w:r>
      <w:r w:rsidR="004D178B">
        <w:t>.</w:t>
      </w:r>
    </w:p>
    <w:p w:rsidR="008549C8" w:rsidRDefault="008549C8" w:rsidP="00E03F8B"/>
    <w:p w:rsidR="00E03F8B" w:rsidRDefault="00E03F8B" w:rsidP="00E03F8B">
      <w:r w:rsidRPr="003A4848">
        <w:t xml:space="preserve">Further details are provided in Section </w:t>
      </w:r>
      <w:r w:rsidR="00331428" w:rsidRPr="003A4848">
        <w:t>5</w:t>
      </w:r>
      <w:r w:rsidRPr="003A4848">
        <w:t>.</w:t>
      </w:r>
    </w:p>
    <w:p w:rsidR="0003651C" w:rsidRPr="00240871" w:rsidRDefault="0003651C" w:rsidP="0003651C"/>
    <w:p w:rsidR="0003651C" w:rsidRPr="00331A3B" w:rsidRDefault="0003651C" w:rsidP="00331A3B">
      <w:pPr>
        <w:rPr>
          <w:caps/>
          <w:color w:val="002C77"/>
          <w:spacing w:val="40"/>
        </w:rPr>
      </w:pPr>
      <w:bookmarkStart w:id="23" w:name="_Toc508267341"/>
      <w:r w:rsidRPr="00331A3B">
        <w:rPr>
          <w:caps/>
          <w:color w:val="002C77"/>
          <w:spacing w:val="40"/>
        </w:rPr>
        <w:t>Projected Outlays</w:t>
      </w:r>
      <w:bookmarkEnd w:id="23"/>
    </w:p>
    <w:p w:rsidR="0003651C" w:rsidRDefault="0003651C" w:rsidP="00240871"/>
    <w:p w:rsidR="008549C8" w:rsidRDefault="008549C8" w:rsidP="008549C8">
      <w:r>
        <w:t xml:space="preserve">The projected outlays </w:t>
      </w:r>
      <w:r w:rsidR="00CC1070">
        <w:t>of the Scheme for the next three years are as follows:</w:t>
      </w:r>
    </w:p>
    <w:p w:rsidR="00CC1070" w:rsidRDefault="00CC1070" w:rsidP="00CC1070"/>
    <w:tbl>
      <w:tblPr>
        <w:tblW w:w="4892" w:type="dxa"/>
        <w:tblBorders>
          <w:insideH w:val="single" w:sz="8" w:space="0" w:color="FFFFFF"/>
          <w:insideV w:val="single" w:sz="8" w:space="0" w:color="FFFFFF"/>
        </w:tblBorders>
        <w:shd w:val="clear" w:color="auto" w:fill="00A8C8"/>
        <w:tblLayout w:type="fixed"/>
        <w:tblCellMar>
          <w:left w:w="72" w:type="dxa"/>
          <w:right w:w="72" w:type="dxa"/>
        </w:tblCellMar>
        <w:tblLook w:val="0000" w:firstRow="0" w:lastRow="0" w:firstColumn="0" w:lastColumn="0" w:noHBand="0" w:noVBand="0"/>
      </w:tblPr>
      <w:tblGrid>
        <w:gridCol w:w="1915"/>
        <w:gridCol w:w="2977"/>
      </w:tblGrid>
      <w:tr w:rsidR="00CC1070" w:rsidRPr="004F3084" w:rsidTr="00CC1070">
        <w:trPr>
          <w:cantSplit/>
          <w:trHeight w:val="450"/>
          <w:tblHeader/>
        </w:trPr>
        <w:tc>
          <w:tcPr>
            <w:tcW w:w="1915" w:type="dxa"/>
            <w:shd w:val="clear" w:color="auto" w:fill="00A8C8"/>
          </w:tcPr>
          <w:p w:rsidR="00CC1070" w:rsidRPr="004F3084" w:rsidRDefault="00CC1070" w:rsidP="005859FB">
            <w:pPr>
              <w:pStyle w:val="TableHeadingText"/>
              <w:jc w:val="center"/>
              <w:rPr>
                <w:caps w:val="0"/>
              </w:rPr>
            </w:pPr>
            <w:r>
              <w:rPr>
                <w:caps w:val="0"/>
              </w:rPr>
              <w:t xml:space="preserve">Year Ending </w:t>
            </w:r>
            <w:r w:rsidRPr="004F3084">
              <w:rPr>
                <w:caps w:val="0"/>
              </w:rPr>
              <w:t>30 June</w:t>
            </w:r>
          </w:p>
        </w:tc>
        <w:tc>
          <w:tcPr>
            <w:tcW w:w="2977" w:type="dxa"/>
            <w:shd w:val="clear" w:color="auto" w:fill="00A8C8"/>
          </w:tcPr>
          <w:p w:rsidR="00CC1070" w:rsidRPr="004F3084" w:rsidRDefault="00CC1070" w:rsidP="00D10248">
            <w:pPr>
              <w:pStyle w:val="TableHeadingText"/>
              <w:jc w:val="center"/>
              <w:rPr>
                <w:caps w:val="0"/>
              </w:rPr>
            </w:pPr>
            <w:r>
              <w:rPr>
                <w:caps w:val="0"/>
              </w:rPr>
              <w:t>Nominal Outlays</w:t>
            </w:r>
            <w:r>
              <w:rPr>
                <w:caps w:val="0"/>
              </w:rPr>
              <w:br/>
            </w:r>
            <w:r w:rsidR="00D10248">
              <w:rPr>
                <w:caps w:val="0"/>
              </w:rPr>
              <w:t>($’000s</w:t>
            </w:r>
            <w:r w:rsidRPr="004F3084">
              <w:rPr>
                <w:caps w:val="0"/>
              </w:rPr>
              <w:t>)</w:t>
            </w:r>
          </w:p>
        </w:tc>
      </w:tr>
      <w:tr w:rsidR="00CC1070" w:rsidRPr="00F01473" w:rsidTr="00CC1070">
        <w:tblPrEx>
          <w:shd w:val="clear" w:color="auto" w:fill="auto"/>
        </w:tblPrEx>
        <w:trPr>
          <w:cantSplit/>
        </w:trPr>
        <w:tc>
          <w:tcPr>
            <w:tcW w:w="1915" w:type="dxa"/>
            <w:shd w:val="clear" w:color="auto" w:fill="F2F2F2"/>
            <w:vAlign w:val="center"/>
          </w:tcPr>
          <w:p w:rsidR="00CC1070" w:rsidRPr="00F01473" w:rsidRDefault="00CC1070" w:rsidP="005859FB">
            <w:pPr>
              <w:pStyle w:val="TableText"/>
              <w:jc w:val="center"/>
            </w:pPr>
            <w:r w:rsidRPr="00F01473">
              <w:t>2018</w:t>
            </w:r>
          </w:p>
        </w:tc>
        <w:tc>
          <w:tcPr>
            <w:tcW w:w="2977" w:type="dxa"/>
            <w:shd w:val="clear" w:color="auto" w:fill="F2F2F2"/>
            <w:vAlign w:val="center"/>
          </w:tcPr>
          <w:p w:rsidR="00CC1070" w:rsidRPr="00F01473" w:rsidRDefault="003A4848" w:rsidP="005859FB">
            <w:pPr>
              <w:pStyle w:val="TableText"/>
              <w:jc w:val="center"/>
            </w:pPr>
            <w:r>
              <w:t>575</w:t>
            </w:r>
          </w:p>
        </w:tc>
      </w:tr>
      <w:tr w:rsidR="00CC1070" w:rsidRPr="00F01473" w:rsidTr="00CC1070">
        <w:tblPrEx>
          <w:shd w:val="clear" w:color="auto" w:fill="auto"/>
        </w:tblPrEx>
        <w:trPr>
          <w:cantSplit/>
        </w:trPr>
        <w:tc>
          <w:tcPr>
            <w:tcW w:w="1915" w:type="dxa"/>
            <w:shd w:val="clear" w:color="auto" w:fill="F2F2F2"/>
            <w:vAlign w:val="center"/>
          </w:tcPr>
          <w:p w:rsidR="00CC1070" w:rsidRPr="00F01473" w:rsidRDefault="00CC1070" w:rsidP="005859FB">
            <w:pPr>
              <w:pStyle w:val="TableText"/>
              <w:jc w:val="center"/>
            </w:pPr>
            <w:r w:rsidRPr="00F01473">
              <w:t>2019</w:t>
            </w:r>
          </w:p>
        </w:tc>
        <w:tc>
          <w:tcPr>
            <w:tcW w:w="2977" w:type="dxa"/>
            <w:shd w:val="clear" w:color="auto" w:fill="F2F2F2"/>
            <w:vAlign w:val="center"/>
          </w:tcPr>
          <w:p w:rsidR="00CC1070" w:rsidRPr="00F01473" w:rsidRDefault="003A4848" w:rsidP="005859FB">
            <w:pPr>
              <w:pStyle w:val="TableText"/>
              <w:jc w:val="center"/>
            </w:pPr>
            <w:r>
              <w:t>684</w:t>
            </w:r>
          </w:p>
        </w:tc>
      </w:tr>
      <w:tr w:rsidR="00CC1070" w:rsidRPr="00F01473" w:rsidTr="00CC1070">
        <w:tblPrEx>
          <w:shd w:val="clear" w:color="auto" w:fill="auto"/>
        </w:tblPrEx>
        <w:trPr>
          <w:cantSplit/>
        </w:trPr>
        <w:tc>
          <w:tcPr>
            <w:tcW w:w="1915" w:type="dxa"/>
            <w:shd w:val="clear" w:color="auto" w:fill="F2F2F2"/>
            <w:vAlign w:val="center"/>
          </w:tcPr>
          <w:p w:rsidR="00CC1070" w:rsidRPr="00F01473" w:rsidRDefault="00CC1070" w:rsidP="005859FB">
            <w:pPr>
              <w:pStyle w:val="TableText"/>
              <w:jc w:val="center"/>
            </w:pPr>
            <w:r>
              <w:t>2020</w:t>
            </w:r>
          </w:p>
        </w:tc>
        <w:tc>
          <w:tcPr>
            <w:tcW w:w="2977" w:type="dxa"/>
            <w:shd w:val="clear" w:color="auto" w:fill="F2F2F2"/>
            <w:vAlign w:val="center"/>
          </w:tcPr>
          <w:p w:rsidR="00CC1070" w:rsidRDefault="003A4848" w:rsidP="005859FB">
            <w:pPr>
              <w:pStyle w:val="TableText"/>
              <w:jc w:val="center"/>
            </w:pPr>
            <w:r>
              <w:t>800</w:t>
            </w:r>
          </w:p>
        </w:tc>
      </w:tr>
    </w:tbl>
    <w:p w:rsidR="00CC1070" w:rsidRDefault="00CC1070" w:rsidP="008549C8"/>
    <w:p w:rsidR="00CC1070" w:rsidRDefault="00CC1070" w:rsidP="00CC1070">
      <w:r w:rsidRPr="003A4848">
        <w:t>Further detail regarding the projected outlays is contained in Section 6.</w:t>
      </w:r>
    </w:p>
    <w:p w:rsidR="00CC1070" w:rsidRPr="00E03F8B" w:rsidRDefault="00CC1070" w:rsidP="00E03F8B"/>
    <w:p w:rsidR="00BF3B60" w:rsidRPr="00AC3624" w:rsidRDefault="003A4848" w:rsidP="00331A3B">
      <w:pPr>
        <w:rPr>
          <w:caps/>
          <w:color w:val="002C77"/>
          <w:spacing w:val="40"/>
        </w:rPr>
      </w:pPr>
      <w:bookmarkStart w:id="24" w:name="_Toc508267342"/>
      <w:r w:rsidRPr="00AC3624">
        <w:rPr>
          <w:caps/>
          <w:color w:val="002C77"/>
          <w:spacing w:val="40"/>
        </w:rPr>
        <w:t>Projected Premium Costs</w:t>
      </w:r>
      <w:bookmarkEnd w:id="24"/>
    </w:p>
    <w:p w:rsidR="007E4875" w:rsidRPr="00AC3624" w:rsidRDefault="007E4875" w:rsidP="006568AE"/>
    <w:p w:rsidR="00AC3624" w:rsidRPr="00AC3624" w:rsidRDefault="00AC3624" w:rsidP="006568AE">
      <w:r w:rsidRPr="00AC3624">
        <w:t>Premium costs represent the estimated amount an insurance company would require each year in order to cover the claims that could arise in that year.  Premium costs in the next 40 years are estimated to range between 2.8% and 3.3% of total annual salaries.</w:t>
      </w:r>
    </w:p>
    <w:p w:rsidR="00AC3624" w:rsidRPr="00AC3624" w:rsidRDefault="00AC3624" w:rsidP="006568AE"/>
    <w:p w:rsidR="00BF3B60" w:rsidRDefault="00BF3B60" w:rsidP="00240871">
      <w:r w:rsidRPr="00AC3624">
        <w:t xml:space="preserve">Further details are provided in Section </w:t>
      </w:r>
      <w:r w:rsidR="00331428" w:rsidRPr="00AC3624">
        <w:t>7</w:t>
      </w:r>
      <w:r w:rsidRPr="00AC3624">
        <w:t>.</w:t>
      </w:r>
    </w:p>
    <w:p w:rsidR="00BF3B60" w:rsidRDefault="00BF3B60" w:rsidP="00BF3B60">
      <w:pPr>
        <w:pStyle w:val="SectionStart"/>
        <w:pBdr>
          <w:bottom w:val="single" w:sz="12" w:space="1" w:color="auto"/>
        </w:pBdr>
        <w:spacing w:before="0" w:after="380"/>
      </w:pPr>
      <w:bookmarkStart w:id="25" w:name="_Toc210727685"/>
    </w:p>
    <w:p w:rsidR="00BF3B60" w:rsidRDefault="00BF3B60" w:rsidP="00240871">
      <w:pPr>
        <w:pStyle w:val="Heading1"/>
        <w:numPr>
          <w:ilvl w:val="0"/>
          <w:numId w:val="13"/>
        </w:numPr>
        <w:spacing w:after="240"/>
      </w:pPr>
      <w:bookmarkStart w:id="26" w:name="_Toc325023259"/>
      <w:bookmarkStart w:id="27" w:name="_Toc423600576"/>
      <w:bookmarkStart w:id="28" w:name="_Toc493666043"/>
      <w:bookmarkStart w:id="29" w:name="_Toc508267343"/>
      <w:bookmarkStart w:id="30" w:name="_Toc511315164"/>
      <w:bookmarkStart w:id="31" w:name="_Toc511313518"/>
      <w:bookmarkStart w:id="32" w:name="_Toc511385928"/>
      <w:bookmarkStart w:id="33" w:name="_Toc517692338"/>
      <w:r>
        <w:t>Scheme Information</w:t>
      </w:r>
      <w:bookmarkEnd w:id="26"/>
      <w:bookmarkEnd w:id="27"/>
      <w:bookmarkEnd w:id="28"/>
      <w:bookmarkEnd w:id="29"/>
      <w:bookmarkEnd w:id="30"/>
      <w:bookmarkEnd w:id="31"/>
      <w:bookmarkEnd w:id="32"/>
      <w:bookmarkEnd w:id="33"/>
    </w:p>
    <w:bookmarkEnd w:id="25"/>
    <w:p w:rsidR="00E67E73" w:rsidRDefault="00E67E73" w:rsidP="00E67E73">
      <w:r>
        <w:t>T</w:t>
      </w:r>
      <w:r w:rsidRPr="00413F22">
        <w:t xml:space="preserve">he </w:t>
      </w:r>
      <w:r w:rsidRPr="00E67E73">
        <w:rPr>
          <w:i/>
        </w:rPr>
        <w:t xml:space="preserve">Federal Circuit Court of Australia Act 1999 </w:t>
      </w:r>
      <w:r w:rsidRPr="00413F22">
        <w:t>(the Act)</w:t>
      </w:r>
      <w:r>
        <w:t xml:space="preserve"> was amended </w:t>
      </w:r>
      <w:r w:rsidR="000C0CD9">
        <w:t xml:space="preserve">with </w:t>
      </w:r>
      <w:r>
        <w:t>effect</w:t>
      </w:r>
      <w:r w:rsidR="000C0CD9">
        <w:t xml:space="preserve"> from September </w:t>
      </w:r>
      <w:r>
        <w:t>2007 to provide for lump sum death benefits and invalidity pensions for</w:t>
      </w:r>
      <w:r w:rsidRPr="00E67E73">
        <w:t xml:space="preserve"> </w:t>
      </w:r>
      <w:r>
        <w:t>Judges of the Federal Circuit Court of Australia</w:t>
      </w:r>
      <w:r w:rsidR="00085420">
        <w:t xml:space="preserve"> and a small number of other individuals</w:t>
      </w:r>
      <w:r>
        <w:t xml:space="preserve">.  </w:t>
      </w:r>
      <w:r w:rsidR="000C0CD9">
        <w:t xml:space="preserve">A summary </w:t>
      </w:r>
      <w:r w:rsidRPr="00413F22">
        <w:t xml:space="preserve">of the benefits provided under the </w:t>
      </w:r>
      <w:r>
        <w:t>Scheme</w:t>
      </w:r>
      <w:r w:rsidRPr="00413F22">
        <w:t xml:space="preserve"> </w:t>
      </w:r>
      <w:r w:rsidR="000C0CD9">
        <w:t xml:space="preserve">is </w:t>
      </w:r>
      <w:r w:rsidRPr="00413F22">
        <w:t>set out in Appendix A.</w:t>
      </w:r>
    </w:p>
    <w:p w:rsidR="00E67E73" w:rsidRDefault="00E67E73" w:rsidP="00E67E73"/>
    <w:p w:rsidR="000C0CD9" w:rsidRDefault="000C0CD9" w:rsidP="000C0CD9">
      <w:r w:rsidRPr="00413F22">
        <w:t xml:space="preserve">The </w:t>
      </w:r>
      <w:r>
        <w:t>Scheme i</w:t>
      </w:r>
      <w:r w:rsidRPr="00413F22">
        <w:t xml:space="preserve">s </w:t>
      </w:r>
      <w:r>
        <w:t>open</w:t>
      </w:r>
      <w:r w:rsidRPr="00413F22">
        <w:t xml:space="preserve"> to new members. </w:t>
      </w:r>
      <w:r>
        <w:t>It is assumed that each member who leaves the Scheme is replaced with a new entrant.</w:t>
      </w:r>
    </w:p>
    <w:p w:rsidR="00E67E73" w:rsidRDefault="00E67E73" w:rsidP="00E67E73"/>
    <w:p w:rsidR="00666C00" w:rsidRDefault="00666C00" w:rsidP="00666C00">
      <w:r w:rsidRPr="003D62B1">
        <w:t xml:space="preserve">Members do not contribute to the Scheme and the </w:t>
      </w:r>
      <w:r>
        <w:t>Australian Government</w:t>
      </w:r>
      <w:r w:rsidRPr="003D62B1">
        <w:t xml:space="preserve"> meets all of the costs of benefits </w:t>
      </w:r>
      <w:r>
        <w:t>from Consolidated Revenue as they become due. This is an acceptable method of funding as the Scheme is effectively guaranteed by the Australian Government.</w:t>
      </w:r>
    </w:p>
    <w:p w:rsidR="00666C00" w:rsidRDefault="00666C00" w:rsidP="00666C00"/>
    <w:p w:rsidR="00666C00" w:rsidRDefault="00666C00" w:rsidP="00666C00">
      <w:r>
        <w:t xml:space="preserve">The Scheme is untaxed and no tax is levied on employer contributions. The Scheme is an exempt public sector superannuation scheme under the </w:t>
      </w:r>
      <w:r w:rsidRPr="00364510">
        <w:rPr>
          <w:i/>
        </w:rPr>
        <w:t>Superannuation Industry (Supervision) Act 1993</w:t>
      </w:r>
      <w:r>
        <w:t>.</w:t>
      </w:r>
    </w:p>
    <w:p w:rsidR="00EB152E" w:rsidRDefault="00EB152E" w:rsidP="00666C00"/>
    <w:p w:rsidR="000C0CD9" w:rsidRDefault="000C0CD9" w:rsidP="00666C00">
      <w:r w:rsidRPr="000C0CD9">
        <w:t>We note that since 30 June 2017 the Federal Government has passed legislation enabling same sex marriages to be recognised. This did not impact the Scheme financially as same sex partners were already eligible to receive spouse benefits from the Scheme.</w:t>
      </w:r>
    </w:p>
    <w:p w:rsidR="000C0CD9" w:rsidRPr="00DB4D58" w:rsidRDefault="000C0CD9" w:rsidP="00666C00"/>
    <w:p w:rsidR="00BF3B60" w:rsidRDefault="00BF3B60" w:rsidP="00BF3B60">
      <w:pPr>
        <w:pStyle w:val="SectionStart"/>
        <w:pBdr>
          <w:bottom w:val="single" w:sz="12" w:space="1" w:color="auto"/>
        </w:pBdr>
        <w:spacing w:before="0" w:after="380"/>
      </w:pPr>
    </w:p>
    <w:p w:rsidR="00BF3B60" w:rsidRDefault="00BF3B60" w:rsidP="00240871">
      <w:pPr>
        <w:pStyle w:val="Heading1"/>
        <w:numPr>
          <w:ilvl w:val="0"/>
          <w:numId w:val="13"/>
        </w:numPr>
        <w:spacing w:after="240"/>
      </w:pPr>
      <w:bookmarkStart w:id="34" w:name="_Toc325023260"/>
      <w:bookmarkStart w:id="35" w:name="_Toc493666044"/>
      <w:bookmarkStart w:id="36" w:name="_Toc508267349"/>
      <w:bookmarkStart w:id="37" w:name="_Toc511315165"/>
      <w:bookmarkStart w:id="38" w:name="_Toc511313519"/>
      <w:bookmarkStart w:id="39" w:name="_Toc511385929"/>
      <w:bookmarkStart w:id="40" w:name="_Toc517692339"/>
      <w:r>
        <w:t>Membership and Data</w:t>
      </w:r>
      <w:bookmarkEnd w:id="34"/>
      <w:bookmarkEnd w:id="35"/>
      <w:bookmarkEnd w:id="36"/>
      <w:bookmarkEnd w:id="37"/>
      <w:bookmarkEnd w:id="38"/>
      <w:bookmarkEnd w:id="39"/>
      <w:bookmarkEnd w:id="40"/>
    </w:p>
    <w:p w:rsidR="00780FF2" w:rsidRDefault="00780FF2" w:rsidP="005E4705">
      <w:bookmarkStart w:id="41" w:name="_Toc375127283"/>
      <w:r w:rsidRPr="00413F22">
        <w:t xml:space="preserve">This </w:t>
      </w:r>
      <w:r>
        <w:t>report</w:t>
      </w:r>
      <w:r w:rsidRPr="00413F22">
        <w:t xml:space="preserve"> has been based on data supplied by</w:t>
      </w:r>
      <w:r>
        <w:t xml:space="preserve"> the Department of </w:t>
      </w:r>
      <w:r w:rsidRPr="00413F22">
        <w:t xml:space="preserve">Finance which carries out the administration of the </w:t>
      </w:r>
      <w:r>
        <w:t>Scheme</w:t>
      </w:r>
      <w:r w:rsidRPr="00413F22">
        <w:t>.</w:t>
      </w:r>
    </w:p>
    <w:p w:rsidR="00780FF2" w:rsidRDefault="00780FF2" w:rsidP="005E4705"/>
    <w:bookmarkEnd w:id="41"/>
    <w:p w:rsidR="00676991" w:rsidRPr="005E4705" w:rsidRDefault="00780FF2" w:rsidP="00676991">
      <w:r>
        <w:t>We have conducted a</w:t>
      </w:r>
      <w:r w:rsidR="00676991" w:rsidRPr="00676991">
        <w:t xml:space="preserve"> range of validity data checks </w:t>
      </w:r>
      <w:r>
        <w:t>including</w:t>
      </w:r>
      <w:r w:rsidR="00E21C7B" w:rsidRPr="008A40CF">
        <w:t xml:space="preserve"> </w:t>
      </w:r>
      <w:r w:rsidR="00F75748" w:rsidRPr="008A40CF">
        <w:t>internal consistency</w:t>
      </w:r>
      <w:r w:rsidR="00F75748">
        <w:t xml:space="preserve"> and general reasonableness, and </w:t>
      </w:r>
      <w:r>
        <w:t xml:space="preserve">a reconciliation of membership movements, </w:t>
      </w:r>
      <w:r w:rsidR="00625E56">
        <w:t xml:space="preserve">but </w:t>
      </w:r>
      <w:r>
        <w:t xml:space="preserve">we have </w:t>
      </w:r>
      <w:r w:rsidR="00625E56">
        <w:t>not verified or audited any of the information provided.</w:t>
      </w:r>
      <w:r w:rsidR="00EA0BB9">
        <w:t xml:space="preserve"> </w:t>
      </w:r>
      <w:r w:rsidR="00E21C7B">
        <w:t>However, we are satisfied that the data is sufficiently accurate for the purpose</w:t>
      </w:r>
      <w:r>
        <w:t xml:space="preserve"> of this report. The Scheme</w:t>
      </w:r>
      <w:r w:rsidR="00F75748">
        <w:t>’</w:t>
      </w:r>
      <w:r>
        <w:t xml:space="preserve">s administrator is </w:t>
      </w:r>
      <w:r w:rsidRPr="005E4705">
        <w:t>ultimately responsible for the validity, accuracy and comprehensiveness of this information.</w:t>
      </w:r>
    </w:p>
    <w:p w:rsidR="00780FF2" w:rsidRPr="005E4705" w:rsidRDefault="00780FF2" w:rsidP="00676991"/>
    <w:p w:rsidR="00E2094E" w:rsidRPr="00676991" w:rsidRDefault="00F81F92" w:rsidP="00E2094E">
      <w:r>
        <w:t xml:space="preserve">The </w:t>
      </w:r>
      <w:r w:rsidR="00780FF2" w:rsidRPr="00D703B0">
        <w:t xml:space="preserve">membership of the Scheme as at 30 June 2017 </w:t>
      </w:r>
      <w:r w:rsidR="00E2094E">
        <w:t>is summarised below</w:t>
      </w:r>
      <w:r w:rsidR="00E2094E" w:rsidRPr="00676991">
        <w:t>:</w:t>
      </w:r>
    </w:p>
    <w:p w:rsidR="009607F8" w:rsidRDefault="009607F8" w:rsidP="009607F8"/>
    <w:tbl>
      <w:tblPr>
        <w:tblStyle w:val="TableGrid"/>
        <w:tblW w:w="0" w:type="auto"/>
        <w:tblInd w:w="72"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2552"/>
        <w:gridCol w:w="1653"/>
        <w:gridCol w:w="1276"/>
        <w:gridCol w:w="1417"/>
      </w:tblGrid>
      <w:tr w:rsidR="009607F8" w:rsidRPr="00E3054F" w:rsidTr="009607F8">
        <w:trPr>
          <w:cantSplit/>
          <w:trHeight w:val="1020"/>
          <w:tblHeader/>
        </w:trPr>
        <w:tc>
          <w:tcPr>
            <w:tcW w:w="2552" w:type="dxa"/>
            <w:shd w:val="clear" w:color="auto" w:fill="00A8C8"/>
            <w:vAlign w:val="center"/>
          </w:tcPr>
          <w:p w:rsidR="009607F8" w:rsidRPr="00E3054F" w:rsidRDefault="009607F8" w:rsidP="00334BE4">
            <w:pPr>
              <w:pStyle w:val="TableHeadingText"/>
              <w:rPr>
                <w:caps w:val="0"/>
              </w:rPr>
            </w:pPr>
            <w:r>
              <w:rPr>
                <w:caps w:val="0"/>
              </w:rPr>
              <w:t xml:space="preserve">Serving </w:t>
            </w:r>
            <w:r>
              <w:rPr>
                <w:caps w:val="0"/>
              </w:rPr>
              <w:br/>
              <w:t>Judges</w:t>
            </w:r>
          </w:p>
        </w:tc>
        <w:tc>
          <w:tcPr>
            <w:tcW w:w="1653" w:type="dxa"/>
            <w:shd w:val="clear" w:color="auto" w:fill="00A8C8"/>
            <w:vAlign w:val="center"/>
          </w:tcPr>
          <w:p w:rsidR="009607F8" w:rsidRPr="00E3054F" w:rsidRDefault="009607F8" w:rsidP="009607F8">
            <w:pPr>
              <w:pStyle w:val="TableHeadingText"/>
              <w:jc w:val="center"/>
              <w:rPr>
                <w:caps w:val="0"/>
              </w:rPr>
            </w:pPr>
            <w:r>
              <w:rPr>
                <w:caps w:val="0"/>
              </w:rPr>
              <w:t>Headcount</w:t>
            </w:r>
          </w:p>
        </w:tc>
        <w:tc>
          <w:tcPr>
            <w:tcW w:w="1276" w:type="dxa"/>
            <w:shd w:val="clear" w:color="auto" w:fill="00A8C8"/>
            <w:vAlign w:val="center"/>
          </w:tcPr>
          <w:p w:rsidR="009607F8" w:rsidRPr="00E3054F" w:rsidRDefault="009607F8" w:rsidP="00334BE4">
            <w:pPr>
              <w:pStyle w:val="TableHeadingText"/>
              <w:jc w:val="center"/>
              <w:rPr>
                <w:caps w:val="0"/>
              </w:rPr>
            </w:pPr>
            <w:r>
              <w:rPr>
                <w:caps w:val="0"/>
              </w:rPr>
              <w:t>Average Age</w:t>
            </w:r>
          </w:p>
        </w:tc>
        <w:tc>
          <w:tcPr>
            <w:tcW w:w="1417" w:type="dxa"/>
            <w:shd w:val="clear" w:color="auto" w:fill="00A8C8"/>
            <w:vAlign w:val="center"/>
          </w:tcPr>
          <w:p w:rsidR="009607F8" w:rsidRPr="00E3054F" w:rsidRDefault="009607F8" w:rsidP="00334BE4">
            <w:pPr>
              <w:pStyle w:val="TableHeadingText"/>
              <w:jc w:val="center"/>
              <w:rPr>
                <w:caps w:val="0"/>
              </w:rPr>
            </w:pPr>
            <w:r>
              <w:rPr>
                <w:caps w:val="0"/>
              </w:rPr>
              <w:t>Annual Salaries</w:t>
            </w:r>
          </w:p>
        </w:tc>
      </w:tr>
      <w:tr w:rsidR="009607F8" w:rsidRPr="00E3054F" w:rsidTr="009607F8">
        <w:trPr>
          <w:cantSplit/>
        </w:trPr>
        <w:tc>
          <w:tcPr>
            <w:tcW w:w="2552" w:type="dxa"/>
            <w:shd w:val="clear" w:color="auto" w:fill="F2F2F2"/>
          </w:tcPr>
          <w:p w:rsidR="009607F8" w:rsidRPr="00E3054F" w:rsidRDefault="009607F8" w:rsidP="00334BE4">
            <w:pPr>
              <w:pStyle w:val="TableText"/>
            </w:pPr>
            <w:r>
              <w:t>Males</w:t>
            </w:r>
          </w:p>
        </w:tc>
        <w:tc>
          <w:tcPr>
            <w:tcW w:w="1653" w:type="dxa"/>
            <w:shd w:val="clear" w:color="auto" w:fill="F2F2F2"/>
          </w:tcPr>
          <w:p w:rsidR="009607F8" w:rsidRPr="00E3054F" w:rsidRDefault="009607F8" w:rsidP="00334BE4">
            <w:pPr>
              <w:pStyle w:val="TableText"/>
              <w:jc w:val="center"/>
            </w:pPr>
            <w:r>
              <w:t>38</w:t>
            </w:r>
          </w:p>
        </w:tc>
        <w:tc>
          <w:tcPr>
            <w:tcW w:w="1276" w:type="dxa"/>
            <w:shd w:val="clear" w:color="auto" w:fill="F2F2F2"/>
          </w:tcPr>
          <w:p w:rsidR="009607F8" w:rsidRPr="008972C4" w:rsidRDefault="005107EB" w:rsidP="00334BE4">
            <w:pPr>
              <w:pStyle w:val="TableText"/>
              <w:jc w:val="center"/>
            </w:pPr>
            <w:r w:rsidRPr="008972C4">
              <w:t>58.4</w:t>
            </w:r>
          </w:p>
        </w:tc>
        <w:tc>
          <w:tcPr>
            <w:tcW w:w="1417" w:type="dxa"/>
            <w:shd w:val="clear" w:color="auto" w:fill="F2F2F2"/>
          </w:tcPr>
          <w:p w:rsidR="009607F8" w:rsidRPr="00E3054F" w:rsidRDefault="009607F8" w:rsidP="009607F8">
            <w:pPr>
              <w:pStyle w:val="TableText"/>
              <w:ind w:right="69"/>
              <w:jc w:val="right"/>
            </w:pPr>
            <w:r>
              <w:t>$</w:t>
            </w:r>
            <w:r w:rsidR="00B05CB0">
              <w:t>14,495,903</w:t>
            </w:r>
          </w:p>
        </w:tc>
      </w:tr>
      <w:tr w:rsidR="009607F8" w:rsidRPr="00E3054F" w:rsidTr="009607F8">
        <w:trPr>
          <w:cantSplit/>
        </w:trPr>
        <w:tc>
          <w:tcPr>
            <w:tcW w:w="2552" w:type="dxa"/>
            <w:shd w:val="clear" w:color="auto" w:fill="F2F2F2"/>
          </w:tcPr>
          <w:p w:rsidR="009607F8" w:rsidRPr="00E3054F" w:rsidRDefault="009607F8" w:rsidP="00334BE4">
            <w:pPr>
              <w:pStyle w:val="TableText"/>
            </w:pPr>
            <w:r>
              <w:t>Females</w:t>
            </w:r>
          </w:p>
        </w:tc>
        <w:tc>
          <w:tcPr>
            <w:tcW w:w="1653" w:type="dxa"/>
            <w:shd w:val="clear" w:color="auto" w:fill="F2F2F2"/>
          </w:tcPr>
          <w:p w:rsidR="009607F8" w:rsidRPr="00E3054F" w:rsidRDefault="009607F8" w:rsidP="00334BE4">
            <w:pPr>
              <w:pStyle w:val="TableText"/>
              <w:jc w:val="center"/>
            </w:pPr>
            <w:r>
              <w:t>26</w:t>
            </w:r>
          </w:p>
        </w:tc>
        <w:tc>
          <w:tcPr>
            <w:tcW w:w="1276" w:type="dxa"/>
            <w:shd w:val="clear" w:color="auto" w:fill="F2F2F2"/>
          </w:tcPr>
          <w:p w:rsidR="009607F8" w:rsidRPr="008972C4" w:rsidRDefault="005107EB" w:rsidP="00334BE4">
            <w:pPr>
              <w:pStyle w:val="TableText"/>
              <w:jc w:val="center"/>
            </w:pPr>
            <w:r w:rsidRPr="008972C4">
              <w:t>59.0</w:t>
            </w:r>
          </w:p>
        </w:tc>
        <w:tc>
          <w:tcPr>
            <w:tcW w:w="1417" w:type="dxa"/>
            <w:shd w:val="clear" w:color="auto" w:fill="F2F2F2"/>
          </w:tcPr>
          <w:p w:rsidR="009607F8" w:rsidRPr="00E3054F" w:rsidRDefault="009607F8" w:rsidP="009607F8">
            <w:pPr>
              <w:pStyle w:val="TableText"/>
              <w:ind w:right="69"/>
              <w:jc w:val="right"/>
            </w:pPr>
            <w:r>
              <w:t>$</w:t>
            </w:r>
            <w:r w:rsidR="00B05CB0">
              <w:t>9,870,214</w:t>
            </w:r>
          </w:p>
        </w:tc>
      </w:tr>
      <w:tr w:rsidR="009607F8" w:rsidRPr="003A6A90" w:rsidTr="009607F8">
        <w:trPr>
          <w:cantSplit/>
        </w:trPr>
        <w:tc>
          <w:tcPr>
            <w:tcW w:w="2552" w:type="dxa"/>
            <w:shd w:val="clear" w:color="auto" w:fill="F2F2F2"/>
          </w:tcPr>
          <w:p w:rsidR="009607F8" w:rsidRPr="003A6A90" w:rsidRDefault="009607F8" w:rsidP="00334BE4">
            <w:pPr>
              <w:pStyle w:val="TableText"/>
              <w:rPr>
                <w:b/>
              </w:rPr>
            </w:pPr>
            <w:r>
              <w:rPr>
                <w:b/>
              </w:rPr>
              <w:t>T</w:t>
            </w:r>
            <w:r w:rsidRPr="003A6A90">
              <w:rPr>
                <w:b/>
              </w:rPr>
              <w:t>otal</w:t>
            </w:r>
          </w:p>
        </w:tc>
        <w:tc>
          <w:tcPr>
            <w:tcW w:w="1653" w:type="dxa"/>
            <w:shd w:val="clear" w:color="auto" w:fill="F2F2F2"/>
          </w:tcPr>
          <w:p w:rsidR="009607F8" w:rsidRPr="003A6A90" w:rsidRDefault="009607F8" w:rsidP="00334BE4">
            <w:pPr>
              <w:pStyle w:val="TableText"/>
              <w:jc w:val="center"/>
              <w:rPr>
                <w:b/>
              </w:rPr>
            </w:pPr>
            <w:r>
              <w:rPr>
                <w:b/>
              </w:rPr>
              <w:t>64</w:t>
            </w:r>
          </w:p>
        </w:tc>
        <w:tc>
          <w:tcPr>
            <w:tcW w:w="1276" w:type="dxa"/>
            <w:shd w:val="clear" w:color="auto" w:fill="F2F2F2"/>
          </w:tcPr>
          <w:p w:rsidR="009607F8" w:rsidRPr="00B05CB0" w:rsidRDefault="00B05CB0" w:rsidP="00334BE4">
            <w:pPr>
              <w:pStyle w:val="TableText"/>
              <w:jc w:val="center"/>
              <w:rPr>
                <w:b/>
              </w:rPr>
            </w:pPr>
            <w:r w:rsidRPr="00B05CB0">
              <w:rPr>
                <w:b/>
              </w:rPr>
              <w:t>58.7</w:t>
            </w:r>
          </w:p>
        </w:tc>
        <w:tc>
          <w:tcPr>
            <w:tcW w:w="1417" w:type="dxa"/>
            <w:shd w:val="clear" w:color="auto" w:fill="F2F2F2"/>
          </w:tcPr>
          <w:p w:rsidR="009607F8" w:rsidRPr="003A6A90" w:rsidRDefault="009607F8" w:rsidP="00B05CB0">
            <w:pPr>
              <w:pStyle w:val="TableText"/>
              <w:ind w:right="69"/>
              <w:jc w:val="right"/>
              <w:rPr>
                <w:b/>
              </w:rPr>
            </w:pPr>
            <w:r>
              <w:rPr>
                <w:b/>
              </w:rPr>
              <w:t>$</w:t>
            </w:r>
            <w:r w:rsidR="00B05CB0">
              <w:rPr>
                <w:b/>
              </w:rPr>
              <w:t>24,366,117</w:t>
            </w:r>
          </w:p>
        </w:tc>
      </w:tr>
    </w:tbl>
    <w:p w:rsidR="009607F8" w:rsidRDefault="009607F8" w:rsidP="00F81F92"/>
    <w:p w:rsidR="005D1E1A" w:rsidRDefault="00FB3169" w:rsidP="005D1E1A">
      <w:r>
        <w:t>In addition</w:t>
      </w:r>
      <w:r w:rsidR="005D1E1A">
        <w:t xml:space="preserve">, two retired Judges </w:t>
      </w:r>
      <w:r>
        <w:t xml:space="preserve">were </w:t>
      </w:r>
      <w:r w:rsidR="005D1E1A">
        <w:t>each in receipt of an invalidity pension.</w:t>
      </w:r>
    </w:p>
    <w:p w:rsidR="00884705" w:rsidRDefault="00884705" w:rsidP="00F81F92"/>
    <w:p w:rsidR="00BF3B60" w:rsidRDefault="00BF3B60" w:rsidP="00BF3B60">
      <w:pPr>
        <w:pStyle w:val="SectionStart"/>
        <w:pBdr>
          <w:bottom w:val="single" w:sz="12" w:space="1" w:color="auto"/>
        </w:pBdr>
        <w:spacing w:before="0" w:after="380"/>
      </w:pPr>
    </w:p>
    <w:p w:rsidR="00BF3B60" w:rsidRDefault="00BF3B60" w:rsidP="00BF3B60">
      <w:pPr>
        <w:pStyle w:val="Heading1"/>
        <w:numPr>
          <w:ilvl w:val="0"/>
          <w:numId w:val="0"/>
        </w:numPr>
        <w:spacing w:after="240"/>
      </w:pPr>
      <w:bookmarkStart w:id="42" w:name="_Toc210727688"/>
      <w:bookmarkStart w:id="43" w:name="_Toc325023262"/>
      <w:bookmarkStart w:id="44" w:name="_Toc493666046"/>
      <w:bookmarkStart w:id="45" w:name="_Toc508267354"/>
      <w:bookmarkStart w:id="46" w:name="_Toc511315166"/>
      <w:bookmarkStart w:id="47" w:name="_Toc511313520"/>
      <w:bookmarkStart w:id="48" w:name="_Toc511385930"/>
      <w:bookmarkStart w:id="49" w:name="_Toc517692340"/>
      <w:r>
        <w:t>Assumptions</w:t>
      </w:r>
      <w:bookmarkEnd w:id="42"/>
      <w:bookmarkEnd w:id="43"/>
      <w:bookmarkEnd w:id="44"/>
      <w:bookmarkEnd w:id="45"/>
      <w:bookmarkEnd w:id="46"/>
      <w:bookmarkEnd w:id="47"/>
      <w:bookmarkEnd w:id="48"/>
      <w:bookmarkEnd w:id="49"/>
    </w:p>
    <w:p w:rsidR="00676991" w:rsidRPr="00676991" w:rsidRDefault="00676991" w:rsidP="00676991">
      <w:r w:rsidRPr="00676991">
        <w:t xml:space="preserve">In order to value </w:t>
      </w:r>
      <w:r w:rsidR="00692EE8">
        <w:t xml:space="preserve">the </w:t>
      </w:r>
      <w:r w:rsidRPr="00676991">
        <w:t>liabilities, it is necessary to make assumptions regarding the incidence, timing and amount of future benefits. These assumptions fall into two broad categories:</w:t>
      </w:r>
    </w:p>
    <w:p w:rsidR="00676991" w:rsidRPr="00676991" w:rsidRDefault="00676991" w:rsidP="0026079F">
      <w:pPr>
        <w:pStyle w:val="ListBullet"/>
      </w:pPr>
      <w:r w:rsidRPr="00676991">
        <w:t>economic assumptions: relat</w:t>
      </w:r>
      <w:r w:rsidR="00EF0022">
        <w:t>ing</w:t>
      </w:r>
      <w:r w:rsidRPr="00676991">
        <w:t xml:space="preserve"> to the general economic environment and not directly </w:t>
      </w:r>
      <w:r w:rsidR="00DD39AF">
        <w:t xml:space="preserve">to the membership of the </w:t>
      </w:r>
      <w:r w:rsidR="00E23A64">
        <w:t>S</w:t>
      </w:r>
      <w:r w:rsidR="00DD39AF">
        <w:t>cheme</w:t>
      </w:r>
      <w:r w:rsidRPr="00676991">
        <w:t>; and</w:t>
      </w:r>
    </w:p>
    <w:p w:rsidR="00676991" w:rsidRPr="00676991" w:rsidRDefault="006D6A4B" w:rsidP="0026079F">
      <w:pPr>
        <w:pStyle w:val="ListBullet"/>
      </w:pPr>
      <w:r>
        <w:t>d</w:t>
      </w:r>
      <w:r w:rsidRPr="00676991">
        <w:t>emographic</w:t>
      </w:r>
      <w:r w:rsidR="00676991" w:rsidRPr="00676991">
        <w:t xml:space="preserve"> assumptions: relat</w:t>
      </w:r>
      <w:r w:rsidR="00EF0022">
        <w:t>ing</w:t>
      </w:r>
      <w:r w:rsidR="00676991" w:rsidRPr="00676991">
        <w:t xml:space="preserve"> to the exper</w:t>
      </w:r>
      <w:r w:rsidR="00E23A64">
        <w:t>ience of the membership of the S</w:t>
      </w:r>
      <w:r w:rsidR="00676991" w:rsidRPr="00676991">
        <w:t>cheme.</w:t>
      </w:r>
    </w:p>
    <w:p w:rsidR="00676991" w:rsidRDefault="00676991" w:rsidP="00182DA8"/>
    <w:p w:rsidR="00182DA8" w:rsidRDefault="00182DA8" w:rsidP="00182DA8">
      <w:r w:rsidRPr="00B36B4C">
        <w:t xml:space="preserve">This section sets out the assumptions </w:t>
      </w:r>
      <w:r w:rsidR="008155E3">
        <w:t>used in this report</w:t>
      </w:r>
      <w:r w:rsidRPr="00B36B4C">
        <w:t xml:space="preserve"> and highlights any changes from those</w:t>
      </w:r>
      <w:r w:rsidR="00490A48">
        <w:t xml:space="preserve"> </w:t>
      </w:r>
      <w:r w:rsidR="008155E3" w:rsidRPr="009607F8">
        <w:t xml:space="preserve">used </w:t>
      </w:r>
      <w:r w:rsidRPr="009607F8">
        <w:t xml:space="preserve">for the 2014 </w:t>
      </w:r>
      <w:r w:rsidR="00985D4F" w:rsidRPr="009607F8">
        <w:t>LTCR</w:t>
      </w:r>
      <w:r w:rsidRPr="009607F8">
        <w:t>.</w:t>
      </w:r>
      <w:r w:rsidR="00B42A4D" w:rsidRPr="009607F8">
        <w:t xml:space="preserve"> The assumptions are detailed in Appendix </w:t>
      </w:r>
      <w:r w:rsidR="00394AD2" w:rsidRPr="009607F8">
        <w:t>C</w:t>
      </w:r>
      <w:r w:rsidR="00B42A4D" w:rsidRPr="009607F8">
        <w:t>.</w:t>
      </w:r>
    </w:p>
    <w:p w:rsidR="00182DA8" w:rsidRDefault="00182DA8" w:rsidP="00182DA8">
      <w:pPr>
        <w:tabs>
          <w:tab w:val="left" w:pos="765"/>
        </w:tabs>
      </w:pPr>
    </w:p>
    <w:p w:rsidR="00EF0022" w:rsidRDefault="00EF0022" w:rsidP="00EF0022">
      <w:r w:rsidRPr="00BB77ED">
        <w:t xml:space="preserve">In total, the changes in assumptions have resulted in an increase to the </w:t>
      </w:r>
      <w:r w:rsidR="00DD39AF" w:rsidRPr="00BB77ED">
        <w:t>accrued</w:t>
      </w:r>
      <w:r w:rsidRPr="00BB77ED">
        <w:t xml:space="preserve"> liability </w:t>
      </w:r>
      <w:r w:rsidRPr="002F6DE6">
        <w:t>of $</w:t>
      </w:r>
      <w:r w:rsidR="00060E74" w:rsidRPr="002F6DE6">
        <w:t>0.035</w:t>
      </w:r>
      <w:r w:rsidRPr="002F6DE6">
        <w:t xml:space="preserve"> </w:t>
      </w:r>
      <w:r w:rsidR="004C66FD" w:rsidRPr="002F6DE6">
        <w:t>m</w:t>
      </w:r>
      <w:r w:rsidRPr="002F6DE6">
        <w:t>illion, or +</w:t>
      </w:r>
      <w:r w:rsidR="00060E74" w:rsidRPr="002F6DE6">
        <w:t>2</w:t>
      </w:r>
      <w:r w:rsidR="004C66FD" w:rsidRPr="002F6DE6">
        <w:t>.</w:t>
      </w:r>
      <w:r w:rsidR="00060E74" w:rsidRPr="002F6DE6">
        <w:t>1</w:t>
      </w:r>
      <w:r w:rsidRPr="002F6DE6">
        <w:t>%, as at 30 June 2017.</w:t>
      </w:r>
    </w:p>
    <w:p w:rsidR="00EF0022" w:rsidRDefault="00EF0022" w:rsidP="00182DA8">
      <w:pPr>
        <w:tabs>
          <w:tab w:val="left" w:pos="765"/>
        </w:tabs>
      </w:pPr>
    </w:p>
    <w:p w:rsidR="009607F8" w:rsidRDefault="009607F8" w:rsidP="009607F8">
      <w:r>
        <w:t>Section 8 provides sensitivity analysis of the results under different individual assumptions.</w:t>
      </w:r>
    </w:p>
    <w:p w:rsidR="009607F8" w:rsidRPr="00676991" w:rsidRDefault="009607F8" w:rsidP="00182DA8">
      <w:pPr>
        <w:tabs>
          <w:tab w:val="left" w:pos="765"/>
        </w:tabs>
      </w:pPr>
    </w:p>
    <w:p w:rsidR="00676991" w:rsidRPr="00331A3B" w:rsidRDefault="00676991" w:rsidP="00331A3B">
      <w:pPr>
        <w:rPr>
          <w:caps/>
          <w:color w:val="002C77"/>
          <w:spacing w:val="40"/>
        </w:rPr>
      </w:pPr>
      <w:bookmarkStart w:id="50" w:name="_Toc508267355"/>
      <w:r w:rsidRPr="00331A3B">
        <w:rPr>
          <w:caps/>
          <w:color w:val="002C77"/>
          <w:spacing w:val="40"/>
        </w:rPr>
        <w:t>Economic Assumptions</w:t>
      </w:r>
      <w:bookmarkEnd w:id="50"/>
    </w:p>
    <w:p w:rsidR="00676991" w:rsidRPr="00676991" w:rsidRDefault="00676991" w:rsidP="00676991"/>
    <w:p w:rsidR="00676991" w:rsidRPr="00676991" w:rsidRDefault="00676991" w:rsidP="00BE0ACB">
      <w:pPr>
        <w:pStyle w:val="Heading3"/>
      </w:pPr>
      <w:r w:rsidRPr="00676991">
        <w:t>Key Economic Assumptions</w:t>
      </w:r>
    </w:p>
    <w:p w:rsidR="00676991" w:rsidRPr="00676991" w:rsidRDefault="00676991" w:rsidP="00676991"/>
    <w:p w:rsidR="00676991" w:rsidRPr="00676991" w:rsidRDefault="00676991" w:rsidP="00676991">
      <w:r w:rsidRPr="00676991">
        <w:t>The key economic assumptions include:</w:t>
      </w:r>
    </w:p>
    <w:p w:rsidR="00EF6DD9" w:rsidRPr="00676991" w:rsidRDefault="00DD39AF" w:rsidP="0026079F">
      <w:pPr>
        <w:pStyle w:val="ListBullet"/>
      </w:pPr>
      <w:r>
        <w:t xml:space="preserve">future increases in salaries, </w:t>
      </w:r>
      <w:r w:rsidRPr="00676991">
        <w:t xml:space="preserve">which </w:t>
      </w:r>
      <w:r>
        <w:t>also determines</w:t>
      </w:r>
      <w:r w:rsidRPr="00676991">
        <w:t xml:space="preserve"> the level of pension increases</w:t>
      </w:r>
      <w:r w:rsidR="00EF6DD9">
        <w:t>; and</w:t>
      </w:r>
    </w:p>
    <w:p w:rsidR="00676991" w:rsidRPr="00676991" w:rsidRDefault="00DD39AF" w:rsidP="0026079F">
      <w:pPr>
        <w:pStyle w:val="ListBullet"/>
      </w:pPr>
      <w:r>
        <w:t>a discount rate</w:t>
      </w:r>
      <w:r w:rsidR="00EF6DD9">
        <w:t>.</w:t>
      </w:r>
    </w:p>
    <w:p w:rsidR="00BE0ACB" w:rsidRDefault="00BE0ACB" w:rsidP="005E4705"/>
    <w:p w:rsidR="00676991" w:rsidRPr="00676991" w:rsidRDefault="00676991" w:rsidP="005E4705">
      <w:r w:rsidRPr="00676991">
        <w:t xml:space="preserve">The relationships between the assumptions adopted for these factors have a greater bearing on the long term cost estimates of the </w:t>
      </w:r>
      <w:r w:rsidR="00DD39AF">
        <w:t>Scheme</w:t>
      </w:r>
      <w:r w:rsidRPr="00676991">
        <w:t xml:space="preserve"> than do the individual assumptions. This is due to the effect of one assumption being used to project the liability into the future (future salary </w:t>
      </w:r>
      <w:r w:rsidR="00DD39AF">
        <w:t xml:space="preserve">and pension </w:t>
      </w:r>
      <w:r w:rsidRPr="00676991">
        <w:t>increases) and another assumption being used to discount that liability to current day values (discount rate).</w:t>
      </w:r>
    </w:p>
    <w:p w:rsidR="00714049" w:rsidRDefault="00714049" w:rsidP="00676991"/>
    <w:p w:rsidR="00596814" w:rsidRDefault="00596814" w:rsidP="00596814">
      <w:r>
        <w:t>The key economic assumptions are shown below</w:t>
      </w:r>
      <w:r w:rsidR="008155E3">
        <w:t xml:space="preserve"> together with the</w:t>
      </w:r>
      <w:r w:rsidR="00720979">
        <w:t xml:space="preserve"> </w:t>
      </w:r>
      <w:r w:rsidR="008155E3">
        <w:t>a</w:t>
      </w:r>
      <w:r>
        <w:t xml:space="preserve">ssumptions </w:t>
      </w:r>
      <w:r w:rsidR="008155E3">
        <w:t>from</w:t>
      </w:r>
      <w:r>
        <w:t xml:space="preserve"> </w:t>
      </w:r>
      <w:r w:rsidR="00172C3C">
        <w:t xml:space="preserve">the </w:t>
      </w:r>
      <w:r>
        <w:t>2014 LTCR</w:t>
      </w:r>
      <w:r w:rsidR="00490A48">
        <w:t>:</w:t>
      </w:r>
    </w:p>
    <w:p w:rsidR="00596814" w:rsidRPr="00F37090" w:rsidRDefault="00596814" w:rsidP="00F37090">
      <w:pPr>
        <w:spacing w:line="240" w:lineRule="auto"/>
        <w:rPr>
          <w:sz w:val="16"/>
        </w:rPr>
      </w:pPr>
    </w:p>
    <w:tbl>
      <w:tblPr>
        <w:tblW w:w="9534" w:type="dxa"/>
        <w:tblInd w:w="72" w:type="dxa"/>
        <w:tblBorders>
          <w:insideH w:val="single" w:sz="8" w:space="0" w:color="FFFFFF"/>
          <w:insideV w:val="single" w:sz="8" w:space="0" w:color="FFFFFF"/>
        </w:tblBorders>
        <w:tblCellMar>
          <w:left w:w="72" w:type="dxa"/>
          <w:right w:w="72" w:type="dxa"/>
        </w:tblCellMar>
        <w:tblLook w:val="0000" w:firstRow="0" w:lastRow="0" w:firstColumn="0" w:lastColumn="0" w:noHBand="0" w:noVBand="0"/>
      </w:tblPr>
      <w:tblGrid>
        <w:gridCol w:w="3013"/>
        <w:gridCol w:w="3260"/>
        <w:gridCol w:w="3261"/>
      </w:tblGrid>
      <w:tr w:rsidR="00172C3C" w:rsidRPr="00172C3C" w:rsidTr="004D6D93">
        <w:trPr>
          <w:cantSplit/>
          <w:tblHeader/>
        </w:trPr>
        <w:tc>
          <w:tcPr>
            <w:tcW w:w="3013" w:type="dxa"/>
            <w:shd w:val="clear" w:color="auto" w:fill="00A8C8"/>
          </w:tcPr>
          <w:p w:rsidR="00596814" w:rsidRPr="00172C3C" w:rsidRDefault="00596814" w:rsidP="00172C3C">
            <w:pPr>
              <w:pStyle w:val="TableHeadingText"/>
              <w:rPr>
                <w:caps w:val="0"/>
              </w:rPr>
            </w:pPr>
          </w:p>
        </w:tc>
        <w:tc>
          <w:tcPr>
            <w:tcW w:w="3260" w:type="dxa"/>
            <w:shd w:val="clear" w:color="auto" w:fill="00A8C8"/>
          </w:tcPr>
          <w:p w:rsidR="00596814" w:rsidRPr="00172C3C" w:rsidRDefault="00596814" w:rsidP="004D6D93">
            <w:pPr>
              <w:pStyle w:val="TableHeadingText"/>
              <w:jc w:val="center"/>
              <w:rPr>
                <w:caps w:val="0"/>
                <w:sz w:val="18"/>
                <w:szCs w:val="18"/>
              </w:rPr>
            </w:pPr>
            <w:r w:rsidRPr="00172C3C">
              <w:rPr>
                <w:caps w:val="0"/>
                <w:sz w:val="18"/>
                <w:szCs w:val="18"/>
              </w:rPr>
              <w:t>Assumption as at 30 June 2017</w:t>
            </w:r>
          </w:p>
        </w:tc>
        <w:tc>
          <w:tcPr>
            <w:tcW w:w="3261" w:type="dxa"/>
            <w:shd w:val="clear" w:color="auto" w:fill="00A8C8"/>
          </w:tcPr>
          <w:p w:rsidR="00596814" w:rsidRPr="00172C3C" w:rsidRDefault="00596814" w:rsidP="006D6A4B">
            <w:pPr>
              <w:pStyle w:val="TableHeadingText"/>
              <w:jc w:val="center"/>
              <w:rPr>
                <w:caps w:val="0"/>
                <w:sz w:val="18"/>
                <w:szCs w:val="18"/>
              </w:rPr>
            </w:pPr>
            <w:r w:rsidRPr="00172C3C">
              <w:rPr>
                <w:caps w:val="0"/>
                <w:sz w:val="18"/>
                <w:szCs w:val="18"/>
              </w:rPr>
              <w:t>Assumption as at 30 June 2014</w:t>
            </w:r>
          </w:p>
        </w:tc>
      </w:tr>
      <w:tr w:rsidR="00172C3C" w:rsidRPr="00172C3C" w:rsidTr="004D6D93">
        <w:trPr>
          <w:cantSplit/>
        </w:trPr>
        <w:tc>
          <w:tcPr>
            <w:tcW w:w="3013" w:type="dxa"/>
            <w:shd w:val="clear" w:color="auto" w:fill="F2F2F2"/>
          </w:tcPr>
          <w:p w:rsidR="00172C3C" w:rsidRPr="00172C3C" w:rsidRDefault="00DD39AF" w:rsidP="00172C3C">
            <w:pPr>
              <w:pStyle w:val="TableText"/>
            </w:pPr>
            <w:r>
              <w:t>S</w:t>
            </w:r>
            <w:r w:rsidR="00172C3C" w:rsidRPr="00172C3C">
              <w:t xml:space="preserve">alary </w:t>
            </w:r>
            <w:r>
              <w:t xml:space="preserve">and pension </w:t>
            </w:r>
            <w:r w:rsidR="00172C3C" w:rsidRPr="00172C3C">
              <w:t>increases</w:t>
            </w:r>
          </w:p>
        </w:tc>
        <w:tc>
          <w:tcPr>
            <w:tcW w:w="3260" w:type="dxa"/>
            <w:shd w:val="clear" w:color="auto" w:fill="F2F2F2"/>
          </w:tcPr>
          <w:p w:rsidR="00172C3C" w:rsidRPr="00172C3C" w:rsidRDefault="00F75748" w:rsidP="00714049">
            <w:pPr>
              <w:pStyle w:val="TableText"/>
              <w:jc w:val="center"/>
            </w:pPr>
            <w:r>
              <w:t>4</w:t>
            </w:r>
            <w:r w:rsidR="00172C3C" w:rsidRPr="00172C3C">
              <w:t>% per annum</w:t>
            </w:r>
          </w:p>
        </w:tc>
        <w:tc>
          <w:tcPr>
            <w:tcW w:w="3261" w:type="dxa"/>
            <w:shd w:val="clear" w:color="auto" w:fill="F2F2F2"/>
          </w:tcPr>
          <w:p w:rsidR="00172C3C" w:rsidRPr="00172C3C" w:rsidRDefault="00F75748" w:rsidP="00714049">
            <w:pPr>
              <w:pStyle w:val="TableText"/>
              <w:jc w:val="center"/>
            </w:pPr>
            <w:r>
              <w:t>4</w:t>
            </w:r>
            <w:r w:rsidR="00172C3C" w:rsidRPr="00172C3C">
              <w:t>% per annum</w:t>
            </w:r>
          </w:p>
        </w:tc>
      </w:tr>
      <w:tr w:rsidR="00EF6DD9" w:rsidRPr="00172C3C" w:rsidTr="004D6D93">
        <w:trPr>
          <w:cantSplit/>
        </w:trPr>
        <w:tc>
          <w:tcPr>
            <w:tcW w:w="3013" w:type="dxa"/>
            <w:shd w:val="clear" w:color="auto" w:fill="F2F2F2"/>
          </w:tcPr>
          <w:p w:rsidR="00EF6DD9" w:rsidRPr="00172C3C" w:rsidRDefault="00DD39AF" w:rsidP="006D6A4B">
            <w:pPr>
              <w:pStyle w:val="TableText"/>
            </w:pPr>
            <w:r>
              <w:t>D</w:t>
            </w:r>
            <w:r w:rsidR="00EF6DD9" w:rsidRPr="00172C3C">
              <w:t xml:space="preserve">iscount </w:t>
            </w:r>
            <w:r w:rsidR="00EF6DD9">
              <w:t>r</w:t>
            </w:r>
            <w:r w:rsidR="00EF6DD9" w:rsidRPr="00172C3C">
              <w:t>ate</w:t>
            </w:r>
          </w:p>
        </w:tc>
        <w:tc>
          <w:tcPr>
            <w:tcW w:w="3260" w:type="dxa"/>
            <w:shd w:val="clear" w:color="auto" w:fill="F2F2F2"/>
          </w:tcPr>
          <w:p w:rsidR="00EF6DD9" w:rsidRPr="00172C3C" w:rsidRDefault="00EF6DD9" w:rsidP="00714049">
            <w:pPr>
              <w:pStyle w:val="TableText"/>
              <w:jc w:val="center"/>
            </w:pPr>
            <w:r>
              <w:t>5</w:t>
            </w:r>
            <w:r w:rsidRPr="00172C3C">
              <w:t>% per annum</w:t>
            </w:r>
          </w:p>
        </w:tc>
        <w:tc>
          <w:tcPr>
            <w:tcW w:w="3261" w:type="dxa"/>
            <w:shd w:val="clear" w:color="auto" w:fill="F2F2F2"/>
          </w:tcPr>
          <w:p w:rsidR="00EF6DD9" w:rsidRPr="00172C3C" w:rsidRDefault="00F75748" w:rsidP="00714049">
            <w:pPr>
              <w:pStyle w:val="TableText"/>
              <w:jc w:val="center"/>
            </w:pPr>
            <w:r>
              <w:t>6</w:t>
            </w:r>
            <w:r w:rsidR="00EF6DD9" w:rsidRPr="00172C3C">
              <w:t>% per annum</w:t>
            </w:r>
          </w:p>
        </w:tc>
      </w:tr>
    </w:tbl>
    <w:p w:rsidR="00EF6DD9" w:rsidRDefault="00EF6DD9" w:rsidP="005E4705"/>
    <w:p w:rsidR="00FB3169" w:rsidRDefault="00FB3169">
      <w:pPr>
        <w:spacing w:line="240" w:lineRule="auto"/>
      </w:pPr>
      <w:r>
        <w:br w:type="page"/>
      </w:r>
    </w:p>
    <w:p w:rsidR="00A36B7F" w:rsidRDefault="00B915A8" w:rsidP="005E4705">
      <w:r>
        <w:t>T</w:t>
      </w:r>
      <w:r w:rsidRPr="000E5C3E">
        <w:t>he</w:t>
      </w:r>
      <w:r>
        <w:t xml:space="preserve"> discount rate </w:t>
      </w:r>
      <w:r w:rsidRPr="000E5C3E">
        <w:t>assumption</w:t>
      </w:r>
      <w:r>
        <w:t xml:space="preserve"> is consistent with that </w:t>
      </w:r>
      <w:r w:rsidRPr="000E5C3E">
        <w:t xml:space="preserve">adopted for the </w:t>
      </w:r>
      <w:r w:rsidRPr="005E4705">
        <w:t>PSS and CSS Long Term Cost Report 2017</w:t>
      </w:r>
      <w:r w:rsidRPr="00714049">
        <w:t xml:space="preserve">, </w:t>
      </w:r>
      <w:r>
        <w:t xml:space="preserve">which </w:t>
      </w:r>
      <w:r w:rsidRPr="000E5C3E">
        <w:t>covers the Australian Government’s main civilian superannuation schemes, the Public Sector Superannuation Scheme (PSS) and the Commonwealt</w:t>
      </w:r>
      <w:r>
        <w:t xml:space="preserve">h Superannuation Scheme (CSS). The salary and pension increase assumption is 0.5% per annum higher than the salary increase assumption adopted for the PSS and CSS </w:t>
      </w:r>
      <w:r w:rsidRPr="005E4705">
        <w:t>Long Term Cost Report 2017</w:t>
      </w:r>
      <w:r>
        <w:t>, as discussed below.</w:t>
      </w:r>
    </w:p>
    <w:p w:rsidR="00714049" w:rsidRPr="00A30F42" w:rsidRDefault="00714049" w:rsidP="005E4705"/>
    <w:p w:rsidR="00EF6DD9" w:rsidRPr="00676991" w:rsidRDefault="00EF6DD9" w:rsidP="00EF6DD9">
      <w:pPr>
        <w:pStyle w:val="Heading3"/>
      </w:pPr>
      <w:r>
        <w:t xml:space="preserve">Salary </w:t>
      </w:r>
      <w:r w:rsidR="00492948">
        <w:t xml:space="preserve">and Pension </w:t>
      </w:r>
      <w:r>
        <w:t>Increases</w:t>
      </w:r>
    </w:p>
    <w:p w:rsidR="00EF6DD9" w:rsidRDefault="00EF6DD9" w:rsidP="00676991"/>
    <w:p w:rsidR="005F0EE6" w:rsidRDefault="0087786A" w:rsidP="00714049">
      <w:r w:rsidRPr="002F6DE6">
        <w:t xml:space="preserve">The assumed rate for long term future salary </w:t>
      </w:r>
      <w:r w:rsidR="005E4705" w:rsidRPr="002F6DE6">
        <w:t xml:space="preserve">and pension </w:t>
      </w:r>
      <w:r w:rsidRPr="002F6DE6">
        <w:t xml:space="preserve">increases </w:t>
      </w:r>
      <w:r w:rsidR="005E4705" w:rsidRPr="002F6DE6">
        <w:t>has been determined having regard to the average expected long term outlook for national wage inflation</w:t>
      </w:r>
      <w:r w:rsidR="00714049" w:rsidRPr="002F6DE6">
        <w:t>.</w:t>
      </w:r>
    </w:p>
    <w:p w:rsidR="00B915A8" w:rsidRDefault="00B915A8" w:rsidP="00B915A8"/>
    <w:p w:rsidR="00B915A8" w:rsidRDefault="00B915A8" w:rsidP="00B915A8">
      <w:r>
        <w:t xml:space="preserve">This approach differs slightly from the approach used to determine the salary increase assumption for the </w:t>
      </w:r>
      <w:r w:rsidRPr="005E4705">
        <w:t>PSS and CSS Long Term Cost Report 2017</w:t>
      </w:r>
      <w:r w:rsidR="00A36B7F">
        <w:t xml:space="preserve">. </w:t>
      </w:r>
      <w:r>
        <w:t xml:space="preserve">For those Schemes, consideration was also given to shorter term expectations for national wage growth, given the relatively short duration of salary linked liabilities.  This resulted in a lower average salary increase assumption than that adopted for this Scheme. </w:t>
      </w:r>
    </w:p>
    <w:p w:rsidR="00EF10E6" w:rsidRDefault="00EF10E6" w:rsidP="00EF10E6"/>
    <w:p w:rsidR="00EF6DD9" w:rsidRPr="00676991" w:rsidRDefault="00EF6DD9" w:rsidP="00EF6DD9">
      <w:pPr>
        <w:pStyle w:val="Heading3"/>
      </w:pPr>
      <w:r>
        <w:t>Discount Rate</w:t>
      </w:r>
    </w:p>
    <w:p w:rsidR="00EF6DD9" w:rsidRDefault="00EF6DD9" w:rsidP="00676991"/>
    <w:p w:rsidR="005F0EE6" w:rsidRDefault="00EF10E6" w:rsidP="00EF10E6">
      <w:r w:rsidRPr="000E3149">
        <w:t xml:space="preserve">The discount rate is used to calculate the present value of projected future </w:t>
      </w:r>
      <w:r w:rsidR="008E7A61">
        <w:t xml:space="preserve">benefit payments </w:t>
      </w:r>
      <w:r w:rsidRPr="000E3149">
        <w:t xml:space="preserve">and </w:t>
      </w:r>
      <w:r w:rsidR="000E3149" w:rsidRPr="000E3149">
        <w:t xml:space="preserve">provide a summary </w:t>
      </w:r>
      <w:r w:rsidRPr="000E3149">
        <w:t>measure</w:t>
      </w:r>
      <w:r w:rsidR="008E7A61">
        <w:t xml:space="preserve"> of those cash flows</w:t>
      </w:r>
      <w:r w:rsidR="000E3149" w:rsidRPr="000E3149">
        <w:t>.</w:t>
      </w:r>
      <w:r w:rsidR="00FF09AB">
        <w:t xml:space="preserve"> </w:t>
      </w:r>
      <w:r w:rsidR="000E3149">
        <w:t xml:space="preserve">The </w:t>
      </w:r>
      <w:r w:rsidR="005E4705">
        <w:t>accrued</w:t>
      </w:r>
      <w:r w:rsidR="000E3149">
        <w:t xml:space="preserve"> liability </w:t>
      </w:r>
      <w:r w:rsidR="000E3149" w:rsidRPr="006B0EDF">
        <w:t xml:space="preserve">represents the </w:t>
      </w:r>
      <w:r w:rsidR="000E3149">
        <w:t xml:space="preserve">present value of the </w:t>
      </w:r>
      <w:r w:rsidR="003C17E0">
        <w:t>estimated future benefit payments</w:t>
      </w:r>
      <w:r w:rsidR="000E3149">
        <w:t xml:space="preserve"> in respect of service already rendered</w:t>
      </w:r>
      <w:r w:rsidRPr="000E3149">
        <w:t>. A lower discount rate leads to a higher estimate of the unfunded liability, and vice versa.</w:t>
      </w:r>
    </w:p>
    <w:p w:rsidR="00714049" w:rsidRDefault="00714049" w:rsidP="00EF10E6"/>
    <w:p w:rsidR="00EF10E6" w:rsidRDefault="000E3149" w:rsidP="00EF10E6">
      <w:r w:rsidRPr="000141EB">
        <w:t xml:space="preserve">The present value does not change the ultimate </w:t>
      </w:r>
      <w:r w:rsidR="00FF09AB">
        <w:t xml:space="preserve">benefit </w:t>
      </w:r>
      <w:r>
        <w:t>payments</w:t>
      </w:r>
      <w:r w:rsidR="00B915A8" w:rsidRPr="00562E56">
        <w:t>, as these are</w:t>
      </w:r>
      <w:r w:rsidR="00A36B7F">
        <w:t xml:space="preserve"> dictated by actual experience, </w:t>
      </w:r>
      <w:r>
        <w:t xml:space="preserve">but does </w:t>
      </w:r>
      <w:r w:rsidRPr="000141EB">
        <w:t xml:space="preserve">however provide a manageable way to assess and compare </w:t>
      </w:r>
      <w:r w:rsidR="00692D7D">
        <w:t xml:space="preserve">the value of </w:t>
      </w:r>
      <w:r>
        <w:t xml:space="preserve">expected future </w:t>
      </w:r>
      <w:r w:rsidR="00FF09AB">
        <w:t>cash flows</w:t>
      </w:r>
      <w:r w:rsidR="00692D7D">
        <w:t>, expressed in today’s dollars.</w:t>
      </w:r>
    </w:p>
    <w:p w:rsidR="00EF10E6" w:rsidRDefault="00EF10E6" w:rsidP="00EF10E6"/>
    <w:p w:rsidR="00FB3169" w:rsidRPr="00EF55B8" w:rsidRDefault="00FB3169" w:rsidP="00FB3169">
      <w:r>
        <w:t>T</w:t>
      </w:r>
      <w:r w:rsidRPr="00EF55B8">
        <w:t>he discount rate has been determined based on the expected return on Government bonds over the long term, as this would be the cost to the Au</w:t>
      </w:r>
      <w:r>
        <w:t>stralian Government were it to fund</w:t>
      </w:r>
      <w:r w:rsidRPr="00EF55B8">
        <w:t xml:space="preserve"> </w:t>
      </w:r>
      <w:r>
        <w:t xml:space="preserve">future benefit payments </w:t>
      </w:r>
      <w:r w:rsidRPr="00EF55B8">
        <w:t>via borrowings.</w:t>
      </w:r>
      <w:r>
        <w:t xml:space="preserve"> This contrasts to a funded scheme where a discount rate is typically based on an assumption for the investment earning rate on the scheme’s assets.</w:t>
      </w:r>
    </w:p>
    <w:p w:rsidR="00FB3169" w:rsidRPr="00EF55B8" w:rsidRDefault="00FB3169" w:rsidP="00FB3169"/>
    <w:p w:rsidR="005F0EE6" w:rsidRPr="005F0EE6" w:rsidRDefault="00FB3169" w:rsidP="00814698">
      <w:r w:rsidRPr="00EF55B8">
        <w:t xml:space="preserve">Consistent with the </w:t>
      </w:r>
      <w:r w:rsidRPr="005E4705">
        <w:t>PSS and CSS Long Term Cost Report 2017</w:t>
      </w:r>
      <w:r w:rsidR="005F0EE6">
        <w:t>, we believe a long term rate of 5% per annum is appropriate to assume as a</w:t>
      </w:r>
      <w:r w:rsidR="005E4705">
        <w:t xml:space="preserve"> </w:t>
      </w:r>
      <w:r w:rsidR="005F0EE6">
        <w:t>discount rate.</w:t>
      </w:r>
    </w:p>
    <w:p w:rsidR="005F0EE6" w:rsidRPr="005F0EE6" w:rsidRDefault="005F0EE6" w:rsidP="00814698"/>
    <w:p w:rsidR="00676991" w:rsidRPr="00331A3B" w:rsidRDefault="00676991" w:rsidP="00331A3B">
      <w:pPr>
        <w:rPr>
          <w:caps/>
          <w:color w:val="002C77"/>
          <w:spacing w:val="40"/>
        </w:rPr>
      </w:pPr>
      <w:bookmarkStart w:id="51" w:name="_Toc508267356"/>
      <w:r w:rsidRPr="00331A3B">
        <w:rPr>
          <w:caps/>
          <w:color w:val="002C77"/>
          <w:spacing w:val="40"/>
        </w:rPr>
        <w:t>Demographic Assumptions</w:t>
      </w:r>
      <w:bookmarkEnd w:id="51"/>
    </w:p>
    <w:p w:rsidR="00676991" w:rsidRDefault="00676991" w:rsidP="00676991"/>
    <w:p w:rsidR="002F6DE6" w:rsidRPr="002F3543" w:rsidRDefault="002F6DE6" w:rsidP="00676991">
      <w:r w:rsidRPr="00D6065E">
        <w:t>As the Scheme is relatively small t</w:t>
      </w:r>
      <w:r w:rsidR="00676991" w:rsidRPr="00D6065E">
        <w:t xml:space="preserve">he demographic assumptions </w:t>
      </w:r>
      <w:r w:rsidRPr="00D6065E">
        <w:t xml:space="preserve">are, for the most part, based on the assumptions </w:t>
      </w:r>
      <w:r w:rsidR="00676991" w:rsidRPr="00D6065E">
        <w:t xml:space="preserve">adopted </w:t>
      </w:r>
      <w:r w:rsidRPr="00D6065E">
        <w:t xml:space="preserve">for the </w:t>
      </w:r>
      <w:r w:rsidR="00085420" w:rsidRPr="002F3543">
        <w:t xml:space="preserve">Judges’ </w:t>
      </w:r>
      <w:r w:rsidR="00634251" w:rsidRPr="002F3543">
        <w:t xml:space="preserve">Pensions Scheme 2017 </w:t>
      </w:r>
      <w:r w:rsidRPr="002F3543">
        <w:t>Long Term Cost Report.</w:t>
      </w:r>
    </w:p>
    <w:p w:rsidR="002F6DE6" w:rsidRDefault="002F6DE6" w:rsidP="00676991">
      <w:pPr>
        <w:rPr>
          <w:highlight w:val="cyan"/>
        </w:rPr>
      </w:pPr>
    </w:p>
    <w:p w:rsidR="00676991" w:rsidRPr="00676991" w:rsidRDefault="002F6DE6" w:rsidP="00676991">
      <w:r w:rsidRPr="00634251">
        <w:t>An</w:t>
      </w:r>
      <w:r w:rsidR="00C64179" w:rsidRPr="00634251">
        <w:t xml:space="preserve"> analysis </w:t>
      </w:r>
      <w:r w:rsidRPr="00634251">
        <w:t xml:space="preserve">of recent experience compared with the previous assumptions </w:t>
      </w:r>
      <w:r w:rsidR="00C64179" w:rsidRPr="00634251">
        <w:t>is set out in Appendix B.</w:t>
      </w:r>
      <w:r w:rsidR="00C64179" w:rsidRPr="00C64179">
        <w:t xml:space="preserve"> </w:t>
      </w:r>
      <w:r w:rsidR="00DB6608" w:rsidRPr="00C64179">
        <w:t>Details of the updated demographic assumptions are set out in Appendix </w:t>
      </w:r>
      <w:r w:rsidR="00394AD2" w:rsidRPr="00C64179">
        <w:t>C</w:t>
      </w:r>
      <w:r w:rsidR="00DB6608" w:rsidRPr="00C64179">
        <w:t>.</w:t>
      </w:r>
    </w:p>
    <w:p w:rsidR="00676991" w:rsidRPr="00676991" w:rsidRDefault="00676991" w:rsidP="00BE0ACB">
      <w:pPr>
        <w:pStyle w:val="Heading3"/>
      </w:pPr>
      <w:r w:rsidRPr="00676991">
        <w:t>Retirement</w:t>
      </w:r>
    </w:p>
    <w:p w:rsidR="00676991" w:rsidRPr="00676991" w:rsidRDefault="00676991" w:rsidP="00676991"/>
    <w:p w:rsidR="00A41BB5" w:rsidRDefault="00DE5D91" w:rsidP="00A41BB5">
      <w:r w:rsidRPr="00B05CB0">
        <w:t>Assumed rates of retirement are unchanged from the 2014 LTCR</w:t>
      </w:r>
      <w:r w:rsidR="00A41BB5" w:rsidRPr="00B05CB0">
        <w:t>.</w:t>
      </w:r>
    </w:p>
    <w:p w:rsidR="0053249E" w:rsidRDefault="0053249E" w:rsidP="00676991"/>
    <w:p w:rsidR="004C66FD" w:rsidRPr="00676991" w:rsidRDefault="004C66FD" w:rsidP="004C66FD">
      <w:pPr>
        <w:pStyle w:val="Heading3"/>
      </w:pPr>
      <w:r>
        <w:t>Invalidity</w:t>
      </w:r>
    </w:p>
    <w:p w:rsidR="004C66FD" w:rsidRDefault="004C66FD" w:rsidP="004C66FD"/>
    <w:p w:rsidR="004C66FD" w:rsidRDefault="00DE5D91" w:rsidP="004C66FD">
      <w:r>
        <w:t>R</w:t>
      </w:r>
      <w:r w:rsidR="004C66FD">
        <w:t xml:space="preserve">ates of invalidity retirement </w:t>
      </w:r>
      <w:r>
        <w:t>a</w:t>
      </w:r>
      <w:r w:rsidR="004C66FD">
        <w:t xml:space="preserve">re </w:t>
      </w:r>
      <w:r>
        <w:t xml:space="preserve">assumed to be </w:t>
      </w:r>
      <w:r w:rsidR="004C66FD">
        <w:t xml:space="preserve">the same as those used </w:t>
      </w:r>
      <w:r>
        <w:t xml:space="preserve">in </w:t>
      </w:r>
      <w:r w:rsidR="004C66FD" w:rsidRPr="00780071">
        <w:t>the</w:t>
      </w:r>
      <w:r w:rsidR="004C66FD">
        <w:t xml:space="preserve"> </w:t>
      </w:r>
      <w:r w:rsidR="004C66FD" w:rsidRPr="005E4705">
        <w:t>PSS and CSS Long Term Cost Report 2017</w:t>
      </w:r>
      <w:r w:rsidR="004C66FD" w:rsidRPr="00780F5E">
        <w:t>, exten</w:t>
      </w:r>
      <w:r w:rsidR="004C66FD">
        <w:t>ded</w:t>
      </w:r>
      <w:r w:rsidR="004C66FD" w:rsidRPr="00780F5E">
        <w:t xml:space="preserve"> to age 70.</w:t>
      </w:r>
      <w:r>
        <w:t xml:space="preserve"> These rates are unchanged from the 2014 LTCR.</w:t>
      </w:r>
    </w:p>
    <w:p w:rsidR="004C66FD" w:rsidRPr="00676991" w:rsidRDefault="004C66FD" w:rsidP="004C66FD"/>
    <w:p w:rsidR="004C66FD" w:rsidRPr="00676991" w:rsidRDefault="00C32128" w:rsidP="004C66FD">
      <w:pPr>
        <w:pStyle w:val="Heading3"/>
      </w:pPr>
      <w:r>
        <w:t>Death</w:t>
      </w:r>
    </w:p>
    <w:p w:rsidR="004C66FD" w:rsidRDefault="004C66FD" w:rsidP="004C66FD"/>
    <w:p w:rsidR="004C66FD" w:rsidRDefault="00C32128" w:rsidP="004C66FD">
      <w:r>
        <w:t xml:space="preserve">Rates of death are </w:t>
      </w:r>
      <w:r w:rsidR="004C66FD" w:rsidRPr="00780071">
        <w:t xml:space="preserve">assumed to be the same as </w:t>
      </w:r>
      <w:r w:rsidR="004A1F3F">
        <w:t xml:space="preserve">the </w:t>
      </w:r>
      <w:r>
        <w:t>mortality assumptions</w:t>
      </w:r>
      <w:r w:rsidR="004A1F3F">
        <w:t xml:space="preserve"> </w:t>
      </w:r>
      <w:r w:rsidR="00DE5D91">
        <w:t>used</w:t>
      </w:r>
      <w:r w:rsidR="004A1F3F">
        <w:t xml:space="preserve"> in </w:t>
      </w:r>
      <w:r w:rsidR="004C66FD" w:rsidRPr="00780071">
        <w:t>the</w:t>
      </w:r>
      <w:r w:rsidR="004C66FD">
        <w:t xml:space="preserve"> </w:t>
      </w:r>
      <w:r w:rsidR="004C66FD" w:rsidRPr="005E4705">
        <w:t>PSS and CSS Long Term Cost Report 2017</w:t>
      </w:r>
      <w:r w:rsidR="004A1F3F">
        <w:t>. These rates a</w:t>
      </w:r>
      <w:r w:rsidR="004C66FD">
        <w:t>re unchanged from the 2014 LTCR.</w:t>
      </w:r>
    </w:p>
    <w:p w:rsidR="00BF3B60" w:rsidRDefault="00BF3B60" w:rsidP="00240871"/>
    <w:p w:rsidR="001C3885" w:rsidRPr="00676991" w:rsidRDefault="001C3885" w:rsidP="001C3885">
      <w:pPr>
        <w:pStyle w:val="Heading3"/>
      </w:pPr>
      <w:r w:rsidRPr="00676991">
        <w:t>Spouse Assumptions</w:t>
      </w:r>
    </w:p>
    <w:p w:rsidR="001C3885" w:rsidRDefault="001C3885" w:rsidP="001C3885"/>
    <w:p w:rsidR="001C3885" w:rsidRDefault="001C3885" w:rsidP="001C3885">
      <w:r>
        <w:t>Assumptions regarding the proportion of members with a spouse, and the age of their spouse, are unchanged from the 2014 LTCR.</w:t>
      </w:r>
    </w:p>
    <w:p w:rsidR="001C3885" w:rsidRDefault="001C3885" w:rsidP="00240871"/>
    <w:p w:rsidR="00DF489C" w:rsidRPr="00DF489C" w:rsidRDefault="00DF489C" w:rsidP="00DF489C">
      <w:pPr>
        <w:pStyle w:val="Heading3"/>
      </w:pPr>
      <w:r w:rsidRPr="00DF489C">
        <w:t>Future New Entrants</w:t>
      </w:r>
    </w:p>
    <w:p w:rsidR="00DF489C" w:rsidRDefault="00DF489C" w:rsidP="00DF489C"/>
    <w:p w:rsidR="00BC59A6" w:rsidRDefault="00060E74" w:rsidP="00DF489C">
      <w:r>
        <w:t xml:space="preserve">Each departing Judge is assumed to be replaced by a new entrant. </w:t>
      </w:r>
      <w:r w:rsidR="00E56576">
        <w:t>The assumed distribution and characteristics of</w:t>
      </w:r>
      <w:r w:rsidR="00E56576" w:rsidRPr="00DE5D91">
        <w:t xml:space="preserve"> new entrants</w:t>
      </w:r>
      <w:r w:rsidR="00E56576">
        <w:t xml:space="preserve"> is similar to that adopted </w:t>
      </w:r>
      <w:r w:rsidR="00DE5D91" w:rsidRPr="00DE5D91">
        <w:t xml:space="preserve">for the 2014 LTCR </w:t>
      </w:r>
      <w:r w:rsidR="00E56576">
        <w:t xml:space="preserve">but in a </w:t>
      </w:r>
      <w:r w:rsidR="0061001C" w:rsidRPr="00DE5D91">
        <w:t>simplified</w:t>
      </w:r>
      <w:r w:rsidR="00E56576">
        <w:t xml:space="preserve"> form</w:t>
      </w:r>
      <w:r w:rsidR="00BC59A6" w:rsidRPr="00DE5D91">
        <w:t>.</w:t>
      </w:r>
    </w:p>
    <w:p w:rsidR="00BF3B60" w:rsidRDefault="00BF3B60" w:rsidP="00240871"/>
    <w:p w:rsidR="00BF3B60" w:rsidRDefault="00BF3B60" w:rsidP="00BF3B60">
      <w:pPr>
        <w:pStyle w:val="SectionStart"/>
        <w:pBdr>
          <w:bottom w:val="single" w:sz="12" w:space="1" w:color="auto"/>
        </w:pBdr>
        <w:spacing w:before="0" w:after="380"/>
      </w:pPr>
    </w:p>
    <w:p w:rsidR="00BF3B60" w:rsidRDefault="00BB77ED" w:rsidP="00BF3B60">
      <w:pPr>
        <w:pStyle w:val="Heading1"/>
        <w:numPr>
          <w:ilvl w:val="0"/>
          <w:numId w:val="0"/>
        </w:numPr>
        <w:spacing w:after="240"/>
      </w:pPr>
      <w:bookmarkStart w:id="52" w:name="_Toc511313521"/>
      <w:bookmarkStart w:id="53" w:name="_Toc325023263"/>
      <w:bookmarkStart w:id="54" w:name="_Toc493666047"/>
      <w:bookmarkStart w:id="55" w:name="_Toc508267358"/>
      <w:bookmarkStart w:id="56" w:name="_Toc511315167"/>
      <w:bookmarkStart w:id="57" w:name="_Toc511385931"/>
      <w:bookmarkStart w:id="58" w:name="_Toc517692341"/>
      <w:r>
        <w:t>Accrued</w:t>
      </w:r>
      <w:r w:rsidR="00331428">
        <w:t xml:space="preserve"> L</w:t>
      </w:r>
      <w:r w:rsidR="00BF3B60">
        <w:t>iabilit</w:t>
      </w:r>
      <w:r w:rsidR="009E12D6">
        <w:t>y</w:t>
      </w:r>
      <w:bookmarkEnd w:id="52"/>
      <w:bookmarkEnd w:id="53"/>
      <w:bookmarkEnd w:id="54"/>
      <w:bookmarkEnd w:id="55"/>
      <w:bookmarkEnd w:id="56"/>
      <w:bookmarkEnd w:id="57"/>
      <w:bookmarkEnd w:id="58"/>
    </w:p>
    <w:p w:rsidR="00060E74" w:rsidRPr="004C10D4" w:rsidRDefault="00060E74" w:rsidP="00060E74">
      <w:r>
        <w:t xml:space="preserve">The accrued liability </w:t>
      </w:r>
      <w:r w:rsidRPr="006B0EDF">
        <w:t xml:space="preserve">represents an estimate of the </w:t>
      </w:r>
      <w:r>
        <w:t>present value of the benefit entitlements currently in payment.</w:t>
      </w:r>
      <w:r>
        <w:rPr>
          <w:spacing w:val="-3"/>
        </w:rPr>
        <w:t xml:space="preserve"> </w:t>
      </w:r>
      <w:r w:rsidRPr="004C10D4">
        <w:t>The present value represents the amount which would need to be set aside at the valuation date to provide for these benefits at the time they are payable, assuming the valuation assumptions were borne out in practice.</w:t>
      </w:r>
    </w:p>
    <w:p w:rsidR="00060E74" w:rsidRDefault="00060E74" w:rsidP="00060E74"/>
    <w:p w:rsidR="008B418C" w:rsidRDefault="00060E74" w:rsidP="00060E74">
      <w:r>
        <w:t xml:space="preserve">It should be noted that the above measure of accrued liabilities does not include any amount for currently serving </w:t>
      </w:r>
      <w:r w:rsidR="00B83FE4">
        <w:t>J</w:t>
      </w:r>
      <w:r>
        <w:t>udges.  This is consistent with the “insurance premium” approach adopted at the 2014 LTCR</w:t>
      </w:r>
      <w:r w:rsidR="00EB3516">
        <w:t xml:space="preserve"> and the approach adopted in the Australian Government financial statements</w:t>
      </w:r>
      <w:r w:rsidR="008B418C">
        <w:t>.</w:t>
      </w:r>
    </w:p>
    <w:p w:rsidR="008B418C" w:rsidRDefault="008B418C" w:rsidP="00060E74"/>
    <w:p w:rsidR="00BF3B60" w:rsidRPr="00331A3B" w:rsidRDefault="0003651C" w:rsidP="00331A3B">
      <w:pPr>
        <w:rPr>
          <w:caps/>
          <w:color w:val="002C77"/>
          <w:spacing w:val="40"/>
        </w:rPr>
      </w:pPr>
      <w:bookmarkStart w:id="59" w:name="_Toc508267359"/>
      <w:r w:rsidRPr="00331A3B">
        <w:rPr>
          <w:caps/>
          <w:color w:val="002C77"/>
          <w:spacing w:val="40"/>
        </w:rPr>
        <w:t xml:space="preserve">Valuation </w:t>
      </w:r>
      <w:r w:rsidR="00BF3B60" w:rsidRPr="00331A3B">
        <w:rPr>
          <w:caps/>
          <w:color w:val="002C77"/>
          <w:spacing w:val="40"/>
        </w:rPr>
        <w:t>Method</w:t>
      </w:r>
      <w:r w:rsidRPr="00331A3B">
        <w:rPr>
          <w:caps/>
          <w:color w:val="002C77"/>
          <w:spacing w:val="40"/>
        </w:rPr>
        <w:t>ology</w:t>
      </w:r>
      <w:bookmarkEnd w:id="59"/>
    </w:p>
    <w:p w:rsidR="00240871" w:rsidRDefault="00240871" w:rsidP="00240871"/>
    <w:p w:rsidR="00060E74" w:rsidRDefault="00060E74" w:rsidP="00060E74">
      <w:r>
        <w:t xml:space="preserve">The </w:t>
      </w:r>
      <w:r w:rsidR="008B418C">
        <w:t xml:space="preserve">valuation method for the liability </w:t>
      </w:r>
      <w:r>
        <w:t>in respect of currently serving Judges is consistent with an “insurance premium” approach</w:t>
      </w:r>
      <w:r w:rsidR="001A7306">
        <w:t>.</w:t>
      </w:r>
      <w:r w:rsidR="008B418C">
        <w:t xml:space="preserve"> </w:t>
      </w:r>
      <w:r w:rsidR="001A7306">
        <w:t>T</w:t>
      </w:r>
      <w:r w:rsidR="008B418C">
        <w:t xml:space="preserve">he cost of providing benefits in any given period is calculated as the expected value of all benefits payable in relation to deaths and invalidities occurring in that period.  </w:t>
      </w:r>
      <w:r w:rsidR="001A7306">
        <w:t>A</w:t>
      </w:r>
      <w:r>
        <w:t xml:space="preserve">n insurance company would require </w:t>
      </w:r>
      <w:r w:rsidR="001A7306">
        <w:t xml:space="preserve">this amount </w:t>
      </w:r>
      <w:r w:rsidR="00E56576">
        <w:t xml:space="preserve">(plus a margin to allow for administrative expenses and profit) </w:t>
      </w:r>
      <w:r w:rsidR="001A7306">
        <w:t xml:space="preserve">as the premium </w:t>
      </w:r>
      <w:r>
        <w:t>to cover claims that could arise in that year</w:t>
      </w:r>
      <w:r w:rsidR="001A7306">
        <w:t>, and would</w:t>
      </w:r>
      <w:r>
        <w:t xml:space="preserve"> </w:t>
      </w:r>
      <w:r w:rsidR="001A7306">
        <w:t xml:space="preserve">then be </w:t>
      </w:r>
      <w:r>
        <w:t xml:space="preserve">responsible for </w:t>
      </w:r>
      <w:r w:rsidR="001A7306">
        <w:t xml:space="preserve">any </w:t>
      </w:r>
      <w:r>
        <w:t xml:space="preserve">claims that </w:t>
      </w:r>
      <w:r w:rsidR="001A7306">
        <w:t>actually a</w:t>
      </w:r>
      <w:r>
        <w:t>rise.</w:t>
      </w:r>
    </w:p>
    <w:p w:rsidR="00060E74" w:rsidRDefault="00060E74" w:rsidP="00060E74"/>
    <w:p w:rsidR="008D3346" w:rsidRDefault="008D3346" w:rsidP="00060E74">
      <w:r>
        <w:t>In our view, the “insurance premium”’ approach is an appropriate method of allocating the expected costs associated with this Scheme between different periods.</w:t>
      </w:r>
    </w:p>
    <w:p w:rsidR="00EB3516" w:rsidRDefault="00EB3516" w:rsidP="00060E74"/>
    <w:p w:rsidR="00E56576" w:rsidRDefault="008D3346" w:rsidP="00060E74">
      <w:r>
        <w:t xml:space="preserve">However, we note that it </w:t>
      </w:r>
      <w:r w:rsidR="00060E74">
        <w:t xml:space="preserve">is </w:t>
      </w:r>
      <w:r w:rsidR="008B418C">
        <w:t xml:space="preserve">different to the standard </w:t>
      </w:r>
      <w:r w:rsidR="00060E74">
        <w:t xml:space="preserve">approach </w:t>
      </w:r>
      <w:r w:rsidR="008B418C">
        <w:t>for</w:t>
      </w:r>
      <w:r w:rsidR="00060E74">
        <w:t xml:space="preserve"> </w:t>
      </w:r>
      <w:r w:rsidR="00B75352">
        <w:t>allocating the cost of</w:t>
      </w:r>
      <w:r w:rsidR="00060E74">
        <w:t xml:space="preserve"> death and invalidity benefits of the other </w:t>
      </w:r>
      <w:r w:rsidR="008B418C">
        <w:t xml:space="preserve">Australian Government </w:t>
      </w:r>
      <w:r w:rsidR="00060E74">
        <w:t xml:space="preserve">defined benefit superannuation </w:t>
      </w:r>
      <w:r w:rsidR="008B418C">
        <w:t>schemes</w:t>
      </w:r>
      <w:r w:rsidR="00060E74">
        <w:t>.  Under the standard approach</w:t>
      </w:r>
      <w:r w:rsidR="008B418C">
        <w:t>,</w:t>
      </w:r>
      <w:r w:rsidR="00060E74">
        <w:t xml:space="preserve"> it is assumed the potential future death and invalidity benefit</w:t>
      </w:r>
      <w:r w:rsidR="008B418C">
        <w:t>s</w:t>
      </w:r>
      <w:r w:rsidR="00060E74">
        <w:t xml:space="preserve"> are accrued uniformly over the period of service to the expected date of death or invalidity.  T</w:t>
      </w:r>
      <w:r w:rsidR="008B418C">
        <w:t>his</w:t>
      </w:r>
      <w:r w:rsidR="00060E74" w:rsidRPr="004C10D4">
        <w:t xml:space="preserve"> </w:t>
      </w:r>
      <w:r w:rsidR="008B418C">
        <w:t>standard</w:t>
      </w:r>
      <w:r w:rsidR="00060E74" w:rsidRPr="004C10D4">
        <w:t xml:space="preserve"> method</w:t>
      </w:r>
      <w:r w:rsidR="00060E74">
        <w:t xml:space="preserve"> then</w:t>
      </w:r>
      <w:r w:rsidR="00060E74" w:rsidRPr="004C10D4">
        <w:t xml:space="preserve"> evaluates, for each member, expected future benefit payments for each future year multiplied by the probability that the benefit will be payable in that year. The accrued liability </w:t>
      </w:r>
      <w:r w:rsidR="008B418C">
        <w:t xml:space="preserve">would be </w:t>
      </w:r>
      <w:r w:rsidR="00060E74" w:rsidRPr="004C10D4">
        <w:t>determined as the part of the total benefit which has accrued to the valuation date. The present value of the accrued liability is</w:t>
      </w:r>
      <w:r w:rsidR="00060E74">
        <w:t xml:space="preserve"> then</w:t>
      </w:r>
      <w:r w:rsidR="00060E74" w:rsidRPr="004C10D4">
        <w:t xml:space="preserve"> determined by discounting these expected payments back to the valuation date.</w:t>
      </w:r>
    </w:p>
    <w:p w:rsidR="00E56576" w:rsidRDefault="00E56576" w:rsidP="00060E74"/>
    <w:p w:rsidR="00060E74" w:rsidRPr="004C10D4" w:rsidRDefault="00060E74" w:rsidP="00060E74">
      <w:r>
        <w:t xml:space="preserve">The use of </w:t>
      </w:r>
      <w:r w:rsidR="00EB3516">
        <w:t>the standard</w:t>
      </w:r>
      <w:r>
        <w:t xml:space="preserve"> method </w:t>
      </w:r>
      <w:r w:rsidR="00EB3516">
        <w:t xml:space="preserve">would </w:t>
      </w:r>
      <w:r w:rsidR="00B3658B">
        <w:t>result in a greater accrued liability as it would include an amount in respect of currently serving Judges.</w:t>
      </w:r>
    </w:p>
    <w:p w:rsidR="00985D4F" w:rsidRPr="00985D4F" w:rsidRDefault="00985D4F" w:rsidP="00985D4F"/>
    <w:p w:rsidR="00E31619" w:rsidRDefault="00E31619">
      <w:pPr>
        <w:spacing w:line="240" w:lineRule="auto"/>
        <w:rPr>
          <w:caps/>
          <w:color w:val="002C77"/>
          <w:spacing w:val="40"/>
        </w:rPr>
      </w:pPr>
      <w:bookmarkStart w:id="60" w:name="_Toc508267360"/>
      <w:r>
        <w:rPr>
          <w:caps/>
          <w:color w:val="002C77"/>
          <w:spacing w:val="40"/>
        </w:rPr>
        <w:br w:type="page"/>
      </w:r>
    </w:p>
    <w:p w:rsidR="006C1989" w:rsidRPr="00331A3B" w:rsidRDefault="006C1989" w:rsidP="006C1989">
      <w:pPr>
        <w:rPr>
          <w:caps/>
          <w:color w:val="002C77"/>
          <w:spacing w:val="40"/>
        </w:rPr>
      </w:pPr>
      <w:r w:rsidRPr="00331A3B">
        <w:rPr>
          <w:caps/>
          <w:color w:val="002C77"/>
          <w:spacing w:val="40"/>
        </w:rPr>
        <w:t>Results</w:t>
      </w:r>
      <w:bookmarkEnd w:id="60"/>
    </w:p>
    <w:p w:rsidR="006C1989" w:rsidRDefault="006C1989" w:rsidP="006C1989"/>
    <w:p w:rsidR="006C1989" w:rsidRDefault="001A7306" w:rsidP="006C1989">
      <w:r>
        <w:t>The total accrued liabilit</w:t>
      </w:r>
      <w:r w:rsidR="0024049B">
        <w:t xml:space="preserve">y </w:t>
      </w:r>
      <w:r>
        <w:t xml:space="preserve">of the Scheme at 30 June 2017 </w:t>
      </w:r>
      <w:r w:rsidRPr="00941729">
        <w:t>w</w:t>
      </w:r>
      <w:r w:rsidR="0024049B">
        <w:t>as</w:t>
      </w:r>
      <w:r w:rsidRPr="00941729">
        <w:t xml:space="preserve"> $</w:t>
      </w:r>
      <w:r w:rsidRPr="00EF55B8">
        <w:t>1.718</w:t>
      </w:r>
      <w:r w:rsidR="002C095D">
        <w:t xml:space="preserve"> </w:t>
      </w:r>
      <w:r w:rsidRPr="00EF55B8">
        <w:t>m</w:t>
      </w:r>
      <w:r w:rsidR="002C095D">
        <w:t>illion</w:t>
      </w:r>
      <w:r w:rsidRPr="00EF55B8">
        <w:t>.</w:t>
      </w:r>
    </w:p>
    <w:p w:rsidR="00E31619" w:rsidRDefault="00E31619" w:rsidP="00692EE8"/>
    <w:p w:rsidR="00BF3B60" w:rsidRPr="00331A3B" w:rsidRDefault="00BF3B60" w:rsidP="00E31619">
      <w:pPr>
        <w:rPr>
          <w:caps/>
          <w:color w:val="002C77"/>
          <w:spacing w:val="40"/>
        </w:rPr>
      </w:pPr>
      <w:bookmarkStart w:id="61" w:name="_Toc508267361"/>
      <w:r w:rsidRPr="00331A3B">
        <w:rPr>
          <w:caps/>
          <w:color w:val="002C77"/>
          <w:spacing w:val="40"/>
        </w:rPr>
        <w:t>Analysis of Change Compared with previous report</w:t>
      </w:r>
      <w:bookmarkEnd w:id="61"/>
    </w:p>
    <w:p w:rsidR="00240871" w:rsidRDefault="00240871" w:rsidP="00240871"/>
    <w:p w:rsidR="00BF205F" w:rsidRDefault="00BF205F" w:rsidP="00BF205F">
      <w:r w:rsidRPr="00B40676">
        <w:t xml:space="preserve">The 2014 LTCR projected that the </w:t>
      </w:r>
      <w:r w:rsidR="005859FB">
        <w:t>accrued</w:t>
      </w:r>
      <w:r w:rsidRPr="00B40676">
        <w:t xml:space="preserve"> liability would be $</w:t>
      </w:r>
      <w:r w:rsidR="001A7306">
        <w:t>2.130</w:t>
      </w:r>
      <w:r w:rsidRPr="00B40676">
        <w:t xml:space="preserve"> </w:t>
      </w:r>
      <w:r w:rsidR="005859FB">
        <w:t>m</w:t>
      </w:r>
      <w:r w:rsidRPr="00B40676">
        <w:t>illion as at 30 June 2017, $</w:t>
      </w:r>
      <w:r w:rsidR="001A7306">
        <w:t>0.412</w:t>
      </w:r>
      <w:r w:rsidRPr="00B40676">
        <w:t xml:space="preserve"> </w:t>
      </w:r>
      <w:r w:rsidR="005859FB">
        <w:t>m</w:t>
      </w:r>
      <w:r w:rsidRPr="00B40676">
        <w:t xml:space="preserve">illion </w:t>
      </w:r>
      <w:r w:rsidR="001A7306">
        <w:t>more</w:t>
      </w:r>
      <w:r w:rsidRPr="00B40676">
        <w:t xml:space="preserve"> than the </w:t>
      </w:r>
      <w:r w:rsidR="0050338B">
        <w:t xml:space="preserve">actual </w:t>
      </w:r>
      <w:r w:rsidR="005859FB">
        <w:t>accrued</w:t>
      </w:r>
      <w:r w:rsidR="005859FB" w:rsidRPr="00B40676">
        <w:t xml:space="preserve"> </w:t>
      </w:r>
      <w:r w:rsidR="0050338B">
        <w:t>liability</w:t>
      </w:r>
      <w:r>
        <w:t>.</w:t>
      </w:r>
    </w:p>
    <w:p w:rsidR="00BF205F" w:rsidRDefault="00BF205F" w:rsidP="00BF205F"/>
    <w:p w:rsidR="00150787" w:rsidRDefault="006F6B5D" w:rsidP="00150787">
      <w:r>
        <w:t>The factors leading to the difference</w:t>
      </w:r>
      <w:r w:rsidR="006C1989">
        <w:t xml:space="preserve"> in</w:t>
      </w:r>
      <w:r w:rsidR="0050338B">
        <w:t xml:space="preserve"> </w:t>
      </w:r>
      <w:r>
        <w:t>the previous</w:t>
      </w:r>
      <w:r w:rsidR="006C1989">
        <w:t xml:space="preserve">ly projected </w:t>
      </w:r>
      <w:r w:rsidR="005859FB">
        <w:t>accrued</w:t>
      </w:r>
      <w:r w:rsidR="005859FB" w:rsidRPr="00B40676">
        <w:t xml:space="preserve"> </w:t>
      </w:r>
      <w:r w:rsidR="006C1989">
        <w:t>liability</w:t>
      </w:r>
      <w:r w:rsidR="0050338B">
        <w:t xml:space="preserve"> a</w:t>
      </w:r>
      <w:r w:rsidR="005859FB">
        <w:t>re</w:t>
      </w:r>
      <w:r w:rsidR="0050338B">
        <w:t xml:space="preserve"> </w:t>
      </w:r>
      <w:r w:rsidR="006C1989">
        <w:t>quantified in the following chart:</w:t>
      </w:r>
    </w:p>
    <w:p w:rsidR="00150787" w:rsidRDefault="00150787" w:rsidP="00150787"/>
    <w:p w:rsidR="00E31619" w:rsidRDefault="00E31619" w:rsidP="00150787">
      <w:r>
        <w:rPr>
          <w:noProof/>
          <w:lang w:eastAsia="en-AU"/>
        </w:rPr>
        <w:drawing>
          <wp:inline distT="0" distB="0" distL="0" distR="0" wp14:anchorId="12568195" wp14:editId="1BB5EE46">
            <wp:extent cx="5760000" cy="2855433"/>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00" cy="2855433"/>
                    </a:xfrm>
                    <a:prstGeom prst="rect">
                      <a:avLst/>
                    </a:prstGeom>
                    <a:noFill/>
                  </pic:spPr>
                </pic:pic>
              </a:graphicData>
            </a:graphic>
          </wp:inline>
        </w:drawing>
      </w:r>
    </w:p>
    <w:p w:rsidR="006C1989" w:rsidRDefault="006C1989" w:rsidP="004D178B"/>
    <w:p w:rsidR="008A083F" w:rsidRDefault="008A083F" w:rsidP="008A083F">
      <w:r>
        <w:t>The most significant item is the membership experience, which includes both the number of incidents of death and invalidity and the age of members dying or retiring due to invalidity.</w:t>
      </w:r>
    </w:p>
    <w:p w:rsidR="002D08D8" w:rsidRDefault="002D08D8" w:rsidP="00240871"/>
    <w:p w:rsidR="00BF3B60" w:rsidRDefault="00BF3B60" w:rsidP="00BF3B60">
      <w:pPr>
        <w:pStyle w:val="SectionStart"/>
        <w:pBdr>
          <w:bottom w:val="single" w:sz="12" w:space="1" w:color="auto"/>
        </w:pBdr>
        <w:spacing w:before="0" w:after="380"/>
      </w:pPr>
    </w:p>
    <w:p w:rsidR="00BF3B60" w:rsidRDefault="00BF3B60" w:rsidP="00BF3B60">
      <w:pPr>
        <w:pStyle w:val="Heading1"/>
        <w:numPr>
          <w:ilvl w:val="0"/>
          <w:numId w:val="0"/>
        </w:numPr>
        <w:spacing w:after="240"/>
      </w:pPr>
      <w:bookmarkStart w:id="62" w:name="_Toc325023264"/>
      <w:bookmarkStart w:id="63" w:name="_Toc493666048"/>
      <w:bookmarkStart w:id="64" w:name="_Toc508267363"/>
      <w:bookmarkStart w:id="65" w:name="_Toc511315168"/>
      <w:bookmarkStart w:id="66" w:name="_Toc511385932"/>
      <w:bookmarkStart w:id="67" w:name="_Toc517692342"/>
      <w:r>
        <w:t>Projected Outlays</w:t>
      </w:r>
      <w:bookmarkEnd w:id="62"/>
      <w:bookmarkEnd w:id="63"/>
      <w:bookmarkEnd w:id="64"/>
      <w:bookmarkEnd w:id="65"/>
      <w:bookmarkEnd w:id="66"/>
      <w:bookmarkEnd w:id="67"/>
    </w:p>
    <w:p w:rsidR="009607F8" w:rsidRDefault="009607F8" w:rsidP="009607F8">
      <w:r>
        <w:t>The projected outlays represent the future cost of Scheme benefits paid each year. The expected (nominal) outlays for the next 40 years are:</w:t>
      </w:r>
    </w:p>
    <w:p w:rsidR="009607F8" w:rsidRDefault="009607F8" w:rsidP="009607F8"/>
    <w:tbl>
      <w:tblPr>
        <w:tblW w:w="3863" w:type="dxa"/>
        <w:tblBorders>
          <w:insideH w:val="single" w:sz="8" w:space="0" w:color="FFFFFF"/>
          <w:insideV w:val="single" w:sz="8" w:space="0" w:color="FFFFFF"/>
        </w:tblBorders>
        <w:shd w:val="clear" w:color="auto" w:fill="00A8C8"/>
        <w:tblLayout w:type="fixed"/>
        <w:tblCellMar>
          <w:left w:w="72" w:type="dxa"/>
          <w:right w:w="72" w:type="dxa"/>
        </w:tblCellMar>
        <w:tblLook w:val="0000" w:firstRow="0" w:lastRow="0" w:firstColumn="0" w:lastColumn="0" w:noHBand="0" w:noVBand="0"/>
      </w:tblPr>
      <w:tblGrid>
        <w:gridCol w:w="1532"/>
        <w:gridCol w:w="2331"/>
      </w:tblGrid>
      <w:tr w:rsidR="009607F8" w:rsidRPr="004F3084" w:rsidTr="00334BE4">
        <w:trPr>
          <w:cantSplit/>
          <w:trHeight w:val="450"/>
          <w:tblHeader/>
        </w:trPr>
        <w:tc>
          <w:tcPr>
            <w:tcW w:w="1532" w:type="dxa"/>
            <w:tcBorders>
              <w:left w:val="nil"/>
            </w:tcBorders>
            <w:shd w:val="clear" w:color="auto" w:fill="00A8C8"/>
            <w:vAlign w:val="bottom"/>
          </w:tcPr>
          <w:p w:rsidR="009607F8" w:rsidRPr="004F3084" w:rsidRDefault="009607F8" w:rsidP="00334BE4">
            <w:pPr>
              <w:pStyle w:val="TableHeadingText"/>
              <w:jc w:val="center"/>
              <w:rPr>
                <w:caps w:val="0"/>
              </w:rPr>
            </w:pPr>
            <w:r>
              <w:rPr>
                <w:caps w:val="0"/>
              </w:rPr>
              <w:t xml:space="preserve">Year Ending </w:t>
            </w:r>
            <w:r w:rsidRPr="004F3084">
              <w:rPr>
                <w:caps w:val="0"/>
              </w:rPr>
              <w:t>30</w:t>
            </w:r>
            <w:r>
              <w:rPr>
                <w:caps w:val="0"/>
              </w:rPr>
              <w:t> </w:t>
            </w:r>
            <w:r w:rsidRPr="004F3084">
              <w:rPr>
                <w:caps w:val="0"/>
              </w:rPr>
              <w:t>June</w:t>
            </w:r>
          </w:p>
        </w:tc>
        <w:tc>
          <w:tcPr>
            <w:tcW w:w="2331" w:type="dxa"/>
            <w:shd w:val="clear" w:color="auto" w:fill="00A8C8"/>
            <w:vAlign w:val="bottom"/>
          </w:tcPr>
          <w:p w:rsidR="009607F8" w:rsidRPr="004F3084" w:rsidRDefault="009607F8" w:rsidP="00D10248">
            <w:pPr>
              <w:pStyle w:val="TableHeadingText"/>
              <w:jc w:val="center"/>
              <w:rPr>
                <w:caps w:val="0"/>
              </w:rPr>
            </w:pPr>
            <w:r>
              <w:rPr>
                <w:caps w:val="0"/>
              </w:rPr>
              <w:t>Nominal</w:t>
            </w:r>
            <w:r>
              <w:rPr>
                <w:caps w:val="0"/>
              </w:rPr>
              <w:br/>
              <w:t>Outlays</w:t>
            </w:r>
            <w:r>
              <w:rPr>
                <w:caps w:val="0"/>
              </w:rPr>
              <w:br/>
            </w:r>
            <w:r w:rsidRPr="004F3084">
              <w:rPr>
                <w:caps w:val="0"/>
              </w:rPr>
              <w:t>($</w:t>
            </w:r>
            <w:r w:rsidR="00D10248">
              <w:rPr>
                <w:caps w:val="0"/>
              </w:rPr>
              <w:t>’000s</w:t>
            </w:r>
            <w:r w:rsidRPr="004F3084">
              <w:rPr>
                <w:caps w:val="0"/>
              </w:rPr>
              <w:t>)</w:t>
            </w:r>
          </w:p>
        </w:tc>
      </w:tr>
      <w:tr w:rsidR="0024049B" w:rsidRPr="004F3084"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2018</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57</w:t>
            </w:r>
            <w:r w:rsidR="00D10248">
              <w:rPr>
                <w:sz w:val="16"/>
                <w:szCs w:val="16"/>
              </w:rPr>
              <w:t>6</w:t>
            </w:r>
            <w:r w:rsidRPr="0024049B">
              <w:rPr>
                <w:sz w:val="16"/>
                <w:szCs w:val="16"/>
              </w:rPr>
              <w:t xml:space="preserve"> </w:t>
            </w:r>
          </w:p>
        </w:tc>
      </w:tr>
      <w:tr w:rsidR="0024049B" w:rsidRPr="004F3084"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2019</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68</w:t>
            </w:r>
            <w:r w:rsidR="00D10248">
              <w:rPr>
                <w:sz w:val="16"/>
                <w:szCs w:val="16"/>
              </w:rPr>
              <w:t>5</w:t>
            </w:r>
            <w:r w:rsidRPr="0024049B">
              <w:rPr>
                <w:sz w:val="16"/>
                <w:szCs w:val="16"/>
              </w:rPr>
              <w:t xml:space="preserve"> </w:t>
            </w:r>
          </w:p>
        </w:tc>
      </w:tr>
      <w:tr w:rsidR="0024049B" w:rsidRPr="004F3084"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2020</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80</w:t>
            </w:r>
            <w:r w:rsidR="00D10248">
              <w:rPr>
                <w:sz w:val="16"/>
                <w:szCs w:val="16"/>
              </w:rPr>
              <w:t>1</w:t>
            </w:r>
            <w:r w:rsidRPr="0024049B">
              <w:rPr>
                <w:sz w:val="16"/>
                <w:szCs w:val="16"/>
              </w:rPr>
              <w:t xml:space="preserve"> </w:t>
            </w:r>
          </w:p>
        </w:tc>
      </w:tr>
      <w:tr w:rsidR="0024049B" w:rsidRPr="004F3084"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2021</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 xml:space="preserve">892 </w:t>
            </w:r>
          </w:p>
        </w:tc>
      </w:tr>
      <w:tr w:rsidR="0024049B" w:rsidRPr="004F3084"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2022</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50</w:t>
            </w:r>
            <w:r w:rsidR="00D10248">
              <w:rPr>
                <w:sz w:val="16"/>
                <w:szCs w:val="16"/>
              </w:rPr>
              <w:t>5</w:t>
            </w:r>
            <w:r w:rsidRPr="0024049B">
              <w:rPr>
                <w:sz w:val="16"/>
                <w:szCs w:val="16"/>
              </w:rPr>
              <w:t xml:space="preserve"> </w:t>
            </w:r>
          </w:p>
        </w:tc>
      </w:tr>
      <w:tr w:rsidR="0024049B" w:rsidRPr="004F3084"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2023</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58</w:t>
            </w:r>
            <w:r w:rsidR="00D10248">
              <w:rPr>
                <w:sz w:val="16"/>
                <w:szCs w:val="16"/>
              </w:rPr>
              <w:t>8</w:t>
            </w:r>
            <w:r w:rsidRPr="0024049B">
              <w:rPr>
                <w:sz w:val="16"/>
                <w:szCs w:val="16"/>
              </w:rPr>
              <w:t xml:space="preserve">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2024</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63</w:t>
            </w:r>
            <w:r w:rsidR="00D10248">
              <w:rPr>
                <w:sz w:val="16"/>
                <w:szCs w:val="16"/>
              </w:rPr>
              <w:t>7</w:t>
            </w:r>
            <w:r w:rsidRPr="0024049B">
              <w:rPr>
                <w:sz w:val="16"/>
                <w:szCs w:val="16"/>
              </w:rPr>
              <w:t xml:space="preserve">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2025</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 xml:space="preserve">658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2026</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 xml:space="preserve">701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2027</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78</w:t>
            </w:r>
            <w:r w:rsidR="00D10248">
              <w:rPr>
                <w:sz w:val="16"/>
                <w:szCs w:val="16"/>
              </w:rPr>
              <w:t>5</w:t>
            </w:r>
            <w:r w:rsidRPr="0024049B">
              <w:rPr>
                <w:sz w:val="16"/>
                <w:szCs w:val="16"/>
              </w:rPr>
              <w:t xml:space="preserve">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2028</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79</w:t>
            </w:r>
            <w:r w:rsidR="00D10248">
              <w:rPr>
                <w:sz w:val="16"/>
                <w:szCs w:val="16"/>
              </w:rPr>
              <w:t>5</w:t>
            </w:r>
            <w:r w:rsidRPr="0024049B">
              <w:rPr>
                <w:sz w:val="16"/>
                <w:szCs w:val="16"/>
              </w:rPr>
              <w:t xml:space="preserve">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2029</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 xml:space="preserve">802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2030</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78</w:t>
            </w:r>
            <w:r w:rsidR="00D10248">
              <w:rPr>
                <w:sz w:val="16"/>
                <w:szCs w:val="16"/>
              </w:rPr>
              <w:t>6</w:t>
            </w:r>
            <w:r w:rsidRPr="0024049B">
              <w:rPr>
                <w:sz w:val="16"/>
                <w:szCs w:val="16"/>
              </w:rPr>
              <w:t xml:space="preserve">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2031</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81</w:t>
            </w:r>
            <w:r w:rsidR="00D10248">
              <w:rPr>
                <w:sz w:val="16"/>
                <w:szCs w:val="16"/>
              </w:rPr>
              <w:t xml:space="preserve">8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2032</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95</w:t>
            </w:r>
            <w:r w:rsidR="00D10248">
              <w:rPr>
                <w:sz w:val="16"/>
                <w:szCs w:val="16"/>
              </w:rPr>
              <w:t>2</w:t>
            </w:r>
            <w:r w:rsidRPr="0024049B">
              <w:rPr>
                <w:sz w:val="16"/>
                <w:szCs w:val="16"/>
              </w:rPr>
              <w:t xml:space="preserve">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2033</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1,04</w:t>
            </w:r>
            <w:r w:rsidR="00D10248">
              <w:rPr>
                <w:sz w:val="16"/>
                <w:szCs w:val="16"/>
              </w:rPr>
              <w:t>3</w:t>
            </w:r>
            <w:r w:rsidRPr="0024049B">
              <w:rPr>
                <w:sz w:val="16"/>
                <w:szCs w:val="16"/>
              </w:rPr>
              <w:t xml:space="preserve">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2034</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 xml:space="preserve">1,159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2035</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1,18</w:t>
            </w:r>
            <w:r w:rsidR="00D10248">
              <w:rPr>
                <w:sz w:val="16"/>
                <w:szCs w:val="16"/>
              </w:rPr>
              <w:t>8</w:t>
            </w:r>
            <w:r w:rsidRPr="0024049B">
              <w:rPr>
                <w:sz w:val="16"/>
                <w:szCs w:val="16"/>
              </w:rPr>
              <w:t xml:space="preserve">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2036</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1,22</w:t>
            </w:r>
            <w:r w:rsidR="00D10248">
              <w:rPr>
                <w:sz w:val="16"/>
                <w:szCs w:val="16"/>
              </w:rPr>
              <w:t>6</w:t>
            </w:r>
            <w:r w:rsidRPr="0024049B">
              <w:rPr>
                <w:sz w:val="16"/>
                <w:szCs w:val="16"/>
              </w:rPr>
              <w:t xml:space="preserve">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2037</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 xml:space="preserve">1,291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2038</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1,36</w:t>
            </w:r>
            <w:r w:rsidR="00D10248">
              <w:rPr>
                <w:sz w:val="16"/>
                <w:szCs w:val="16"/>
              </w:rPr>
              <w:t>9</w:t>
            </w:r>
            <w:r w:rsidRPr="0024049B">
              <w:rPr>
                <w:sz w:val="16"/>
                <w:szCs w:val="16"/>
              </w:rPr>
              <w:t xml:space="preserve">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2039</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 xml:space="preserve">1,469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2040</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1,5</w:t>
            </w:r>
            <w:r w:rsidR="00D10248">
              <w:rPr>
                <w:sz w:val="16"/>
                <w:szCs w:val="16"/>
              </w:rPr>
              <w:t>40</w:t>
            </w:r>
            <w:r w:rsidRPr="0024049B">
              <w:rPr>
                <w:sz w:val="16"/>
                <w:szCs w:val="16"/>
              </w:rPr>
              <w:t xml:space="preserve">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2041</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1,53</w:t>
            </w:r>
            <w:r w:rsidR="00D10248">
              <w:rPr>
                <w:sz w:val="16"/>
                <w:szCs w:val="16"/>
              </w:rPr>
              <w:t>4</w:t>
            </w:r>
            <w:r w:rsidRPr="0024049B">
              <w:rPr>
                <w:sz w:val="16"/>
                <w:szCs w:val="16"/>
              </w:rPr>
              <w:t xml:space="preserve">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2042</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 xml:space="preserve">1,585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2043</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 xml:space="preserve">1,707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2044</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1,76</w:t>
            </w:r>
            <w:r w:rsidR="00D10248">
              <w:rPr>
                <w:sz w:val="16"/>
                <w:szCs w:val="16"/>
              </w:rPr>
              <w:t>6</w:t>
            </w:r>
            <w:r w:rsidRPr="0024049B">
              <w:rPr>
                <w:sz w:val="16"/>
                <w:szCs w:val="16"/>
              </w:rPr>
              <w:t xml:space="preserve">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2045</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 xml:space="preserve">1,827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2046</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 xml:space="preserve">1,877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2047</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 xml:space="preserve">1,960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2048</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2,06</w:t>
            </w:r>
            <w:r w:rsidR="00D10248">
              <w:rPr>
                <w:sz w:val="16"/>
                <w:szCs w:val="16"/>
              </w:rPr>
              <w:t>8</w:t>
            </w:r>
            <w:r w:rsidRPr="0024049B">
              <w:rPr>
                <w:sz w:val="16"/>
                <w:szCs w:val="16"/>
              </w:rPr>
              <w:t xml:space="preserve">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2049</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2,11</w:t>
            </w:r>
            <w:r w:rsidR="00D10248">
              <w:rPr>
                <w:sz w:val="16"/>
                <w:szCs w:val="16"/>
              </w:rPr>
              <w:t>8</w:t>
            </w:r>
            <w:r w:rsidRPr="0024049B">
              <w:rPr>
                <w:sz w:val="16"/>
                <w:szCs w:val="16"/>
              </w:rPr>
              <w:t xml:space="preserve">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2050</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2,17</w:t>
            </w:r>
            <w:r w:rsidR="00D10248">
              <w:rPr>
                <w:sz w:val="16"/>
                <w:szCs w:val="16"/>
              </w:rPr>
              <w:t>3</w:t>
            </w:r>
            <w:r w:rsidRPr="0024049B">
              <w:rPr>
                <w:sz w:val="16"/>
                <w:szCs w:val="16"/>
              </w:rPr>
              <w:t xml:space="preserve">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2051</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2,15</w:t>
            </w:r>
            <w:r w:rsidR="00D10248">
              <w:rPr>
                <w:sz w:val="16"/>
                <w:szCs w:val="16"/>
              </w:rPr>
              <w:t>8</w:t>
            </w:r>
            <w:r w:rsidRPr="0024049B">
              <w:rPr>
                <w:sz w:val="16"/>
                <w:szCs w:val="16"/>
              </w:rPr>
              <w:t xml:space="preserve">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2052</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 xml:space="preserve">2,266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2053</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 xml:space="preserve">2,485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2054</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2,56</w:t>
            </w:r>
            <w:r w:rsidR="00D10248">
              <w:rPr>
                <w:sz w:val="16"/>
                <w:szCs w:val="16"/>
              </w:rPr>
              <w:t>6</w:t>
            </w:r>
            <w:r w:rsidRPr="0024049B">
              <w:rPr>
                <w:sz w:val="16"/>
                <w:szCs w:val="16"/>
              </w:rPr>
              <w:t xml:space="preserve">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2055</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 xml:space="preserve">2,752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2056</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 xml:space="preserve">2,869 </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B77F06" w:rsidRDefault="0024049B" w:rsidP="00334BE4">
            <w:pPr>
              <w:pStyle w:val="TableText"/>
              <w:spacing w:before="20" w:after="20" w:line="240" w:lineRule="auto"/>
              <w:jc w:val="center"/>
              <w:rPr>
                <w:sz w:val="16"/>
                <w:szCs w:val="16"/>
              </w:rPr>
            </w:pPr>
            <w:r w:rsidRPr="00B77F06">
              <w:rPr>
                <w:sz w:val="16"/>
                <w:szCs w:val="16"/>
              </w:rPr>
              <w:t>2057</w:t>
            </w:r>
          </w:p>
        </w:tc>
        <w:tc>
          <w:tcPr>
            <w:tcW w:w="2331" w:type="dxa"/>
            <w:shd w:val="clear" w:color="auto" w:fill="F2F2F2"/>
          </w:tcPr>
          <w:p w:rsidR="0024049B" w:rsidRPr="0024049B" w:rsidRDefault="0024049B" w:rsidP="00D10248">
            <w:pPr>
              <w:pStyle w:val="TableText"/>
              <w:spacing w:before="20" w:after="20" w:line="240" w:lineRule="auto"/>
              <w:jc w:val="center"/>
              <w:rPr>
                <w:sz w:val="16"/>
                <w:szCs w:val="16"/>
              </w:rPr>
            </w:pPr>
            <w:r w:rsidRPr="0024049B">
              <w:rPr>
                <w:sz w:val="16"/>
                <w:szCs w:val="16"/>
              </w:rPr>
              <w:t xml:space="preserve">2,947 </w:t>
            </w:r>
          </w:p>
        </w:tc>
      </w:tr>
    </w:tbl>
    <w:p w:rsidR="00D95D42" w:rsidRDefault="00D95D42" w:rsidP="00240871"/>
    <w:p w:rsidR="00BF3B60" w:rsidRDefault="00BF3B60" w:rsidP="00BF3B60">
      <w:pPr>
        <w:pStyle w:val="SectionStart"/>
        <w:pBdr>
          <w:bottom w:val="single" w:sz="12" w:space="1" w:color="auto"/>
        </w:pBdr>
        <w:spacing w:before="0" w:after="380"/>
      </w:pPr>
    </w:p>
    <w:p w:rsidR="00BF3B60" w:rsidRDefault="001A7306" w:rsidP="00BF3B60">
      <w:pPr>
        <w:pStyle w:val="Heading1"/>
        <w:numPr>
          <w:ilvl w:val="0"/>
          <w:numId w:val="0"/>
        </w:numPr>
        <w:spacing w:after="240"/>
      </w:pPr>
      <w:bookmarkStart w:id="68" w:name="_Toc325023265"/>
      <w:bookmarkStart w:id="69" w:name="_Toc493666049"/>
      <w:bookmarkStart w:id="70" w:name="_Toc508267364"/>
      <w:bookmarkStart w:id="71" w:name="_Toc511313523"/>
      <w:bookmarkStart w:id="72" w:name="_Toc511315169"/>
      <w:bookmarkStart w:id="73" w:name="_Toc511385933"/>
      <w:bookmarkStart w:id="74" w:name="_Toc517692343"/>
      <w:r>
        <w:t>Projected Premium Costs</w:t>
      </w:r>
      <w:bookmarkEnd w:id="68"/>
      <w:bookmarkEnd w:id="69"/>
      <w:bookmarkEnd w:id="70"/>
      <w:bookmarkEnd w:id="71"/>
      <w:bookmarkEnd w:id="72"/>
      <w:bookmarkEnd w:id="73"/>
      <w:bookmarkEnd w:id="74"/>
    </w:p>
    <w:p w:rsidR="00A51909" w:rsidRDefault="001A7306" w:rsidP="00A51909">
      <w:bookmarkStart w:id="75" w:name="_Toc508267365"/>
      <w:r>
        <w:t xml:space="preserve">The projected premium costs represent the estimated </w:t>
      </w:r>
      <w:r w:rsidR="00AC3624">
        <w:t>amount</w:t>
      </w:r>
      <w:r>
        <w:t xml:space="preserve"> </w:t>
      </w:r>
      <w:r w:rsidRPr="00182A54">
        <w:t xml:space="preserve">an insurance company would require </w:t>
      </w:r>
      <w:r w:rsidR="00AC3624">
        <w:t xml:space="preserve">each year </w:t>
      </w:r>
      <w:r w:rsidRPr="00182A54">
        <w:t>in order to cover the claims that could arise in that year</w:t>
      </w:r>
      <w:r w:rsidR="00E56576">
        <w:t xml:space="preserve"> (excluding </w:t>
      </w:r>
      <w:r w:rsidR="005E23F5">
        <w:t xml:space="preserve">any </w:t>
      </w:r>
      <w:r w:rsidR="00E56576">
        <w:t xml:space="preserve">administrative expenses </w:t>
      </w:r>
      <w:r w:rsidR="005E23F5">
        <w:t xml:space="preserve">or </w:t>
      </w:r>
      <w:r w:rsidR="00E56576">
        <w:t>profit margins)</w:t>
      </w:r>
      <w:r w:rsidRPr="00182A54">
        <w:t>.</w:t>
      </w:r>
      <w:r w:rsidR="00AC3624">
        <w:t xml:space="preserve"> </w:t>
      </w:r>
      <w:r w:rsidR="006A6348">
        <w:t>The c</w:t>
      </w:r>
      <w:r w:rsidR="00AC3624">
        <w:t xml:space="preserve">osts </w:t>
      </w:r>
      <w:r w:rsidR="008A083F">
        <w:t xml:space="preserve">are </w:t>
      </w:r>
      <w:r w:rsidR="0024049B">
        <w:t xml:space="preserve">also </w:t>
      </w:r>
      <w:r w:rsidR="008A083F">
        <w:t xml:space="preserve">shown </w:t>
      </w:r>
      <w:r w:rsidR="0024049B">
        <w:t xml:space="preserve">as a percentage of </w:t>
      </w:r>
      <w:r w:rsidR="006A6348">
        <w:t xml:space="preserve">projected </w:t>
      </w:r>
      <w:r w:rsidR="0024049B">
        <w:t>annual salaries.</w:t>
      </w:r>
    </w:p>
    <w:p w:rsidR="009607F8" w:rsidRPr="008679E0" w:rsidRDefault="009607F8" w:rsidP="008679E0">
      <w:pPr>
        <w:spacing w:line="240" w:lineRule="auto"/>
        <w:rPr>
          <w:sz w:val="16"/>
          <w:szCs w:val="16"/>
        </w:rPr>
      </w:pPr>
    </w:p>
    <w:tbl>
      <w:tblPr>
        <w:tblW w:w="6194" w:type="dxa"/>
        <w:tblBorders>
          <w:insideH w:val="single" w:sz="8" w:space="0" w:color="FFFFFF"/>
          <w:insideV w:val="single" w:sz="8" w:space="0" w:color="FFFFFF"/>
        </w:tblBorders>
        <w:shd w:val="clear" w:color="auto" w:fill="00A8C8"/>
        <w:tblLayout w:type="fixed"/>
        <w:tblCellMar>
          <w:left w:w="72" w:type="dxa"/>
          <w:right w:w="72" w:type="dxa"/>
        </w:tblCellMar>
        <w:tblLook w:val="0000" w:firstRow="0" w:lastRow="0" w:firstColumn="0" w:lastColumn="0" w:noHBand="0" w:noVBand="0"/>
      </w:tblPr>
      <w:tblGrid>
        <w:gridCol w:w="1532"/>
        <w:gridCol w:w="2331"/>
        <w:gridCol w:w="2331"/>
      </w:tblGrid>
      <w:tr w:rsidR="0024049B" w:rsidRPr="004F3084" w:rsidTr="00C719D1">
        <w:trPr>
          <w:cantSplit/>
          <w:trHeight w:val="450"/>
          <w:tblHeader/>
        </w:trPr>
        <w:tc>
          <w:tcPr>
            <w:tcW w:w="1532" w:type="dxa"/>
            <w:tcBorders>
              <w:left w:val="nil"/>
            </w:tcBorders>
            <w:shd w:val="clear" w:color="auto" w:fill="00A8C8"/>
            <w:vAlign w:val="bottom"/>
          </w:tcPr>
          <w:p w:rsidR="0024049B" w:rsidRPr="004F3084" w:rsidRDefault="0024049B" w:rsidP="00334BE4">
            <w:pPr>
              <w:pStyle w:val="TableHeadingText"/>
              <w:jc w:val="center"/>
              <w:rPr>
                <w:caps w:val="0"/>
              </w:rPr>
            </w:pPr>
            <w:r>
              <w:rPr>
                <w:caps w:val="0"/>
              </w:rPr>
              <w:t xml:space="preserve">Year Ending </w:t>
            </w:r>
            <w:r w:rsidRPr="004F3084">
              <w:rPr>
                <w:caps w:val="0"/>
              </w:rPr>
              <w:t>30</w:t>
            </w:r>
            <w:r>
              <w:rPr>
                <w:caps w:val="0"/>
              </w:rPr>
              <w:t> </w:t>
            </w:r>
            <w:r w:rsidRPr="004F3084">
              <w:rPr>
                <w:caps w:val="0"/>
              </w:rPr>
              <w:t>June</w:t>
            </w:r>
          </w:p>
        </w:tc>
        <w:tc>
          <w:tcPr>
            <w:tcW w:w="2331" w:type="dxa"/>
            <w:shd w:val="clear" w:color="auto" w:fill="00A8C8"/>
            <w:vAlign w:val="bottom"/>
          </w:tcPr>
          <w:p w:rsidR="0024049B" w:rsidRPr="004F3084" w:rsidRDefault="0024049B" w:rsidP="00D10248">
            <w:pPr>
              <w:pStyle w:val="TableHeadingText"/>
              <w:jc w:val="center"/>
              <w:rPr>
                <w:caps w:val="0"/>
              </w:rPr>
            </w:pPr>
            <w:r>
              <w:rPr>
                <w:caps w:val="0"/>
              </w:rPr>
              <w:t>Premium</w:t>
            </w:r>
            <w:r>
              <w:rPr>
                <w:caps w:val="0"/>
              </w:rPr>
              <w:br/>
              <w:t>Costs</w:t>
            </w:r>
            <w:r>
              <w:rPr>
                <w:caps w:val="0"/>
              </w:rPr>
              <w:br/>
            </w:r>
            <w:r w:rsidR="00D10248">
              <w:rPr>
                <w:caps w:val="0"/>
              </w:rPr>
              <w:t>($’000s</w:t>
            </w:r>
            <w:r w:rsidRPr="004F3084">
              <w:rPr>
                <w:caps w:val="0"/>
              </w:rPr>
              <w:t>)</w:t>
            </w:r>
          </w:p>
        </w:tc>
        <w:tc>
          <w:tcPr>
            <w:tcW w:w="2331" w:type="dxa"/>
            <w:shd w:val="clear" w:color="auto" w:fill="00A8C8"/>
            <w:vAlign w:val="bottom"/>
          </w:tcPr>
          <w:p w:rsidR="0024049B" w:rsidRPr="004F3084" w:rsidRDefault="0024049B" w:rsidP="0024049B">
            <w:pPr>
              <w:pStyle w:val="TableHeadingText"/>
              <w:jc w:val="center"/>
              <w:rPr>
                <w:caps w:val="0"/>
              </w:rPr>
            </w:pPr>
            <w:r>
              <w:rPr>
                <w:caps w:val="0"/>
              </w:rPr>
              <w:t>Premium</w:t>
            </w:r>
            <w:r>
              <w:rPr>
                <w:caps w:val="0"/>
              </w:rPr>
              <w:br/>
              <w:t>Costs</w:t>
            </w:r>
            <w:r>
              <w:rPr>
                <w:caps w:val="0"/>
              </w:rPr>
              <w:br/>
            </w:r>
            <w:r w:rsidRPr="004F3084">
              <w:rPr>
                <w:caps w:val="0"/>
              </w:rPr>
              <w:t>(</w:t>
            </w:r>
            <w:r>
              <w:rPr>
                <w:caps w:val="0"/>
              </w:rPr>
              <w:t>% of Salary</w:t>
            </w:r>
            <w:r w:rsidRPr="004F3084">
              <w:rPr>
                <w:caps w:val="0"/>
              </w:rPr>
              <w:t>)</w:t>
            </w:r>
          </w:p>
        </w:tc>
      </w:tr>
      <w:tr w:rsidR="0024049B" w:rsidRPr="004F3084"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2018</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772</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3.3</w:t>
            </w:r>
          </w:p>
        </w:tc>
      </w:tr>
      <w:tr w:rsidR="0024049B" w:rsidRPr="004F3084"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2019</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768</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3.2</w:t>
            </w:r>
          </w:p>
        </w:tc>
      </w:tr>
      <w:tr w:rsidR="0024049B" w:rsidRPr="004F3084"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2020</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763</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3.0</w:t>
            </w:r>
          </w:p>
        </w:tc>
      </w:tr>
      <w:tr w:rsidR="0024049B" w:rsidRPr="004F3084"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2021</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749</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3.0</w:t>
            </w:r>
          </w:p>
        </w:tc>
      </w:tr>
      <w:tr w:rsidR="0024049B" w:rsidRPr="004F3084"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2022</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769</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2.9</w:t>
            </w:r>
          </w:p>
        </w:tc>
      </w:tr>
      <w:tr w:rsidR="0024049B" w:rsidRPr="004F3084"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2023</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767</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2.8</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2024</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782</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2.8</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2025</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823</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2.8</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2026</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875</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2.9</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2027</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925</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2.9</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2028</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974</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3.0</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2029</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1,056</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3.1</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2030</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1,131</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3.1</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2031</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1,209</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3.1</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2032</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1,252</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3.1</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2033</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1,280</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3.1</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2034</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1,303</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3.0</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2035</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1,334</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3.0</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2036</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1,390</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3.0</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2037</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1,431</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3.0</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2038</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1,496</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3.0</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2039</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1,601</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3.0</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2040</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1,652</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3.0</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2041</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1,712</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3.0</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2042</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1,824</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3.0</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2043</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1,896</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3.0</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2044</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1,961</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3.0</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2045</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2,019</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3.0</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2046</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2,076</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2.9</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2047</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2,136</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2.9</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2048</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2,206</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2.9</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2049</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2,313</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2.9</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2050</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2,397</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3.0</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2051</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2,552</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3.0</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2052</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2,705</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3.0</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2053</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2,818</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3.0</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2054</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2,864</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3.0</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2055</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2,994</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3.0</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D95D42" w:rsidRDefault="0024049B" w:rsidP="00334BE4">
            <w:pPr>
              <w:pStyle w:val="TableText"/>
              <w:spacing w:before="20" w:after="20" w:line="240" w:lineRule="auto"/>
              <w:jc w:val="center"/>
              <w:rPr>
                <w:sz w:val="16"/>
                <w:szCs w:val="16"/>
              </w:rPr>
            </w:pPr>
            <w:r w:rsidRPr="00D95D42">
              <w:rPr>
                <w:sz w:val="16"/>
                <w:szCs w:val="16"/>
              </w:rPr>
              <w:t>2056</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3,020</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2.9</w:t>
            </w:r>
          </w:p>
        </w:tc>
      </w:tr>
      <w:tr w:rsidR="0024049B" w:rsidRPr="00D95D42" w:rsidTr="00C719D1">
        <w:tblPrEx>
          <w:shd w:val="clear" w:color="auto" w:fill="auto"/>
        </w:tblPrEx>
        <w:trPr>
          <w:cantSplit/>
          <w:trHeight w:hRule="exact" w:val="227"/>
        </w:trPr>
        <w:tc>
          <w:tcPr>
            <w:tcW w:w="1532" w:type="dxa"/>
            <w:tcBorders>
              <w:left w:val="nil"/>
            </w:tcBorders>
            <w:shd w:val="clear" w:color="auto" w:fill="F2F2F2"/>
            <w:vAlign w:val="center"/>
          </w:tcPr>
          <w:p w:rsidR="0024049B" w:rsidRPr="00B77F06" w:rsidRDefault="0024049B" w:rsidP="00334BE4">
            <w:pPr>
              <w:pStyle w:val="TableText"/>
              <w:spacing w:before="20" w:after="20" w:line="240" w:lineRule="auto"/>
              <w:jc w:val="center"/>
              <w:rPr>
                <w:sz w:val="16"/>
                <w:szCs w:val="16"/>
              </w:rPr>
            </w:pPr>
            <w:r w:rsidRPr="00B77F06">
              <w:rPr>
                <w:sz w:val="16"/>
                <w:szCs w:val="16"/>
              </w:rPr>
              <w:t>2057</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3,164</w:t>
            </w:r>
          </w:p>
        </w:tc>
        <w:tc>
          <w:tcPr>
            <w:tcW w:w="2331" w:type="dxa"/>
            <w:shd w:val="clear" w:color="auto" w:fill="F2F2F2"/>
          </w:tcPr>
          <w:p w:rsidR="0024049B" w:rsidRPr="0024049B" w:rsidRDefault="0024049B" w:rsidP="0024049B">
            <w:pPr>
              <w:pStyle w:val="TableText"/>
              <w:spacing w:before="20" w:after="20" w:line="240" w:lineRule="auto"/>
              <w:jc w:val="center"/>
              <w:rPr>
                <w:sz w:val="16"/>
                <w:szCs w:val="16"/>
              </w:rPr>
            </w:pPr>
            <w:r w:rsidRPr="0024049B">
              <w:rPr>
                <w:sz w:val="16"/>
                <w:szCs w:val="16"/>
              </w:rPr>
              <w:t>3.0</w:t>
            </w:r>
          </w:p>
        </w:tc>
      </w:tr>
      <w:bookmarkEnd w:id="75"/>
    </w:tbl>
    <w:p w:rsidR="009607F8" w:rsidRDefault="009607F8" w:rsidP="00433397"/>
    <w:p w:rsidR="00BF3B60" w:rsidRDefault="00BF3B60" w:rsidP="00BF3B60">
      <w:pPr>
        <w:pStyle w:val="SectionStart"/>
        <w:pBdr>
          <w:bottom w:val="single" w:sz="12" w:space="1" w:color="auto"/>
        </w:pBdr>
        <w:spacing w:before="0" w:after="380"/>
      </w:pPr>
    </w:p>
    <w:p w:rsidR="00BF3B60" w:rsidRDefault="00BF3B60" w:rsidP="00BF3B60">
      <w:pPr>
        <w:pStyle w:val="Heading1"/>
        <w:numPr>
          <w:ilvl w:val="0"/>
          <w:numId w:val="0"/>
        </w:numPr>
        <w:spacing w:after="240"/>
      </w:pPr>
      <w:bookmarkStart w:id="76" w:name="_Toc120939319"/>
      <w:bookmarkStart w:id="77" w:name="_Toc325023266"/>
      <w:bookmarkStart w:id="78" w:name="_Toc493666050"/>
      <w:bookmarkStart w:id="79" w:name="_Toc508267368"/>
      <w:bookmarkStart w:id="80" w:name="_Toc511315170"/>
      <w:bookmarkStart w:id="81" w:name="_Toc511313524"/>
      <w:bookmarkStart w:id="82" w:name="_Toc511385934"/>
      <w:bookmarkStart w:id="83" w:name="_Toc517692344"/>
      <w:r w:rsidRPr="007A0987">
        <w:t>Sensitivity</w:t>
      </w:r>
      <w:r w:rsidRPr="00EF013A">
        <w:t xml:space="preserve"> Analysis</w:t>
      </w:r>
      <w:bookmarkEnd w:id="76"/>
      <w:bookmarkEnd w:id="77"/>
      <w:bookmarkEnd w:id="78"/>
      <w:bookmarkEnd w:id="79"/>
      <w:bookmarkEnd w:id="80"/>
      <w:bookmarkEnd w:id="81"/>
      <w:bookmarkEnd w:id="82"/>
      <w:bookmarkEnd w:id="83"/>
    </w:p>
    <w:p w:rsidR="001A7306" w:rsidRDefault="001A7306" w:rsidP="001A7306">
      <w:bookmarkStart w:id="84" w:name="_Toc508267369"/>
      <w:r>
        <w:t xml:space="preserve">For this Scheme, the most significant assumptions are the assumed rates of invalidity.  These assumptions are also subject to uncertainty, particularly at older ages where there is </w:t>
      </w:r>
      <w:r w:rsidR="00CE338C">
        <w:t>little</w:t>
      </w:r>
      <w:r>
        <w:t xml:space="preserve"> comparable experience from similar </w:t>
      </w:r>
      <w:r w:rsidR="00CE338C">
        <w:t>s</w:t>
      </w:r>
      <w:r>
        <w:t>chemes.</w:t>
      </w:r>
    </w:p>
    <w:p w:rsidR="001A7306" w:rsidRDefault="001A7306" w:rsidP="00331A3B"/>
    <w:p w:rsidR="001A7306" w:rsidRDefault="001A7306" w:rsidP="001A7306">
      <w:r>
        <w:t xml:space="preserve">To provide an indication of the sensitivity to variation in invalidity rates, we have </w:t>
      </w:r>
      <w:r w:rsidR="00871EE2">
        <w:t xml:space="preserve">measured the effect </w:t>
      </w:r>
      <w:r w:rsidR="00CE338C">
        <w:t xml:space="preserve">on the projected outlays and premium costs </w:t>
      </w:r>
      <w:r w:rsidR="00871EE2">
        <w:t xml:space="preserve">of </w:t>
      </w:r>
      <w:r w:rsidRPr="00EA5420">
        <w:t xml:space="preserve">varying </w:t>
      </w:r>
      <w:r>
        <w:t>the invalidity assumption</w:t>
      </w:r>
      <w:r w:rsidRPr="00EA5420">
        <w:t xml:space="preserve"> whilst keeping all other assumptions unchanged.  </w:t>
      </w:r>
      <w:r>
        <w:t xml:space="preserve">The base assumptions have been altered using a multiple of 1.3 for serving Judges </w:t>
      </w:r>
      <w:r w:rsidR="00CE338C">
        <w:t xml:space="preserve">under age 60, increasing to a multiple of </w:t>
      </w:r>
      <w:r>
        <w:t>5 times the base assumption</w:t>
      </w:r>
      <w:r w:rsidR="00CE338C">
        <w:t>s</w:t>
      </w:r>
      <w:r>
        <w:t xml:space="preserve"> at age 69, as per the 2014 LTCR.</w:t>
      </w:r>
    </w:p>
    <w:bookmarkEnd w:id="84"/>
    <w:p w:rsidR="00871EE2" w:rsidRDefault="00871EE2" w:rsidP="00871EE2"/>
    <w:tbl>
      <w:tblPr>
        <w:tblW w:w="9570" w:type="dxa"/>
        <w:tblBorders>
          <w:insideH w:val="single" w:sz="8" w:space="0" w:color="FFFFFF"/>
          <w:insideV w:val="single" w:sz="8" w:space="0" w:color="FFFFFF"/>
        </w:tblBorders>
        <w:shd w:val="clear" w:color="auto" w:fill="00A8C8"/>
        <w:tblLayout w:type="fixed"/>
        <w:tblCellMar>
          <w:left w:w="72" w:type="dxa"/>
          <w:right w:w="72" w:type="dxa"/>
        </w:tblCellMar>
        <w:tblLook w:val="0000" w:firstRow="0" w:lastRow="0" w:firstColumn="0" w:lastColumn="0" w:noHBand="0" w:noVBand="0"/>
      </w:tblPr>
      <w:tblGrid>
        <w:gridCol w:w="1348"/>
        <w:gridCol w:w="2055"/>
        <w:gridCol w:w="2056"/>
        <w:gridCol w:w="2055"/>
        <w:gridCol w:w="2056"/>
      </w:tblGrid>
      <w:tr w:rsidR="00E56075" w:rsidRPr="004F3084" w:rsidTr="00C719D1">
        <w:trPr>
          <w:cantSplit/>
          <w:trHeight w:val="450"/>
          <w:tblHeader/>
        </w:trPr>
        <w:tc>
          <w:tcPr>
            <w:tcW w:w="1348" w:type="dxa"/>
            <w:vMerge w:val="restart"/>
            <w:shd w:val="clear" w:color="auto" w:fill="00A8C8"/>
          </w:tcPr>
          <w:p w:rsidR="00E56075" w:rsidRPr="004F3084" w:rsidRDefault="00E56075" w:rsidP="00C719D1">
            <w:pPr>
              <w:pStyle w:val="TableHeadingText"/>
              <w:jc w:val="center"/>
              <w:rPr>
                <w:caps w:val="0"/>
              </w:rPr>
            </w:pPr>
            <w:r>
              <w:rPr>
                <w:caps w:val="0"/>
              </w:rPr>
              <w:t xml:space="preserve">Period Ending </w:t>
            </w:r>
            <w:r w:rsidRPr="004F3084">
              <w:rPr>
                <w:caps w:val="0"/>
              </w:rPr>
              <w:t>30 June</w:t>
            </w:r>
          </w:p>
        </w:tc>
        <w:tc>
          <w:tcPr>
            <w:tcW w:w="4111" w:type="dxa"/>
            <w:gridSpan w:val="2"/>
            <w:shd w:val="clear" w:color="auto" w:fill="00A8C8"/>
          </w:tcPr>
          <w:p w:rsidR="00E56075" w:rsidRPr="004F3084" w:rsidRDefault="00E56075" w:rsidP="00C719D1">
            <w:pPr>
              <w:pStyle w:val="TableHeadingText"/>
              <w:jc w:val="center"/>
              <w:rPr>
                <w:caps w:val="0"/>
              </w:rPr>
            </w:pPr>
            <w:r>
              <w:rPr>
                <w:caps w:val="0"/>
              </w:rPr>
              <w:t>Change in Nominal Outlays</w:t>
            </w:r>
            <w:r>
              <w:rPr>
                <w:caps w:val="0"/>
              </w:rPr>
              <w:br/>
            </w:r>
            <w:r w:rsidRPr="004F3084">
              <w:rPr>
                <w:caps w:val="0"/>
              </w:rPr>
              <w:t>(</w:t>
            </w:r>
            <w:r>
              <w:rPr>
                <w:caps w:val="0"/>
              </w:rPr>
              <w:t>‘000s</w:t>
            </w:r>
            <w:r w:rsidRPr="004F3084">
              <w:rPr>
                <w:caps w:val="0"/>
              </w:rPr>
              <w:t>)</w:t>
            </w:r>
          </w:p>
        </w:tc>
        <w:tc>
          <w:tcPr>
            <w:tcW w:w="4111" w:type="dxa"/>
            <w:gridSpan w:val="2"/>
            <w:shd w:val="clear" w:color="auto" w:fill="00A8C8"/>
          </w:tcPr>
          <w:p w:rsidR="00E56075" w:rsidRPr="004F3084" w:rsidRDefault="00E56075" w:rsidP="00C719D1">
            <w:pPr>
              <w:pStyle w:val="TableHeadingText"/>
              <w:jc w:val="center"/>
              <w:rPr>
                <w:caps w:val="0"/>
              </w:rPr>
            </w:pPr>
            <w:r>
              <w:rPr>
                <w:caps w:val="0"/>
              </w:rPr>
              <w:t>Change in Premium Costs</w:t>
            </w:r>
            <w:r>
              <w:rPr>
                <w:caps w:val="0"/>
              </w:rPr>
              <w:br/>
            </w:r>
            <w:r w:rsidRPr="004F3084">
              <w:rPr>
                <w:caps w:val="0"/>
              </w:rPr>
              <w:t>(</w:t>
            </w:r>
            <w:r>
              <w:rPr>
                <w:caps w:val="0"/>
              </w:rPr>
              <w:t>‘000s</w:t>
            </w:r>
            <w:r w:rsidRPr="004F3084">
              <w:rPr>
                <w:caps w:val="0"/>
              </w:rPr>
              <w:t>)</w:t>
            </w:r>
          </w:p>
        </w:tc>
      </w:tr>
      <w:tr w:rsidR="00E56075" w:rsidRPr="004F3084" w:rsidTr="00C719D1">
        <w:trPr>
          <w:cantSplit/>
          <w:trHeight w:val="450"/>
          <w:tblHeader/>
        </w:trPr>
        <w:tc>
          <w:tcPr>
            <w:tcW w:w="1348" w:type="dxa"/>
            <w:vMerge/>
            <w:shd w:val="clear" w:color="auto" w:fill="00A8C8"/>
          </w:tcPr>
          <w:p w:rsidR="00E56075" w:rsidRPr="004F3084" w:rsidRDefault="00E56075" w:rsidP="00C719D1">
            <w:pPr>
              <w:pStyle w:val="TableHeadingText"/>
              <w:jc w:val="center"/>
              <w:rPr>
                <w:caps w:val="0"/>
              </w:rPr>
            </w:pPr>
          </w:p>
        </w:tc>
        <w:tc>
          <w:tcPr>
            <w:tcW w:w="2055" w:type="dxa"/>
            <w:shd w:val="clear" w:color="auto" w:fill="00A8C8"/>
          </w:tcPr>
          <w:p w:rsidR="00E56075" w:rsidRPr="004F3084" w:rsidRDefault="00E56075" w:rsidP="00C719D1">
            <w:pPr>
              <w:pStyle w:val="TableHeadingText"/>
              <w:jc w:val="center"/>
              <w:rPr>
                <w:caps w:val="0"/>
              </w:rPr>
            </w:pPr>
            <w:r>
              <w:rPr>
                <w:caps w:val="0"/>
              </w:rPr>
              <w:t>Base case assumptions</w:t>
            </w:r>
          </w:p>
        </w:tc>
        <w:tc>
          <w:tcPr>
            <w:tcW w:w="2056" w:type="dxa"/>
            <w:shd w:val="clear" w:color="auto" w:fill="00A8C8"/>
          </w:tcPr>
          <w:p w:rsidR="00E56075" w:rsidRPr="003A0BD4" w:rsidRDefault="00E56075" w:rsidP="00C719D1">
            <w:pPr>
              <w:pStyle w:val="TableHeadingText"/>
              <w:jc w:val="center"/>
              <w:rPr>
                <w:caps w:val="0"/>
              </w:rPr>
            </w:pPr>
            <w:r>
              <w:rPr>
                <w:caps w:val="0"/>
              </w:rPr>
              <w:t>Alternative invalidity assumptions</w:t>
            </w:r>
          </w:p>
        </w:tc>
        <w:tc>
          <w:tcPr>
            <w:tcW w:w="2055" w:type="dxa"/>
            <w:shd w:val="clear" w:color="auto" w:fill="00A8C8"/>
          </w:tcPr>
          <w:p w:rsidR="00E56075" w:rsidRPr="003A0BD4" w:rsidRDefault="00E56075" w:rsidP="00C719D1">
            <w:pPr>
              <w:pStyle w:val="TableHeadingText"/>
              <w:jc w:val="center"/>
              <w:rPr>
                <w:caps w:val="0"/>
              </w:rPr>
            </w:pPr>
            <w:r>
              <w:rPr>
                <w:caps w:val="0"/>
              </w:rPr>
              <w:t>Base case assumptions</w:t>
            </w:r>
          </w:p>
        </w:tc>
        <w:tc>
          <w:tcPr>
            <w:tcW w:w="2056" w:type="dxa"/>
            <w:shd w:val="clear" w:color="auto" w:fill="00A8C8"/>
          </w:tcPr>
          <w:p w:rsidR="00E56075" w:rsidRPr="003A0BD4" w:rsidRDefault="00E56075" w:rsidP="00C719D1">
            <w:pPr>
              <w:pStyle w:val="TableHeadingText"/>
              <w:jc w:val="center"/>
              <w:rPr>
                <w:caps w:val="0"/>
              </w:rPr>
            </w:pPr>
            <w:r>
              <w:rPr>
                <w:caps w:val="0"/>
              </w:rPr>
              <w:t>Alternative invalidity assumptions</w:t>
            </w:r>
          </w:p>
        </w:tc>
      </w:tr>
      <w:tr w:rsidR="00E56075" w:rsidRPr="00F01473" w:rsidTr="008972C4">
        <w:trPr>
          <w:cantSplit/>
        </w:trPr>
        <w:tc>
          <w:tcPr>
            <w:tcW w:w="1348" w:type="dxa"/>
            <w:shd w:val="clear" w:color="auto" w:fill="F2F2F2"/>
            <w:vAlign w:val="center"/>
          </w:tcPr>
          <w:p w:rsidR="00E56075" w:rsidRPr="00F01473" w:rsidRDefault="00E56075" w:rsidP="00C719D1">
            <w:pPr>
              <w:pStyle w:val="TableText"/>
              <w:jc w:val="center"/>
            </w:pPr>
            <w:r w:rsidRPr="00F01473">
              <w:t>2018</w:t>
            </w:r>
          </w:p>
        </w:tc>
        <w:tc>
          <w:tcPr>
            <w:tcW w:w="2055" w:type="dxa"/>
            <w:shd w:val="clear" w:color="auto" w:fill="F2F2F2"/>
            <w:vAlign w:val="center"/>
          </w:tcPr>
          <w:p w:rsidR="00E56075" w:rsidRPr="00F01473" w:rsidRDefault="00E56075" w:rsidP="00C719D1">
            <w:pPr>
              <w:pStyle w:val="TableText"/>
              <w:jc w:val="center"/>
            </w:pPr>
            <w:r>
              <w:t>576</w:t>
            </w:r>
          </w:p>
        </w:tc>
        <w:tc>
          <w:tcPr>
            <w:tcW w:w="2056" w:type="dxa"/>
            <w:shd w:val="clear" w:color="auto" w:fill="F2F2F2"/>
            <w:vAlign w:val="center"/>
          </w:tcPr>
          <w:p w:rsidR="00E56075" w:rsidRPr="00F01473" w:rsidRDefault="00E56075" w:rsidP="00C719D1">
            <w:pPr>
              <w:pStyle w:val="TableText"/>
              <w:jc w:val="center"/>
            </w:pPr>
            <w:r>
              <w:t>+121</w:t>
            </w:r>
          </w:p>
        </w:tc>
        <w:tc>
          <w:tcPr>
            <w:tcW w:w="2055" w:type="dxa"/>
            <w:shd w:val="clear" w:color="auto" w:fill="F2F2F2"/>
            <w:vAlign w:val="center"/>
          </w:tcPr>
          <w:p w:rsidR="00E56075" w:rsidRPr="00F01473" w:rsidRDefault="00E56075">
            <w:pPr>
              <w:pStyle w:val="TableText"/>
              <w:jc w:val="center"/>
            </w:pPr>
            <w:r>
              <w:t>772</w:t>
            </w:r>
          </w:p>
        </w:tc>
        <w:tc>
          <w:tcPr>
            <w:tcW w:w="2056" w:type="dxa"/>
            <w:shd w:val="clear" w:color="auto" w:fill="F2F2F2"/>
            <w:vAlign w:val="center"/>
          </w:tcPr>
          <w:p w:rsidR="00E56075" w:rsidRPr="00F01473" w:rsidRDefault="00E56075">
            <w:pPr>
              <w:pStyle w:val="TableText"/>
              <w:jc w:val="center"/>
            </w:pPr>
            <w:r>
              <w:t>+584</w:t>
            </w:r>
          </w:p>
        </w:tc>
      </w:tr>
      <w:tr w:rsidR="00E56075" w:rsidRPr="00F01473" w:rsidTr="008972C4">
        <w:trPr>
          <w:cantSplit/>
        </w:trPr>
        <w:tc>
          <w:tcPr>
            <w:tcW w:w="1348" w:type="dxa"/>
            <w:shd w:val="clear" w:color="auto" w:fill="F2F2F2"/>
            <w:vAlign w:val="center"/>
          </w:tcPr>
          <w:p w:rsidR="00E56075" w:rsidRPr="00F01473" w:rsidRDefault="00E56075" w:rsidP="00C719D1">
            <w:pPr>
              <w:pStyle w:val="TableText"/>
              <w:jc w:val="center"/>
            </w:pPr>
            <w:r w:rsidRPr="00F01473">
              <w:t>2019</w:t>
            </w:r>
          </w:p>
        </w:tc>
        <w:tc>
          <w:tcPr>
            <w:tcW w:w="2055" w:type="dxa"/>
            <w:shd w:val="clear" w:color="auto" w:fill="F2F2F2"/>
            <w:vAlign w:val="center"/>
          </w:tcPr>
          <w:p w:rsidR="00E56075" w:rsidRPr="00F01473" w:rsidRDefault="00E56075" w:rsidP="00C719D1">
            <w:pPr>
              <w:pStyle w:val="TableText"/>
              <w:jc w:val="center"/>
            </w:pPr>
            <w:r>
              <w:t>685</w:t>
            </w:r>
          </w:p>
        </w:tc>
        <w:tc>
          <w:tcPr>
            <w:tcW w:w="2056" w:type="dxa"/>
            <w:shd w:val="clear" w:color="auto" w:fill="F2F2F2"/>
            <w:vAlign w:val="center"/>
          </w:tcPr>
          <w:p w:rsidR="00E56075" w:rsidRPr="00F01473" w:rsidRDefault="00E56075" w:rsidP="00C719D1">
            <w:pPr>
              <w:pStyle w:val="TableText"/>
              <w:jc w:val="center"/>
            </w:pPr>
            <w:r>
              <w:t>+255</w:t>
            </w:r>
          </w:p>
        </w:tc>
        <w:tc>
          <w:tcPr>
            <w:tcW w:w="2055" w:type="dxa"/>
            <w:shd w:val="clear" w:color="auto" w:fill="F2F2F2"/>
            <w:vAlign w:val="center"/>
          </w:tcPr>
          <w:p w:rsidR="00E56075" w:rsidRPr="00F01473" w:rsidRDefault="00E56075">
            <w:pPr>
              <w:pStyle w:val="TableText"/>
              <w:jc w:val="center"/>
            </w:pPr>
            <w:r>
              <w:t>768</w:t>
            </w:r>
          </w:p>
        </w:tc>
        <w:tc>
          <w:tcPr>
            <w:tcW w:w="2056" w:type="dxa"/>
            <w:shd w:val="clear" w:color="auto" w:fill="F2F2F2"/>
            <w:vAlign w:val="center"/>
          </w:tcPr>
          <w:p w:rsidR="00E56075" w:rsidRPr="00F01473" w:rsidRDefault="00E56075">
            <w:pPr>
              <w:pStyle w:val="TableText"/>
              <w:jc w:val="center"/>
            </w:pPr>
            <w:r>
              <w:t>+670</w:t>
            </w:r>
          </w:p>
        </w:tc>
      </w:tr>
      <w:tr w:rsidR="00E56075" w:rsidRPr="00F01473" w:rsidTr="008972C4">
        <w:trPr>
          <w:cantSplit/>
        </w:trPr>
        <w:tc>
          <w:tcPr>
            <w:tcW w:w="1348" w:type="dxa"/>
            <w:shd w:val="clear" w:color="auto" w:fill="F2F2F2"/>
            <w:vAlign w:val="center"/>
          </w:tcPr>
          <w:p w:rsidR="00E56075" w:rsidRPr="00F01473" w:rsidRDefault="00E56075" w:rsidP="00C719D1">
            <w:pPr>
              <w:pStyle w:val="TableText"/>
              <w:jc w:val="center"/>
            </w:pPr>
            <w:r w:rsidRPr="00F01473">
              <w:t>2020</w:t>
            </w:r>
          </w:p>
        </w:tc>
        <w:tc>
          <w:tcPr>
            <w:tcW w:w="2055" w:type="dxa"/>
            <w:shd w:val="clear" w:color="auto" w:fill="F2F2F2"/>
            <w:vAlign w:val="center"/>
          </w:tcPr>
          <w:p w:rsidR="00E56075" w:rsidRPr="00F01473" w:rsidRDefault="00E56075" w:rsidP="00C719D1">
            <w:pPr>
              <w:pStyle w:val="TableText"/>
              <w:jc w:val="center"/>
            </w:pPr>
            <w:r>
              <w:t>801</w:t>
            </w:r>
          </w:p>
        </w:tc>
        <w:tc>
          <w:tcPr>
            <w:tcW w:w="2056" w:type="dxa"/>
            <w:shd w:val="clear" w:color="auto" w:fill="F2F2F2"/>
            <w:vAlign w:val="center"/>
          </w:tcPr>
          <w:p w:rsidR="00E56075" w:rsidRPr="00F01473" w:rsidRDefault="00E56075" w:rsidP="00C719D1">
            <w:pPr>
              <w:pStyle w:val="TableText"/>
              <w:jc w:val="center"/>
            </w:pPr>
            <w:r>
              <w:t>+422</w:t>
            </w:r>
          </w:p>
        </w:tc>
        <w:tc>
          <w:tcPr>
            <w:tcW w:w="2055" w:type="dxa"/>
            <w:shd w:val="clear" w:color="auto" w:fill="F2F2F2"/>
            <w:vAlign w:val="center"/>
          </w:tcPr>
          <w:p w:rsidR="00E56075" w:rsidRPr="00F01473" w:rsidRDefault="00E56075">
            <w:pPr>
              <w:pStyle w:val="TableText"/>
              <w:jc w:val="center"/>
            </w:pPr>
            <w:r>
              <w:t>763</w:t>
            </w:r>
          </w:p>
        </w:tc>
        <w:tc>
          <w:tcPr>
            <w:tcW w:w="2056" w:type="dxa"/>
            <w:shd w:val="clear" w:color="auto" w:fill="F2F2F2"/>
            <w:vAlign w:val="center"/>
          </w:tcPr>
          <w:p w:rsidR="00E56075" w:rsidRPr="00F01473" w:rsidRDefault="00E56075">
            <w:pPr>
              <w:pStyle w:val="TableText"/>
              <w:jc w:val="center"/>
            </w:pPr>
            <w:r>
              <w:t>+761</w:t>
            </w:r>
          </w:p>
        </w:tc>
      </w:tr>
      <w:tr w:rsidR="00E56075" w:rsidRPr="00F01473" w:rsidTr="008972C4">
        <w:trPr>
          <w:cantSplit/>
        </w:trPr>
        <w:tc>
          <w:tcPr>
            <w:tcW w:w="1348" w:type="dxa"/>
            <w:tcBorders>
              <w:bottom w:val="single" w:sz="8" w:space="0" w:color="FFFFFF"/>
            </w:tcBorders>
            <w:shd w:val="clear" w:color="auto" w:fill="F2F2F2"/>
            <w:vAlign w:val="center"/>
          </w:tcPr>
          <w:p w:rsidR="00E56075" w:rsidRPr="00F01473" w:rsidRDefault="00E56075" w:rsidP="00C719D1">
            <w:pPr>
              <w:pStyle w:val="TableText"/>
              <w:jc w:val="center"/>
            </w:pPr>
            <w:r w:rsidRPr="00F01473">
              <w:t>2021</w:t>
            </w:r>
          </w:p>
        </w:tc>
        <w:tc>
          <w:tcPr>
            <w:tcW w:w="2055" w:type="dxa"/>
            <w:tcBorders>
              <w:bottom w:val="single" w:sz="8" w:space="0" w:color="FFFFFF"/>
            </w:tcBorders>
            <w:shd w:val="clear" w:color="auto" w:fill="F2F2F2"/>
            <w:vAlign w:val="center"/>
          </w:tcPr>
          <w:p w:rsidR="00E56075" w:rsidRPr="00F01473" w:rsidRDefault="00E56075" w:rsidP="00C719D1">
            <w:pPr>
              <w:pStyle w:val="TableText"/>
              <w:jc w:val="center"/>
            </w:pPr>
            <w:r>
              <w:t>892</w:t>
            </w:r>
          </w:p>
        </w:tc>
        <w:tc>
          <w:tcPr>
            <w:tcW w:w="2056" w:type="dxa"/>
            <w:tcBorders>
              <w:bottom w:val="single" w:sz="8" w:space="0" w:color="FFFFFF"/>
            </w:tcBorders>
            <w:shd w:val="clear" w:color="auto" w:fill="F2F2F2"/>
            <w:vAlign w:val="center"/>
          </w:tcPr>
          <w:p w:rsidR="00E56075" w:rsidRPr="00F01473" w:rsidRDefault="00E56075" w:rsidP="00C719D1">
            <w:pPr>
              <w:pStyle w:val="TableText"/>
              <w:jc w:val="center"/>
            </w:pPr>
            <w:r>
              <w:t>+499</w:t>
            </w:r>
          </w:p>
        </w:tc>
        <w:tc>
          <w:tcPr>
            <w:tcW w:w="2055" w:type="dxa"/>
            <w:tcBorders>
              <w:bottom w:val="single" w:sz="8" w:space="0" w:color="FFFFFF"/>
            </w:tcBorders>
            <w:shd w:val="clear" w:color="auto" w:fill="F2F2F2"/>
            <w:vAlign w:val="center"/>
          </w:tcPr>
          <w:p w:rsidR="00E56075" w:rsidRPr="00F01473" w:rsidRDefault="00E56075">
            <w:pPr>
              <w:pStyle w:val="TableText"/>
              <w:jc w:val="center"/>
            </w:pPr>
            <w:r>
              <w:t>749</w:t>
            </w:r>
          </w:p>
        </w:tc>
        <w:tc>
          <w:tcPr>
            <w:tcW w:w="2056" w:type="dxa"/>
            <w:tcBorders>
              <w:bottom w:val="single" w:sz="8" w:space="0" w:color="FFFFFF"/>
            </w:tcBorders>
            <w:shd w:val="clear" w:color="auto" w:fill="F2F2F2"/>
            <w:vAlign w:val="center"/>
          </w:tcPr>
          <w:p w:rsidR="00E56075" w:rsidRPr="00F01473" w:rsidRDefault="00E56075">
            <w:pPr>
              <w:pStyle w:val="TableText"/>
              <w:jc w:val="center"/>
            </w:pPr>
            <w:r>
              <w:t>+821</w:t>
            </w:r>
          </w:p>
        </w:tc>
      </w:tr>
      <w:tr w:rsidR="00E56075" w:rsidRPr="00F01473" w:rsidTr="008972C4">
        <w:trPr>
          <w:cantSplit/>
        </w:trPr>
        <w:tc>
          <w:tcPr>
            <w:tcW w:w="1348" w:type="dxa"/>
            <w:tcBorders>
              <w:top w:val="single" w:sz="8" w:space="0" w:color="FFFFFF"/>
              <w:bottom w:val="single" w:sz="4" w:space="0" w:color="auto"/>
            </w:tcBorders>
            <w:shd w:val="clear" w:color="auto" w:fill="F2F2F2"/>
            <w:vAlign w:val="center"/>
          </w:tcPr>
          <w:p w:rsidR="00E56075" w:rsidRPr="00F01473" w:rsidRDefault="00E56075" w:rsidP="00C719D1">
            <w:pPr>
              <w:pStyle w:val="TableText"/>
              <w:jc w:val="center"/>
            </w:pPr>
            <w:r w:rsidRPr="00F01473">
              <w:t>2022</w:t>
            </w:r>
          </w:p>
        </w:tc>
        <w:tc>
          <w:tcPr>
            <w:tcW w:w="2055" w:type="dxa"/>
            <w:tcBorders>
              <w:top w:val="single" w:sz="8" w:space="0" w:color="FFFFFF"/>
              <w:bottom w:val="single" w:sz="4" w:space="0" w:color="auto"/>
            </w:tcBorders>
            <w:shd w:val="clear" w:color="auto" w:fill="F2F2F2"/>
            <w:vAlign w:val="center"/>
          </w:tcPr>
          <w:p w:rsidR="00E56075" w:rsidRPr="00F01473" w:rsidRDefault="00E56075" w:rsidP="00C719D1">
            <w:pPr>
              <w:pStyle w:val="TableText"/>
              <w:jc w:val="center"/>
            </w:pPr>
            <w:r>
              <w:t>505</w:t>
            </w:r>
          </w:p>
        </w:tc>
        <w:tc>
          <w:tcPr>
            <w:tcW w:w="2056" w:type="dxa"/>
            <w:tcBorders>
              <w:top w:val="single" w:sz="8" w:space="0" w:color="FFFFFF"/>
              <w:bottom w:val="single" w:sz="4" w:space="0" w:color="auto"/>
            </w:tcBorders>
            <w:shd w:val="clear" w:color="auto" w:fill="F2F2F2"/>
            <w:vAlign w:val="center"/>
          </w:tcPr>
          <w:p w:rsidR="00E56075" w:rsidRPr="00F01473" w:rsidRDefault="00E56075" w:rsidP="00C719D1">
            <w:pPr>
              <w:pStyle w:val="TableText"/>
              <w:jc w:val="center"/>
            </w:pPr>
            <w:r>
              <w:t>+663</w:t>
            </w:r>
          </w:p>
        </w:tc>
        <w:tc>
          <w:tcPr>
            <w:tcW w:w="2055" w:type="dxa"/>
            <w:tcBorders>
              <w:top w:val="single" w:sz="8" w:space="0" w:color="FFFFFF"/>
              <w:bottom w:val="single" w:sz="4" w:space="0" w:color="auto"/>
            </w:tcBorders>
            <w:shd w:val="clear" w:color="auto" w:fill="F2F2F2"/>
            <w:vAlign w:val="center"/>
          </w:tcPr>
          <w:p w:rsidR="00E56075" w:rsidRPr="00F01473" w:rsidRDefault="00E56075">
            <w:pPr>
              <w:pStyle w:val="TableText"/>
              <w:jc w:val="center"/>
            </w:pPr>
            <w:r>
              <w:t>769</w:t>
            </w:r>
          </w:p>
        </w:tc>
        <w:tc>
          <w:tcPr>
            <w:tcW w:w="2056" w:type="dxa"/>
            <w:tcBorders>
              <w:top w:val="single" w:sz="8" w:space="0" w:color="FFFFFF"/>
              <w:bottom w:val="single" w:sz="4" w:space="0" w:color="auto"/>
            </w:tcBorders>
            <w:shd w:val="clear" w:color="auto" w:fill="F2F2F2"/>
            <w:vAlign w:val="center"/>
          </w:tcPr>
          <w:p w:rsidR="00E56075" w:rsidRPr="00F01473" w:rsidRDefault="00E56075">
            <w:pPr>
              <w:pStyle w:val="TableText"/>
              <w:jc w:val="center"/>
            </w:pPr>
            <w:r>
              <w:t>+865</w:t>
            </w:r>
          </w:p>
        </w:tc>
      </w:tr>
      <w:tr w:rsidR="00105A93" w:rsidRPr="00F01473" w:rsidTr="008972C4">
        <w:trPr>
          <w:cantSplit/>
        </w:trPr>
        <w:tc>
          <w:tcPr>
            <w:tcW w:w="1348" w:type="dxa"/>
            <w:tcBorders>
              <w:top w:val="single" w:sz="4" w:space="0" w:color="auto"/>
              <w:bottom w:val="single" w:sz="8" w:space="0" w:color="FFFFFF"/>
            </w:tcBorders>
            <w:shd w:val="clear" w:color="auto" w:fill="F2F2F2"/>
            <w:vAlign w:val="center"/>
          </w:tcPr>
          <w:p w:rsidR="00105A93" w:rsidRPr="00F01473" w:rsidRDefault="00105A93" w:rsidP="00C719D1">
            <w:pPr>
              <w:pStyle w:val="TableText"/>
              <w:jc w:val="center"/>
            </w:pPr>
            <w:r w:rsidRPr="00F01473">
              <w:t>2023 – 27</w:t>
            </w:r>
          </w:p>
        </w:tc>
        <w:tc>
          <w:tcPr>
            <w:tcW w:w="2055" w:type="dxa"/>
            <w:tcBorders>
              <w:top w:val="single" w:sz="4" w:space="0" w:color="auto"/>
              <w:bottom w:val="single" w:sz="8" w:space="0" w:color="FFFFFF"/>
            </w:tcBorders>
            <w:shd w:val="clear" w:color="auto" w:fill="F2F2F2"/>
            <w:vAlign w:val="center"/>
          </w:tcPr>
          <w:p w:rsidR="00105A93" w:rsidRPr="00F01473" w:rsidRDefault="00105A93">
            <w:pPr>
              <w:pStyle w:val="TableText"/>
              <w:jc w:val="center"/>
            </w:pPr>
            <w:r>
              <w:t>3,367</w:t>
            </w:r>
          </w:p>
        </w:tc>
        <w:tc>
          <w:tcPr>
            <w:tcW w:w="2056" w:type="dxa"/>
            <w:tcBorders>
              <w:top w:val="single" w:sz="4" w:space="0" w:color="auto"/>
              <w:bottom w:val="single" w:sz="8" w:space="0" w:color="FFFFFF"/>
            </w:tcBorders>
            <w:shd w:val="clear" w:color="auto" w:fill="F2F2F2"/>
            <w:vAlign w:val="center"/>
          </w:tcPr>
          <w:p w:rsidR="00105A93" w:rsidRPr="00F01473" w:rsidRDefault="00105A93">
            <w:pPr>
              <w:pStyle w:val="TableText"/>
              <w:jc w:val="center"/>
            </w:pPr>
            <w:r>
              <w:t>+4,156</w:t>
            </w:r>
          </w:p>
        </w:tc>
        <w:tc>
          <w:tcPr>
            <w:tcW w:w="2055" w:type="dxa"/>
            <w:tcBorders>
              <w:top w:val="single" w:sz="4" w:space="0" w:color="auto"/>
              <w:bottom w:val="single" w:sz="8" w:space="0" w:color="FFFFFF"/>
            </w:tcBorders>
            <w:shd w:val="clear" w:color="auto" w:fill="F2F2F2"/>
            <w:vAlign w:val="center"/>
          </w:tcPr>
          <w:p w:rsidR="00105A93" w:rsidRPr="00F01473" w:rsidRDefault="00105A93">
            <w:pPr>
              <w:pStyle w:val="TableText"/>
              <w:jc w:val="center"/>
            </w:pPr>
            <w:r>
              <w:t>4,173</w:t>
            </w:r>
          </w:p>
        </w:tc>
        <w:tc>
          <w:tcPr>
            <w:tcW w:w="2056" w:type="dxa"/>
            <w:tcBorders>
              <w:top w:val="single" w:sz="4" w:space="0" w:color="auto"/>
              <w:bottom w:val="single" w:sz="8" w:space="0" w:color="FFFFFF"/>
            </w:tcBorders>
            <w:shd w:val="clear" w:color="auto" w:fill="F2F2F2"/>
            <w:vAlign w:val="center"/>
          </w:tcPr>
          <w:p w:rsidR="00105A93" w:rsidRPr="00F01473" w:rsidRDefault="00105A93">
            <w:pPr>
              <w:pStyle w:val="TableText"/>
              <w:jc w:val="center"/>
            </w:pPr>
            <w:r>
              <w:t>+4,346</w:t>
            </w:r>
          </w:p>
        </w:tc>
      </w:tr>
      <w:tr w:rsidR="00105A93" w:rsidRPr="00F01473" w:rsidTr="008972C4">
        <w:trPr>
          <w:cantSplit/>
        </w:trPr>
        <w:tc>
          <w:tcPr>
            <w:tcW w:w="1348" w:type="dxa"/>
            <w:tcBorders>
              <w:top w:val="single" w:sz="8" w:space="0" w:color="FFFFFF"/>
            </w:tcBorders>
            <w:shd w:val="clear" w:color="auto" w:fill="F2F2F2"/>
            <w:vAlign w:val="center"/>
          </w:tcPr>
          <w:p w:rsidR="00105A93" w:rsidRPr="00F01473" w:rsidRDefault="00105A93" w:rsidP="00C719D1">
            <w:pPr>
              <w:pStyle w:val="TableText"/>
              <w:jc w:val="center"/>
            </w:pPr>
            <w:r w:rsidRPr="00F01473">
              <w:t>2028 – 32</w:t>
            </w:r>
          </w:p>
        </w:tc>
        <w:tc>
          <w:tcPr>
            <w:tcW w:w="2055" w:type="dxa"/>
            <w:tcBorders>
              <w:top w:val="single" w:sz="8" w:space="0" w:color="FFFFFF"/>
            </w:tcBorders>
            <w:shd w:val="clear" w:color="auto" w:fill="F2F2F2"/>
            <w:vAlign w:val="center"/>
          </w:tcPr>
          <w:p w:rsidR="00105A93" w:rsidRPr="00F01473" w:rsidRDefault="00105A93">
            <w:pPr>
              <w:pStyle w:val="TableText"/>
              <w:jc w:val="center"/>
            </w:pPr>
            <w:r>
              <w:t>4,153</w:t>
            </w:r>
          </w:p>
        </w:tc>
        <w:tc>
          <w:tcPr>
            <w:tcW w:w="2056" w:type="dxa"/>
            <w:tcBorders>
              <w:top w:val="single" w:sz="8" w:space="0" w:color="FFFFFF"/>
            </w:tcBorders>
            <w:shd w:val="clear" w:color="auto" w:fill="F2F2F2"/>
            <w:vAlign w:val="center"/>
          </w:tcPr>
          <w:p w:rsidR="00105A93" w:rsidRPr="00F01473" w:rsidRDefault="00105A93">
            <w:pPr>
              <w:pStyle w:val="TableText"/>
              <w:jc w:val="center"/>
            </w:pPr>
            <w:r>
              <w:t>+3,812</w:t>
            </w:r>
          </w:p>
        </w:tc>
        <w:tc>
          <w:tcPr>
            <w:tcW w:w="2055" w:type="dxa"/>
            <w:tcBorders>
              <w:top w:val="single" w:sz="8" w:space="0" w:color="FFFFFF"/>
            </w:tcBorders>
            <w:shd w:val="clear" w:color="auto" w:fill="F2F2F2"/>
            <w:vAlign w:val="center"/>
          </w:tcPr>
          <w:p w:rsidR="00105A93" w:rsidRPr="00F01473" w:rsidRDefault="00105A93">
            <w:pPr>
              <w:pStyle w:val="TableText"/>
              <w:jc w:val="center"/>
            </w:pPr>
            <w:r>
              <w:t>5,622</w:t>
            </w:r>
          </w:p>
        </w:tc>
        <w:tc>
          <w:tcPr>
            <w:tcW w:w="2056" w:type="dxa"/>
            <w:tcBorders>
              <w:top w:val="single" w:sz="8" w:space="0" w:color="FFFFFF"/>
            </w:tcBorders>
            <w:shd w:val="clear" w:color="auto" w:fill="F2F2F2"/>
            <w:vAlign w:val="center"/>
          </w:tcPr>
          <w:p w:rsidR="00105A93" w:rsidRPr="00F01473" w:rsidRDefault="00105A93">
            <w:pPr>
              <w:pStyle w:val="TableText"/>
              <w:jc w:val="center"/>
            </w:pPr>
            <w:r>
              <w:t>+4,343</w:t>
            </w:r>
          </w:p>
        </w:tc>
      </w:tr>
      <w:tr w:rsidR="00105A93" w:rsidRPr="00F01473" w:rsidTr="008972C4">
        <w:trPr>
          <w:cantSplit/>
        </w:trPr>
        <w:tc>
          <w:tcPr>
            <w:tcW w:w="1348" w:type="dxa"/>
            <w:shd w:val="clear" w:color="auto" w:fill="F2F2F2"/>
            <w:vAlign w:val="center"/>
          </w:tcPr>
          <w:p w:rsidR="00105A93" w:rsidRPr="00F01473" w:rsidRDefault="00105A93" w:rsidP="00C719D1">
            <w:pPr>
              <w:pStyle w:val="TableText"/>
              <w:jc w:val="center"/>
            </w:pPr>
            <w:r w:rsidRPr="00F01473">
              <w:t>2033 – 37</w:t>
            </w:r>
          </w:p>
        </w:tc>
        <w:tc>
          <w:tcPr>
            <w:tcW w:w="2055" w:type="dxa"/>
            <w:shd w:val="clear" w:color="auto" w:fill="F2F2F2"/>
            <w:vAlign w:val="center"/>
          </w:tcPr>
          <w:p w:rsidR="00105A93" w:rsidRPr="00F01473" w:rsidRDefault="00105A93">
            <w:pPr>
              <w:pStyle w:val="TableText"/>
              <w:jc w:val="center"/>
            </w:pPr>
            <w:r>
              <w:t>5,906</w:t>
            </w:r>
          </w:p>
        </w:tc>
        <w:tc>
          <w:tcPr>
            <w:tcW w:w="2056" w:type="dxa"/>
            <w:shd w:val="clear" w:color="auto" w:fill="F2F2F2"/>
            <w:vAlign w:val="center"/>
          </w:tcPr>
          <w:p w:rsidR="00105A93" w:rsidRPr="00F01473" w:rsidRDefault="00105A93">
            <w:pPr>
              <w:pStyle w:val="TableText"/>
              <w:jc w:val="center"/>
            </w:pPr>
            <w:r>
              <w:t>+5,695</w:t>
            </w:r>
          </w:p>
        </w:tc>
        <w:tc>
          <w:tcPr>
            <w:tcW w:w="2055" w:type="dxa"/>
            <w:shd w:val="clear" w:color="auto" w:fill="F2F2F2"/>
            <w:vAlign w:val="center"/>
          </w:tcPr>
          <w:p w:rsidR="00105A93" w:rsidRPr="00F01473" w:rsidRDefault="00105A93">
            <w:pPr>
              <w:pStyle w:val="TableText"/>
              <w:jc w:val="center"/>
            </w:pPr>
            <w:r>
              <w:t>6,739</w:t>
            </w:r>
          </w:p>
        </w:tc>
        <w:tc>
          <w:tcPr>
            <w:tcW w:w="2056" w:type="dxa"/>
            <w:shd w:val="clear" w:color="auto" w:fill="F2F2F2"/>
            <w:vAlign w:val="center"/>
          </w:tcPr>
          <w:p w:rsidR="00105A93" w:rsidRPr="00F01473" w:rsidRDefault="00105A93">
            <w:pPr>
              <w:pStyle w:val="TableText"/>
              <w:jc w:val="center"/>
            </w:pPr>
            <w:r>
              <w:t>+5,846</w:t>
            </w:r>
          </w:p>
        </w:tc>
      </w:tr>
      <w:tr w:rsidR="00105A93" w:rsidRPr="00F01473" w:rsidTr="008972C4">
        <w:trPr>
          <w:cantSplit/>
        </w:trPr>
        <w:tc>
          <w:tcPr>
            <w:tcW w:w="1348" w:type="dxa"/>
            <w:shd w:val="clear" w:color="auto" w:fill="F2F2F2"/>
            <w:vAlign w:val="center"/>
          </w:tcPr>
          <w:p w:rsidR="00105A93" w:rsidRPr="00F01473" w:rsidRDefault="00105A93" w:rsidP="00C719D1">
            <w:pPr>
              <w:pStyle w:val="TableText"/>
              <w:jc w:val="center"/>
            </w:pPr>
            <w:r w:rsidRPr="00F01473">
              <w:t>2038 – 42</w:t>
            </w:r>
          </w:p>
        </w:tc>
        <w:tc>
          <w:tcPr>
            <w:tcW w:w="2055" w:type="dxa"/>
            <w:shd w:val="clear" w:color="auto" w:fill="F2F2F2"/>
            <w:vAlign w:val="center"/>
          </w:tcPr>
          <w:p w:rsidR="00105A93" w:rsidRPr="00F01473" w:rsidRDefault="00105A93">
            <w:pPr>
              <w:pStyle w:val="TableText"/>
              <w:jc w:val="center"/>
            </w:pPr>
            <w:r>
              <w:t>7,497</w:t>
            </w:r>
          </w:p>
        </w:tc>
        <w:tc>
          <w:tcPr>
            <w:tcW w:w="2056" w:type="dxa"/>
            <w:shd w:val="clear" w:color="auto" w:fill="F2F2F2"/>
            <w:vAlign w:val="center"/>
          </w:tcPr>
          <w:p w:rsidR="00105A93" w:rsidRPr="00F01473" w:rsidRDefault="00105A93">
            <w:pPr>
              <w:pStyle w:val="TableText"/>
              <w:jc w:val="center"/>
            </w:pPr>
            <w:r>
              <w:t>+6,328</w:t>
            </w:r>
          </w:p>
        </w:tc>
        <w:tc>
          <w:tcPr>
            <w:tcW w:w="2055" w:type="dxa"/>
            <w:shd w:val="clear" w:color="auto" w:fill="F2F2F2"/>
            <w:vAlign w:val="center"/>
          </w:tcPr>
          <w:p w:rsidR="00105A93" w:rsidRPr="00F01473" w:rsidRDefault="00105A93">
            <w:pPr>
              <w:pStyle w:val="TableText"/>
              <w:jc w:val="center"/>
            </w:pPr>
            <w:r>
              <w:t>8,285</w:t>
            </w:r>
          </w:p>
        </w:tc>
        <w:tc>
          <w:tcPr>
            <w:tcW w:w="2056" w:type="dxa"/>
            <w:shd w:val="clear" w:color="auto" w:fill="F2F2F2"/>
            <w:vAlign w:val="center"/>
          </w:tcPr>
          <w:p w:rsidR="00105A93" w:rsidRPr="00F01473" w:rsidRDefault="00105A93">
            <w:pPr>
              <w:pStyle w:val="TableText"/>
              <w:jc w:val="center"/>
            </w:pPr>
            <w:r>
              <w:t>+7,353</w:t>
            </w:r>
          </w:p>
        </w:tc>
      </w:tr>
      <w:tr w:rsidR="00105A93" w:rsidRPr="00F01473" w:rsidTr="008972C4">
        <w:trPr>
          <w:cantSplit/>
        </w:trPr>
        <w:tc>
          <w:tcPr>
            <w:tcW w:w="1348" w:type="dxa"/>
            <w:shd w:val="clear" w:color="auto" w:fill="F2F2F2"/>
            <w:vAlign w:val="center"/>
          </w:tcPr>
          <w:p w:rsidR="00105A93" w:rsidRPr="00F01473" w:rsidRDefault="00105A93" w:rsidP="00C719D1">
            <w:pPr>
              <w:pStyle w:val="TableText"/>
              <w:jc w:val="center"/>
            </w:pPr>
            <w:r w:rsidRPr="00F01473">
              <w:t>2043 – 47</w:t>
            </w:r>
          </w:p>
        </w:tc>
        <w:tc>
          <w:tcPr>
            <w:tcW w:w="2055" w:type="dxa"/>
            <w:shd w:val="clear" w:color="auto" w:fill="F2F2F2"/>
            <w:vAlign w:val="center"/>
          </w:tcPr>
          <w:p w:rsidR="00105A93" w:rsidRPr="00F01473" w:rsidRDefault="00105A93">
            <w:pPr>
              <w:pStyle w:val="TableText"/>
              <w:jc w:val="center"/>
            </w:pPr>
            <w:r>
              <w:t>9,137</w:t>
            </w:r>
          </w:p>
        </w:tc>
        <w:tc>
          <w:tcPr>
            <w:tcW w:w="2056" w:type="dxa"/>
            <w:shd w:val="clear" w:color="auto" w:fill="F2F2F2"/>
            <w:vAlign w:val="center"/>
          </w:tcPr>
          <w:p w:rsidR="00105A93" w:rsidRPr="00F01473" w:rsidRDefault="00105A93">
            <w:pPr>
              <w:pStyle w:val="TableText"/>
              <w:jc w:val="center"/>
            </w:pPr>
            <w:r>
              <w:t>+9,041</w:t>
            </w:r>
          </w:p>
        </w:tc>
        <w:tc>
          <w:tcPr>
            <w:tcW w:w="2055" w:type="dxa"/>
            <w:shd w:val="clear" w:color="auto" w:fill="F2F2F2"/>
            <w:vAlign w:val="center"/>
          </w:tcPr>
          <w:p w:rsidR="00105A93" w:rsidRPr="00F01473" w:rsidRDefault="00105A93">
            <w:pPr>
              <w:pStyle w:val="TableText"/>
              <w:jc w:val="center"/>
            </w:pPr>
            <w:r>
              <w:t>10,088</w:t>
            </w:r>
          </w:p>
        </w:tc>
        <w:tc>
          <w:tcPr>
            <w:tcW w:w="2056" w:type="dxa"/>
            <w:shd w:val="clear" w:color="auto" w:fill="F2F2F2"/>
            <w:vAlign w:val="center"/>
          </w:tcPr>
          <w:p w:rsidR="00105A93" w:rsidRPr="00F01473" w:rsidRDefault="00105A93">
            <w:pPr>
              <w:pStyle w:val="TableText"/>
              <w:jc w:val="center"/>
            </w:pPr>
            <w:r>
              <w:t>+8,991</w:t>
            </w:r>
          </w:p>
        </w:tc>
      </w:tr>
      <w:tr w:rsidR="00105A93" w:rsidRPr="00F01473" w:rsidTr="008972C4">
        <w:trPr>
          <w:cantSplit/>
        </w:trPr>
        <w:tc>
          <w:tcPr>
            <w:tcW w:w="1348" w:type="dxa"/>
            <w:shd w:val="clear" w:color="auto" w:fill="F2F2F2"/>
            <w:vAlign w:val="center"/>
          </w:tcPr>
          <w:p w:rsidR="00105A93" w:rsidRPr="00F01473" w:rsidRDefault="00105A93" w:rsidP="00C719D1">
            <w:pPr>
              <w:pStyle w:val="TableText"/>
              <w:jc w:val="center"/>
            </w:pPr>
            <w:r w:rsidRPr="00F01473">
              <w:t>2048 – 52</w:t>
            </w:r>
          </w:p>
        </w:tc>
        <w:tc>
          <w:tcPr>
            <w:tcW w:w="2055" w:type="dxa"/>
            <w:shd w:val="clear" w:color="auto" w:fill="F2F2F2"/>
            <w:vAlign w:val="center"/>
          </w:tcPr>
          <w:p w:rsidR="00105A93" w:rsidRPr="00F01473" w:rsidRDefault="00105A93">
            <w:pPr>
              <w:pStyle w:val="TableText"/>
              <w:jc w:val="center"/>
            </w:pPr>
            <w:r>
              <w:t>10,782</w:t>
            </w:r>
          </w:p>
        </w:tc>
        <w:tc>
          <w:tcPr>
            <w:tcW w:w="2056" w:type="dxa"/>
            <w:shd w:val="clear" w:color="auto" w:fill="F2F2F2"/>
            <w:vAlign w:val="center"/>
          </w:tcPr>
          <w:p w:rsidR="00105A93" w:rsidRPr="00F01473" w:rsidRDefault="00105A93">
            <w:pPr>
              <w:pStyle w:val="TableText"/>
              <w:jc w:val="center"/>
            </w:pPr>
            <w:r>
              <w:t>+10,160</w:t>
            </w:r>
          </w:p>
        </w:tc>
        <w:tc>
          <w:tcPr>
            <w:tcW w:w="2055" w:type="dxa"/>
            <w:shd w:val="clear" w:color="auto" w:fill="F2F2F2"/>
            <w:vAlign w:val="center"/>
          </w:tcPr>
          <w:p w:rsidR="00105A93" w:rsidRPr="00F01473" w:rsidRDefault="00105A93">
            <w:pPr>
              <w:pStyle w:val="TableText"/>
              <w:jc w:val="center"/>
            </w:pPr>
            <w:r>
              <w:t>12,173</w:t>
            </w:r>
          </w:p>
        </w:tc>
        <w:tc>
          <w:tcPr>
            <w:tcW w:w="2056" w:type="dxa"/>
            <w:shd w:val="clear" w:color="auto" w:fill="F2F2F2"/>
            <w:vAlign w:val="center"/>
          </w:tcPr>
          <w:p w:rsidR="00105A93" w:rsidRPr="00F01473" w:rsidRDefault="00105A93">
            <w:pPr>
              <w:pStyle w:val="TableText"/>
              <w:jc w:val="center"/>
            </w:pPr>
            <w:r>
              <w:t>+10,536</w:t>
            </w:r>
          </w:p>
        </w:tc>
      </w:tr>
      <w:tr w:rsidR="00105A93" w:rsidRPr="00F01473" w:rsidTr="008972C4">
        <w:trPr>
          <w:cantSplit/>
        </w:trPr>
        <w:tc>
          <w:tcPr>
            <w:tcW w:w="1348" w:type="dxa"/>
            <w:shd w:val="clear" w:color="auto" w:fill="F2F2F2"/>
            <w:vAlign w:val="center"/>
          </w:tcPr>
          <w:p w:rsidR="00105A93" w:rsidRPr="00F01473" w:rsidRDefault="00105A93" w:rsidP="00C719D1">
            <w:pPr>
              <w:pStyle w:val="TableText"/>
              <w:jc w:val="center"/>
            </w:pPr>
            <w:r w:rsidRPr="00F01473">
              <w:t>2053 – 57</w:t>
            </w:r>
          </w:p>
        </w:tc>
        <w:tc>
          <w:tcPr>
            <w:tcW w:w="2055" w:type="dxa"/>
            <w:shd w:val="clear" w:color="auto" w:fill="F2F2F2"/>
            <w:vAlign w:val="center"/>
          </w:tcPr>
          <w:p w:rsidR="00105A93" w:rsidRPr="00F01473" w:rsidRDefault="00105A93">
            <w:pPr>
              <w:pStyle w:val="TableText"/>
              <w:jc w:val="center"/>
            </w:pPr>
            <w:r>
              <w:t>13,619</w:t>
            </w:r>
          </w:p>
        </w:tc>
        <w:tc>
          <w:tcPr>
            <w:tcW w:w="2056" w:type="dxa"/>
            <w:shd w:val="clear" w:color="auto" w:fill="F2F2F2"/>
            <w:vAlign w:val="center"/>
          </w:tcPr>
          <w:p w:rsidR="00105A93" w:rsidRPr="00F01473" w:rsidRDefault="00105A93">
            <w:pPr>
              <w:pStyle w:val="TableText"/>
              <w:jc w:val="center"/>
            </w:pPr>
            <w:r>
              <w:t>+11,163</w:t>
            </w:r>
          </w:p>
        </w:tc>
        <w:tc>
          <w:tcPr>
            <w:tcW w:w="2055" w:type="dxa"/>
            <w:shd w:val="clear" w:color="auto" w:fill="F2F2F2"/>
            <w:vAlign w:val="center"/>
          </w:tcPr>
          <w:p w:rsidR="00105A93" w:rsidRPr="00F01473" w:rsidRDefault="00105A93">
            <w:pPr>
              <w:pStyle w:val="TableText"/>
              <w:jc w:val="center"/>
            </w:pPr>
            <w:r>
              <w:t>14,860</w:t>
            </w:r>
          </w:p>
        </w:tc>
        <w:tc>
          <w:tcPr>
            <w:tcW w:w="2056" w:type="dxa"/>
            <w:shd w:val="clear" w:color="auto" w:fill="F2F2F2"/>
            <w:vAlign w:val="center"/>
          </w:tcPr>
          <w:p w:rsidR="00105A93" w:rsidRPr="00F01473" w:rsidRDefault="00105A93">
            <w:pPr>
              <w:pStyle w:val="TableText"/>
              <w:jc w:val="center"/>
            </w:pPr>
            <w:r>
              <w:t>+12,726</w:t>
            </w:r>
          </w:p>
        </w:tc>
      </w:tr>
    </w:tbl>
    <w:p w:rsidR="00E56075" w:rsidRDefault="00E56075" w:rsidP="00E56075"/>
    <w:p w:rsidR="00ED4A35" w:rsidRPr="004C2A34" w:rsidRDefault="00ED4A35" w:rsidP="00ED4A35">
      <w:r w:rsidRPr="004C2A34">
        <w:t xml:space="preserve">Please note that the alternative results shown </w:t>
      </w:r>
      <w:r>
        <w:t>above</w:t>
      </w:r>
      <w:r w:rsidRPr="004C2A34">
        <w:t xml:space="preserve"> are illustrations only, and show</w:t>
      </w:r>
      <w:r w:rsidRPr="007A723F">
        <w:t xml:space="preserve"> </w:t>
      </w:r>
      <w:r w:rsidRPr="004C2A34">
        <w:t xml:space="preserve">what may occur under assumed future experiences which differ from our baseline assumptions. These scenarios do not, in any way, constitute upper or lower bounds and the </w:t>
      </w:r>
      <w:r>
        <w:t>results</w:t>
      </w:r>
      <w:r w:rsidRPr="004C2A34">
        <w:t xml:space="preserve"> may differ significantly from the range</w:t>
      </w:r>
      <w:r>
        <w:t>s</w:t>
      </w:r>
      <w:r w:rsidRPr="004C2A34">
        <w:t xml:space="preserve"> shown </w:t>
      </w:r>
      <w:r>
        <w:t>above,</w:t>
      </w:r>
      <w:r w:rsidRPr="004C2A34">
        <w:t xml:space="preserve"> depending on actual future experience.</w:t>
      </w:r>
    </w:p>
    <w:p w:rsidR="006F641D" w:rsidRDefault="006F641D" w:rsidP="00FF4529"/>
    <w:p w:rsidR="00F102DD" w:rsidRDefault="00F102DD" w:rsidP="00F102DD">
      <w:pPr>
        <w:pStyle w:val="SectionStart"/>
        <w:pBdr>
          <w:bottom w:val="single" w:sz="12" w:space="1" w:color="auto"/>
        </w:pBdr>
        <w:spacing w:before="0" w:after="380"/>
      </w:pPr>
    </w:p>
    <w:p w:rsidR="00F102DD" w:rsidRPr="00E928CD" w:rsidRDefault="00F102DD" w:rsidP="00DA55B8">
      <w:pPr>
        <w:pStyle w:val="Heading1"/>
        <w:numPr>
          <w:ilvl w:val="0"/>
          <w:numId w:val="0"/>
        </w:numPr>
        <w:spacing w:after="240"/>
      </w:pPr>
      <w:bookmarkStart w:id="85" w:name="_Toc508267371"/>
      <w:bookmarkStart w:id="86" w:name="_Toc511313525"/>
      <w:bookmarkStart w:id="87" w:name="_Toc511315171"/>
      <w:bookmarkStart w:id="88" w:name="_Toc511385935"/>
      <w:bookmarkStart w:id="89" w:name="_Toc517692345"/>
      <w:r>
        <w:t>Actuary’s Certification</w:t>
      </w:r>
      <w:bookmarkEnd w:id="85"/>
      <w:bookmarkEnd w:id="86"/>
      <w:bookmarkEnd w:id="87"/>
      <w:bookmarkEnd w:id="88"/>
      <w:bookmarkEnd w:id="89"/>
    </w:p>
    <w:p w:rsidR="00F102DD" w:rsidRPr="00331A3B" w:rsidRDefault="00F102DD" w:rsidP="00331A3B">
      <w:pPr>
        <w:rPr>
          <w:caps/>
          <w:color w:val="002C77"/>
          <w:spacing w:val="40"/>
        </w:rPr>
      </w:pPr>
      <w:bookmarkStart w:id="90" w:name="_Toc508267372"/>
      <w:r w:rsidRPr="00331A3B">
        <w:rPr>
          <w:caps/>
          <w:color w:val="002C77"/>
          <w:spacing w:val="40"/>
        </w:rPr>
        <w:t>Professional standards and scope</w:t>
      </w:r>
      <w:bookmarkEnd w:id="90"/>
    </w:p>
    <w:p w:rsidR="00F102DD" w:rsidRPr="00E24FCE" w:rsidRDefault="00F102DD" w:rsidP="00F102DD"/>
    <w:p w:rsidR="00F102DD" w:rsidRDefault="00F102DD" w:rsidP="00F102DD">
      <w:r w:rsidRPr="00AA56D7">
        <w:t>This report satisfies the requirements of Professional Standard No. 40</w:t>
      </w:r>
      <w:r>
        <w:t>0</w:t>
      </w:r>
      <w:r w:rsidRPr="00AA56D7">
        <w:t xml:space="preserve"> of The Institute of Actuaries of Australia.  Professional Standard No. 40</w:t>
      </w:r>
      <w:r>
        <w:t>0</w:t>
      </w:r>
      <w:r w:rsidRPr="00AA56D7">
        <w:t xml:space="preserve"> relates to the preparation of reports commenting on the financial condition of defined benefit superannuation funds.</w:t>
      </w:r>
    </w:p>
    <w:p w:rsidR="00923A36" w:rsidRDefault="00923A36" w:rsidP="00F102DD"/>
    <w:p w:rsidR="00F102DD" w:rsidRPr="00331A3B" w:rsidRDefault="00F102DD" w:rsidP="00331A3B">
      <w:pPr>
        <w:rPr>
          <w:caps/>
          <w:color w:val="002C77"/>
          <w:spacing w:val="40"/>
        </w:rPr>
      </w:pPr>
      <w:bookmarkStart w:id="91" w:name="_Toc508267373"/>
      <w:r w:rsidRPr="00331A3B">
        <w:rPr>
          <w:caps/>
          <w:color w:val="002C77"/>
          <w:spacing w:val="40"/>
        </w:rPr>
        <w:t>Use of report</w:t>
      </w:r>
      <w:bookmarkEnd w:id="91"/>
    </w:p>
    <w:p w:rsidR="00F102DD" w:rsidRDefault="00F102DD" w:rsidP="00F102DD"/>
    <w:p w:rsidR="00F102DD" w:rsidRPr="00E24FCE" w:rsidRDefault="00F102DD" w:rsidP="00F102DD">
      <w:r w:rsidRPr="00E24FCE">
        <w:t xml:space="preserve">This investigation report should not be relied upon for any other purpose or by any party other than the </w:t>
      </w:r>
      <w:r w:rsidR="00E522E6">
        <w:t>Australian Government</w:t>
      </w:r>
      <w:r w:rsidRPr="00E24FCE">
        <w:t>. Mercer is not responsible for the consequences of any other use. This report should be considered in its entirety and not distributed in parts.</w:t>
      </w:r>
    </w:p>
    <w:p w:rsidR="00433397" w:rsidRDefault="00433397" w:rsidP="00F102DD"/>
    <w:p w:rsidR="00F102DD" w:rsidRPr="00E24FCE" w:rsidRDefault="00F102DD" w:rsidP="00F102DD">
      <w:r w:rsidRPr="00E24FCE">
        <w:t>The advice contained in this report is given in the context of Australian law and practice.  No allowance has been made for taxation, accountancy or other requirements in any other country.</w:t>
      </w:r>
    </w:p>
    <w:p w:rsidR="00F102DD" w:rsidRPr="00E24FCE" w:rsidRDefault="00F102DD" w:rsidP="00F102DD"/>
    <w:p w:rsidR="00A51909" w:rsidRPr="00331A3B" w:rsidRDefault="00A51909" w:rsidP="00A51909">
      <w:pPr>
        <w:rPr>
          <w:caps/>
          <w:color w:val="002C77"/>
          <w:spacing w:val="40"/>
        </w:rPr>
      </w:pPr>
      <w:bookmarkStart w:id="92" w:name="_Toc508267374"/>
      <w:r w:rsidRPr="00331A3B">
        <w:rPr>
          <w:caps/>
          <w:color w:val="002C77"/>
          <w:spacing w:val="40"/>
        </w:rPr>
        <w:t>Actuarial Uncertainty and Assumptions</w:t>
      </w:r>
      <w:bookmarkEnd w:id="92"/>
    </w:p>
    <w:p w:rsidR="00A51909" w:rsidRPr="00E24FCE" w:rsidRDefault="00A51909" w:rsidP="00A51909"/>
    <w:p w:rsidR="00A51909" w:rsidRPr="00E24FCE" w:rsidRDefault="00A51909" w:rsidP="00A51909">
      <w:r w:rsidRPr="00E24FCE">
        <w:t xml:space="preserve">An actuarial investigation </w:t>
      </w:r>
      <w:r>
        <w:t>provides</w:t>
      </w:r>
      <w:r w:rsidRPr="00E24FCE">
        <w:t xml:space="preserve"> a snapshot of a scheme’s financial condition at a particular point in time, and projections of </w:t>
      </w:r>
      <w:r>
        <w:t>a</w:t>
      </w:r>
      <w:r w:rsidRPr="00E24FCE">
        <w:t xml:space="preserve"> scheme’s estimated future financial position based on certain assumptions. It does not provide certainty in relation to a scheme’s future financial condition or its ability to pay benefits in the future.</w:t>
      </w:r>
    </w:p>
    <w:p w:rsidR="00A51909" w:rsidRPr="00E24FCE" w:rsidRDefault="00A51909" w:rsidP="00A51909"/>
    <w:p w:rsidR="00A51909" w:rsidRPr="00E24FCE" w:rsidRDefault="00A51909" w:rsidP="00A51909">
      <w:r w:rsidRPr="00E24FCE">
        <w:t xml:space="preserve">Future funding and actual costs relating to </w:t>
      </w:r>
      <w:r>
        <w:t>a</w:t>
      </w:r>
      <w:r w:rsidRPr="00E24FCE">
        <w:t xml:space="preserve"> scheme are primarily driven by the scheme’s benefit design, the actual rate of salary inflation and any discretions exercised by the Australian Government. The </w:t>
      </w:r>
      <w:r>
        <w:t>s</w:t>
      </w:r>
      <w:r w:rsidRPr="00E24FCE">
        <w:t xml:space="preserve">cheme’s actuary does not directly control or influence any of these factors in the context of an actuarial investigation. </w:t>
      </w:r>
    </w:p>
    <w:p w:rsidR="00A51909" w:rsidRPr="00E24FCE" w:rsidRDefault="00A51909" w:rsidP="00A51909"/>
    <w:p w:rsidR="00A51909" w:rsidRPr="00E24FCE" w:rsidRDefault="00A51909" w:rsidP="00A51909">
      <w:r>
        <w:t>A s</w:t>
      </w:r>
      <w:r w:rsidRPr="00E24FCE">
        <w:t>cheme’s future financial position and the estimated long term cost depend on a number of factors, including the amount of benefits the scheme pays, the cause and timing of member withdrawals, plan expenses, the level of taxation and the amount earned on any assets invested to pay the benefits. These amounts and others are uncertain and unknowable at the valuation date, but are predicted to fall within a reasonable range of possibilities.</w:t>
      </w:r>
    </w:p>
    <w:p w:rsidR="00A51909" w:rsidRPr="00E24FCE" w:rsidRDefault="00A51909" w:rsidP="00A51909"/>
    <w:p w:rsidR="009F432F" w:rsidRDefault="009F432F">
      <w:pPr>
        <w:spacing w:line="240" w:lineRule="auto"/>
      </w:pPr>
      <w:r>
        <w:br w:type="page"/>
      </w:r>
    </w:p>
    <w:p w:rsidR="00A51909" w:rsidRPr="00E24FCE" w:rsidRDefault="00A51909" w:rsidP="00A51909">
      <w:r w:rsidRPr="00E24FCE">
        <w:t xml:space="preserve">To prepare this report, assumptions, as described in </w:t>
      </w:r>
      <w:r w:rsidRPr="00CE338C">
        <w:t>Section 4, are used to select a single scenario from the range of possibilities. The results of that single scenario</w:t>
      </w:r>
      <w:r w:rsidRPr="00E24FCE">
        <w:t xml:space="preserve"> are included in this report. </w:t>
      </w:r>
    </w:p>
    <w:p w:rsidR="00A51909" w:rsidRPr="00E24FCE" w:rsidRDefault="00A51909" w:rsidP="00A51909"/>
    <w:p w:rsidR="00A51909" w:rsidRPr="00E24FCE" w:rsidRDefault="00A51909" w:rsidP="00A51909">
      <w:r w:rsidRPr="00E24FCE">
        <w:t xml:space="preserve">However, the future is uncertain and </w:t>
      </w:r>
      <w:r>
        <w:t>a s</w:t>
      </w:r>
      <w:r w:rsidRPr="00E24FCE">
        <w:t>cheme’s actual experience will differ from those assumptions; these differences may be significant or material. In addition, different</w:t>
      </w:r>
      <w:r w:rsidRPr="00E24FCE">
        <w:rPr>
          <w:i/>
          <w:iCs/>
          <w:sz w:val="20"/>
        </w:rPr>
        <w:t xml:space="preserve"> </w:t>
      </w:r>
      <w:r w:rsidRPr="00E24FCE">
        <w:t xml:space="preserve">assumptions or scenarios may also be within the reasonable range and results based on those assumptions would be different. For this reason this report also shows the impact on the results of certain changes in assumptions. </w:t>
      </w:r>
    </w:p>
    <w:p w:rsidR="00A51909" w:rsidRPr="00E24FCE" w:rsidRDefault="00A51909" w:rsidP="00A51909"/>
    <w:p w:rsidR="00A51909" w:rsidRPr="00E24FCE" w:rsidRDefault="00A51909" w:rsidP="00A51909">
      <w:r w:rsidRPr="00E24FCE">
        <w:t>Actuarial assumptions may also be changed from one valuation to the next because of mandated requirements, scheme experience, changes in expectations about the future and other factors. We did not perform, and thus do not present, an analysis of the potential range of future possibilities and scenarios.</w:t>
      </w:r>
    </w:p>
    <w:p w:rsidR="00A51909" w:rsidRPr="00E24FCE" w:rsidRDefault="00A51909" w:rsidP="00A51909"/>
    <w:p w:rsidR="00A51909" w:rsidRDefault="00A51909" w:rsidP="00A51909">
      <w:r w:rsidRPr="00E24FCE">
        <w:t>Because actual scheme experience will differ from the assumptions, decisions about benefit changes, investment policy, funding amounts, benefit security and/or benefit related issues should be made only after careful consideration of alternative future financial conditions and scenarios, and not solely on the basis of a set of results.</w:t>
      </w:r>
    </w:p>
    <w:p w:rsidR="00A51909" w:rsidRDefault="00A51909" w:rsidP="00A51909"/>
    <w:p w:rsidR="00A51909" w:rsidRDefault="00A51909" w:rsidP="00A51909">
      <w:pPr>
        <w:rPr>
          <w:noProof/>
          <w:lang w:eastAsia="en-AU"/>
        </w:rPr>
      </w:pPr>
    </w:p>
    <w:p w:rsidR="00A51909" w:rsidRDefault="00A51909" w:rsidP="00A51909">
      <w:r>
        <w:t>Prepared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tblGrid>
      <w:tr w:rsidR="006F641D" w:rsidTr="00A51909">
        <w:tc>
          <w:tcPr>
            <w:tcW w:w="4893" w:type="dxa"/>
          </w:tcPr>
          <w:p w:rsidR="006F641D" w:rsidRDefault="00B148C2" w:rsidP="00B148C2">
            <w:pPr>
              <w:ind w:left="-567"/>
            </w:pPr>
            <w:r>
              <w:rPr>
                <w:noProof/>
                <w:lang w:eastAsia="en-AU"/>
              </w:rPr>
              <w:drawing>
                <wp:inline distT="0" distB="0" distL="0" distR="0" wp14:anchorId="5FB70778" wp14:editId="0BA68274">
                  <wp:extent cx="3088217" cy="818147"/>
                  <wp:effectExtent l="0" t="0" r="0" b="1270"/>
                  <wp:docPr id="15" name="Picture 15"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99703" cy="821190"/>
                          </a:xfrm>
                          <a:prstGeom prst="rect">
                            <a:avLst/>
                          </a:prstGeom>
                          <a:noFill/>
                          <a:ln>
                            <a:noFill/>
                          </a:ln>
                        </pic:spPr>
                      </pic:pic>
                    </a:graphicData>
                  </a:graphic>
                </wp:inline>
              </w:drawing>
            </w:r>
          </w:p>
          <w:p w:rsidR="006F641D" w:rsidRDefault="006F641D" w:rsidP="00A51909"/>
        </w:tc>
      </w:tr>
      <w:tr w:rsidR="006F641D" w:rsidTr="00A51909">
        <w:tc>
          <w:tcPr>
            <w:tcW w:w="4893" w:type="dxa"/>
          </w:tcPr>
          <w:p w:rsidR="006F641D" w:rsidRPr="00052F73" w:rsidRDefault="006F641D" w:rsidP="00A51909">
            <w:pPr>
              <w:rPr>
                <w:b/>
              </w:rPr>
            </w:pPr>
            <w:bookmarkStart w:id="93" w:name="SignatoryName"/>
            <w:r>
              <w:rPr>
                <w:b/>
              </w:rPr>
              <w:t>Esther Conway</w:t>
            </w:r>
            <w:bookmarkEnd w:id="93"/>
          </w:p>
          <w:p w:rsidR="006F641D" w:rsidRDefault="006F641D" w:rsidP="00A51909">
            <w:bookmarkStart w:id="94" w:name="SignatoryTitle"/>
            <w:r>
              <w:t>Fellow of the Institute of Actuaries of Australia</w:t>
            </w:r>
          </w:p>
          <w:bookmarkEnd w:id="94"/>
          <w:p w:rsidR="006F641D" w:rsidRDefault="006F641D" w:rsidP="00A51909">
            <w:r>
              <w:t>Principal</w:t>
            </w:r>
          </w:p>
        </w:tc>
      </w:tr>
    </w:tbl>
    <w:p w:rsidR="00A51909" w:rsidRDefault="00A51909" w:rsidP="00A51909">
      <w:pPr>
        <w:rPr>
          <w:lang w:val="fr-FR"/>
        </w:rPr>
      </w:pPr>
    </w:p>
    <w:p w:rsidR="00A51909" w:rsidRDefault="00A51909" w:rsidP="00A51909"/>
    <w:p w:rsidR="00A51909" w:rsidRDefault="00A51909" w:rsidP="00A51909">
      <w:r>
        <w:t>Peer Reviewed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tblGrid>
      <w:tr w:rsidR="00A51909" w:rsidTr="00A51909">
        <w:tc>
          <w:tcPr>
            <w:tcW w:w="4893" w:type="dxa"/>
          </w:tcPr>
          <w:p w:rsidR="00A51909" w:rsidRDefault="00A51909" w:rsidP="00A51909"/>
          <w:p w:rsidR="00A51909" w:rsidRDefault="00B148C2" w:rsidP="00B148C2">
            <w:pPr>
              <w:ind w:left="284"/>
            </w:pPr>
            <w:r>
              <w:rPr>
                <w:noProof/>
                <w:lang w:eastAsia="en-AU"/>
              </w:rPr>
              <w:drawing>
                <wp:inline distT="0" distB="0" distL="0" distR="0" wp14:anchorId="6077A5AD" wp14:editId="691BB583">
                  <wp:extent cx="962025" cy="361950"/>
                  <wp:effectExtent l="0" t="0" r="9525" b="0"/>
                  <wp:docPr id="16" name="Picture 16" descr="DAS -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 signa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025" cy="361950"/>
                          </a:xfrm>
                          <a:prstGeom prst="rect">
                            <a:avLst/>
                          </a:prstGeom>
                          <a:noFill/>
                          <a:ln>
                            <a:noFill/>
                          </a:ln>
                        </pic:spPr>
                      </pic:pic>
                    </a:graphicData>
                  </a:graphic>
                </wp:inline>
              </w:drawing>
            </w:r>
          </w:p>
          <w:p w:rsidR="00A51909" w:rsidRDefault="00A51909" w:rsidP="00A51909"/>
        </w:tc>
      </w:tr>
      <w:tr w:rsidR="00A51909" w:rsidTr="00A51909">
        <w:tc>
          <w:tcPr>
            <w:tcW w:w="4893" w:type="dxa"/>
          </w:tcPr>
          <w:p w:rsidR="00A51909" w:rsidRPr="00052F73" w:rsidRDefault="00B915A8" w:rsidP="00A51909">
            <w:pPr>
              <w:rPr>
                <w:b/>
              </w:rPr>
            </w:pPr>
            <w:r>
              <w:rPr>
                <w:b/>
              </w:rPr>
              <w:t>David Scott</w:t>
            </w:r>
          </w:p>
          <w:p w:rsidR="00A51909" w:rsidRDefault="00A51909" w:rsidP="00A51909">
            <w:r>
              <w:t>Fellow of the Institute of Actuaries of Australia</w:t>
            </w:r>
          </w:p>
          <w:p w:rsidR="00A51909" w:rsidRDefault="00B915A8" w:rsidP="00A51909">
            <w:r>
              <w:t>Principal</w:t>
            </w:r>
          </w:p>
        </w:tc>
      </w:tr>
    </w:tbl>
    <w:p w:rsidR="00A51909" w:rsidRDefault="00A51909" w:rsidP="00A51909">
      <w:pPr>
        <w:rPr>
          <w:lang w:val="fr-FR"/>
        </w:rPr>
      </w:pPr>
    </w:p>
    <w:p w:rsidR="00F102DD" w:rsidRDefault="00F102DD" w:rsidP="00F102DD">
      <w:r>
        <w:fldChar w:fldCharType="begin"/>
      </w:r>
      <w:r>
        <w:instrText xml:space="preserve"> DATE  \@ "dd MMMM yyyy"  \* MERGEFORMAT </w:instrText>
      </w:r>
      <w:r>
        <w:fldChar w:fldCharType="separate"/>
      </w:r>
      <w:r w:rsidR="001E0A7B">
        <w:rPr>
          <w:noProof/>
        </w:rPr>
        <w:t>29 June 2018</w:t>
      </w:r>
      <w:r>
        <w:fldChar w:fldCharType="end"/>
      </w:r>
    </w:p>
    <w:p w:rsidR="00BF3B60" w:rsidRPr="00E26DB5" w:rsidRDefault="00BF3B60" w:rsidP="00240871"/>
    <w:p w:rsidR="00BF3B60" w:rsidRDefault="00BF3B60" w:rsidP="00240871">
      <w:pPr>
        <w:pStyle w:val="AppendixStart"/>
        <w:numPr>
          <w:ilvl w:val="0"/>
          <w:numId w:val="2"/>
        </w:numPr>
        <w:pBdr>
          <w:bottom w:val="single" w:sz="12" w:space="0" w:color="auto"/>
        </w:pBdr>
        <w:spacing w:before="0" w:after="360"/>
      </w:pPr>
    </w:p>
    <w:p w:rsidR="00BF3B60" w:rsidRDefault="00433397" w:rsidP="00BF3B60">
      <w:pPr>
        <w:pStyle w:val="AppendixHeading1"/>
      </w:pPr>
      <w:bookmarkStart w:id="95" w:name="_Toc493666051"/>
      <w:bookmarkStart w:id="96" w:name="_Toc508267375"/>
      <w:bookmarkStart w:id="97" w:name="_Toc511313526"/>
      <w:bookmarkStart w:id="98" w:name="_Toc511315172"/>
      <w:bookmarkStart w:id="99" w:name="_Toc511385936"/>
      <w:bookmarkStart w:id="100" w:name="_Toc517692346"/>
      <w:r>
        <w:t xml:space="preserve">Summary of </w:t>
      </w:r>
      <w:r w:rsidR="00BF3B60">
        <w:t>Benefits</w:t>
      </w:r>
      <w:bookmarkEnd w:id="95"/>
      <w:bookmarkEnd w:id="96"/>
      <w:bookmarkEnd w:id="97"/>
      <w:bookmarkEnd w:id="98"/>
      <w:bookmarkEnd w:id="99"/>
      <w:bookmarkEnd w:id="100"/>
    </w:p>
    <w:p w:rsidR="006F641D" w:rsidRDefault="006F641D" w:rsidP="006F641D">
      <w:r>
        <w:t xml:space="preserve">This report covers liabilities relating to members of the Scheme. Provisions relating to the Scheme are set </w:t>
      </w:r>
      <w:r w:rsidR="00ED4A35">
        <w:t xml:space="preserve">down in the </w:t>
      </w:r>
      <w:r w:rsidR="00ED4A35">
        <w:rPr>
          <w:i/>
        </w:rPr>
        <w:t>Federal Circuit Court of Australia Act 1999</w:t>
      </w:r>
      <w:r>
        <w:t xml:space="preserve">. The provisions of the Scheme are complex and a </w:t>
      </w:r>
      <w:r>
        <w:rPr>
          <w:b/>
        </w:rPr>
        <w:t>summary</w:t>
      </w:r>
      <w:r>
        <w:t xml:space="preserve"> of the principal provisions is set out below. It should not be used to calculate benefits for individuals.</w:t>
      </w:r>
    </w:p>
    <w:p w:rsidR="00795333" w:rsidRDefault="00795333" w:rsidP="003E3AB5"/>
    <w:p w:rsidR="00EE164D" w:rsidRPr="004E2BD9" w:rsidRDefault="00EE164D" w:rsidP="00EE164D">
      <w:pPr>
        <w:rPr>
          <w:caps/>
          <w:color w:val="002C77"/>
          <w:spacing w:val="40"/>
        </w:rPr>
      </w:pPr>
      <w:r w:rsidRPr="004E2BD9">
        <w:rPr>
          <w:caps/>
          <w:color w:val="002C77"/>
          <w:spacing w:val="40"/>
        </w:rPr>
        <w:t>Member Contributions</w:t>
      </w:r>
    </w:p>
    <w:p w:rsidR="00EE164D" w:rsidRPr="0018091D" w:rsidRDefault="00EE164D" w:rsidP="00EE164D"/>
    <w:p w:rsidR="00EE164D" w:rsidRDefault="00EE164D" w:rsidP="00EE164D">
      <w:r>
        <w:t>Members are not required to contribute to the Scheme. The Australian Government meets the whole cost of the Scheme.</w:t>
      </w:r>
    </w:p>
    <w:p w:rsidR="00EE164D" w:rsidRPr="0018091D" w:rsidRDefault="00EE164D" w:rsidP="003E3AB5"/>
    <w:p w:rsidR="00EE164D" w:rsidRPr="004E2BD9" w:rsidRDefault="00EE164D" w:rsidP="00EE164D">
      <w:pPr>
        <w:rPr>
          <w:caps/>
          <w:color w:val="002C77"/>
          <w:spacing w:val="40"/>
        </w:rPr>
      </w:pPr>
      <w:r w:rsidRPr="004E2BD9">
        <w:rPr>
          <w:caps/>
          <w:color w:val="002C77"/>
          <w:spacing w:val="40"/>
        </w:rPr>
        <w:t xml:space="preserve">Invalidity </w:t>
      </w:r>
      <w:r w:rsidR="004E2BD9" w:rsidRPr="004E2BD9">
        <w:rPr>
          <w:caps/>
          <w:color w:val="002C77"/>
          <w:spacing w:val="40"/>
        </w:rPr>
        <w:t>Benefit</w:t>
      </w:r>
    </w:p>
    <w:p w:rsidR="00EE164D" w:rsidRDefault="00EE164D" w:rsidP="00EE164D"/>
    <w:p w:rsidR="00EE164D" w:rsidRDefault="004E2BD9" w:rsidP="00EE164D">
      <w:r>
        <w:t xml:space="preserve">The benefit payable for a </w:t>
      </w:r>
      <w:r w:rsidR="00B83FE4">
        <w:t>J</w:t>
      </w:r>
      <w:r>
        <w:t xml:space="preserve">udge who is certified by the Finance Minister as having retired on the grounds of </w:t>
      </w:r>
      <w:r w:rsidR="00ED4A35">
        <w:t>invalidity</w:t>
      </w:r>
      <w:r>
        <w:t xml:space="preserve">, is a </w:t>
      </w:r>
      <w:r w:rsidR="00ED4A35">
        <w:t xml:space="preserve">pension until the earlier of age 70 or death. The annual pension amount is </w:t>
      </w:r>
      <w:r w:rsidR="00EE164D">
        <w:t>60% of the salary</w:t>
      </w:r>
      <w:r w:rsidR="0026009B">
        <w:t xml:space="preserve"> currently paid in respect of an </w:t>
      </w:r>
      <w:r w:rsidR="00EE164D">
        <w:t xml:space="preserve">equivalent appointment to that of the </w:t>
      </w:r>
      <w:r w:rsidR="00B83FE4">
        <w:t>J</w:t>
      </w:r>
      <w:r w:rsidR="00EE164D">
        <w:t xml:space="preserve">udge at the time of </w:t>
      </w:r>
      <w:r w:rsidR="0026009B">
        <w:t>invalidity</w:t>
      </w:r>
      <w:r w:rsidR="00EE164D">
        <w:t>.</w:t>
      </w:r>
    </w:p>
    <w:p w:rsidR="00EE164D" w:rsidRDefault="00EE164D" w:rsidP="00EE164D"/>
    <w:p w:rsidR="00ED4A35" w:rsidRDefault="00ED4A35" w:rsidP="00ED4A35">
      <w:r>
        <w:t>Pensioners also receive employer superannuation contributions of 15.4% of their base salary until the age of 65.</w:t>
      </w:r>
    </w:p>
    <w:p w:rsidR="00ED4A35" w:rsidRDefault="00ED4A35" w:rsidP="00EE164D"/>
    <w:p w:rsidR="00EE164D" w:rsidRPr="004E2BD9" w:rsidRDefault="00ED4A35" w:rsidP="00EE164D">
      <w:pPr>
        <w:rPr>
          <w:caps/>
          <w:color w:val="002C77"/>
          <w:spacing w:val="40"/>
        </w:rPr>
      </w:pPr>
      <w:r>
        <w:rPr>
          <w:caps/>
          <w:color w:val="002C77"/>
          <w:spacing w:val="40"/>
        </w:rPr>
        <w:t>Death</w:t>
      </w:r>
      <w:r w:rsidR="00EE164D" w:rsidRPr="004E2BD9">
        <w:rPr>
          <w:caps/>
          <w:color w:val="002C77"/>
          <w:spacing w:val="40"/>
        </w:rPr>
        <w:t xml:space="preserve"> Benefit</w:t>
      </w:r>
    </w:p>
    <w:p w:rsidR="00EE164D" w:rsidRDefault="00EE164D" w:rsidP="00EE164D"/>
    <w:p w:rsidR="00ED4A35" w:rsidRDefault="00ED4A35" w:rsidP="00ED4A35">
      <w:r>
        <w:t>A death benefit is paid to the spouse (or child) of a serving Judge</w:t>
      </w:r>
      <w:r w:rsidR="00B75352">
        <w:t xml:space="preserve"> if</w:t>
      </w:r>
      <w:r>
        <w:t xml:space="preserve"> they die before 65.  The death benefit is a lump sum equal to the amount of the employer superannuation contributions that the Judge would have been entitled to had they not died, up to age 65.  This benefit is also payable to eligible spouse (or children) of a Judge in receipt of an invalidity pension</w:t>
      </w:r>
      <w:r w:rsidR="00B75352">
        <w:t>, if</w:t>
      </w:r>
      <w:r>
        <w:t xml:space="preserve"> they die before 65.</w:t>
      </w:r>
    </w:p>
    <w:p w:rsidR="00ED4A35" w:rsidRDefault="00ED4A35" w:rsidP="00EE164D"/>
    <w:p w:rsidR="00E32FD9" w:rsidRDefault="00E32FD9" w:rsidP="00E32FD9">
      <w:pPr>
        <w:pStyle w:val="AppendixStart"/>
        <w:numPr>
          <w:ilvl w:val="0"/>
          <w:numId w:val="2"/>
        </w:numPr>
        <w:pBdr>
          <w:bottom w:val="single" w:sz="12" w:space="0" w:color="auto"/>
        </w:pBdr>
        <w:spacing w:before="0" w:after="360"/>
      </w:pPr>
    </w:p>
    <w:p w:rsidR="00E32FD9" w:rsidRPr="005E23F5" w:rsidRDefault="00975601" w:rsidP="00E32FD9">
      <w:pPr>
        <w:pStyle w:val="AppendixHeading1"/>
      </w:pPr>
      <w:bookmarkStart w:id="101" w:name="_Toc511315173"/>
      <w:bookmarkStart w:id="102" w:name="_Toc511313527"/>
      <w:bookmarkStart w:id="103" w:name="_Toc511385937"/>
      <w:bookmarkStart w:id="104" w:name="_Toc517692347"/>
      <w:r w:rsidRPr="005E23F5">
        <w:t>Experience</w:t>
      </w:r>
      <w:bookmarkEnd w:id="101"/>
      <w:bookmarkEnd w:id="102"/>
      <w:bookmarkEnd w:id="103"/>
      <w:r w:rsidRPr="005E23F5">
        <w:t xml:space="preserve"> of the Scheme</w:t>
      </w:r>
      <w:bookmarkEnd w:id="104"/>
    </w:p>
    <w:p w:rsidR="00B83FE4" w:rsidRPr="003D15B6" w:rsidRDefault="00B83FE4" w:rsidP="00B83FE4">
      <w:pPr>
        <w:rPr>
          <w:caps/>
          <w:color w:val="002C77"/>
          <w:spacing w:val="40"/>
        </w:rPr>
      </w:pPr>
      <w:r w:rsidRPr="003D15B6">
        <w:rPr>
          <w:caps/>
          <w:color w:val="002C77"/>
          <w:spacing w:val="40"/>
        </w:rPr>
        <w:t xml:space="preserve">Reconciliation of </w:t>
      </w:r>
      <w:r>
        <w:rPr>
          <w:caps/>
          <w:color w:val="002C77"/>
          <w:spacing w:val="40"/>
        </w:rPr>
        <w:t>Membership</w:t>
      </w:r>
    </w:p>
    <w:p w:rsidR="00B83FE4" w:rsidRDefault="00B83FE4" w:rsidP="00B83FE4"/>
    <w:tbl>
      <w:tblPr>
        <w:tblStyle w:val="TableGrid"/>
        <w:tblW w:w="6520" w:type="dxa"/>
        <w:tblInd w:w="72"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2552"/>
        <w:gridCol w:w="1984"/>
        <w:gridCol w:w="1984"/>
      </w:tblGrid>
      <w:tr w:rsidR="00B83FE4" w:rsidRPr="00F533A3" w:rsidTr="00B83FE4">
        <w:trPr>
          <w:cantSplit/>
          <w:trHeight w:val="322"/>
          <w:tblHeader/>
        </w:trPr>
        <w:tc>
          <w:tcPr>
            <w:tcW w:w="2552" w:type="dxa"/>
            <w:shd w:val="clear" w:color="auto" w:fill="00A8C8"/>
          </w:tcPr>
          <w:p w:rsidR="00B83FE4" w:rsidRPr="006872CD" w:rsidRDefault="00B83FE4" w:rsidP="00B83FE4">
            <w:pPr>
              <w:pStyle w:val="TableHeadingText"/>
              <w:rPr>
                <w:caps w:val="0"/>
              </w:rPr>
            </w:pPr>
          </w:p>
        </w:tc>
        <w:tc>
          <w:tcPr>
            <w:tcW w:w="1984" w:type="dxa"/>
            <w:shd w:val="clear" w:color="auto" w:fill="00A8C8"/>
            <w:vAlign w:val="center"/>
          </w:tcPr>
          <w:p w:rsidR="00B83FE4" w:rsidRPr="006872CD" w:rsidRDefault="00B83FE4" w:rsidP="00B83FE4">
            <w:pPr>
              <w:pStyle w:val="TableHeadingText"/>
              <w:jc w:val="center"/>
              <w:rPr>
                <w:caps w:val="0"/>
                <w:sz w:val="18"/>
                <w:szCs w:val="18"/>
              </w:rPr>
            </w:pPr>
            <w:r>
              <w:rPr>
                <w:caps w:val="0"/>
              </w:rPr>
              <w:t>Serving Judges</w:t>
            </w:r>
          </w:p>
        </w:tc>
        <w:tc>
          <w:tcPr>
            <w:tcW w:w="1984" w:type="dxa"/>
            <w:shd w:val="clear" w:color="auto" w:fill="00A8C8"/>
            <w:vAlign w:val="center"/>
          </w:tcPr>
          <w:p w:rsidR="00B83FE4" w:rsidRPr="006872CD" w:rsidRDefault="00B83FE4" w:rsidP="00B83FE4">
            <w:pPr>
              <w:pStyle w:val="TableHeadingText"/>
              <w:jc w:val="center"/>
              <w:rPr>
                <w:caps w:val="0"/>
                <w:sz w:val="18"/>
                <w:szCs w:val="18"/>
              </w:rPr>
            </w:pPr>
            <w:r>
              <w:rPr>
                <w:caps w:val="0"/>
              </w:rPr>
              <w:t>Invalidity Pensioners</w:t>
            </w:r>
          </w:p>
        </w:tc>
      </w:tr>
      <w:tr w:rsidR="00B83FE4" w:rsidRPr="00F533A3" w:rsidTr="00B83FE4">
        <w:trPr>
          <w:cantSplit/>
        </w:trPr>
        <w:tc>
          <w:tcPr>
            <w:tcW w:w="2552" w:type="dxa"/>
            <w:shd w:val="clear" w:color="auto" w:fill="F2F2F2"/>
          </w:tcPr>
          <w:p w:rsidR="00B83FE4" w:rsidRPr="006872CD" w:rsidRDefault="00B83FE4" w:rsidP="00B83FE4">
            <w:pPr>
              <w:pStyle w:val="TableText"/>
              <w:rPr>
                <w:b/>
              </w:rPr>
            </w:pPr>
            <w:r w:rsidRPr="006872CD">
              <w:rPr>
                <w:b/>
              </w:rPr>
              <w:t>As at 30/06/14</w:t>
            </w:r>
          </w:p>
        </w:tc>
        <w:tc>
          <w:tcPr>
            <w:tcW w:w="1984" w:type="dxa"/>
            <w:shd w:val="clear" w:color="auto" w:fill="F2F2F2"/>
            <w:vAlign w:val="center"/>
          </w:tcPr>
          <w:p w:rsidR="00B83FE4" w:rsidRPr="006872CD" w:rsidRDefault="00B83FE4" w:rsidP="00B83FE4">
            <w:pPr>
              <w:pStyle w:val="TableText"/>
              <w:jc w:val="center"/>
              <w:rPr>
                <w:b/>
              </w:rPr>
            </w:pPr>
            <w:r>
              <w:rPr>
                <w:b/>
              </w:rPr>
              <w:t>65</w:t>
            </w:r>
          </w:p>
        </w:tc>
        <w:tc>
          <w:tcPr>
            <w:tcW w:w="1984" w:type="dxa"/>
            <w:shd w:val="clear" w:color="auto" w:fill="F2F2F2"/>
            <w:vAlign w:val="center"/>
          </w:tcPr>
          <w:p w:rsidR="00B83FE4" w:rsidRPr="006872CD" w:rsidRDefault="00B83FE4" w:rsidP="00B83FE4">
            <w:pPr>
              <w:pStyle w:val="TableText"/>
              <w:jc w:val="center"/>
              <w:rPr>
                <w:b/>
              </w:rPr>
            </w:pPr>
            <w:r>
              <w:rPr>
                <w:b/>
              </w:rPr>
              <w:t>1</w:t>
            </w:r>
          </w:p>
        </w:tc>
      </w:tr>
      <w:tr w:rsidR="00B83FE4" w:rsidRPr="00F533A3" w:rsidTr="00B83FE4">
        <w:trPr>
          <w:cantSplit/>
        </w:trPr>
        <w:tc>
          <w:tcPr>
            <w:tcW w:w="2552" w:type="dxa"/>
            <w:shd w:val="clear" w:color="auto" w:fill="F2F2F2"/>
          </w:tcPr>
          <w:p w:rsidR="00B83FE4" w:rsidRPr="006872CD" w:rsidRDefault="00B83FE4" w:rsidP="00B83FE4">
            <w:pPr>
              <w:pStyle w:val="TableText"/>
            </w:pPr>
            <w:r w:rsidRPr="006872CD">
              <w:t>New</w:t>
            </w:r>
            <w:r>
              <w:t xml:space="preserve"> Members</w:t>
            </w:r>
          </w:p>
        </w:tc>
        <w:tc>
          <w:tcPr>
            <w:tcW w:w="1984" w:type="dxa"/>
            <w:shd w:val="clear" w:color="auto" w:fill="F2F2F2"/>
            <w:vAlign w:val="center"/>
          </w:tcPr>
          <w:p w:rsidR="00B83FE4" w:rsidRPr="005E23F5" w:rsidRDefault="00B83FE4" w:rsidP="00B75352">
            <w:pPr>
              <w:pStyle w:val="TableText"/>
              <w:jc w:val="center"/>
            </w:pPr>
            <w:r w:rsidRPr="005E23F5">
              <w:t>+</w:t>
            </w:r>
            <w:r w:rsidR="00B75352" w:rsidRPr="005E23F5">
              <w:t>17</w:t>
            </w:r>
          </w:p>
        </w:tc>
        <w:tc>
          <w:tcPr>
            <w:tcW w:w="1984" w:type="dxa"/>
            <w:shd w:val="clear" w:color="auto" w:fill="F2F2F2"/>
            <w:vAlign w:val="center"/>
          </w:tcPr>
          <w:p w:rsidR="00B83FE4" w:rsidRPr="003B2291" w:rsidRDefault="003B2291" w:rsidP="00B83FE4">
            <w:pPr>
              <w:pStyle w:val="TableText"/>
              <w:jc w:val="center"/>
            </w:pPr>
            <w:r w:rsidRPr="003B2291">
              <w:t>n/a</w:t>
            </w:r>
          </w:p>
        </w:tc>
      </w:tr>
      <w:tr w:rsidR="00B83FE4" w:rsidRPr="00F533A3" w:rsidTr="00B83FE4">
        <w:trPr>
          <w:cantSplit/>
        </w:trPr>
        <w:tc>
          <w:tcPr>
            <w:tcW w:w="2552" w:type="dxa"/>
            <w:shd w:val="clear" w:color="auto" w:fill="F2F2F2"/>
          </w:tcPr>
          <w:p w:rsidR="00B83FE4" w:rsidRPr="006872CD" w:rsidRDefault="00B83FE4" w:rsidP="00B83FE4">
            <w:pPr>
              <w:pStyle w:val="TableText"/>
            </w:pPr>
            <w:r>
              <w:t>Age Retirement</w:t>
            </w:r>
          </w:p>
        </w:tc>
        <w:tc>
          <w:tcPr>
            <w:tcW w:w="1984" w:type="dxa"/>
            <w:shd w:val="clear" w:color="auto" w:fill="F2F2F2"/>
            <w:vAlign w:val="center"/>
          </w:tcPr>
          <w:p w:rsidR="00B83FE4" w:rsidRPr="005E23F5" w:rsidRDefault="00B83FE4" w:rsidP="00B75352">
            <w:pPr>
              <w:pStyle w:val="TableText"/>
              <w:jc w:val="center"/>
            </w:pPr>
            <w:r w:rsidRPr="005E23F5">
              <w:t>-</w:t>
            </w:r>
            <w:r w:rsidR="00B75352" w:rsidRPr="005E23F5">
              <w:t>17</w:t>
            </w:r>
          </w:p>
        </w:tc>
        <w:tc>
          <w:tcPr>
            <w:tcW w:w="1984" w:type="dxa"/>
            <w:shd w:val="clear" w:color="auto" w:fill="F2F2F2"/>
            <w:vAlign w:val="center"/>
          </w:tcPr>
          <w:p w:rsidR="00B83FE4" w:rsidRPr="003B2291" w:rsidRDefault="003B2291" w:rsidP="00B83FE4">
            <w:pPr>
              <w:pStyle w:val="TableText"/>
              <w:jc w:val="center"/>
            </w:pPr>
            <w:r w:rsidRPr="003B2291">
              <w:t>0</w:t>
            </w:r>
          </w:p>
        </w:tc>
      </w:tr>
      <w:tr w:rsidR="00B83FE4" w:rsidRPr="00F533A3" w:rsidTr="00B83FE4">
        <w:trPr>
          <w:cantSplit/>
        </w:trPr>
        <w:tc>
          <w:tcPr>
            <w:tcW w:w="2552" w:type="dxa"/>
            <w:shd w:val="clear" w:color="auto" w:fill="F2F2F2"/>
          </w:tcPr>
          <w:p w:rsidR="00B83FE4" w:rsidRPr="006872CD" w:rsidRDefault="00B83FE4" w:rsidP="00B83FE4">
            <w:pPr>
              <w:pStyle w:val="TableText"/>
            </w:pPr>
            <w:r>
              <w:t>Invalidity Retirement</w:t>
            </w:r>
          </w:p>
        </w:tc>
        <w:tc>
          <w:tcPr>
            <w:tcW w:w="1984" w:type="dxa"/>
            <w:shd w:val="clear" w:color="auto" w:fill="F2F2F2"/>
            <w:vAlign w:val="center"/>
          </w:tcPr>
          <w:p w:rsidR="00B83FE4" w:rsidRPr="006872CD" w:rsidRDefault="00B83FE4" w:rsidP="00B83FE4">
            <w:pPr>
              <w:pStyle w:val="TableText"/>
              <w:jc w:val="center"/>
            </w:pPr>
            <w:r>
              <w:t>-1</w:t>
            </w:r>
          </w:p>
        </w:tc>
        <w:tc>
          <w:tcPr>
            <w:tcW w:w="1984" w:type="dxa"/>
            <w:shd w:val="clear" w:color="auto" w:fill="F2F2F2"/>
            <w:vAlign w:val="center"/>
          </w:tcPr>
          <w:p w:rsidR="00B83FE4" w:rsidRPr="006872CD" w:rsidRDefault="00B83FE4" w:rsidP="00B83FE4">
            <w:pPr>
              <w:pStyle w:val="TableText"/>
              <w:jc w:val="center"/>
            </w:pPr>
            <w:r>
              <w:t>+1</w:t>
            </w:r>
          </w:p>
        </w:tc>
      </w:tr>
      <w:tr w:rsidR="00B83FE4" w:rsidRPr="00F533A3" w:rsidTr="00B83FE4">
        <w:trPr>
          <w:cantSplit/>
        </w:trPr>
        <w:tc>
          <w:tcPr>
            <w:tcW w:w="2552" w:type="dxa"/>
            <w:shd w:val="clear" w:color="auto" w:fill="F2F2F2"/>
          </w:tcPr>
          <w:p w:rsidR="00B83FE4" w:rsidRPr="006872CD" w:rsidRDefault="00B83FE4" w:rsidP="00B83FE4">
            <w:pPr>
              <w:pStyle w:val="TableText"/>
            </w:pPr>
            <w:r>
              <w:t>Death</w:t>
            </w:r>
          </w:p>
        </w:tc>
        <w:tc>
          <w:tcPr>
            <w:tcW w:w="1984" w:type="dxa"/>
            <w:shd w:val="clear" w:color="auto" w:fill="F2F2F2"/>
            <w:vAlign w:val="center"/>
          </w:tcPr>
          <w:p w:rsidR="00B83FE4" w:rsidRDefault="00B83FE4" w:rsidP="00B83FE4">
            <w:pPr>
              <w:pStyle w:val="TableText"/>
              <w:jc w:val="center"/>
            </w:pPr>
            <w:r>
              <w:t>0</w:t>
            </w:r>
          </w:p>
        </w:tc>
        <w:tc>
          <w:tcPr>
            <w:tcW w:w="1984" w:type="dxa"/>
            <w:shd w:val="clear" w:color="auto" w:fill="F2F2F2"/>
            <w:vAlign w:val="center"/>
          </w:tcPr>
          <w:p w:rsidR="00B83FE4" w:rsidRDefault="003B2291" w:rsidP="00B83FE4">
            <w:pPr>
              <w:pStyle w:val="TableText"/>
              <w:jc w:val="center"/>
            </w:pPr>
            <w:r>
              <w:t>n/a</w:t>
            </w:r>
          </w:p>
        </w:tc>
      </w:tr>
      <w:tr w:rsidR="00B83FE4" w:rsidRPr="00F533A3" w:rsidTr="00B83FE4">
        <w:trPr>
          <w:cantSplit/>
        </w:trPr>
        <w:tc>
          <w:tcPr>
            <w:tcW w:w="2552" w:type="dxa"/>
            <w:shd w:val="clear" w:color="auto" w:fill="F2F2F2"/>
          </w:tcPr>
          <w:p w:rsidR="00B83FE4" w:rsidRPr="006872CD" w:rsidRDefault="00B83FE4" w:rsidP="00B83FE4">
            <w:pPr>
              <w:pStyle w:val="TableText"/>
              <w:rPr>
                <w:b/>
              </w:rPr>
            </w:pPr>
            <w:r w:rsidRPr="006872CD">
              <w:rPr>
                <w:b/>
              </w:rPr>
              <w:t>As at 30/06/17</w:t>
            </w:r>
          </w:p>
        </w:tc>
        <w:tc>
          <w:tcPr>
            <w:tcW w:w="1984" w:type="dxa"/>
            <w:shd w:val="clear" w:color="auto" w:fill="F2F2F2"/>
            <w:vAlign w:val="center"/>
          </w:tcPr>
          <w:p w:rsidR="00B83FE4" w:rsidRPr="006872CD" w:rsidRDefault="00B83FE4" w:rsidP="00B83FE4">
            <w:pPr>
              <w:pStyle w:val="TableText"/>
              <w:jc w:val="center"/>
              <w:rPr>
                <w:b/>
              </w:rPr>
            </w:pPr>
            <w:r>
              <w:rPr>
                <w:b/>
              </w:rPr>
              <w:t>64</w:t>
            </w:r>
          </w:p>
        </w:tc>
        <w:tc>
          <w:tcPr>
            <w:tcW w:w="1984" w:type="dxa"/>
            <w:shd w:val="clear" w:color="auto" w:fill="F2F2F2"/>
            <w:vAlign w:val="center"/>
          </w:tcPr>
          <w:p w:rsidR="00B83FE4" w:rsidRPr="006872CD" w:rsidRDefault="00B83FE4" w:rsidP="00B83FE4">
            <w:pPr>
              <w:pStyle w:val="TableText"/>
              <w:jc w:val="center"/>
              <w:rPr>
                <w:b/>
              </w:rPr>
            </w:pPr>
            <w:r>
              <w:rPr>
                <w:b/>
              </w:rPr>
              <w:t>2</w:t>
            </w:r>
          </w:p>
        </w:tc>
      </w:tr>
    </w:tbl>
    <w:p w:rsidR="00B83FE4" w:rsidRDefault="00B83FE4" w:rsidP="00492948">
      <w:pPr>
        <w:rPr>
          <w:highlight w:val="cyan"/>
        </w:rPr>
      </w:pPr>
    </w:p>
    <w:p w:rsidR="00C64179" w:rsidRPr="005E23F5" w:rsidRDefault="00C64179" w:rsidP="00D150E3">
      <w:pPr>
        <w:rPr>
          <w:caps/>
          <w:color w:val="002C77"/>
          <w:spacing w:val="40"/>
        </w:rPr>
      </w:pPr>
      <w:r w:rsidRPr="005E23F5">
        <w:rPr>
          <w:caps/>
          <w:color w:val="002C77"/>
          <w:spacing w:val="40"/>
        </w:rPr>
        <w:t>Salary</w:t>
      </w:r>
      <w:r w:rsidR="00492948" w:rsidRPr="005E23F5">
        <w:rPr>
          <w:caps/>
          <w:color w:val="002C77"/>
          <w:spacing w:val="40"/>
        </w:rPr>
        <w:t xml:space="preserve"> and Pension</w:t>
      </w:r>
      <w:r w:rsidRPr="005E23F5">
        <w:rPr>
          <w:caps/>
          <w:color w:val="002C77"/>
          <w:spacing w:val="40"/>
        </w:rPr>
        <w:t xml:space="preserve"> Increases</w:t>
      </w:r>
    </w:p>
    <w:p w:rsidR="00C64179" w:rsidRPr="005E23F5" w:rsidRDefault="00C64179" w:rsidP="00C64179"/>
    <w:p w:rsidR="00ED4A35" w:rsidRPr="005E23F5" w:rsidRDefault="00ED4A35" w:rsidP="00634251">
      <w:r w:rsidRPr="005E23F5">
        <w:t>The death and invalidity benefits for a former Judge are based on the salary the Judge would have been entitled to if they had not died or become disabled.</w:t>
      </w:r>
      <w:r w:rsidR="006A6348">
        <w:t xml:space="preserve"> At 30 June 2017, the full time office base salary was $372,180. The Remuneration Tribunal’s determination 2017/09 provided a 2% salary increase to $379,630 with effect from 1 July 2017. Our results incorporate this increase. The average increase over the three years since the 2014 LTCR was 2.9%, which is lower than the 4% per annum increase previously assumed.</w:t>
      </w:r>
    </w:p>
    <w:p w:rsidR="00C64179" w:rsidRPr="005E23F5" w:rsidRDefault="00C64179" w:rsidP="00C64179"/>
    <w:p w:rsidR="00E77E45" w:rsidRPr="00D6065E" w:rsidRDefault="00E77E45" w:rsidP="00D6065E">
      <w:pPr>
        <w:rPr>
          <w:caps/>
          <w:color w:val="002C77"/>
          <w:spacing w:val="40"/>
        </w:rPr>
      </w:pPr>
      <w:bookmarkStart w:id="105" w:name="_Toc494198092"/>
      <w:r w:rsidRPr="00D6065E">
        <w:rPr>
          <w:caps/>
          <w:color w:val="002C77"/>
          <w:spacing w:val="40"/>
        </w:rPr>
        <w:t>Resignation</w:t>
      </w:r>
      <w:r w:rsidR="00634251">
        <w:rPr>
          <w:caps/>
          <w:color w:val="002C77"/>
          <w:spacing w:val="40"/>
        </w:rPr>
        <w:t>/</w:t>
      </w:r>
      <w:r w:rsidRPr="00D6065E">
        <w:rPr>
          <w:caps/>
          <w:color w:val="002C77"/>
          <w:spacing w:val="40"/>
        </w:rPr>
        <w:t>Retirement Rates</w:t>
      </w:r>
    </w:p>
    <w:p w:rsidR="00E77E45" w:rsidRDefault="00E77E45" w:rsidP="00E77E45"/>
    <w:p w:rsidR="00E77E45" w:rsidRDefault="00E77E45" w:rsidP="00E77E45">
      <w:r>
        <w:t>The number of Judges leaving the Sche</w:t>
      </w:r>
      <w:r w:rsidRPr="004D000D">
        <w:t>me due to age retirement or resignation was 17</w:t>
      </w:r>
      <w:r>
        <w:t xml:space="preserve"> compared with 16 expected.</w:t>
      </w:r>
      <w:r w:rsidRPr="004D000D">
        <w:t xml:space="preserve">  </w:t>
      </w:r>
      <w:r>
        <w:t>However, the majority of these were Judges leaving at (or close to) age 70.</w:t>
      </w:r>
    </w:p>
    <w:p w:rsidR="008A568D" w:rsidRDefault="00E77E45" w:rsidP="00E77E45">
      <w:r>
        <w:t>The number of Judges leaving the Sche</w:t>
      </w:r>
      <w:r w:rsidRPr="004D000D">
        <w:t xml:space="preserve">me </w:t>
      </w:r>
      <w:r w:rsidR="00810708" w:rsidRPr="004D000D">
        <w:t xml:space="preserve">due resignation </w:t>
      </w:r>
      <w:r>
        <w:t xml:space="preserve">prior to age 69 </w:t>
      </w:r>
      <w:r w:rsidRPr="004D000D">
        <w:t>was 7</w:t>
      </w:r>
      <w:r>
        <w:t xml:space="preserve"> compared with 4 expected</w:t>
      </w:r>
      <w:r w:rsidR="00810708">
        <w:t xml:space="preserve"> (and 3 during the previous review period)</w:t>
      </w:r>
      <w:r>
        <w:t xml:space="preserve">.  </w:t>
      </w:r>
      <w:r w:rsidR="00810708">
        <w:t>G</w:t>
      </w:r>
      <w:r>
        <w:t>iven the small size of the Scheme, we would expect to see significant variations in the number of resignation</w:t>
      </w:r>
      <w:r w:rsidR="00810708">
        <w:t>s between different periods</w:t>
      </w:r>
      <w:r>
        <w:t>.</w:t>
      </w:r>
    </w:p>
    <w:p w:rsidR="00E77E45" w:rsidRDefault="00E77E45" w:rsidP="00E77E45"/>
    <w:p w:rsidR="00C64179" w:rsidRPr="005E23F5" w:rsidRDefault="00C64179" w:rsidP="00E77E45">
      <w:pPr>
        <w:rPr>
          <w:caps/>
          <w:color w:val="002C77"/>
          <w:spacing w:val="40"/>
        </w:rPr>
      </w:pPr>
      <w:r w:rsidRPr="005E23F5">
        <w:rPr>
          <w:caps/>
          <w:color w:val="002C77"/>
          <w:spacing w:val="40"/>
        </w:rPr>
        <w:t>Invalidity</w:t>
      </w:r>
      <w:bookmarkEnd w:id="105"/>
      <w:r w:rsidR="00492948" w:rsidRPr="005E23F5">
        <w:rPr>
          <w:caps/>
          <w:color w:val="002C77"/>
          <w:spacing w:val="40"/>
        </w:rPr>
        <w:t xml:space="preserve"> Retirement</w:t>
      </w:r>
    </w:p>
    <w:p w:rsidR="00C64179" w:rsidRPr="005E23F5" w:rsidRDefault="00C64179" w:rsidP="00C64179"/>
    <w:p w:rsidR="00ED4A35" w:rsidRPr="005E23F5" w:rsidRDefault="00ED4A35" w:rsidP="00ED4A35">
      <w:r w:rsidRPr="005E23F5">
        <w:t>There was one invalidity retirement during the period compared with 0.95 assumed.</w:t>
      </w:r>
    </w:p>
    <w:p w:rsidR="00C64179" w:rsidRPr="005E23F5" w:rsidRDefault="00C64179" w:rsidP="00C64179"/>
    <w:p w:rsidR="007079B7" w:rsidRDefault="007079B7">
      <w:pPr>
        <w:spacing w:line="240" w:lineRule="auto"/>
        <w:rPr>
          <w:caps/>
          <w:color w:val="002C77"/>
          <w:spacing w:val="40"/>
        </w:rPr>
      </w:pPr>
      <w:bookmarkStart w:id="106" w:name="_Toc494198091"/>
      <w:r>
        <w:rPr>
          <w:caps/>
          <w:color w:val="002C77"/>
          <w:spacing w:val="40"/>
        </w:rPr>
        <w:br w:type="page"/>
      </w:r>
    </w:p>
    <w:p w:rsidR="00C64179" w:rsidRPr="005E23F5" w:rsidRDefault="00C64179" w:rsidP="00D150E3">
      <w:pPr>
        <w:rPr>
          <w:caps/>
          <w:color w:val="002C77"/>
          <w:spacing w:val="40"/>
        </w:rPr>
      </w:pPr>
      <w:r w:rsidRPr="005E23F5">
        <w:rPr>
          <w:caps/>
          <w:color w:val="002C77"/>
          <w:spacing w:val="40"/>
        </w:rPr>
        <w:t>Mortality</w:t>
      </w:r>
      <w:bookmarkEnd w:id="106"/>
    </w:p>
    <w:p w:rsidR="00C64179" w:rsidRPr="005E23F5" w:rsidRDefault="00C64179" w:rsidP="00C64179"/>
    <w:p w:rsidR="00ED4A35" w:rsidRDefault="008972C4" w:rsidP="00ED4A35">
      <w:r w:rsidRPr="005E23F5">
        <w:t>N</w:t>
      </w:r>
      <w:r w:rsidR="00ED4A35" w:rsidRPr="005E23F5">
        <w:t xml:space="preserve">o Judges died in service </w:t>
      </w:r>
      <w:r w:rsidRPr="005E23F5">
        <w:t xml:space="preserve">during the review period </w:t>
      </w:r>
      <w:r w:rsidR="00ED4A35" w:rsidRPr="005E23F5">
        <w:t>compared with 0.34</w:t>
      </w:r>
      <w:r w:rsidRPr="005E23F5">
        <w:t xml:space="preserve"> </w:t>
      </w:r>
      <w:r w:rsidR="00ED4A35" w:rsidRPr="005E23F5">
        <w:t>assumed.</w:t>
      </w:r>
    </w:p>
    <w:p w:rsidR="00810708" w:rsidRDefault="00810708" w:rsidP="00ED4A35"/>
    <w:p w:rsidR="00810708" w:rsidRPr="00D6065E" w:rsidRDefault="00810708" w:rsidP="00ED4A35">
      <w:pPr>
        <w:rPr>
          <w:caps/>
          <w:color w:val="002C77"/>
          <w:spacing w:val="40"/>
        </w:rPr>
      </w:pPr>
      <w:r w:rsidRPr="00D6065E">
        <w:rPr>
          <w:caps/>
          <w:color w:val="002C77"/>
          <w:spacing w:val="40"/>
        </w:rPr>
        <w:t>Pensioner Mortality and Marital Status</w:t>
      </w:r>
    </w:p>
    <w:p w:rsidR="00810708" w:rsidRDefault="00810708" w:rsidP="00ED4A35"/>
    <w:p w:rsidR="00810708" w:rsidRDefault="00810708" w:rsidP="00ED4A35">
      <w:r>
        <w:t>The number of pensioners is too small to conduct any meaningful analysis of pensioner mortality or marital status.</w:t>
      </w:r>
    </w:p>
    <w:p w:rsidR="00D6065E" w:rsidRDefault="00D6065E" w:rsidP="00ED4A35"/>
    <w:p w:rsidR="007079B7" w:rsidRPr="00D6065E" w:rsidRDefault="007079B7" w:rsidP="00D6065E">
      <w:pPr>
        <w:rPr>
          <w:caps/>
          <w:color w:val="002C77"/>
          <w:spacing w:val="40"/>
        </w:rPr>
      </w:pPr>
      <w:r w:rsidRPr="00D6065E">
        <w:rPr>
          <w:caps/>
          <w:color w:val="002C77"/>
          <w:spacing w:val="40"/>
        </w:rPr>
        <w:t>New Entrant Age distribution</w:t>
      </w:r>
    </w:p>
    <w:p w:rsidR="007079B7" w:rsidRDefault="007079B7" w:rsidP="007079B7"/>
    <w:p w:rsidR="007079B7" w:rsidRDefault="007079B7" w:rsidP="007079B7">
      <w:r>
        <w:t xml:space="preserve">In the previous investigation, the adopted new entrant distribution specified an assumed percentage for each age from 39 to 65.  In order to fit within the Mercer valuation system we have simplified this to an assumed percentage for each 5 year age interval.  </w:t>
      </w:r>
      <w:r w:rsidRPr="006719DF">
        <w:t>As</w:t>
      </w:r>
      <w:r>
        <w:t xml:space="preserve"> can be seen in the graph below, the age and gender distribution of new entrants has been broadly consistent with this (simplified) distribution.</w:t>
      </w:r>
    </w:p>
    <w:p w:rsidR="00492948" w:rsidRDefault="00492948" w:rsidP="0000472B">
      <w:pPr>
        <w:spacing w:line="240" w:lineRule="auto"/>
      </w:pPr>
    </w:p>
    <w:p w:rsidR="007079B7" w:rsidRDefault="00E653FA" w:rsidP="0000472B">
      <w:pPr>
        <w:spacing w:line="240" w:lineRule="auto"/>
      </w:pPr>
      <w:r>
        <w:rPr>
          <w:noProof/>
          <w:lang w:eastAsia="en-AU"/>
        </w:rPr>
        <w:drawing>
          <wp:inline distT="0" distB="0" distL="0" distR="0" wp14:anchorId="458ACE74" wp14:editId="791F0756">
            <wp:extent cx="5760000" cy="3326558"/>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00" cy="3326558"/>
                    </a:xfrm>
                    <a:prstGeom prst="rect">
                      <a:avLst/>
                    </a:prstGeom>
                    <a:noFill/>
                  </pic:spPr>
                </pic:pic>
              </a:graphicData>
            </a:graphic>
          </wp:inline>
        </w:drawing>
      </w:r>
    </w:p>
    <w:p w:rsidR="00394AD2" w:rsidRDefault="00394AD2" w:rsidP="00394AD2">
      <w:pPr>
        <w:pStyle w:val="AppendixStart"/>
        <w:numPr>
          <w:ilvl w:val="0"/>
          <w:numId w:val="2"/>
        </w:numPr>
        <w:pBdr>
          <w:bottom w:val="single" w:sz="12" w:space="0" w:color="auto"/>
        </w:pBdr>
        <w:spacing w:before="0" w:after="360"/>
      </w:pPr>
    </w:p>
    <w:p w:rsidR="00394AD2" w:rsidRDefault="00394AD2" w:rsidP="00394AD2">
      <w:pPr>
        <w:pStyle w:val="AppendixHeading1"/>
      </w:pPr>
      <w:bookmarkStart w:id="107" w:name="_Toc309224915"/>
      <w:bookmarkStart w:id="108" w:name="_Toc325023268"/>
      <w:bookmarkStart w:id="109" w:name="_Toc493666052"/>
      <w:bookmarkStart w:id="110" w:name="_Toc508267376"/>
      <w:bookmarkStart w:id="111" w:name="_Toc511315174"/>
      <w:bookmarkStart w:id="112" w:name="_Toc511313528"/>
      <w:bookmarkStart w:id="113" w:name="_Toc511385938"/>
      <w:bookmarkStart w:id="114" w:name="_Toc517692348"/>
      <w:r>
        <w:t>Details of Actuarial Assumptions</w:t>
      </w:r>
      <w:bookmarkEnd w:id="107"/>
      <w:bookmarkEnd w:id="108"/>
      <w:bookmarkEnd w:id="109"/>
      <w:bookmarkEnd w:id="110"/>
      <w:bookmarkEnd w:id="111"/>
      <w:bookmarkEnd w:id="112"/>
      <w:bookmarkEnd w:id="113"/>
      <w:bookmarkEnd w:id="114"/>
    </w:p>
    <w:p w:rsidR="00394AD2" w:rsidRPr="00331A3B" w:rsidRDefault="00394AD2" w:rsidP="00394AD2">
      <w:pPr>
        <w:rPr>
          <w:caps/>
          <w:color w:val="002C77"/>
          <w:spacing w:val="40"/>
        </w:rPr>
      </w:pPr>
      <w:r w:rsidRPr="00331A3B">
        <w:rPr>
          <w:caps/>
          <w:color w:val="002C77"/>
          <w:spacing w:val="40"/>
        </w:rPr>
        <w:t>Economic Assumptions</w:t>
      </w:r>
    </w:p>
    <w:p w:rsidR="00394AD2" w:rsidRDefault="00394AD2" w:rsidP="00394AD2"/>
    <w:p w:rsidR="00B835DA" w:rsidRDefault="00B835DA" w:rsidP="00B835DA">
      <w:pPr>
        <w:pStyle w:val="Heading3"/>
      </w:pPr>
      <w:r>
        <w:t>Discount Rate</w:t>
      </w:r>
    </w:p>
    <w:p w:rsidR="00B835DA" w:rsidRDefault="00B835DA" w:rsidP="00B835DA"/>
    <w:p w:rsidR="00B835DA" w:rsidRPr="00EC0020" w:rsidRDefault="00B835DA" w:rsidP="00B835DA">
      <w:r>
        <w:t xml:space="preserve">The assumed long term average discount </w:t>
      </w:r>
      <w:r w:rsidRPr="00EC0020">
        <w:t xml:space="preserve">rate is </w:t>
      </w:r>
      <w:r w:rsidRPr="009B6B50">
        <w:t>5% per annum.</w:t>
      </w:r>
    </w:p>
    <w:p w:rsidR="00B835DA" w:rsidRPr="00EC0020" w:rsidRDefault="00B835DA" w:rsidP="00B835DA"/>
    <w:p w:rsidR="00B835DA" w:rsidRPr="00EC0020" w:rsidRDefault="00B835DA" w:rsidP="00B835DA">
      <w:pPr>
        <w:pStyle w:val="Heading3"/>
      </w:pPr>
      <w:r w:rsidRPr="00EC0020">
        <w:t>Salary</w:t>
      </w:r>
      <w:r w:rsidR="00492948">
        <w:t xml:space="preserve"> and </w:t>
      </w:r>
      <w:r w:rsidRPr="00EC0020">
        <w:t xml:space="preserve">Pension </w:t>
      </w:r>
      <w:r w:rsidR="00ED4A35">
        <w:t>I</w:t>
      </w:r>
      <w:r w:rsidRPr="00EC0020">
        <w:t>ncreases</w:t>
      </w:r>
    </w:p>
    <w:p w:rsidR="00B835DA" w:rsidRDefault="00B835DA" w:rsidP="00B835DA"/>
    <w:p w:rsidR="00B835DA" w:rsidRDefault="00B835DA" w:rsidP="00B835DA">
      <w:r w:rsidRPr="00EC0020">
        <w:t>The assumed long term rate of increase in salaries and pensions is 4%</w:t>
      </w:r>
      <w:r>
        <w:t xml:space="preserve"> per annum.</w:t>
      </w:r>
    </w:p>
    <w:p w:rsidR="00394AD2" w:rsidRDefault="00394AD2" w:rsidP="00394AD2"/>
    <w:p w:rsidR="008D2CD7" w:rsidRPr="00EF6DD9" w:rsidRDefault="008D2CD7" w:rsidP="008D2CD7">
      <w:pPr>
        <w:pStyle w:val="Heading3"/>
      </w:pPr>
      <w:r w:rsidRPr="00EF6DD9">
        <w:t>Taxation</w:t>
      </w:r>
    </w:p>
    <w:p w:rsidR="008D2CD7" w:rsidRDefault="008D2CD7" w:rsidP="008D2CD7"/>
    <w:p w:rsidR="008D2CD7" w:rsidRPr="00EF6DD9" w:rsidRDefault="008D2CD7" w:rsidP="008D2CD7">
      <w:r w:rsidRPr="00EF6DD9">
        <w:t xml:space="preserve">In determining the projected outlays, no adjustment </w:t>
      </w:r>
      <w:r>
        <w:t xml:space="preserve">is </w:t>
      </w:r>
      <w:r w:rsidRPr="00EF6DD9">
        <w:t xml:space="preserve">made for </w:t>
      </w:r>
      <w:r>
        <w:t xml:space="preserve">any </w:t>
      </w:r>
      <w:r w:rsidRPr="00EF6DD9">
        <w:t xml:space="preserve">tax </w:t>
      </w:r>
      <w:r>
        <w:t xml:space="preserve">payable by members </w:t>
      </w:r>
      <w:r w:rsidRPr="00EF6DD9">
        <w:t xml:space="preserve">on </w:t>
      </w:r>
      <w:r w:rsidR="00884705">
        <w:t xml:space="preserve">receipt of a </w:t>
      </w:r>
      <w:r w:rsidRPr="00EF6DD9">
        <w:t>benefit.</w:t>
      </w:r>
    </w:p>
    <w:p w:rsidR="008D2CD7" w:rsidRPr="00EF6DD9" w:rsidRDefault="008D2CD7" w:rsidP="008D2CD7"/>
    <w:p w:rsidR="00394AD2" w:rsidRPr="00331A3B" w:rsidRDefault="00394AD2" w:rsidP="00394AD2">
      <w:pPr>
        <w:rPr>
          <w:caps/>
          <w:color w:val="002C77"/>
          <w:spacing w:val="40"/>
        </w:rPr>
      </w:pPr>
      <w:r>
        <w:rPr>
          <w:caps/>
          <w:color w:val="002C77"/>
          <w:spacing w:val="40"/>
        </w:rPr>
        <w:t xml:space="preserve">Demographic </w:t>
      </w:r>
      <w:r w:rsidRPr="00331A3B">
        <w:rPr>
          <w:caps/>
          <w:color w:val="002C77"/>
          <w:spacing w:val="40"/>
        </w:rPr>
        <w:t>Assumptions</w:t>
      </w:r>
    </w:p>
    <w:p w:rsidR="00394AD2" w:rsidRDefault="00394AD2" w:rsidP="00394AD2"/>
    <w:p w:rsidR="00394AD2" w:rsidRPr="00783E46" w:rsidRDefault="00810708" w:rsidP="00394AD2">
      <w:pPr>
        <w:pStyle w:val="Heading3"/>
      </w:pPr>
      <w:r>
        <w:t>Resignation/</w:t>
      </w:r>
      <w:r w:rsidR="00157F97" w:rsidRPr="00783E46">
        <w:t>Retirement Rates</w:t>
      </w:r>
    </w:p>
    <w:p w:rsidR="008A568D" w:rsidRPr="00783E46" w:rsidRDefault="008A568D" w:rsidP="008A568D">
      <w:pPr>
        <w:rPr>
          <w:szCs w:val="22"/>
        </w:rPr>
      </w:pPr>
    </w:p>
    <w:tbl>
      <w:tblPr>
        <w:tblW w:w="4473" w:type="dxa"/>
        <w:tblInd w:w="93"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491"/>
        <w:gridCol w:w="2982"/>
      </w:tblGrid>
      <w:tr w:rsidR="008A568D" w:rsidRPr="00783E46" w:rsidTr="006020A9">
        <w:trPr>
          <w:cantSplit/>
          <w:tblHeader/>
        </w:trPr>
        <w:tc>
          <w:tcPr>
            <w:tcW w:w="1491" w:type="dxa"/>
            <w:shd w:val="clear" w:color="auto" w:fill="00A8C8"/>
            <w:hideMark/>
          </w:tcPr>
          <w:p w:rsidR="008A568D" w:rsidRPr="00783E46" w:rsidRDefault="008A568D" w:rsidP="006020A9">
            <w:pPr>
              <w:pStyle w:val="TableHeadingText"/>
              <w:jc w:val="center"/>
              <w:rPr>
                <w:caps w:val="0"/>
                <w:lang w:val="en-US"/>
              </w:rPr>
            </w:pPr>
            <w:r w:rsidRPr="00783E46">
              <w:rPr>
                <w:caps w:val="0"/>
                <w:lang w:val="en-US"/>
              </w:rPr>
              <w:t>Age</w:t>
            </w:r>
          </w:p>
        </w:tc>
        <w:tc>
          <w:tcPr>
            <w:tcW w:w="2982" w:type="dxa"/>
            <w:shd w:val="clear" w:color="auto" w:fill="00A8C8"/>
          </w:tcPr>
          <w:p w:rsidR="008A568D" w:rsidRDefault="008A568D" w:rsidP="006020A9">
            <w:pPr>
              <w:pStyle w:val="TableHeadingText"/>
              <w:jc w:val="center"/>
              <w:rPr>
                <w:caps w:val="0"/>
                <w:lang w:val="en-US"/>
              </w:rPr>
            </w:pPr>
            <w:r>
              <w:rPr>
                <w:caps w:val="0"/>
                <w:lang w:val="en-US"/>
              </w:rPr>
              <w:t>Resignation/</w:t>
            </w:r>
          </w:p>
          <w:p w:rsidR="008A568D" w:rsidRPr="00783E46" w:rsidRDefault="008A568D" w:rsidP="006020A9">
            <w:pPr>
              <w:pStyle w:val="TableHeadingText"/>
              <w:jc w:val="center"/>
              <w:rPr>
                <w:caps w:val="0"/>
                <w:lang w:val="en-US"/>
              </w:rPr>
            </w:pPr>
            <w:r w:rsidRPr="00783E46">
              <w:rPr>
                <w:caps w:val="0"/>
                <w:lang w:val="en-US"/>
              </w:rPr>
              <w:t>Retirement</w:t>
            </w:r>
          </w:p>
        </w:tc>
      </w:tr>
      <w:tr w:rsidR="008A568D" w:rsidRPr="00783E46" w:rsidTr="006020A9">
        <w:trPr>
          <w:cantSplit/>
        </w:trPr>
        <w:tc>
          <w:tcPr>
            <w:tcW w:w="1491" w:type="dxa"/>
            <w:shd w:val="clear" w:color="auto" w:fill="F2F2F2"/>
            <w:noWrap/>
          </w:tcPr>
          <w:p w:rsidR="008A568D" w:rsidRPr="00783E46" w:rsidRDefault="008A568D" w:rsidP="006020A9">
            <w:pPr>
              <w:pStyle w:val="TableText"/>
              <w:jc w:val="center"/>
            </w:pPr>
            <w:r>
              <w:t>&lt;60</w:t>
            </w:r>
          </w:p>
        </w:tc>
        <w:tc>
          <w:tcPr>
            <w:tcW w:w="2982" w:type="dxa"/>
            <w:shd w:val="clear" w:color="auto" w:fill="F2F2F2"/>
          </w:tcPr>
          <w:p w:rsidR="008A568D" w:rsidRPr="00783E46" w:rsidRDefault="008A568D" w:rsidP="006020A9">
            <w:pPr>
              <w:pStyle w:val="TableText"/>
              <w:jc w:val="center"/>
            </w:pPr>
            <w:r>
              <w:t>0.5%</w:t>
            </w:r>
          </w:p>
        </w:tc>
      </w:tr>
      <w:tr w:rsidR="008A568D" w:rsidRPr="00783E46" w:rsidTr="006020A9">
        <w:trPr>
          <w:cantSplit/>
        </w:trPr>
        <w:tc>
          <w:tcPr>
            <w:tcW w:w="1491" w:type="dxa"/>
            <w:shd w:val="clear" w:color="auto" w:fill="F2F2F2"/>
            <w:noWrap/>
          </w:tcPr>
          <w:p w:rsidR="008A568D" w:rsidRPr="00783E46" w:rsidRDefault="008A568D" w:rsidP="006020A9">
            <w:pPr>
              <w:pStyle w:val="TableText"/>
              <w:jc w:val="center"/>
            </w:pPr>
            <w:r>
              <w:t>60</w:t>
            </w:r>
          </w:p>
        </w:tc>
        <w:tc>
          <w:tcPr>
            <w:tcW w:w="2982" w:type="dxa"/>
            <w:shd w:val="clear" w:color="auto" w:fill="F2F2F2"/>
          </w:tcPr>
          <w:p w:rsidR="008A568D" w:rsidRPr="00783E46" w:rsidRDefault="008A568D" w:rsidP="006020A9">
            <w:pPr>
              <w:pStyle w:val="TableText"/>
              <w:jc w:val="center"/>
            </w:pPr>
            <w:r>
              <w:t>1.0%</w:t>
            </w:r>
          </w:p>
        </w:tc>
      </w:tr>
      <w:tr w:rsidR="008A568D" w:rsidRPr="009F47FB" w:rsidTr="006020A9">
        <w:trPr>
          <w:cantSplit/>
        </w:trPr>
        <w:tc>
          <w:tcPr>
            <w:tcW w:w="1491" w:type="dxa"/>
            <w:shd w:val="clear" w:color="auto" w:fill="F2F2F2"/>
            <w:noWrap/>
          </w:tcPr>
          <w:p w:rsidR="008A568D" w:rsidRDefault="008A568D" w:rsidP="006020A9">
            <w:pPr>
              <w:pStyle w:val="TableText"/>
              <w:jc w:val="center"/>
            </w:pPr>
            <w:r>
              <w:t>61</w:t>
            </w:r>
          </w:p>
        </w:tc>
        <w:tc>
          <w:tcPr>
            <w:tcW w:w="2982" w:type="dxa"/>
            <w:shd w:val="clear" w:color="auto" w:fill="F2F2F2"/>
          </w:tcPr>
          <w:p w:rsidR="008A568D" w:rsidRPr="00783E46" w:rsidRDefault="008A568D" w:rsidP="006020A9">
            <w:pPr>
              <w:pStyle w:val="TableText"/>
              <w:jc w:val="center"/>
            </w:pPr>
            <w:r>
              <w:t>1.5%</w:t>
            </w:r>
          </w:p>
        </w:tc>
      </w:tr>
      <w:tr w:rsidR="008A568D" w:rsidRPr="009F47FB" w:rsidTr="006020A9">
        <w:trPr>
          <w:cantSplit/>
        </w:trPr>
        <w:tc>
          <w:tcPr>
            <w:tcW w:w="1491" w:type="dxa"/>
            <w:shd w:val="clear" w:color="auto" w:fill="F2F2F2"/>
            <w:noWrap/>
          </w:tcPr>
          <w:p w:rsidR="008A568D" w:rsidRDefault="008A568D" w:rsidP="006020A9">
            <w:pPr>
              <w:pStyle w:val="TableText"/>
              <w:jc w:val="center"/>
            </w:pPr>
            <w:r>
              <w:t>62</w:t>
            </w:r>
          </w:p>
        </w:tc>
        <w:tc>
          <w:tcPr>
            <w:tcW w:w="2982" w:type="dxa"/>
            <w:shd w:val="clear" w:color="auto" w:fill="F2F2F2"/>
          </w:tcPr>
          <w:p w:rsidR="008A568D" w:rsidRPr="00783E46" w:rsidRDefault="008A568D" w:rsidP="006020A9">
            <w:pPr>
              <w:pStyle w:val="TableText"/>
              <w:jc w:val="center"/>
            </w:pPr>
            <w:r>
              <w:t>2.0%</w:t>
            </w:r>
          </w:p>
        </w:tc>
      </w:tr>
      <w:tr w:rsidR="008A568D" w:rsidRPr="009F47FB" w:rsidTr="006020A9">
        <w:trPr>
          <w:cantSplit/>
        </w:trPr>
        <w:tc>
          <w:tcPr>
            <w:tcW w:w="1491" w:type="dxa"/>
            <w:shd w:val="clear" w:color="auto" w:fill="F2F2F2"/>
            <w:noWrap/>
          </w:tcPr>
          <w:p w:rsidR="008A568D" w:rsidRDefault="008A568D" w:rsidP="006020A9">
            <w:pPr>
              <w:pStyle w:val="TableText"/>
              <w:jc w:val="center"/>
            </w:pPr>
            <w:r>
              <w:t>63</w:t>
            </w:r>
          </w:p>
        </w:tc>
        <w:tc>
          <w:tcPr>
            <w:tcW w:w="2982" w:type="dxa"/>
            <w:shd w:val="clear" w:color="auto" w:fill="F2F2F2"/>
          </w:tcPr>
          <w:p w:rsidR="008A568D" w:rsidRPr="00783E46" w:rsidRDefault="008A568D" w:rsidP="006020A9">
            <w:pPr>
              <w:pStyle w:val="TableText"/>
              <w:jc w:val="center"/>
            </w:pPr>
            <w:r>
              <w:t>2.5%</w:t>
            </w:r>
          </w:p>
        </w:tc>
      </w:tr>
      <w:tr w:rsidR="008A568D" w:rsidRPr="009F47FB" w:rsidTr="006020A9">
        <w:trPr>
          <w:cantSplit/>
        </w:trPr>
        <w:tc>
          <w:tcPr>
            <w:tcW w:w="1491" w:type="dxa"/>
            <w:shd w:val="clear" w:color="auto" w:fill="F2F2F2"/>
            <w:noWrap/>
          </w:tcPr>
          <w:p w:rsidR="008A568D" w:rsidRDefault="008A568D" w:rsidP="006020A9">
            <w:pPr>
              <w:pStyle w:val="TableText"/>
              <w:jc w:val="center"/>
            </w:pPr>
            <w:r>
              <w:t>64</w:t>
            </w:r>
          </w:p>
        </w:tc>
        <w:tc>
          <w:tcPr>
            <w:tcW w:w="2982" w:type="dxa"/>
            <w:shd w:val="clear" w:color="auto" w:fill="F2F2F2"/>
          </w:tcPr>
          <w:p w:rsidR="008A568D" w:rsidRPr="00783E46" w:rsidRDefault="008A568D" w:rsidP="006020A9">
            <w:pPr>
              <w:pStyle w:val="TableText"/>
              <w:jc w:val="center"/>
            </w:pPr>
            <w:r>
              <w:t>3.0%</w:t>
            </w:r>
          </w:p>
        </w:tc>
      </w:tr>
      <w:tr w:rsidR="008A568D" w:rsidRPr="009F47FB" w:rsidTr="006020A9">
        <w:trPr>
          <w:cantSplit/>
        </w:trPr>
        <w:tc>
          <w:tcPr>
            <w:tcW w:w="1491" w:type="dxa"/>
            <w:shd w:val="clear" w:color="auto" w:fill="F2F2F2"/>
            <w:noWrap/>
          </w:tcPr>
          <w:p w:rsidR="008A568D" w:rsidRDefault="008A568D" w:rsidP="006020A9">
            <w:pPr>
              <w:pStyle w:val="TableText"/>
              <w:jc w:val="center"/>
            </w:pPr>
            <w:r>
              <w:t>65</w:t>
            </w:r>
          </w:p>
        </w:tc>
        <w:tc>
          <w:tcPr>
            <w:tcW w:w="2982" w:type="dxa"/>
            <w:shd w:val="clear" w:color="auto" w:fill="F2F2F2"/>
          </w:tcPr>
          <w:p w:rsidR="008A568D" w:rsidRPr="00783E46" w:rsidRDefault="008A568D" w:rsidP="006020A9">
            <w:pPr>
              <w:pStyle w:val="TableText"/>
              <w:jc w:val="center"/>
            </w:pPr>
            <w:r>
              <w:t>5.0%</w:t>
            </w:r>
          </w:p>
        </w:tc>
      </w:tr>
      <w:tr w:rsidR="008A568D" w:rsidRPr="009F47FB" w:rsidTr="006020A9">
        <w:trPr>
          <w:cantSplit/>
        </w:trPr>
        <w:tc>
          <w:tcPr>
            <w:tcW w:w="1491" w:type="dxa"/>
            <w:shd w:val="clear" w:color="auto" w:fill="F2F2F2"/>
            <w:noWrap/>
          </w:tcPr>
          <w:p w:rsidR="008A568D" w:rsidRDefault="008A568D" w:rsidP="006020A9">
            <w:pPr>
              <w:pStyle w:val="TableText"/>
              <w:jc w:val="center"/>
            </w:pPr>
            <w:r>
              <w:t>66</w:t>
            </w:r>
          </w:p>
        </w:tc>
        <w:tc>
          <w:tcPr>
            <w:tcW w:w="2982" w:type="dxa"/>
            <w:shd w:val="clear" w:color="auto" w:fill="F2F2F2"/>
          </w:tcPr>
          <w:p w:rsidR="008A568D" w:rsidRPr="00783E46" w:rsidRDefault="008A568D" w:rsidP="006020A9">
            <w:pPr>
              <w:pStyle w:val="TableText"/>
              <w:jc w:val="center"/>
            </w:pPr>
            <w:r>
              <w:t>7.5%</w:t>
            </w:r>
          </w:p>
        </w:tc>
      </w:tr>
      <w:tr w:rsidR="008A568D" w:rsidRPr="009F47FB" w:rsidTr="006020A9">
        <w:trPr>
          <w:cantSplit/>
        </w:trPr>
        <w:tc>
          <w:tcPr>
            <w:tcW w:w="1491" w:type="dxa"/>
            <w:shd w:val="clear" w:color="auto" w:fill="F2F2F2"/>
            <w:noWrap/>
          </w:tcPr>
          <w:p w:rsidR="008A568D" w:rsidRDefault="008A568D" w:rsidP="006020A9">
            <w:pPr>
              <w:pStyle w:val="TableText"/>
              <w:jc w:val="center"/>
            </w:pPr>
            <w:r>
              <w:t>67</w:t>
            </w:r>
          </w:p>
        </w:tc>
        <w:tc>
          <w:tcPr>
            <w:tcW w:w="2982" w:type="dxa"/>
            <w:shd w:val="clear" w:color="auto" w:fill="F2F2F2"/>
          </w:tcPr>
          <w:p w:rsidR="008A568D" w:rsidRPr="00783E46" w:rsidRDefault="008A568D" w:rsidP="006020A9">
            <w:pPr>
              <w:pStyle w:val="TableText"/>
              <w:jc w:val="center"/>
            </w:pPr>
            <w:r>
              <w:t>10.0%</w:t>
            </w:r>
          </w:p>
        </w:tc>
      </w:tr>
      <w:tr w:rsidR="008A568D" w:rsidRPr="009F47FB" w:rsidTr="006020A9">
        <w:trPr>
          <w:cantSplit/>
        </w:trPr>
        <w:tc>
          <w:tcPr>
            <w:tcW w:w="1491" w:type="dxa"/>
            <w:shd w:val="clear" w:color="auto" w:fill="F2F2F2"/>
            <w:noWrap/>
          </w:tcPr>
          <w:p w:rsidR="008A568D" w:rsidRDefault="008A568D" w:rsidP="006020A9">
            <w:pPr>
              <w:pStyle w:val="TableText"/>
              <w:jc w:val="center"/>
            </w:pPr>
            <w:r>
              <w:t>68</w:t>
            </w:r>
          </w:p>
        </w:tc>
        <w:tc>
          <w:tcPr>
            <w:tcW w:w="2982" w:type="dxa"/>
            <w:shd w:val="clear" w:color="auto" w:fill="F2F2F2"/>
          </w:tcPr>
          <w:p w:rsidR="008A568D" w:rsidRPr="00783E46" w:rsidRDefault="008A568D" w:rsidP="006020A9">
            <w:pPr>
              <w:pStyle w:val="TableText"/>
              <w:jc w:val="center"/>
            </w:pPr>
            <w:r>
              <w:t>15.0%</w:t>
            </w:r>
          </w:p>
        </w:tc>
      </w:tr>
      <w:tr w:rsidR="008A568D" w:rsidRPr="009F47FB" w:rsidTr="006020A9">
        <w:trPr>
          <w:cantSplit/>
        </w:trPr>
        <w:tc>
          <w:tcPr>
            <w:tcW w:w="1491" w:type="dxa"/>
            <w:shd w:val="clear" w:color="auto" w:fill="F2F2F2"/>
            <w:noWrap/>
          </w:tcPr>
          <w:p w:rsidR="008A568D" w:rsidRDefault="008A568D" w:rsidP="006020A9">
            <w:pPr>
              <w:pStyle w:val="TableText"/>
              <w:jc w:val="center"/>
            </w:pPr>
            <w:r>
              <w:t>69</w:t>
            </w:r>
          </w:p>
        </w:tc>
        <w:tc>
          <w:tcPr>
            <w:tcW w:w="2982" w:type="dxa"/>
            <w:shd w:val="clear" w:color="auto" w:fill="F2F2F2"/>
          </w:tcPr>
          <w:p w:rsidR="008A568D" w:rsidRPr="00783E46" w:rsidRDefault="008A568D" w:rsidP="006020A9">
            <w:pPr>
              <w:pStyle w:val="TableText"/>
              <w:jc w:val="center"/>
            </w:pPr>
            <w:r>
              <w:t>20.0%</w:t>
            </w:r>
          </w:p>
        </w:tc>
      </w:tr>
      <w:tr w:rsidR="008A568D" w:rsidRPr="009F47FB" w:rsidTr="006020A9">
        <w:trPr>
          <w:cantSplit/>
        </w:trPr>
        <w:tc>
          <w:tcPr>
            <w:tcW w:w="1491" w:type="dxa"/>
            <w:shd w:val="clear" w:color="auto" w:fill="F2F2F2"/>
            <w:noWrap/>
          </w:tcPr>
          <w:p w:rsidR="008A568D" w:rsidRDefault="008A568D" w:rsidP="006020A9">
            <w:pPr>
              <w:pStyle w:val="TableText"/>
              <w:jc w:val="center"/>
            </w:pPr>
            <w:r>
              <w:t>70</w:t>
            </w:r>
          </w:p>
        </w:tc>
        <w:tc>
          <w:tcPr>
            <w:tcW w:w="2982" w:type="dxa"/>
            <w:shd w:val="clear" w:color="auto" w:fill="F2F2F2"/>
          </w:tcPr>
          <w:p w:rsidR="008A568D" w:rsidRPr="00783E46" w:rsidRDefault="008A568D" w:rsidP="006020A9">
            <w:pPr>
              <w:pStyle w:val="TableText"/>
              <w:jc w:val="center"/>
            </w:pPr>
            <w:r>
              <w:t>100.0%</w:t>
            </w:r>
          </w:p>
        </w:tc>
      </w:tr>
    </w:tbl>
    <w:p w:rsidR="00394AD2" w:rsidRPr="00EF6DD9" w:rsidRDefault="00394AD2" w:rsidP="00394AD2">
      <w:pPr>
        <w:pStyle w:val="Heading3"/>
      </w:pPr>
      <w:r>
        <w:t>Death and Invalidity Retirement Rates</w:t>
      </w:r>
    </w:p>
    <w:p w:rsidR="00394AD2" w:rsidRDefault="00394AD2" w:rsidP="00394AD2">
      <w:pPr>
        <w:rPr>
          <w:szCs w:val="22"/>
        </w:rPr>
      </w:pPr>
    </w:p>
    <w:tbl>
      <w:tblPr>
        <w:tblW w:w="7455" w:type="dxa"/>
        <w:tblInd w:w="93"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491"/>
        <w:gridCol w:w="1491"/>
        <w:gridCol w:w="1491"/>
        <w:gridCol w:w="1491"/>
        <w:gridCol w:w="1491"/>
      </w:tblGrid>
      <w:tr w:rsidR="00394AD2" w:rsidRPr="006B79AD" w:rsidTr="0074307F">
        <w:trPr>
          <w:cantSplit/>
          <w:trHeight w:val="188"/>
          <w:tblHeader/>
        </w:trPr>
        <w:tc>
          <w:tcPr>
            <w:tcW w:w="1491" w:type="dxa"/>
            <w:vMerge w:val="restart"/>
            <w:shd w:val="clear" w:color="auto" w:fill="00A8C8"/>
            <w:hideMark/>
          </w:tcPr>
          <w:p w:rsidR="00394AD2" w:rsidRPr="006B79AD" w:rsidRDefault="00394AD2" w:rsidP="0074307F">
            <w:pPr>
              <w:pStyle w:val="TableHeadingText"/>
              <w:jc w:val="center"/>
              <w:rPr>
                <w:caps w:val="0"/>
                <w:lang w:val="en-US"/>
              </w:rPr>
            </w:pPr>
            <w:r w:rsidRPr="006B79AD">
              <w:rPr>
                <w:caps w:val="0"/>
                <w:lang w:val="en-US"/>
              </w:rPr>
              <w:t>Age</w:t>
            </w:r>
          </w:p>
        </w:tc>
        <w:tc>
          <w:tcPr>
            <w:tcW w:w="2982" w:type="dxa"/>
            <w:gridSpan w:val="2"/>
            <w:shd w:val="clear" w:color="auto" w:fill="00A8C8"/>
          </w:tcPr>
          <w:p w:rsidR="00394AD2" w:rsidRPr="006B79AD" w:rsidRDefault="00394AD2" w:rsidP="0074307F">
            <w:pPr>
              <w:pStyle w:val="TableHeadingText"/>
              <w:jc w:val="center"/>
              <w:rPr>
                <w:caps w:val="0"/>
                <w:lang w:val="en-US"/>
              </w:rPr>
            </w:pPr>
            <w:r w:rsidRPr="006B79AD">
              <w:rPr>
                <w:caps w:val="0"/>
                <w:lang w:val="en-US"/>
              </w:rPr>
              <w:t>Death</w:t>
            </w:r>
          </w:p>
        </w:tc>
        <w:tc>
          <w:tcPr>
            <w:tcW w:w="2982" w:type="dxa"/>
            <w:gridSpan w:val="2"/>
            <w:shd w:val="clear" w:color="auto" w:fill="00A8C8"/>
            <w:hideMark/>
          </w:tcPr>
          <w:p w:rsidR="00394AD2" w:rsidRPr="006B79AD" w:rsidRDefault="00394AD2" w:rsidP="0074307F">
            <w:pPr>
              <w:pStyle w:val="TableHeadingText"/>
              <w:jc w:val="center"/>
              <w:rPr>
                <w:caps w:val="0"/>
                <w:lang w:val="en-US"/>
              </w:rPr>
            </w:pPr>
            <w:r w:rsidRPr="006B79AD">
              <w:rPr>
                <w:caps w:val="0"/>
                <w:lang w:val="en-US"/>
              </w:rPr>
              <w:t>Invalidity</w:t>
            </w:r>
          </w:p>
        </w:tc>
      </w:tr>
      <w:tr w:rsidR="00394AD2" w:rsidRPr="006B79AD" w:rsidTr="0074307F">
        <w:trPr>
          <w:cantSplit/>
          <w:trHeight w:val="187"/>
          <w:tblHeader/>
        </w:trPr>
        <w:tc>
          <w:tcPr>
            <w:tcW w:w="1491" w:type="dxa"/>
            <w:vMerge/>
            <w:shd w:val="clear" w:color="auto" w:fill="00A8C8"/>
          </w:tcPr>
          <w:p w:rsidR="00394AD2" w:rsidRPr="006B79AD" w:rsidRDefault="00394AD2" w:rsidP="0074307F">
            <w:pPr>
              <w:pStyle w:val="TableHeadingText"/>
              <w:jc w:val="center"/>
              <w:rPr>
                <w:caps w:val="0"/>
                <w:lang w:val="en-US"/>
              </w:rPr>
            </w:pPr>
          </w:p>
        </w:tc>
        <w:tc>
          <w:tcPr>
            <w:tcW w:w="1491" w:type="dxa"/>
            <w:shd w:val="clear" w:color="auto" w:fill="00A8C8"/>
          </w:tcPr>
          <w:p w:rsidR="00394AD2" w:rsidRPr="006B79AD" w:rsidRDefault="00394AD2" w:rsidP="0074307F">
            <w:pPr>
              <w:pStyle w:val="TableHeadingText"/>
              <w:jc w:val="center"/>
              <w:rPr>
                <w:caps w:val="0"/>
                <w:lang w:val="en-US"/>
              </w:rPr>
            </w:pPr>
            <w:r w:rsidRPr="006B79AD">
              <w:rPr>
                <w:caps w:val="0"/>
                <w:lang w:val="en-US"/>
              </w:rPr>
              <w:t>Male</w:t>
            </w:r>
          </w:p>
        </w:tc>
        <w:tc>
          <w:tcPr>
            <w:tcW w:w="1491" w:type="dxa"/>
            <w:shd w:val="clear" w:color="auto" w:fill="00A8C8"/>
          </w:tcPr>
          <w:p w:rsidR="00394AD2" w:rsidRPr="006B79AD" w:rsidRDefault="00394AD2" w:rsidP="0074307F">
            <w:pPr>
              <w:pStyle w:val="TableHeadingText"/>
              <w:jc w:val="center"/>
              <w:rPr>
                <w:caps w:val="0"/>
                <w:lang w:val="en-US"/>
              </w:rPr>
            </w:pPr>
            <w:r w:rsidRPr="006B79AD">
              <w:rPr>
                <w:caps w:val="0"/>
                <w:lang w:val="en-US"/>
              </w:rPr>
              <w:t>Female</w:t>
            </w:r>
          </w:p>
        </w:tc>
        <w:tc>
          <w:tcPr>
            <w:tcW w:w="1491" w:type="dxa"/>
            <w:shd w:val="clear" w:color="auto" w:fill="00A8C8"/>
          </w:tcPr>
          <w:p w:rsidR="00394AD2" w:rsidRPr="006B79AD" w:rsidRDefault="00394AD2" w:rsidP="0074307F">
            <w:pPr>
              <w:pStyle w:val="TableHeadingText"/>
              <w:jc w:val="center"/>
              <w:rPr>
                <w:caps w:val="0"/>
                <w:lang w:val="en-US"/>
              </w:rPr>
            </w:pPr>
            <w:r w:rsidRPr="006B79AD">
              <w:rPr>
                <w:caps w:val="0"/>
                <w:lang w:val="en-US"/>
              </w:rPr>
              <w:t>Male</w:t>
            </w:r>
          </w:p>
        </w:tc>
        <w:tc>
          <w:tcPr>
            <w:tcW w:w="1491" w:type="dxa"/>
            <w:shd w:val="clear" w:color="auto" w:fill="00A8C8"/>
          </w:tcPr>
          <w:p w:rsidR="00394AD2" w:rsidRPr="006B79AD" w:rsidRDefault="00394AD2" w:rsidP="0074307F">
            <w:pPr>
              <w:pStyle w:val="TableHeadingText"/>
              <w:jc w:val="center"/>
              <w:rPr>
                <w:caps w:val="0"/>
                <w:lang w:val="en-US"/>
              </w:rPr>
            </w:pPr>
            <w:r w:rsidRPr="006B79AD">
              <w:rPr>
                <w:caps w:val="0"/>
                <w:lang w:val="en-US"/>
              </w:rPr>
              <w:t>Female</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50</w:t>
            </w:r>
          </w:p>
        </w:tc>
        <w:tc>
          <w:tcPr>
            <w:tcW w:w="1491" w:type="dxa"/>
            <w:shd w:val="clear" w:color="auto" w:fill="F2F2F2"/>
          </w:tcPr>
          <w:p w:rsidR="00394AD2" w:rsidRPr="00141C35" w:rsidRDefault="00394AD2" w:rsidP="0074307F">
            <w:pPr>
              <w:pStyle w:val="TableText"/>
              <w:jc w:val="center"/>
            </w:pPr>
            <w:r>
              <w:t>0.088%</w:t>
            </w:r>
          </w:p>
        </w:tc>
        <w:tc>
          <w:tcPr>
            <w:tcW w:w="1491" w:type="dxa"/>
            <w:shd w:val="clear" w:color="auto" w:fill="F2F2F2"/>
          </w:tcPr>
          <w:p w:rsidR="00394AD2" w:rsidRPr="00141C35" w:rsidRDefault="00394AD2" w:rsidP="0074307F">
            <w:pPr>
              <w:pStyle w:val="TableText"/>
              <w:jc w:val="center"/>
            </w:pPr>
            <w:r>
              <w:t>0.062%</w:t>
            </w:r>
          </w:p>
        </w:tc>
        <w:tc>
          <w:tcPr>
            <w:tcW w:w="1491" w:type="dxa"/>
            <w:shd w:val="clear" w:color="auto" w:fill="F2F2F2"/>
            <w:noWrap/>
          </w:tcPr>
          <w:p w:rsidR="00394AD2" w:rsidRPr="00141C35" w:rsidRDefault="00394AD2" w:rsidP="0074307F">
            <w:pPr>
              <w:pStyle w:val="TableText"/>
              <w:jc w:val="center"/>
            </w:pPr>
            <w:r>
              <w:t>0.194%</w:t>
            </w:r>
          </w:p>
        </w:tc>
        <w:tc>
          <w:tcPr>
            <w:tcW w:w="1491" w:type="dxa"/>
            <w:shd w:val="clear" w:color="auto" w:fill="F2F2F2"/>
          </w:tcPr>
          <w:p w:rsidR="00394AD2" w:rsidRPr="00141C35" w:rsidRDefault="00394AD2" w:rsidP="0074307F">
            <w:pPr>
              <w:pStyle w:val="TableText"/>
              <w:jc w:val="center"/>
            </w:pPr>
            <w:r>
              <w:t>0.255%</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55</w:t>
            </w:r>
          </w:p>
        </w:tc>
        <w:tc>
          <w:tcPr>
            <w:tcW w:w="1491" w:type="dxa"/>
            <w:shd w:val="clear" w:color="auto" w:fill="F2F2F2"/>
          </w:tcPr>
          <w:p w:rsidR="00394AD2" w:rsidRPr="00141C35" w:rsidRDefault="00394AD2" w:rsidP="0074307F">
            <w:pPr>
              <w:pStyle w:val="TableText"/>
              <w:jc w:val="center"/>
            </w:pPr>
            <w:r>
              <w:t>0.124%</w:t>
            </w:r>
          </w:p>
        </w:tc>
        <w:tc>
          <w:tcPr>
            <w:tcW w:w="1491" w:type="dxa"/>
            <w:shd w:val="clear" w:color="auto" w:fill="F2F2F2"/>
          </w:tcPr>
          <w:p w:rsidR="00394AD2" w:rsidRPr="00141C35" w:rsidRDefault="00394AD2" w:rsidP="0074307F">
            <w:pPr>
              <w:pStyle w:val="TableText"/>
              <w:jc w:val="center"/>
            </w:pPr>
            <w:r>
              <w:t>0.106%</w:t>
            </w:r>
          </w:p>
        </w:tc>
        <w:tc>
          <w:tcPr>
            <w:tcW w:w="1491" w:type="dxa"/>
            <w:shd w:val="clear" w:color="auto" w:fill="F2F2F2"/>
            <w:noWrap/>
          </w:tcPr>
          <w:p w:rsidR="00394AD2" w:rsidRPr="00141C35" w:rsidRDefault="00394AD2" w:rsidP="0074307F">
            <w:pPr>
              <w:pStyle w:val="TableText"/>
              <w:jc w:val="center"/>
            </w:pPr>
            <w:r>
              <w:t>0.305%</w:t>
            </w:r>
          </w:p>
        </w:tc>
        <w:tc>
          <w:tcPr>
            <w:tcW w:w="1491" w:type="dxa"/>
            <w:shd w:val="clear" w:color="auto" w:fill="F2F2F2"/>
          </w:tcPr>
          <w:p w:rsidR="00394AD2" w:rsidRPr="00141C35" w:rsidRDefault="00394AD2" w:rsidP="0074307F">
            <w:pPr>
              <w:pStyle w:val="TableText"/>
              <w:jc w:val="center"/>
            </w:pPr>
            <w:r>
              <w:t>0.426%</w:t>
            </w:r>
          </w:p>
        </w:tc>
      </w:tr>
      <w:tr w:rsidR="00394AD2" w:rsidRPr="009F47FB" w:rsidTr="00634251">
        <w:trPr>
          <w:cantSplit/>
        </w:trPr>
        <w:tc>
          <w:tcPr>
            <w:tcW w:w="1491" w:type="dxa"/>
            <w:tcBorders>
              <w:bottom w:val="single" w:sz="4" w:space="0" w:color="auto"/>
            </w:tcBorders>
            <w:shd w:val="clear" w:color="auto" w:fill="F2F2F2"/>
            <w:noWrap/>
          </w:tcPr>
          <w:p w:rsidR="00394AD2" w:rsidRPr="009F47FB" w:rsidRDefault="00394AD2" w:rsidP="0074307F">
            <w:pPr>
              <w:pStyle w:val="TableText"/>
              <w:jc w:val="center"/>
            </w:pPr>
            <w:r>
              <w:t>60</w:t>
            </w:r>
          </w:p>
        </w:tc>
        <w:tc>
          <w:tcPr>
            <w:tcW w:w="1491" w:type="dxa"/>
            <w:tcBorders>
              <w:bottom w:val="single" w:sz="4" w:space="0" w:color="auto"/>
            </w:tcBorders>
            <w:shd w:val="clear" w:color="auto" w:fill="F2F2F2"/>
          </w:tcPr>
          <w:p w:rsidR="00394AD2" w:rsidRPr="00141C35" w:rsidRDefault="00394AD2" w:rsidP="0074307F">
            <w:pPr>
              <w:pStyle w:val="TableText"/>
              <w:jc w:val="center"/>
            </w:pPr>
            <w:r>
              <w:t>0.183%</w:t>
            </w:r>
          </w:p>
        </w:tc>
        <w:tc>
          <w:tcPr>
            <w:tcW w:w="1491" w:type="dxa"/>
            <w:tcBorders>
              <w:bottom w:val="single" w:sz="4" w:space="0" w:color="auto"/>
            </w:tcBorders>
            <w:shd w:val="clear" w:color="auto" w:fill="F2F2F2"/>
          </w:tcPr>
          <w:p w:rsidR="00394AD2" w:rsidRPr="00141C35" w:rsidRDefault="00394AD2" w:rsidP="0074307F">
            <w:pPr>
              <w:pStyle w:val="TableText"/>
              <w:jc w:val="center"/>
            </w:pPr>
            <w:r>
              <w:t>0.173%</w:t>
            </w:r>
          </w:p>
        </w:tc>
        <w:tc>
          <w:tcPr>
            <w:tcW w:w="1491" w:type="dxa"/>
            <w:tcBorders>
              <w:bottom w:val="single" w:sz="4" w:space="0" w:color="auto"/>
            </w:tcBorders>
            <w:shd w:val="clear" w:color="auto" w:fill="F2F2F2"/>
            <w:noWrap/>
          </w:tcPr>
          <w:p w:rsidR="00394AD2" w:rsidRPr="00141C35" w:rsidRDefault="00394AD2" w:rsidP="0074307F">
            <w:pPr>
              <w:pStyle w:val="TableText"/>
              <w:jc w:val="center"/>
            </w:pPr>
            <w:r>
              <w:t>0.601%</w:t>
            </w:r>
          </w:p>
        </w:tc>
        <w:tc>
          <w:tcPr>
            <w:tcW w:w="1491" w:type="dxa"/>
            <w:tcBorders>
              <w:bottom w:val="single" w:sz="4" w:space="0" w:color="auto"/>
            </w:tcBorders>
            <w:shd w:val="clear" w:color="auto" w:fill="F2F2F2"/>
          </w:tcPr>
          <w:p w:rsidR="00394AD2" w:rsidRPr="00141C35" w:rsidRDefault="00394AD2" w:rsidP="0074307F">
            <w:pPr>
              <w:pStyle w:val="TableText"/>
              <w:jc w:val="center"/>
            </w:pPr>
            <w:r>
              <w:t>0.646%</w:t>
            </w:r>
          </w:p>
        </w:tc>
      </w:tr>
      <w:tr w:rsidR="00394AD2" w:rsidRPr="009F47FB" w:rsidTr="00634251">
        <w:trPr>
          <w:cantSplit/>
        </w:trPr>
        <w:tc>
          <w:tcPr>
            <w:tcW w:w="1491" w:type="dxa"/>
            <w:tcBorders>
              <w:top w:val="single" w:sz="4" w:space="0" w:color="auto"/>
              <w:bottom w:val="single" w:sz="8" w:space="0" w:color="FFFFFF"/>
            </w:tcBorders>
            <w:shd w:val="clear" w:color="auto" w:fill="F2F2F2"/>
            <w:noWrap/>
          </w:tcPr>
          <w:p w:rsidR="00394AD2" w:rsidRPr="009F47FB" w:rsidRDefault="00394AD2" w:rsidP="0074307F">
            <w:pPr>
              <w:pStyle w:val="TableText"/>
              <w:jc w:val="center"/>
            </w:pPr>
            <w:r>
              <w:t>65</w:t>
            </w:r>
          </w:p>
        </w:tc>
        <w:tc>
          <w:tcPr>
            <w:tcW w:w="1491" w:type="dxa"/>
            <w:tcBorders>
              <w:top w:val="single" w:sz="4" w:space="0" w:color="auto"/>
              <w:bottom w:val="single" w:sz="8" w:space="0" w:color="FFFFFF"/>
            </w:tcBorders>
            <w:shd w:val="clear" w:color="auto" w:fill="F2F2F2"/>
          </w:tcPr>
          <w:p w:rsidR="00394AD2" w:rsidRPr="00141C35" w:rsidRDefault="00394AD2" w:rsidP="00634251">
            <w:pPr>
              <w:pStyle w:val="TableText"/>
              <w:jc w:val="center"/>
            </w:pPr>
            <w:r>
              <w:t>0.27</w:t>
            </w:r>
            <w:r w:rsidR="00634251">
              <w:t>4</w:t>
            </w:r>
            <w:r>
              <w:t>%</w:t>
            </w:r>
          </w:p>
        </w:tc>
        <w:tc>
          <w:tcPr>
            <w:tcW w:w="1491" w:type="dxa"/>
            <w:tcBorders>
              <w:top w:val="single" w:sz="4" w:space="0" w:color="auto"/>
              <w:bottom w:val="single" w:sz="8" w:space="0" w:color="FFFFFF"/>
            </w:tcBorders>
            <w:shd w:val="clear" w:color="auto" w:fill="F2F2F2"/>
          </w:tcPr>
          <w:p w:rsidR="00394AD2" w:rsidRPr="00141C35" w:rsidRDefault="00394AD2" w:rsidP="0074307F">
            <w:pPr>
              <w:pStyle w:val="TableText"/>
              <w:jc w:val="center"/>
            </w:pPr>
            <w:r>
              <w:t>0.269%</w:t>
            </w:r>
          </w:p>
        </w:tc>
        <w:tc>
          <w:tcPr>
            <w:tcW w:w="1491" w:type="dxa"/>
            <w:tcBorders>
              <w:top w:val="single" w:sz="4" w:space="0" w:color="auto"/>
              <w:bottom w:val="single" w:sz="8" w:space="0" w:color="FFFFFF"/>
            </w:tcBorders>
            <w:shd w:val="clear" w:color="auto" w:fill="F2F2F2"/>
            <w:noWrap/>
          </w:tcPr>
          <w:p w:rsidR="00394AD2" w:rsidRPr="00141C35" w:rsidRDefault="00C32128" w:rsidP="0074307F">
            <w:pPr>
              <w:pStyle w:val="TableText"/>
              <w:jc w:val="center"/>
            </w:pPr>
            <w:r>
              <w:t>0.704%</w:t>
            </w:r>
          </w:p>
        </w:tc>
        <w:tc>
          <w:tcPr>
            <w:tcW w:w="1491" w:type="dxa"/>
            <w:tcBorders>
              <w:top w:val="single" w:sz="4" w:space="0" w:color="auto"/>
              <w:bottom w:val="single" w:sz="8" w:space="0" w:color="FFFFFF"/>
            </w:tcBorders>
            <w:shd w:val="clear" w:color="auto" w:fill="F2F2F2"/>
          </w:tcPr>
          <w:p w:rsidR="00394AD2" w:rsidRPr="00141C35" w:rsidRDefault="00C32128" w:rsidP="0074307F">
            <w:pPr>
              <w:pStyle w:val="TableText"/>
              <w:jc w:val="center"/>
            </w:pPr>
            <w:r>
              <w:t>0.851%</w:t>
            </w:r>
          </w:p>
        </w:tc>
      </w:tr>
      <w:tr w:rsidR="00762F33" w:rsidRPr="009F47FB" w:rsidTr="00634251">
        <w:trPr>
          <w:cantSplit/>
        </w:trPr>
        <w:tc>
          <w:tcPr>
            <w:tcW w:w="1491" w:type="dxa"/>
            <w:tcBorders>
              <w:top w:val="single" w:sz="8" w:space="0" w:color="FFFFFF"/>
              <w:right w:val="single" w:sz="8" w:space="0" w:color="FFFFFF"/>
            </w:tcBorders>
            <w:shd w:val="clear" w:color="auto" w:fill="F2F2F2"/>
            <w:noWrap/>
          </w:tcPr>
          <w:p w:rsidR="00762F33" w:rsidRPr="009F47FB" w:rsidRDefault="00762F33" w:rsidP="006020A9">
            <w:pPr>
              <w:pStyle w:val="TableText"/>
              <w:jc w:val="center"/>
            </w:pPr>
            <w:r>
              <w:t>66</w:t>
            </w:r>
          </w:p>
        </w:tc>
        <w:tc>
          <w:tcPr>
            <w:tcW w:w="1491" w:type="dxa"/>
            <w:tcBorders>
              <w:top w:val="single" w:sz="8" w:space="0" w:color="FFFFFF"/>
              <w:left w:val="single" w:sz="8" w:space="0" w:color="FFFFFF"/>
              <w:right w:val="single" w:sz="8" w:space="0" w:color="FFFFFF"/>
            </w:tcBorders>
            <w:shd w:val="clear" w:color="auto" w:fill="F2F2F2"/>
          </w:tcPr>
          <w:p w:rsidR="00762F33" w:rsidRPr="00141C35" w:rsidRDefault="00762F33" w:rsidP="00634251">
            <w:pPr>
              <w:pStyle w:val="TableText"/>
              <w:jc w:val="center"/>
            </w:pPr>
            <w:r>
              <w:t>0.</w:t>
            </w:r>
            <w:r w:rsidR="00634251">
              <w:t>298</w:t>
            </w:r>
            <w:r>
              <w:t>%</w:t>
            </w:r>
          </w:p>
        </w:tc>
        <w:tc>
          <w:tcPr>
            <w:tcW w:w="1491" w:type="dxa"/>
            <w:tcBorders>
              <w:top w:val="single" w:sz="8" w:space="0" w:color="FFFFFF"/>
              <w:left w:val="single" w:sz="8" w:space="0" w:color="FFFFFF"/>
              <w:right w:val="single" w:sz="8" w:space="0" w:color="FFFFFF"/>
            </w:tcBorders>
            <w:shd w:val="clear" w:color="auto" w:fill="F2F2F2"/>
          </w:tcPr>
          <w:p w:rsidR="00762F33" w:rsidRPr="00141C35" w:rsidRDefault="00762F33" w:rsidP="00634251">
            <w:pPr>
              <w:pStyle w:val="TableText"/>
              <w:jc w:val="center"/>
            </w:pPr>
            <w:r>
              <w:t>0.</w:t>
            </w:r>
            <w:r w:rsidR="00634251">
              <w:t>297</w:t>
            </w:r>
            <w:r>
              <w:t>%</w:t>
            </w:r>
          </w:p>
        </w:tc>
        <w:tc>
          <w:tcPr>
            <w:tcW w:w="1491" w:type="dxa"/>
            <w:tcBorders>
              <w:top w:val="single" w:sz="8" w:space="0" w:color="FFFFFF"/>
              <w:left w:val="single" w:sz="8" w:space="0" w:color="FFFFFF"/>
              <w:right w:val="single" w:sz="8" w:space="0" w:color="FFFFFF"/>
            </w:tcBorders>
            <w:shd w:val="clear" w:color="auto" w:fill="F2F2F2"/>
            <w:noWrap/>
          </w:tcPr>
          <w:p w:rsidR="00762F33" w:rsidRPr="00141C35" w:rsidRDefault="00762F33" w:rsidP="006020A9">
            <w:pPr>
              <w:pStyle w:val="TableText"/>
              <w:jc w:val="center"/>
            </w:pPr>
            <w:r>
              <w:t>0.715%</w:t>
            </w:r>
          </w:p>
        </w:tc>
        <w:tc>
          <w:tcPr>
            <w:tcW w:w="1491" w:type="dxa"/>
            <w:tcBorders>
              <w:top w:val="single" w:sz="8" w:space="0" w:color="FFFFFF"/>
              <w:left w:val="single" w:sz="8" w:space="0" w:color="FFFFFF"/>
            </w:tcBorders>
            <w:shd w:val="clear" w:color="auto" w:fill="F2F2F2"/>
          </w:tcPr>
          <w:p w:rsidR="00762F33" w:rsidRPr="00141C35" w:rsidRDefault="00762F33" w:rsidP="006020A9">
            <w:pPr>
              <w:pStyle w:val="TableText"/>
              <w:jc w:val="center"/>
            </w:pPr>
            <w:r>
              <w:t>0.898%</w:t>
            </w:r>
          </w:p>
        </w:tc>
      </w:tr>
      <w:tr w:rsidR="00762F33" w:rsidRPr="009F47FB" w:rsidTr="006020A9">
        <w:trPr>
          <w:cantSplit/>
        </w:trPr>
        <w:tc>
          <w:tcPr>
            <w:tcW w:w="1491" w:type="dxa"/>
            <w:tcBorders>
              <w:top w:val="single" w:sz="8" w:space="0" w:color="FFFFFF"/>
              <w:right w:val="single" w:sz="8" w:space="0" w:color="FFFFFF"/>
            </w:tcBorders>
            <w:shd w:val="clear" w:color="auto" w:fill="F2F2F2"/>
            <w:noWrap/>
          </w:tcPr>
          <w:p w:rsidR="00762F33" w:rsidRPr="009F47FB" w:rsidRDefault="00762F33" w:rsidP="006020A9">
            <w:pPr>
              <w:pStyle w:val="TableText"/>
              <w:jc w:val="center"/>
            </w:pPr>
            <w:r>
              <w:t>67</w:t>
            </w:r>
          </w:p>
        </w:tc>
        <w:tc>
          <w:tcPr>
            <w:tcW w:w="1491" w:type="dxa"/>
            <w:tcBorders>
              <w:top w:val="single" w:sz="8" w:space="0" w:color="FFFFFF"/>
              <w:left w:val="single" w:sz="8" w:space="0" w:color="FFFFFF"/>
              <w:right w:val="single" w:sz="8" w:space="0" w:color="FFFFFF"/>
            </w:tcBorders>
            <w:shd w:val="clear" w:color="auto" w:fill="F2F2F2"/>
          </w:tcPr>
          <w:p w:rsidR="00762F33" w:rsidRPr="00141C35" w:rsidRDefault="00762F33" w:rsidP="00634251">
            <w:pPr>
              <w:pStyle w:val="TableText"/>
              <w:jc w:val="center"/>
            </w:pPr>
            <w:r>
              <w:t>0.</w:t>
            </w:r>
            <w:r w:rsidR="00634251">
              <w:t>323</w:t>
            </w:r>
            <w:r>
              <w:t>%</w:t>
            </w:r>
          </w:p>
        </w:tc>
        <w:tc>
          <w:tcPr>
            <w:tcW w:w="1491" w:type="dxa"/>
            <w:tcBorders>
              <w:top w:val="single" w:sz="8" w:space="0" w:color="FFFFFF"/>
              <w:left w:val="single" w:sz="8" w:space="0" w:color="FFFFFF"/>
              <w:right w:val="single" w:sz="8" w:space="0" w:color="FFFFFF"/>
            </w:tcBorders>
            <w:shd w:val="clear" w:color="auto" w:fill="F2F2F2"/>
          </w:tcPr>
          <w:p w:rsidR="00762F33" w:rsidRPr="00141C35" w:rsidRDefault="00762F33" w:rsidP="00634251">
            <w:pPr>
              <w:pStyle w:val="TableText"/>
              <w:jc w:val="center"/>
            </w:pPr>
            <w:r>
              <w:t>0.</w:t>
            </w:r>
            <w:r w:rsidR="00634251">
              <w:t>329</w:t>
            </w:r>
            <w:r>
              <w:t>%</w:t>
            </w:r>
          </w:p>
        </w:tc>
        <w:tc>
          <w:tcPr>
            <w:tcW w:w="1491" w:type="dxa"/>
            <w:tcBorders>
              <w:top w:val="single" w:sz="8" w:space="0" w:color="FFFFFF"/>
              <w:left w:val="single" w:sz="8" w:space="0" w:color="FFFFFF"/>
              <w:right w:val="single" w:sz="8" w:space="0" w:color="FFFFFF"/>
            </w:tcBorders>
            <w:shd w:val="clear" w:color="auto" w:fill="F2F2F2"/>
            <w:noWrap/>
          </w:tcPr>
          <w:p w:rsidR="00762F33" w:rsidRPr="00141C35" w:rsidRDefault="00762F33" w:rsidP="006020A9">
            <w:pPr>
              <w:pStyle w:val="TableText"/>
              <w:jc w:val="center"/>
            </w:pPr>
            <w:r>
              <w:t>0.726%</w:t>
            </w:r>
          </w:p>
        </w:tc>
        <w:tc>
          <w:tcPr>
            <w:tcW w:w="1491" w:type="dxa"/>
            <w:tcBorders>
              <w:top w:val="single" w:sz="8" w:space="0" w:color="FFFFFF"/>
              <w:left w:val="single" w:sz="8" w:space="0" w:color="FFFFFF"/>
            </w:tcBorders>
            <w:shd w:val="clear" w:color="auto" w:fill="F2F2F2"/>
          </w:tcPr>
          <w:p w:rsidR="00762F33" w:rsidRPr="00141C35" w:rsidRDefault="00762F33" w:rsidP="006020A9">
            <w:pPr>
              <w:pStyle w:val="TableText"/>
              <w:jc w:val="center"/>
            </w:pPr>
            <w:r>
              <w:t>0.944%</w:t>
            </w:r>
          </w:p>
        </w:tc>
      </w:tr>
      <w:tr w:rsidR="00762F33" w:rsidRPr="009F47FB" w:rsidTr="006020A9">
        <w:trPr>
          <w:cantSplit/>
        </w:trPr>
        <w:tc>
          <w:tcPr>
            <w:tcW w:w="1491" w:type="dxa"/>
            <w:tcBorders>
              <w:top w:val="single" w:sz="8" w:space="0" w:color="FFFFFF"/>
              <w:right w:val="single" w:sz="8" w:space="0" w:color="FFFFFF"/>
            </w:tcBorders>
            <w:shd w:val="clear" w:color="auto" w:fill="F2F2F2"/>
            <w:noWrap/>
          </w:tcPr>
          <w:p w:rsidR="00762F33" w:rsidRPr="009F47FB" w:rsidRDefault="00762F33" w:rsidP="006020A9">
            <w:pPr>
              <w:pStyle w:val="TableText"/>
              <w:jc w:val="center"/>
            </w:pPr>
            <w:r>
              <w:t>68</w:t>
            </w:r>
          </w:p>
        </w:tc>
        <w:tc>
          <w:tcPr>
            <w:tcW w:w="1491" w:type="dxa"/>
            <w:tcBorders>
              <w:top w:val="single" w:sz="8" w:space="0" w:color="FFFFFF"/>
              <w:left w:val="single" w:sz="8" w:space="0" w:color="FFFFFF"/>
              <w:right w:val="single" w:sz="8" w:space="0" w:color="FFFFFF"/>
            </w:tcBorders>
            <w:shd w:val="clear" w:color="auto" w:fill="F2F2F2"/>
          </w:tcPr>
          <w:p w:rsidR="00762F33" w:rsidRPr="00141C35" w:rsidRDefault="00762F33" w:rsidP="00634251">
            <w:pPr>
              <w:pStyle w:val="TableText"/>
              <w:jc w:val="center"/>
            </w:pPr>
            <w:r>
              <w:t>0.</w:t>
            </w:r>
            <w:r w:rsidR="00634251">
              <w:t>350</w:t>
            </w:r>
            <w:r>
              <w:t>%</w:t>
            </w:r>
          </w:p>
        </w:tc>
        <w:tc>
          <w:tcPr>
            <w:tcW w:w="1491" w:type="dxa"/>
            <w:tcBorders>
              <w:top w:val="single" w:sz="8" w:space="0" w:color="FFFFFF"/>
              <w:left w:val="single" w:sz="8" w:space="0" w:color="FFFFFF"/>
              <w:right w:val="single" w:sz="8" w:space="0" w:color="FFFFFF"/>
            </w:tcBorders>
            <w:shd w:val="clear" w:color="auto" w:fill="F2F2F2"/>
          </w:tcPr>
          <w:p w:rsidR="00762F33" w:rsidRPr="00141C35" w:rsidRDefault="00762F33" w:rsidP="00634251">
            <w:pPr>
              <w:pStyle w:val="TableText"/>
              <w:jc w:val="center"/>
            </w:pPr>
            <w:r>
              <w:t>0.</w:t>
            </w:r>
            <w:r w:rsidR="00634251">
              <w:t>365</w:t>
            </w:r>
            <w:r>
              <w:t>%</w:t>
            </w:r>
          </w:p>
        </w:tc>
        <w:tc>
          <w:tcPr>
            <w:tcW w:w="1491" w:type="dxa"/>
            <w:tcBorders>
              <w:top w:val="single" w:sz="8" w:space="0" w:color="FFFFFF"/>
              <w:left w:val="single" w:sz="8" w:space="0" w:color="FFFFFF"/>
              <w:right w:val="single" w:sz="8" w:space="0" w:color="FFFFFF"/>
            </w:tcBorders>
            <w:shd w:val="clear" w:color="auto" w:fill="F2F2F2"/>
            <w:noWrap/>
          </w:tcPr>
          <w:p w:rsidR="00762F33" w:rsidRPr="00141C35" w:rsidRDefault="00762F33" w:rsidP="00762F33">
            <w:pPr>
              <w:pStyle w:val="TableText"/>
              <w:jc w:val="center"/>
            </w:pPr>
            <w:r>
              <w:t>0.737%</w:t>
            </w:r>
          </w:p>
        </w:tc>
        <w:tc>
          <w:tcPr>
            <w:tcW w:w="1491" w:type="dxa"/>
            <w:tcBorders>
              <w:top w:val="single" w:sz="8" w:space="0" w:color="FFFFFF"/>
              <w:left w:val="single" w:sz="8" w:space="0" w:color="FFFFFF"/>
            </w:tcBorders>
            <w:shd w:val="clear" w:color="auto" w:fill="F2F2F2"/>
          </w:tcPr>
          <w:p w:rsidR="00762F33" w:rsidRPr="00141C35" w:rsidRDefault="00762F33" w:rsidP="006020A9">
            <w:pPr>
              <w:pStyle w:val="TableText"/>
              <w:jc w:val="center"/>
            </w:pPr>
            <w:r>
              <w:t>0.991%</w:t>
            </w:r>
          </w:p>
        </w:tc>
      </w:tr>
      <w:tr w:rsidR="00762F33" w:rsidRPr="009F47FB" w:rsidTr="006020A9">
        <w:trPr>
          <w:cantSplit/>
        </w:trPr>
        <w:tc>
          <w:tcPr>
            <w:tcW w:w="1491" w:type="dxa"/>
            <w:tcBorders>
              <w:top w:val="single" w:sz="8" w:space="0" w:color="FFFFFF"/>
              <w:right w:val="single" w:sz="8" w:space="0" w:color="FFFFFF"/>
            </w:tcBorders>
            <w:shd w:val="clear" w:color="auto" w:fill="F2F2F2"/>
            <w:noWrap/>
          </w:tcPr>
          <w:p w:rsidR="00762F33" w:rsidRPr="009F47FB" w:rsidRDefault="00762F33" w:rsidP="00762F33">
            <w:pPr>
              <w:pStyle w:val="TableText"/>
              <w:jc w:val="center"/>
            </w:pPr>
            <w:r>
              <w:t>69</w:t>
            </w:r>
          </w:p>
        </w:tc>
        <w:tc>
          <w:tcPr>
            <w:tcW w:w="1491" w:type="dxa"/>
            <w:tcBorders>
              <w:top w:val="single" w:sz="8" w:space="0" w:color="FFFFFF"/>
              <w:left w:val="single" w:sz="8" w:space="0" w:color="FFFFFF"/>
              <w:right w:val="single" w:sz="8" w:space="0" w:color="FFFFFF"/>
            </w:tcBorders>
            <w:shd w:val="clear" w:color="auto" w:fill="F2F2F2"/>
          </w:tcPr>
          <w:p w:rsidR="00762F33" w:rsidRPr="00141C35" w:rsidRDefault="00762F33" w:rsidP="00634251">
            <w:pPr>
              <w:pStyle w:val="TableText"/>
              <w:jc w:val="center"/>
            </w:pPr>
            <w:r>
              <w:t>0.</w:t>
            </w:r>
            <w:r w:rsidR="00634251">
              <w:t>379</w:t>
            </w:r>
            <w:r>
              <w:t>%</w:t>
            </w:r>
          </w:p>
        </w:tc>
        <w:tc>
          <w:tcPr>
            <w:tcW w:w="1491" w:type="dxa"/>
            <w:tcBorders>
              <w:top w:val="single" w:sz="8" w:space="0" w:color="FFFFFF"/>
              <w:left w:val="single" w:sz="8" w:space="0" w:color="FFFFFF"/>
              <w:right w:val="single" w:sz="8" w:space="0" w:color="FFFFFF"/>
            </w:tcBorders>
            <w:shd w:val="clear" w:color="auto" w:fill="F2F2F2"/>
          </w:tcPr>
          <w:p w:rsidR="00762F33" w:rsidRPr="00141C35" w:rsidRDefault="00762F33" w:rsidP="00634251">
            <w:pPr>
              <w:pStyle w:val="TableText"/>
              <w:jc w:val="center"/>
            </w:pPr>
            <w:r>
              <w:t>0.</w:t>
            </w:r>
            <w:r w:rsidR="00634251">
              <w:t>405</w:t>
            </w:r>
            <w:r>
              <w:t>%</w:t>
            </w:r>
          </w:p>
        </w:tc>
        <w:tc>
          <w:tcPr>
            <w:tcW w:w="1491" w:type="dxa"/>
            <w:tcBorders>
              <w:top w:val="single" w:sz="8" w:space="0" w:color="FFFFFF"/>
              <w:left w:val="single" w:sz="8" w:space="0" w:color="FFFFFF"/>
              <w:right w:val="single" w:sz="8" w:space="0" w:color="FFFFFF"/>
            </w:tcBorders>
            <w:shd w:val="clear" w:color="auto" w:fill="F2F2F2"/>
            <w:noWrap/>
          </w:tcPr>
          <w:p w:rsidR="00762F33" w:rsidRPr="00141C35" w:rsidRDefault="00762F33" w:rsidP="006020A9">
            <w:pPr>
              <w:pStyle w:val="TableText"/>
              <w:jc w:val="center"/>
            </w:pPr>
            <w:r>
              <w:t>0.748%</w:t>
            </w:r>
          </w:p>
        </w:tc>
        <w:tc>
          <w:tcPr>
            <w:tcW w:w="1491" w:type="dxa"/>
            <w:tcBorders>
              <w:top w:val="single" w:sz="8" w:space="0" w:color="FFFFFF"/>
              <w:left w:val="single" w:sz="8" w:space="0" w:color="FFFFFF"/>
            </w:tcBorders>
            <w:shd w:val="clear" w:color="auto" w:fill="F2F2F2"/>
          </w:tcPr>
          <w:p w:rsidR="00762F33" w:rsidRPr="00141C35" w:rsidRDefault="00762F33" w:rsidP="006020A9">
            <w:pPr>
              <w:pStyle w:val="TableText"/>
              <w:jc w:val="center"/>
            </w:pPr>
            <w:r>
              <w:t>1.038%</w:t>
            </w:r>
          </w:p>
        </w:tc>
      </w:tr>
      <w:tr w:rsidR="00BC721D" w:rsidRPr="009F47FB" w:rsidTr="00BC721D">
        <w:trPr>
          <w:cantSplit/>
        </w:trPr>
        <w:tc>
          <w:tcPr>
            <w:tcW w:w="1491" w:type="dxa"/>
            <w:tcBorders>
              <w:top w:val="single" w:sz="8" w:space="0" w:color="FFFFFF"/>
              <w:right w:val="single" w:sz="8" w:space="0" w:color="FFFFFF"/>
            </w:tcBorders>
            <w:shd w:val="clear" w:color="auto" w:fill="F2F2F2"/>
            <w:noWrap/>
          </w:tcPr>
          <w:p w:rsidR="00BC721D" w:rsidRPr="009F47FB" w:rsidRDefault="00BC721D" w:rsidP="006020A9">
            <w:pPr>
              <w:pStyle w:val="TableText"/>
              <w:jc w:val="center"/>
            </w:pPr>
            <w:r>
              <w:t>70</w:t>
            </w:r>
          </w:p>
        </w:tc>
        <w:tc>
          <w:tcPr>
            <w:tcW w:w="1491" w:type="dxa"/>
            <w:tcBorders>
              <w:top w:val="single" w:sz="8" w:space="0" w:color="FFFFFF"/>
              <w:left w:val="single" w:sz="8" w:space="0" w:color="FFFFFF"/>
              <w:right w:val="single" w:sz="8" w:space="0" w:color="FFFFFF"/>
            </w:tcBorders>
            <w:shd w:val="clear" w:color="auto" w:fill="F2F2F2"/>
          </w:tcPr>
          <w:p w:rsidR="00BC721D" w:rsidRPr="00141C35" w:rsidRDefault="00BC721D" w:rsidP="00BC721D">
            <w:pPr>
              <w:pStyle w:val="TableText"/>
              <w:jc w:val="center"/>
            </w:pPr>
            <w:r>
              <w:t>0.411%</w:t>
            </w:r>
          </w:p>
        </w:tc>
        <w:tc>
          <w:tcPr>
            <w:tcW w:w="1491" w:type="dxa"/>
            <w:tcBorders>
              <w:top w:val="single" w:sz="8" w:space="0" w:color="FFFFFF"/>
              <w:left w:val="single" w:sz="8" w:space="0" w:color="FFFFFF"/>
              <w:right w:val="single" w:sz="8" w:space="0" w:color="FFFFFF"/>
            </w:tcBorders>
            <w:shd w:val="clear" w:color="auto" w:fill="F2F2F2"/>
          </w:tcPr>
          <w:p w:rsidR="00BC721D" w:rsidRPr="00141C35" w:rsidRDefault="00BC721D" w:rsidP="00634251">
            <w:pPr>
              <w:pStyle w:val="TableText"/>
              <w:jc w:val="center"/>
            </w:pPr>
            <w:r>
              <w:t>0.</w:t>
            </w:r>
            <w:r w:rsidR="00634251">
              <w:t>450</w:t>
            </w:r>
            <w:r>
              <w:t>%</w:t>
            </w:r>
          </w:p>
        </w:tc>
        <w:tc>
          <w:tcPr>
            <w:tcW w:w="1491" w:type="dxa"/>
            <w:tcBorders>
              <w:top w:val="single" w:sz="8" w:space="0" w:color="FFFFFF"/>
              <w:left w:val="single" w:sz="8" w:space="0" w:color="FFFFFF"/>
              <w:right w:val="single" w:sz="8" w:space="0" w:color="FFFFFF"/>
            </w:tcBorders>
            <w:shd w:val="clear" w:color="auto" w:fill="F2F2F2"/>
            <w:noWrap/>
          </w:tcPr>
          <w:p w:rsidR="00BC721D" w:rsidRPr="00141C35" w:rsidRDefault="00762F33" w:rsidP="00762F33">
            <w:pPr>
              <w:pStyle w:val="TableText"/>
              <w:jc w:val="center"/>
            </w:pPr>
            <w:r>
              <w:t>-</w:t>
            </w:r>
          </w:p>
        </w:tc>
        <w:tc>
          <w:tcPr>
            <w:tcW w:w="1491" w:type="dxa"/>
            <w:tcBorders>
              <w:top w:val="single" w:sz="8" w:space="0" w:color="FFFFFF"/>
              <w:left w:val="single" w:sz="8" w:space="0" w:color="FFFFFF"/>
            </w:tcBorders>
            <w:shd w:val="clear" w:color="auto" w:fill="F2F2F2"/>
          </w:tcPr>
          <w:p w:rsidR="00BC721D" w:rsidRPr="00141C35" w:rsidRDefault="00762F33" w:rsidP="00762F33">
            <w:pPr>
              <w:pStyle w:val="TableText"/>
              <w:jc w:val="center"/>
            </w:pPr>
            <w:r>
              <w:t>-</w:t>
            </w:r>
          </w:p>
        </w:tc>
      </w:tr>
    </w:tbl>
    <w:p w:rsidR="00394AD2" w:rsidRPr="00676991" w:rsidRDefault="00394AD2" w:rsidP="00394AD2">
      <w:pPr>
        <w:rPr>
          <w:highlight w:val="yellow"/>
        </w:rPr>
      </w:pPr>
    </w:p>
    <w:p w:rsidR="00394AD2" w:rsidRPr="00EF6DD9" w:rsidRDefault="00783E46" w:rsidP="00394AD2">
      <w:pPr>
        <w:pStyle w:val="Heading3"/>
      </w:pPr>
      <w:r>
        <w:t xml:space="preserve">Invalidity </w:t>
      </w:r>
      <w:r w:rsidR="00394AD2">
        <w:t>Pensioner Mortality Rates</w:t>
      </w:r>
    </w:p>
    <w:p w:rsidR="00394AD2" w:rsidRDefault="00394AD2" w:rsidP="00394AD2">
      <w:pPr>
        <w:rPr>
          <w:szCs w:val="22"/>
        </w:rPr>
      </w:pPr>
    </w:p>
    <w:tbl>
      <w:tblPr>
        <w:tblW w:w="4247" w:type="dxa"/>
        <w:tblInd w:w="93"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491"/>
        <w:gridCol w:w="1378"/>
        <w:gridCol w:w="1378"/>
      </w:tblGrid>
      <w:tr w:rsidR="00783E46" w:rsidRPr="006B79AD" w:rsidTr="00783E46">
        <w:trPr>
          <w:cantSplit/>
          <w:trHeight w:val="188"/>
          <w:tblHeader/>
        </w:trPr>
        <w:tc>
          <w:tcPr>
            <w:tcW w:w="1491" w:type="dxa"/>
            <w:shd w:val="clear" w:color="auto" w:fill="00A8C8"/>
            <w:hideMark/>
          </w:tcPr>
          <w:p w:rsidR="00783E46" w:rsidRPr="006B79AD" w:rsidRDefault="00783E46" w:rsidP="0074307F">
            <w:pPr>
              <w:pStyle w:val="TableHeadingText"/>
              <w:jc w:val="center"/>
              <w:rPr>
                <w:caps w:val="0"/>
                <w:lang w:val="en-US"/>
              </w:rPr>
            </w:pPr>
            <w:r w:rsidRPr="006B79AD">
              <w:rPr>
                <w:caps w:val="0"/>
                <w:lang w:val="en-US"/>
              </w:rPr>
              <w:t>Age</w:t>
            </w:r>
          </w:p>
        </w:tc>
        <w:tc>
          <w:tcPr>
            <w:tcW w:w="1378" w:type="dxa"/>
            <w:shd w:val="clear" w:color="auto" w:fill="00A8C8"/>
          </w:tcPr>
          <w:p w:rsidR="00783E46" w:rsidRPr="006B79AD" w:rsidRDefault="00783E46" w:rsidP="0074307F">
            <w:pPr>
              <w:pStyle w:val="TableHeadingText"/>
              <w:jc w:val="center"/>
              <w:rPr>
                <w:caps w:val="0"/>
                <w:lang w:val="en-US"/>
              </w:rPr>
            </w:pPr>
            <w:r>
              <w:rPr>
                <w:caps w:val="0"/>
                <w:lang w:val="en-US"/>
              </w:rPr>
              <w:t>Male</w:t>
            </w:r>
          </w:p>
        </w:tc>
        <w:tc>
          <w:tcPr>
            <w:tcW w:w="1378" w:type="dxa"/>
            <w:shd w:val="clear" w:color="auto" w:fill="00A8C8"/>
          </w:tcPr>
          <w:p w:rsidR="00783E46" w:rsidRPr="006B79AD" w:rsidRDefault="00783E46" w:rsidP="0074307F">
            <w:pPr>
              <w:pStyle w:val="TableHeadingText"/>
              <w:jc w:val="center"/>
              <w:rPr>
                <w:caps w:val="0"/>
                <w:lang w:val="en-US"/>
              </w:rPr>
            </w:pPr>
            <w:r>
              <w:rPr>
                <w:caps w:val="0"/>
                <w:lang w:val="en-US"/>
              </w:rPr>
              <w:t>Female</w:t>
            </w:r>
          </w:p>
        </w:tc>
      </w:tr>
      <w:tr w:rsidR="00853175" w:rsidRPr="009F47FB" w:rsidTr="00B83FE4">
        <w:trPr>
          <w:cantSplit/>
        </w:trPr>
        <w:tc>
          <w:tcPr>
            <w:tcW w:w="1491" w:type="dxa"/>
            <w:shd w:val="clear" w:color="auto" w:fill="F2F2F2"/>
            <w:noWrap/>
            <w:hideMark/>
          </w:tcPr>
          <w:p w:rsidR="00853175" w:rsidRPr="009F47FB" w:rsidRDefault="00853175" w:rsidP="00853175">
            <w:pPr>
              <w:pStyle w:val="TableText"/>
              <w:jc w:val="center"/>
            </w:pPr>
            <w:r>
              <w:t>50</w:t>
            </w:r>
          </w:p>
        </w:tc>
        <w:tc>
          <w:tcPr>
            <w:tcW w:w="1378" w:type="dxa"/>
            <w:shd w:val="clear" w:color="auto" w:fill="F2F2F2"/>
          </w:tcPr>
          <w:p w:rsidR="00853175" w:rsidRPr="00141C35" w:rsidRDefault="00853175" w:rsidP="00B83FE4">
            <w:pPr>
              <w:pStyle w:val="TableText"/>
              <w:jc w:val="center"/>
            </w:pPr>
            <w:r>
              <w:t>0.185%</w:t>
            </w:r>
          </w:p>
        </w:tc>
        <w:tc>
          <w:tcPr>
            <w:tcW w:w="1378" w:type="dxa"/>
            <w:shd w:val="clear" w:color="auto" w:fill="F2F2F2"/>
          </w:tcPr>
          <w:p w:rsidR="00853175" w:rsidRPr="00141C35" w:rsidRDefault="00853175" w:rsidP="00B83FE4">
            <w:pPr>
              <w:pStyle w:val="TableText"/>
              <w:jc w:val="center"/>
            </w:pPr>
            <w:r>
              <w:t>0.191%</w:t>
            </w:r>
          </w:p>
        </w:tc>
      </w:tr>
      <w:tr w:rsidR="00783E46" w:rsidRPr="009F47FB" w:rsidTr="00783E46">
        <w:trPr>
          <w:cantSplit/>
        </w:trPr>
        <w:tc>
          <w:tcPr>
            <w:tcW w:w="1491" w:type="dxa"/>
            <w:shd w:val="clear" w:color="auto" w:fill="F2F2F2"/>
            <w:noWrap/>
            <w:hideMark/>
          </w:tcPr>
          <w:p w:rsidR="00783E46" w:rsidRPr="009F47FB" w:rsidRDefault="00783E46" w:rsidP="0074307F">
            <w:pPr>
              <w:pStyle w:val="TableText"/>
              <w:jc w:val="center"/>
            </w:pPr>
            <w:r>
              <w:t>55</w:t>
            </w:r>
          </w:p>
        </w:tc>
        <w:tc>
          <w:tcPr>
            <w:tcW w:w="1378" w:type="dxa"/>
            <w:shd w:val="clear" w:color="auto" w:fill="F2F2F2"/>
          </w:tcPr>
          <w:p w:rsidR="00783E46" w:rsidRPr="00141C35" w:rsidRDefault="00783E46" w:rsidP="00C719D1">
            <w:pPr>
              <w:pStyle w:val="TableText"/>
              <w:jc w:val="center"/>
            </w:pPr>
            <w:r>
              <w:t>0.291%</w:t>
            </w:r>
          </w:p>
        </w:tc>
        <w:tc>
          <w:tcPr>
            <w:tcW w:w="1378" w:type="dxa"/>
            <w:shd w:val="clear" w:color="auto" w:fill="F2F2F2"/>
          </w:tcPr>
          <w:p w:rsidR="00783E46" w:rsidRPr="00141C35" w:rsidRDefault="00783E46" w:rsidP="00C719D1">
            <w:pPr>
              <w:pStyle w:val="TableText"/>
              <w:jc w:val="center"/>
            </w:pPr>
            <w:r>
              <w:t>0.325%</w:t>
            </w:r>
          </w:p>
        </w:tc>
      </w:tr>
      <w:tr w:rsidR="00783E46" w:rsidRPr="009F47FB" w:rsidTr="00783E46">
        <w:trPr>
          <w:cantSplit/>
        </w:trPr>
        <w:tc>
          <w:tcPr>
            <w:tcW w:w="1491" w:type="dxa"/>
            <w:shd w:val="clear" w:color="auto" w:fill="F2F2F2"/>
            <w:noWrap/>
          </w:tcPr>
          <w:p w:rsidR="00783E46" w:rsidRPr="009F47FB" w:rsidRDefault="00783E46" w:rsidP="0074307F">
            <w:pPr>
              <w:pStyle w:val="TableText"/>
              <w:jc w:val="center"/>
            </w:pPr>
            <w:r>
              <w:t>60</w:t>
            </w:r>
          </w:p>
        </w:tc>
        <w:tc>
          <w:tcPr>
            <w:tcW w:w="1378" w:type="dxa"/>
            <w:shd w:val="clear" w:color="auto" w:fill="F2F2F2"/>
          </w:tcPr>
          <w:p w:rsidR="00783E46" w:rsidRPr="00141C35" w:rsidRDefault="00783E46" w:rsidP="00C719D1">
            <w:pPr>
              <w:pStyle w:val="TableText"/>
              <w:jc w:val="center"/>
            </w:pPr>
            <w:r>
              <w:t>0.519%</w:t>
            </w:r>
          </w:p>
        </w:tc>
        <w:tc>
          <w:tcPr>
            <w:tcW w:w="1378" w:type="dxa"/>
            <w:shd w:val="clear" w:color="auto" w:fill="F2F2F2"/>
          </w:tcPr>
          <w:p w:rsidR="00783E46" w:rsidRPr="00141C35" w:rsidRDefault="00783E46" w:rsidP="00C719D1">
            <w:pPr>
              <w:pStyle w:val="TableText"/>
              <w:jc w:val="center"/>
            </w:pPr>
            <w:r>
              <w:t>0.530%</w:t>
            </w:r>
          </w:p>
        </w:tc>
      </w:tr>
      <w:tr w:rsidR="00783E46" w:rsidRPr="009F47FB" w:rsidTr="00783E46">
        <w:trPr>
          <w:cantSplit/>
        </w:trPr>
        <w:tc>
          <w:tcPr>
            <w:tcW w:w="1491" w:type="dxa"/>
            <w:shd w:val="clear" w:color="auto" w:fill="F2F2F2"/>
            <w:noWrap/>
          </w:tcPr>
          <w:p w:rsidR="00783E46" w:rsidRPr="009F47FB" w:rsidRDefault="00783E46" w:rsidP="0074307F">
            <w:pPr>
              <w:pStyle w:val="TableText"/>
              <w:jc w:val="center"/>
            </w:pPr>
            <w:r>
              <w:t>65</w:t>
            </w:r>
          </w:p>
        </w:tc>
        <w:tc>
          <w:tcPr>
            <w:tcW w:w="1378" w:type="dxa"/>
            <w:shd w:val="clear" w:color="auto" w:fill="F2F2F2"/>
          </w:tcPr>
          <w:p w:rsidR="00783E46" w:rsidRPr="00141C35" w:rsidRDefault="00783E46" w:rsidP="00C719D1">
            <w:pPr>
              <w:pStyle w:val="TableText"/>
              <w:jc w:val="center"/>
            </w:pPr>
            <w:r>
              <w:t>0.973%</w:t>
            </w:r>
          </w:p>
        </w:tc>
        <w:tc>
          <w:tcPr>
            <w:tcW w:w="1378" w:type="dxa"/>
            <w:shd w:val="clear" w:color="auto" w:fill="F2F2F2"/>
          </w:tcPr>
          <w:p w:rsidR="00783E46" w:rsidRPr="00141C35" w:rsidRDefault="00783E46" w:rsidP="00C719D1">
            <w:pPr>
              <w:pStyle w:val="TableText"/>
              <w:jc w:val="center"/>
            </w:pPr>
            <w:r>
              <w:t>0.874%</w:t>
            </w:r>
          </w:p>
        </w:tc>
      </w:tr>
    </w:tbl>
    <w:p w:rsidR="00394AD2" w:rsidRDefault="00394AD2" w:rsidP="00394AD2"/>
    <w:p w:rsidR="0002094E" w:rsidRPr="00676991" w:rsidRDefault="0002094E" w:rsidP="0002094E">
      <w:pPr>
        <w:pStyle w:val="Heading3"/>
      </w:pPr>
      <w:r>
        <w:t>Proportion Married</w:t>
      </w:r>
    </w:p>
    <w:p w:rsidR="00507780" w:rsidRDefault="00507780" w:rsidP="00394AD2">
      <w:pPr>
        <w:rPr>
          <w:szCs w:val="22"/>
        </w:rPr>
      </w:pPr>
    </w:p>
    <w:tbl>
      <w:tblPr>
        <w:tblW w:w="4473" w:type="dxa"/>
        <w:tblInd w:w="93"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491"/>
        <w:gridCol w:w="1491"/>
        <w:gridCol w:w="1491"/>
      </w:tblGrid>
      <w:tr w:rsidR="00394AD2" w:rsidRPr="008B6F35" w:rsidTr="0074307F">
        <w:trPr>
          <w:cantSplit/>
          <w:tblHeader/>
        </w:trPr>
        <w:tc>
          <w:tcPr>
            <w:tcW w:w="1491" w:type="dxa"/>
            <w:shd w:val="clear" w:color="auto" w:fill="00A8C8"/>
            <w:noWrap/>
            <w:hideMark/>
          </w:tcPr>
          <w:p w:rsidR="00394AD2" w:rsidRPr="008B6F35" w:rsidRDefault="00394AD2" w:rsidP="0074307F">
            <w:pPr>
              <w:pStyle w:val="TableHeadingText"/>
              <w:jc w:val="center"/>
              <w:rPr>
                <w:caps w:val="0"/>
              </w:rPr>
            </w:pPr>
            <w:r w:rsidRPr="008B6F35">
              <w:rPr>
                <w:caps w:val="0"/>
              </w:rPr>
              <w:t>Age</w:t>
            </w:r>
          </w:p>
        </w:tc>
        <w:tc>
          <w:tcPr>
            <w:tcW w:w="1491" w:type="dxa"/>
            <w:shd w:val="clear" w:color="auto" w:fill="00A8C8"/>
          </w:tcPr>
          <w:p w:rsidR="00394AD2" w:rsidRPr="008B6F35" w:rsidRDefault="00394AD2" w:rsidP="0074307F">
            <w:pPr>
              <w:pStyle w:val="TableHeadingText"/>
              <w:jc w:val="center"/>
              <w:rPr>
                <w:caps w:val="0"/>
              </w:rPr>
            </w:pPr>
            <w:r>
              <w:rPr>
                <w:caps w:val="0"/>
              </w:rPr>
              <w:t>Male</w:t>
            </w:r>
          </w:p>
        </w:tc>
        <w:tc>
          <w:tcPr>
            <w:tcW w:w="1491" w:type="dxa"/>
            <w:shd w:val="clear" w:color="auto" w:fill="00A8C8"/>
          </w:tcPr>
          <w:p w:rsidR="00394AD2" w:rsidRPr="008B6F35" w:rsidRDefault="00394AD2" w:rsidP="0074307F">
            <w:pPr>
              <w:pStyle w:val="TableHeadingText"/>
              <w:jc w:val="center"/>
              <w:rPr>
                <w:caps w:val="0"/>
              </w:rPr>
            </w:pPr>
            <w:r>
              <w:rPr>
                <w:caps w:val="0"/>
              </w:rPr>
              <w:t>Female</w:t>
            </w:r>
          </w:p>
        </w:tc>
      </w:tr>
      <w:tr w:rsidR="00C32128" w:rsidRPr="008B6F35" w:rsidTr="0074307F">
        <w:trPr>
          <w:cantSplit/>
        </w:trPr>
        <w:tc>
          <w:tcPr>
            <w:tcW w:w="1491" w:type="dxa"/>
            <w:shd w:val="clear" w:color="auto" w:fill="F2F2F2"/>
            <w:noWrap/>
          </w:tcPr>
          <w:p w:rsidR="00C32128" w:rsidRPr="008B6F35" w:rsidRDefault="00C32128" w:rsidP="0074307F">
            <w:pPr>
              <w:pStyle w:val="TableText"/>
              <w:jc w:val="center"/>
            </w:pPr>
            <w:r w:rsidRPr="008B6F35">
              <w:t>60</w:t>
            </w:r>
          </w:p>
        </w:tc>
        <w:tc>
          <w:tcPr>
            <w:tcW w:w="1491" w:type="dxa"/>
            <w:shd w:val="clear" w:color="auto" w:fill="F2F2F2"/>
          </w:tcPr>
          <w:p w:rsidR="00C32128" w:rsidRPr="00C705E1" w:rsidRDefault="00C32128" w:rsidP="003A4848">
            <w:pPr>
              <w:pStyle w:val="TableText"/>
              <w:jc w:val="center"/>
            </w:pPr>
            <w:r>
              <w:t>95</w:t>
            </w:r>
            <w:r w:rsidRPr="00C705E1">
              <w:t>.0%</w:t>
            </w:r>
          </w:p>
        </w:tc>
        <w:tc>
          <w:tcPr>
            <w:tcW w:w="1491" w:type="dxa"/>
            <w:shd w:val="clear" w:color="auto" w:fill="F2F2F2"/>
          </w:tcPr>
          <w:p w:rsidR="00C32128" w:rsidRPr="00C705E1" w:rsidRDefault="00C32128" w:rsidP="003A4848">
            <w:pPr>
              <w:pStyle w:val="TableText"/>
              <w:jc w:val="center"/>
            </w:pPr>
            <w:r>
              <w:t>95</w:t>
            </w:r>
            <w:r w:rsidRPr="00C705E1">
              <w:t>.0%</w:t>
            </w:r>
          </w:p>
        </w:tc>
      </w:tr>
      <w:tr w:rsidR="00394AD2" w:rsidRPr="008B6F35" w:rsidTr="0074307F">
        <w:trPr>
          <w:cantSplit/>
        </w:trPr>
        <w:tc>
          <w:tcPr>
            <w:tcW w:w="1491" w:type="dxa"/>
            <w:shd w:val="clear" w:color="auto" w:fill="F2F2F2"/>
            <w:noWrap/>
          </w:tcPr>
          <w:p w:rsidR="00394AD2" w:rsidRPr="008B6F35" w:rsidRDefault="00394AD2" w:rsidP="0074307F">
            <w:pPr>
              <w:pStyle w:val="TableText"/>
              <w:jc w:val="center"/>
            </w:pPr>
            <w:r w:rsidRPr="008B6F35">
              <w:t>70</w:t>
            </w:r>
          </w:p>
        </w:tc>
        <w:tc>
          <w:tcPr>
            <w:tcW w:w="1491" w:type="dxa"/>
            <w:shd w:val="clear" w:color="auto" w:fill="F2F2F2"/>
          </w:tcPr>
          <w:p w:rsidR="00394AD2" w:rsidRPr="00C705E1" w:rsidRDefault="00C32128" w:rsidP="0074307F">
            <w:pPr>
              <w:pStyle w:val="TableText"/>
              <w:jc w:val="center"/>
            </w:pPr>
            <w:r>
              <w:t>94.4</w:t>
            </w:r>
            <w:r w:rsidR="00394AD2" w:rsidRPr="00C705E1">
              <w:t>%</w:t>
            </w:r>
          </w:p>
        </w:tc>
        <w:tc>
          <w:tcPr>
            <w:tcW w:w="1491" w:type="dxa"/>
            <w:shd w:val="clear" w:color="auto" w:fill="F2F2F2"/>
          </w:tcPr>
          <w:p w:rsidR="00394AD2" w:rsidRPr="00C705E1" w:rsidRDefault="00C32128" w:rsidP="0074307F">
            <w:pPr>
              <w:pStyle w:val="TableText"/>
              <w:jc w:val="center"/>
            </w:pPr>
            <w:r>
              <w:t>88.5</w:t>
            </w:r>
            <w:r w:rsidR="00394AD2" w:rsidRPr="00C705E1">
              <w:t>%</w:t>
            </w:r>
          </w:p>
        </w:tc>
      </w:tr>
      <w:tr w:rsidR="00394AD2" w:rsidRPr="008B6F35" w:rsidTr="0074307F">
        <w:trPr>
          <w:cantSplit/>
        </w:trPr>
        <w:tc>
          <w:tcPr>
            <w:tcW w:w="1491" w:type="dxa"/>
            <w:shd w:val="clear" w:color="auto" w:fill="F2F2F2"/>
            <w:noWrap/>
          </w:tcPr>
          <w:p w:rsidR="00394AD2" w:rsidRPr="008B6F35" w:rsidRDefault="00394AD2" w:rsidP="0074307F">
            <w:pPr>
              <w:pStyle w:val="TableText"/>
              <w:jc w:val="center"/>
            </w:pPr>
            <w:r w:rsidRPr="008B6F35">
              <w:t>80</w:t>
            </w:r>
          </w:p>
        </w:tc>
        <w:tc>
          <w:tcPr>
            <w:tcW w:w="1491" w:type="dxa"/>
            <w:shd w:val="clear" w:color="auto" w:fill="F2F2F2"/>
          </w:tcPr>
          <w:p w:rsidR="00394AD2" w:rsidRPr="00C705E1" w:rsidRDefault="00C32128" w:rsidP="0074307F">
            <w:pPr>
              <w:pStyle w:val="TableText"/>
              <w:jc w:val="center"/>
            </w:pPr>
            <w:r>
              <w:t>84.4</w:t>
            </w:r>
            <w:r w:rsidR="00394AD2" w:rsidRPr="00C705E1">
              <w:t>%</w:t>
            </w:r>
          </w:p>
        </w:tc>
        <w:tc>
          <w:tcPr>
            <w:tcW w:w="1491" w:type="dxa"/>
            <w:shd w:val="clear" w:color="auto" w:fill="F2F2F2"/>
          </w:tcPr>
          <w:p w:rsidR="00394AD2" w:rsidRPr="00C705E1" w:rsidRDefault="00C32128" w:rsidP="0074307F">
            <w:pPr>
              <w:pStyle w:val="TableText"/>
              <w:jc w:val="center"/>
            </w:pPr>
            <w:r>
              <w:t>58.5</w:t>
            </w:r>
            <w:r w:rsidR="00394AD2" w:rsidRPr="00C705E1">
              <w:t>%</w:t>
            </w:r>
          </w:p>
        </w:tc>
      </w:tr>
      <w:tr w:rsidR="00394AD2" w:rsidRPr="008B6F35" w:rsidTr="0074307F">
        <w:trPr>
          <w:cantSplit/>
        </w:trPr>
        <w:tc>
          <w:tcPr>
            <w:tcW w:w="1491" w:type="dxa"/>
            <w:shd w:val="clear" w:color="auto" w:fill="F2F2F2"/>
            <w:noWrap/>
          </w:tcPr>
          <w:p w:rsidR="00394AD2" w:rsidRPr="008B6F35" w:rsidRDefault="00394AD2" w:rsidP="0074307F">
            <w:pPr>
              <w:pStyle w:val="TableText"/>
              <w:jc w:val="center"/>
            </w:pPr>
            <w:r w:rsidRPr="008B6F35">
              <w:t>90</w:t>
            </w:r>
          </w:p>
        </w:tc>
        <w:tc>
          <w:tcPr>
            <w:tcW w:w="1491" w:type="dxa"/>
            <w:shd w:val="clear" w:color="auto" w:fill="F2F2F2"/>
          </w:tcPr>
          <w:p w:rsidR="00394AD2" w:rsidRPr="00C705E1" w:rsidRDefault="00C32128" w:rsidP="0074307F">
            <w:pPr>
              <w:pStyle w:val="TableText"/>
              <w:jc w:val="center"/>
            </w:pPr>
            <w:r>
              <w:t>57.6</w:t>
            </w:r>
            <w:r w:rsidR="00394AD2" w:rsidRPr="00C705E1">
              <w:t>%</w:t>
            </w:r>
          </w:p>
        </w:tc>
        <w:tc>
          <w:tcPr>
            <w:tcW w:w="1491" w:type="dxa"/>
            <w:shd w:val="clear" w:color="auto" w:fill="F2F2F2"/>
          </w:tcPr>
          <w:p w:rsidR="00394AD2" w:rsidRPr="00C705E1" w:rsidRDefault="00C32128" w:rsidP="0074307F">
            <w:pPr>
              <w:pStyle w:val="TableText"/>
              <w:jc w:val="center"/>
            </w:pPr>
            <w:r>
              <w:t>13.5</w:t>
            </w:r>
            <w:r w:rsidR="00394AD2" w:rsidRPr="00C705E1">
              <w:t>%</w:t>
            </w:r>
          </w:p>
        </w:tc>
      </w:tr>
      <w:tr w:rsidR="00394AD2" w:rsidRPr="008B6F35" w:rsidTr="0074307F">
        <w:trPr>
          <w:cantSplit/>
        </w:trPr>
        <w:tc>
          <w:tcPr>
            <w:tcW w:w="1491" w:type="dxa"/>
            <w:shd w:val="clear" w:color="auto" w:fill="F2F2F2"/>
            <w:noWrap/>
          </w:tcPr>
          <w:p w:rsidR="00394AD2" w:rsidRPr="008B6F35" w:rsidRDefault="00394AD2" w:rsidP="0074307F">
            <w:pPr>
              <w:pStyle w:val="TableText"/>
              <w:jc w:val="center"/>
            </w:pPr>
            <w:r w:rsidRPr="008B6F35">
              <w:t>100</w:t>
            </w:r>
          </w:p>
        </w:tc>
        <w:tc>
          <w:tcPr>
            <w:tcW w:w="1491" w:type="dxa"/>
            <w:shd w:val="clear" w:color="auto" w:fill="F2F2F2"/>
          </w:tcPr>
          <w:p w:rsidR="00394AD2" w:rsidRPr="00C705E1" w:rsidRDefault="00394AD2" w:rsidP="00C32128">
            <w:pPr>
              <w:pStyle w:val="TableText"/>
              <w:jc w:val="center"/>
            </w:pPr>
            <w:r w:rsidRPr="00C705E1">
              <w:t>1</w:t>
            </w:r>
            <w:r w:rsidR="00C32128">
              <w:t>5.4</w:t>
            </w:r>
            <w:r w:rsidRPr="00C705E1">
              <w:t>%</w:t>
            </w:r>
          </w:p>
        </w:tc>
        <w:tc>
          <w:tcPr>
            <w:tcW w:w="1491" w:type="dxa"/>
            <w:shd w:val="clear" w:color="auto" w:fill="F2F2F2"/>
          </w:tcPr>
          <w:p w:rsidR="00394AD2" w:rsidRPr="00C705E1" w:rsidRDefault="00C32128" w:rsidP="0074307F">
            <w:pPr>
              <w:pStyle w:val="TableText"/>
              <w:jc w:val="center"/>
            </w:pPr>
            <w:r>
              <w:t>0.9</w:t>
            </w:r>
            <w:r w:rsidR="00394AD2" w:rsidRPr="00C705E1">
              <w:t>%</w:t>
            </w:r>
          </w:p>
        </w:tc>
      </w:tr>
    </w:tbl>
    <w:p w:rsidR="00A01CFA" w:rsidRDefault="00A01CFA" w:rsidP="00A01CFA">
      <w:pPr>
        <w:spacing w:line="240" w:lineRule="auto"/>
      </w:pPr>
    </w:p>
    <w:p w:rsidR="00A36B7F" w:rsidRDefault="006020A9" w:rsidP="006020A9">
      <w:pPr>
        <w:spacing w:line="240" w:lineRule="auto"/>
      </w:pPr>
      <w:r>
        <w:t>The above rates include allowance for same sex marriages.</w:t>
      </w:r>
    </w:p>
    <w:p w:rsidR="00A36B7F" w:rsidRDefault="00A36B7F" w:rsidP="006020A9">
      <w:pPr>
        <w:spacing w:line="240" w:lineRule="auto"/>
      </w:pPr>
    </w:p>
    <w:p w:rsidR="0002094E" w:rsidRPr="00676991" w:rsidRDefault="0002094E" w:rsidP="0002094E">
      <w:pPr>
        <w:pStyle w:val="Heading3"/>
      </w:pPr>
      <w:r>
        <w:t>Age Difference between Member and Spouse</w:t>
      </w:r>
    </w:p>
    <w:p w:rsidR="0002094E" w:rsidRDefault="0002094E" w:rsidP="0002094E"/>
    <w:p w:rsidR="00B83FE4" w:rsidRDefault="00B83FE4" w:rsidP="00B83FE4">
      <w:r>
        <w:t xml:space="preserve">It is assumed that male members are five years older than their spouse, and that female members are three years younger than their spouse. </w:t>
      </w:r>
    </w:p>
    <w:p w:rsidR="0002094E" w:rsidRPr="00DF489C" w:rsidRDefault="0002094E" w:rsidP="0002094E">
      <w:pPr>
        <w:pStyle w:val="Heading3"/>
      </w:pPr>
      <w:r w:rsidRPr="00DF489C">
        <w:t xml:space="preserve">Future New </w:t>
      </w:r>
      <w:r>
        <w:t>Entrants</w:t>
      </w:r>
    </w:p>
    <w:p w:rsidR="0002094E" w:rsidRDefault="0002094E" w:rsidP="0002094E"/>
    <w:p w:rsidR="0002094E" w:rsidRDefault="00810708" w:rsidP="0002094E">
      <w:r>
        <w:t xml:space="preserve">Each Judge exiting the Scheme is assumed to be replaced by a new entrant. </w:t>
      </w:r>
      <w:r w:rsidR="0002094E">
        <w:t>The ages at which new entrants join are assumed based on the following distribution:</w:t>
      </w:r>
    </w:p>
    <w:p w:rsidR="0002094E" w:rsidRDefault="0002094E" w:rsidP="0002094E">
      <w:pPr>
        <w:rPr>
          <w:szCs w:val="22"/>
        </w:rPr>
      </w:pPr>
    </w:p>
    <w:tbl>
      <w:tblPr>
        <w:tblW w:w="4473" w:type="dxa"/>
        <w:tblInd w:w="93"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491"/>
        <w:gridCol w:w="1491"/>
        <w:gridCol w:w="1491"/>
      </w:tblGrid>
      <w:tr w:rsidR="0002094E" w:rsidRPr="006B79AD" w:rsidTr="00B83FE4">
        <w:trPr>
          <w:cantSplit/>
          <w:trHeight w:val="187"/>
          <w:tblHeader/>
        </w:trPr>
        <w:tc>
          <w:tcPr>
            <w:tcW w:w="1491" w:type="dxa"/>
            <w:shd w:val="clear" w:color="auto" w:fill="00A8C8"/>
          </w:tcPr>
          <w:p w:rsidR="0002094E" w:rsidRPr="006B79AD" w:rsidRDefault="0002094E" w:rsidP="00B83FE4">
            <w:pPr>
              <w:pStyle w:val="TableHeadingText"/>
              <w:jc w:val="center"/>
              <w:rPr>
                <w:caps w:val="0"/>
                <w:lang w:val="en-US"/>
              </w:rPr>
            </w:pPr>
            <w:r>
              <w:rPr>
                <w:caps w:val="0"/>
                <w:lang w:val="en-US"/>
              </w:rPr>
              <w:t>Age</w:t>
            </w:r>
          </w:p>
        </w:tc>
        <w:tc>
          <w:tcPr>
            <w:tcW w:w="1491" w:type="dxa"/>
            <w:shd w:val="clear" w:color="auto" w:fill="00A8C8"/>
          </w:tcPr>
          <w:p w:rsidR="0002094E" w:rsidRPr="006B79AD" w:rsidRDefault="0002094E" w:rsidP="00B83FE4">
            <w:pPr>
              <w:pStyle w:val="TableHeadingText"/>
              <w:jc w:val="center"/>
              <w:rPr>
                <w:caps w:val="0"/>
                <w:lang w:val="en-US"/>
              </w:rPr>
            </w:pPr>
            <w:r w:rsidRPr="006B79AD">
              <w:rPr>
                <w:caps w:val="0"/>
                <w:lang w:val="en-US"/>
              </w:rPr>
              <w:t>Male</w:t>
            </w:r>
          </w:p>
        </w:tc>
        <w:tc>
          <w:tcPr>
            <w:tcW w:w="1491" w:type="dxa"/>
            <w:shd w:val="clear" w:color="auto" w:fill="00A8C8"/>
          </w:tcPr>
          <w:p w:rsidR="0002094E" w:rsidRPr="006B79AD" w:rsidRDefault="0002094E" w:rsidP="00B83FE4">
            <w:pPr>
              <w:pStyle w:val="TableHeadingText"/>
              <w:jc w:val="center"/>
              <w:rPr>
                <w:caps w:val="0"/>
                <w:lang w:val="en-US"/>
              </w:rPr>
            </w:pPr>
            <w:r w:rsidRPr="006B79AD">
              <w:rPr>
                <w:caps w:val="0"/>
                <w:lang w:val="en-US"/>
              </w:rPr>
              <w:t>Female</w:t>
            </w:r>
          </w:p>
        </w:tc>
      </w:tr>
      <w:tr w:rsidR="0002094E" w:rsidRPr="009F47FB" w:rsidTr="00B83FE4">
        <w:trPr>
          <w:cantSplit/>
        </w:trPr>
        <w:tc>
          <w:tcPr>
            <w:tcW w:w="1491" w:type="dxa"/>
            <w:shd w:val="clear" w:color="auto" w:fill="F2F2F2"/>
            <w:noWrap/>
          </w:tcPr>
          <w:p w:rsidR="0002094E" w:rsidRPr="009F47FB" w:rsidRDefault="0002094E" w:rsidP="00B83FE4">
            <w:pPr>
              <w:pStyle w:val="TableText"/>
              <w:jc w:val="center"/>
            </w:pPr>
            <w:r>
              <w:t>40</w:t>
            </w:r>
          </w:p>
        </w:tc>
        <w:tc>
          <w:tcPr>
            <w:tcW w:w="1491" w:type="dxa"/>
            <w:shd w:val="clear" w:color="auto" w:fill="F2F2F2"/>
          </w:tcPr>
          <w:p w:rsidR="0002094E" w:rsidRPr="00141C35" w:rsidRDefault="0002094E" w:rsidP="00B83FE4">
            <w:pPr>
              <w:pStyle w:val="TableText"/>
              <w:jc w:val="center"/>
            </w:pPr>
            <w:r>
              <w:t>6.4%</w:t>
            </w:r>
          </w:p>
        </w:tc>
        <w:tc>
          <w:tcPr>
            <w:tcW w:w="1491" w:type="dxa"/>
            <w:shd w:val="clear" w:color="auto" w:fill="F2F2F2"/>
          </w:tcPr>
          <w:p w:rsidR="0002094E" w:rsidRPr="00141C35" w:rsidRDefault="0002094E" w:rsidP="00B83FE4">
            <w:pPr>
              <w:pStyle w:val="TableText"/>
              <w:jc w:val="center"/>
            </w:pPr>
            <w:r>
              <w:t>4.3%</w:t>
            </w:r>
          </w:p>
        </w:tc>
      </w:tr>
      <w:tr w:rsidR="0002094E" w:rsidRPr="009F47FB" w:rsidTr="00B83FE4">
        <w:trPr>
          <w:cantSplit/>
        </w:trPr>
        <w:tc>
          <w:tcPr>
            <w:tcW w:w="1491" w:type="dxa"/>
            <w:shd w:val="clear" w:color="auto" w:fill="F2F2F2"/>
            <w:noWrap/>
          </w:tcPr>
          <w:p w:rsidR="0002094E" w:rsidRPr="009F47FB" w:rsidRDefault="0002094E" w:rsidP="00B83FE4">
            <w:pPr>
              <w:pStyle w:val="TableText"/>
              <w:jc w:val="center"/>
            </w:pPr>
            <w:r>
              <w:t>45</w:t>
            </w:r>
          </w:p>
        </w:tc>
        <w:tc>
          <w:tcPr>
            <w:tcW w:w="1491" w:type="dxa"/>
            <w:shd w:val="clear" w:color="auto" w:fill="F2F2F2"/>
          </w:tcPr>
          <w:p w:rsidR="0002094E" w:rsidRPr="00141C35" w:rsidRDefault="0002094E" w:rsidP="00B83FE4">
            <w:pPr>
              <w:pStyle w:val="TableText"/>
              <w:jc w:val="center"/>
            </w:pPr>
            <w:r>
              <w:t>13.2%</w:t>
            </w:r>
          </w:p>
        </w:tc>
        <w:tc>
          <w:tcPr>
            <w:tcW w:w="1491" w:type="dxa"/>
            <w:shd w:val="clear" w:color="auto" w:fill="F2F2F2"/>
          </w:tcPr>
          <w:p w:rsidR="0002094E" w:rsidRPr="00141C35" w:rsidRDefault="0002094E" w:rsidP="00B83FE4">
            <w:pPr>
              <w:pStyle w:val="TableText"/>
              <w:jc w:val="center"/>
            </w:pPr>
            <w:r>
              <w:t>8.8%</w:t>
            </w:r>
          </w:p>
        </w:tc>
      </w:tr>
      <w:tr w:rsidR="0002094E" w:rsidRPr="009F47FB" w:rsidTr="00B83FE4">
        <w:trPr>
          <w:cantSplit/>
        </w:trPr>
        <w:tc>
          <w:tcPr>
            <w:tcW w:w="1491" w:type="dxa"/>
            <w:shd w:val="clear" w:color="auto" w:fill="F2F2F2"/>
            <w:noWrap/>
          </w:tcPr>
          <w:p w:rsidR="0002094E" w:rsidRPr="009F47FB" w:rsidRDefault="0002094E" w:rsidP="00B83FE4">
            <w:pPr>
              <w:pStyle w:val="TableText"/>
              <w:jc w:val="center"/>
            </w:pPr>
            <w:r>
              <w:t>50</w:t>
            </w:r>
          </w:p>
        </w:tc>
        <w:tc>
          <w:tcPr>
            <w:tcW w:w="1491" w:type="dxa"/>
            <w:shd w:val="clear" w:color="auto" w:fill="F2F2F2"/>
          </w:tcPr>
          <w:p w:rsidR="0002094E" w:rsidRPr="00141C35" w:rsidRDefault="0002094E" w:rsidP="00B83FE4">
            <w:pPr>
              <w:pStyle w:val="TableText"/>
              <w:jc w:val="center"/>
            </w:pPr>
            <w:r>
              <w:t>18.0%</w:t>
            </w:r>
          </w:p>
        </w:tc>
        <w:tc>
          <w:tcPr>
            <w:tcW w:w="1491" w:type="dxa"/>
            <w:shd w:val="clear" w:color="auto" w:fill="F2F2F2"/>
          </w:tcPr>
          <w:p w:rsidR="0002094E" w:rsidRPr="00141C35" w:rsidRDefault="0002094E" w:rsidP="00B83FE4">
            <w:pPr>
              <w:pStyle w:val="TableText"/>
              <w:jc w:val="center"/>
            </w:pPr>
            <w:r>
              <w:t>12.0%</w:t>
            </w:r>
          </w:p>
        </w:tc>
      </w:tr>
      <w:tr w:rsidR="0002094E" w:rsidRPr="009F47FB" w:rsidTr="00B83FE4">
        <w:trPr>
          <w:cantSplit/>
        </w:trPr>
        <w:tc>
          <w:tcPr>
            <w:tcW w:w="1491" w:type="dxa"/>
            <w:shd w:val="clear" w:color="auto" w:fill="F2F2F2"/>
            <w:noWrap/>
          </w:tcPr>
          <w:p w:rsidR="0002094E" w:rsidRPr="009F47FB" w:rsidRDefault="0002094E" w:rsidP="00B83FE4">
            <w:pPr>
              <w:pStyle w:val="TableText"/>
              <w:jc w:val="center"/>
            </w:pPr>
            <w:r>
              <w:t>55</w:t>
            </w:r>
          </w:p>
        </w:tc>
        <w:tc>
          <w:tcPr>
            <w:tcW w:w="1491" w:type="dxa"/>
            <w:shd w:val="clear" w:color="auto" w:fill="F2F2F2"/>
          </w:tcPr>
          <w:p w:rsidR="0002094E" w:rsidRPr="00141C35" w:rsidRDefault="0002094E" w:rsidP="00B83FE4">
            <w:pPr>
              <w:pStyle w:val="TableText"/>
              <w:jc w:val="center"/>
            </w:pPr>
            <w:r>
              <w:t>15.3%</w:t>
            </w:r>
          </w:p>
        </w:tc>
        <w:tc>
          <w:tcPr>
            <w:tcW w:w="1491" w:type="dxa"/>
            <w:shd w:val="clear" w:color="auto" w:fill="F2F2F2"/>
          </w:tcPr>
          <w:p w:rsidR="0002094E" w:rsidRPr="00141C35" w:rsidRDefault="0002094E" w:rsidP="00B83FE4">
            <w:pPr>
              <w:pStyle w:val="TableText"/>
              <w:jc w:val="center"/>
            </w:pPr>
            <w:r>
              <w:t>10.2%</w:t>
            </w:r>
          </w:p>
        </w:tc>
      </w:tr>
      <w:tr w:rsidR="0002094E" w:rsidRPr="009F47FB" w:rsidTr="00B83FE4">
        <w:trPr>
          <w:cantSplit/>
        </w:trPr>
        <w:tc>
          <w:tcPr>
            <w:tcW w:w="1491" w:type="dxa"/>
            <w:shd w:val="clear" w:color="auto" w:fill="F2F2F2"/>
            <w:noWrap/>
          </w:tcPr>
          <w:p w:rsidR="0002094E" w:rsidRPr="009F47FB" w:rsidRDefault="0002094E" w:rsidP="00B83FE4">
            <w:pPr>
              <w:pStyle w:val="TableText"/>
              <w:jc w:val="center"/>
            </w:pPr>
            <w:r>
              <w:t>60</w:t>
            </w:r>
          </w:p>
        </w:tc>
        <w:tc>
          <w:tcPr>
            <w:tcW w:w="1491" w:type="dxa"/>
            <w:shd w:val="clear" w:color="auto" w:fill="F2F2F2"/>
          </w:tcPr>
          <w:p w:rsidR="0002094E" w:rsidRPr="00141C35" w:rsidRDefault="0002094E" w:rsidP="00B83FE4">
            <w:pPr>
              <w:pStyle w:val="TableText"/>
              <w:jc w:val="center"/>
            </w:pPr>
            <w:r>
              <w:t>6.7%</w:t>
            </w:r>
          </w:p>
        </w:tc>
        <w:tc>
          <w:tcPr>
            <w:tcW w:w="1491" w:type="dxa"/>
            <w:shd w:val="clear" w:color="auto" w:fill="F2F2F2"/>
          </w:tcPr>
          <w:p w:rsidR="0002094E" w:rsidRPr="00141C35" w:rsidRDefault="0002094E" w:rsidP="00B83FE4">
            <w:pPr>
              <w:pStyle w:val="TableText"/>
              <w:jc w:val="center"/>
            </w:pPr>
            <w:r>
              <w:t>4.5%</w:t>
            </w:r>
          </w:p>
        </w:tc>
      </w:tr>
      <w:tr w:rsidR="0002094E" w:rsidRPr="009F47FB" w:rsidTr="00B83FE4">
        <w:trPr>
          <w:cantSplit/>
        </w:trPr>
        <w:tc>
          <w:tcPr>
            <w:tcW w:w="1491" w:type="dxa"/>
            <w:shd w:val="clear" w:color="auto" w:fill="F2F2F2"/>
            <w:noWrap/>
          </w:tcPr>
          <w:p w:rsidR="0002094E" w:rsidRPr="009F47FB" w:rsidRDefault="0002094E" w:rsidP="00B83FE4">
            <w:pPr>
              <w:pStyle w:val="TableText"/>
              <w:jc w:val="center"/>
            </w:pPr>
            <w:r>
              <w:t>65</w:t>
            </w:r>
          </w:p>
        </w:tc>
        <w:tc>
          <w:tcPr>
            <w:tcW w:w="1491" w:type="dxa"/>
            <w:shd w:val="clear" w:color="auto" w:fill="F2F2F2"/>
          </w:tcPr>
          <w:p w:rsidR="0002094E" w:rsidRPr="00141C35" w:rsidRDefault="0002094E" w:rsidP="00B83FE4">
            <w:pPr>
              <w:pStyle w:val="TableText"/>
              <w:jc w:val="center"/>
            </w:pPr>
            <w:r>
              <w:t>0.4%</w:t>
            </w:r>
          </w:p>
        </w:tc>
        <w:tc>
          <w:tcPr>
            <w:tcW w:w="1491" w:type="dxa"/>
            <w:shd w:val="clear" w:color="auto" w:fill="F2F2F2"/>
          </w:tcPr>
          <w:p w:rsidR="0002094E" w:rsidRPr="00141C35" w:rsidRDefault="0002094E" w:rsidP="00B83FE4">
            <w:pPr>
              <w:pStyle w:val="TableText"/>
              <w:jc w:val="center"/>
            </w:pPr>
            <w:r>
              <w:t>0.2%</w:t>
            </w:r>
          </w:p>
        </w:tc>
      </w:tr>
      <w:tr w:rsidR="0002094E" w:rsidRPr="00CD66B6" w:rsidTr="00B83FE4">
        <w:trPr>
          <w:cantSplit/>
        </w:trPr>
        <w:tc>
          <w:tcPr>
            <w:tcW w:w="1491" w:type="dxa"/>
            <w:shd w:val="clear" w:color="auto" w:fill="F2F2F2"/>
            <w:noWrap/>
          </w:tcPr>
          <w:p w:rsidR="0002094E" w:rsidRPr="00CD66B6" w:rsidRDefault="0002094E" w:rsidP="00B83FE4">
            <w:pPr>
              <w:pStyle w:val="TableText"/>
              <w:jc w:val="center"/>
              <w:rPr>
                <w:b/>
              </w:rPr>
            </w:pPr>
            <w:r>
              <w:rPr>
                <w:b/>
              </w:rPr>
              <w:t>Total</w:t>
            </w:r>
          </w:p>
        </w:tc>
        <w:tc>
          <w:tcPr>
            <w:tcW w:w="1491" w:type="dxa"/>
            <w:shd w:val="clear" w:color="auto" w:fill="F2F2F2"/>
          </w:tcPr>
          <w:p w:rsidR="0002094E" w:rsidRPr="00CD66B6" w:rsidRDefault="0002094E" w:rsidP="00B83FE4">
            <w:pPr>
              <w:pStyle w:val="TableText"/>
              <w:jc w:val="center"/>
              <w:rPr>
                <w:b/>
              </w:rPr>
            </w:pPr>
            <w:r>
              <w:rPr>
                <w:b/>
              </w:rPr>
              <w:t>60.0</w:t>
            </w:r>
            <w:r w:rsidRPr="00CD66B6">
              <w:rPr>
                <w:b/>
              </w:rPr>
              <w:t>%</w:t>
            </w:r>
          </w:p>
        </w:tc>
        <w:tc>
          <w:tcPr>
            <w:tcW w:w="1491" w:type="dxa"/>
            <w:shd w:val="clear" w:color="auto" w:fill="F2F2F2"/>
          </w:tcPr>
          <w:p w:rsidR="0002094E" w:rsidRPr="00CD66B6" w:rsidRDefault="0002094E" w:rsidP="00B83FE4">
            <w:pPr>
              <w:pStyle w:val="TableText"/>
              <w:jc w:val="center"/>
              <w:rPr>
                <w:b/>
              </w:rPr>
            </w:pPr>
            <w:r>
              <w:rPr>
                <w:b/>
              </w:rPr>
              <w:t>40.0</w:t>
            </w:r>
            <w:r w:rsidRPr="00CD66B6">
              <w:rPr>
                <w:b/>
              </w:rPr>
              <w:t>%</w:t>
            </w:r>
          </w:p>
        </w:tc>
      </w:tr>
    </w:tbl>
    <w:p w:rsidR="0002094E" w:rsidRDefault="0002094E" w:rsidP="00A01CFA">
      <w:pPr>
        <w:spacing w:line="240" w:lineRule="auto"/>
      </w:pPr>
    </w:p>
    <w:p w:rsidR="00C84C0F" w:rsidRPr="00C84C0F" w:rsidRDefault="00C84C0F" w:rsidP="00C84C0F">
      <w:pPr>
        <w:sectPr w:rsidR="00C84C0F" w:rsidRPr="00C84C0F" w:rsidSect="00555C58">
          <w:headerReference w:type="even" r:id="rId21"/>
          <w:footerReference w:type="default" r:id="rId22"/>
          <w:headerReference w:type="first" r:id="rId23"/>
          <w:footerReference w:type="first" r:id="rId24"/>
          <w:pgSz w:w="11906" w:h="16838"/>
          <w:pgMar w:top="1797" w:right="1077" w:bottom="1701" w:left="1077" w:header="624" w:footer="760" w:gutter="0"/>
          <w:pgNumType w:start="1"/>
          <w:cols w:space="720"/>
          <w:docGrid w:linePitch="299"/>
        </w:sectPr>
      </w:pPr>
    </w:p>
    <w:p w:rsidR="00A2126F" w:rsidRDefault="00A2126F" w:rsidP="00BF3B60">
      <w:pPr>
        <w:pStyle w:val="LegalCompanyName"/>
      </w:pPr>
    </w:p>
    <w:p w:rsidR="00BF3B60" w:rsidRDefault="00BF3B60" w:rsidP="00BF3B60">
      <w:pPr>
        <w:pStyle w:val="LegalCompanyName"/>
      </w:pPr>
      <w:r>
        <w:t xml:space="preserve">Mercer </w:t>
      </w:r>
      <w:r w:rsidR="00DA55B8">
        <w:t xml:space="preserve">Consulting </w:t>
      </w:r>
      <w:r>
        <w:t>(Australia) Pty Ltd</w:t>
      </w:r>
    </w:p>
    <w:p w:rsidR="00BF3B60" w:rsidRDefault="00BF3B60" w:rsidP="00BF3B60">
      <w:pPr>
        <w:pStyle w:val="LegalCompanyAddress"/>
      </w:pPr>
      <w:r>
        <w:t xml:space="preserve">ABN </w:t>
      </w:r>
      <w:r w:rsidR="00DA55B8">
        <w:t>55 153 168 140</w:t>
      </w:r>
    </w:p>
    <w:p w:rsidR="00BF3B60" w:rsidRDefault="00157F97" w:rsidP="00BF3B60">
      <w:pPr>
        <w:pStyle w:val="LegalCompanyAddress"/>
      </w:pPr>
      <w:r>
        <w:t>Collins Square</w:t>
      </w:r>
    </w:p>
    <w:p w:rsidR="00BF3B60" w:rsidRDefault="00157F97" w:rsidP="00BF3B60">
      <w:pPr>
        <w:pStyle w:val="LegalCompanyAddress"/>
      </w:pPr>
      <w:r>
        <w:t>727 Collins Street Melbourne VIC 3008</w:t>
      </w:r>
    </w:p>
    <w:p w:rsidR="00BF3B60" w:rsidRDefault="00BF3B60" w:rsidP="00BF3B60">
      <w:pPr>
        <w:pStyle w:val="LegalCompanyAddress"/>
      </w:pPr>
      <w:r>
        <w:t xml:space="preserve">GPO Box 9946 </w:t>
      </w:r>
      <w:r w:rsidR="00157F97">
        <w:t>Melbourne</w:t>
      </w:r>
      <w:r w:rsidR="00DA55B8">
        <w:t xml:space="preserve"> </w:t>
      </w:r>
      <w:r w:rsidR="00157F97">
        <w:t>VIC 3</w:t>
      </w:r>
      <w:r>
        <w:t>001</w:t>
      </w:r>
    </w:p>
    <w:p w:rsidR="00BF3B60" w:rsidRDefault="00BF3B60" w:rsidP="00BF3B60">
      <w:pPr>
        <w:pStyle w:val="LegalCompanyAddress"/>
      </w:pPr>
      <w:r>
        <w:t>www.mercer.com.au</w:t>
      </w:r>
    </w:p>
    <w:sectPr w:rsidR="00BF3B60" w:rsidSect="00BF3B60">
      <w:headerReference w:type="even" r:id="rId25"/>
      <w:headerReference w:type="default" r:id="rId26"/>
      <w:footerReference w:type="default" r:id="rId27"/>
      <w:headerReference w:type="first" r:id="rId28"/>
      <w:pgSz w:w="11906" w:h="16838"/>
      <w:pgMar w:top="1474" w:right="1077" w:bottom="1466" w:left="1077" w:header="0" w:footer="1045" w:gutter="0"/>
      <w:pgNumType w:fmt="upperRoman" w:start="1"/>
      <w:cols w:space="720"/>
      <w:vAlign w:val="bottom"/>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B7F" w:rsidRDefault="00A36B7F">
      <w:r>
        <w:separator/>
      </w:r>
    </w:p>
  </w:endnote>
  <w:endnote w:type="continuationSeparator" w:id="0">
    <w:p w:rsidR="00A36B7F" w:rsidRDefault="00A36B7F">
      <w:r>
        <w:continuationSeparator/>
      </w:r>
    </w:p>
  </w:endnote>
  <w:endnote w:type="continuationNotice" w:id="1">
    <w:p w:rsidR="00A36B7F" w:rsidRDefault="00A36B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QKXAS F+ Calibri">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7F" w:rsidRDefault="00A36B7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6B7F" w:rsidRDefault="00A36B7F">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ook w:val="01E0" w:firstRow="1" w:lastRow="1" w:firstColumn="1" w:lastColumn="1" w:noHBand="0" w:noVBand="0"/>
    </w:tblPr>
    <w:tblGrid>
      <w:gridCol w:w="9214"/>
    </w:tblGrid>
    <w:tr w:rsidR="00A36B7F" w:rsidTr="00BD012B">
      <w:trPr>
        <w:trHeight w:hRule="exact" w:val="583"/>
      </w:trPr>
      <w:tc>
        <w:tcPr>
          <w:tcW w:w="9214" w:type="dxa"/>
        </w:tcPr>
        <w:p w:rsidR="00A36B7F" w:rsidRDefault="00A36B7F" w:rsidP="006D5237">
          <w:pPr>
            <w:pStyle w:val="Logo"/>
          </w:pPr>
          <w:bookmarkStart w:id="10" w:name="BICEndorsementFront"/>
          <w:r>
            <w:rPr>
              <w:noProof/>
              <w:lang w:eastAsia="en-AU"/>
            </w:rPr>
            <w:drawing>
              <wp:anchor distT="0" distB="0" distL="114300" distR="114300" simplePos="0" relativeHeight="251659264" behindDoc="0" locked="0" layoutInCell="0" allowOverlap="1" wp14:anchorId="20679520" wp14:editId="40D0B156">
                <wp:simplePos x="0" y="0"/>
                <wp:positionH relativeFrom="page">
                  <wp:posOffset>3351530</wp:posOffset>
                </wp:positionH>
                <wp:positionV relativeFrom="page">
                  <wp:posOffset>10278745</wp:posOffset>
                </wp:positionV>
                <wp:extent cx="3916045" cy="146050"/>
                <wp:effectExtent l="0" t="0" r="8255" b="6350"/>
                <wp:wrapNone/>
                <wp:docPr id="14" name="CoverBottomBand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045" cy="146050"/>
                        </a:xfrm>
                        <a:prstGeom prst="rect">
                          <a:avLst/>
                        </a:prstGeom>
                      </pic:spPr>
                    </pic:pic>
                  </a:graphicData>
                </a:graphic>
              </wp:anchor>
            </w:drawing>
          </w:r>
          <w:bookmarkEnd w:id="10"/>
          <w:r>
            <w:rPr>
              <w:noProof/>
              <w:lang w:eastAsia="en-AU"/>
            </w:rPr>
            <mc:AlternateContent>
              <mc:Choice Requires="wps">
                <w:drawing>
                  <wp:anchor distT="0" distB="0" distL="114300" distR="114300" simplePos="0" relativeHeight="251657215" behindDoc="0" locked="0" layoutInCell="1" allowOverlap="1" wp14:anchorId="212FF960" wp14:editId="487E9624">
                    <wp:simplePos x="0" y="0"/>
                    <wp:positionH relativeFrom="column">
                      <wp:posOffset>-683895</wp:posOffset>
                    </wp:positionH>
                    <wp:positionV relativeFrom="paragraph">
                      <wp:posOffset>-41274</wp:posOffset>
                    </wp:positionV>
                    <wp:extent cx="7560310" cy="680719"/>
                    <wp:effectExtent l="0" t="0" r="2540" b="5715"/>
                    <wp:wrapNone/>
                    <wp:docPr id="13" name="CoverBottomBand"/>
                    <wp:cNvGraphicFramePr/>
                    <a:graphic xmlns:a="http://schemas.openxmlformats.org/drawingml/2006/main">
                      <a:graphicData uri="http://schemas.microsoft.com/office/word/2010/wordprocessingShape">
                        <wps:wsp>
                          <wps:cNvSpPr/>
                          <wps:spPr>
                            <a:xfrm>
                              <a:off x="0" y="0"/>
                              <a:ext cx="7560310" cy="680719"/>
                            </a:xfrm>
                            <a:prstGeom prst="rect">
                              <a:avLst/>
                            </a:prstGeom>
                            <a:solidFill>
                              <a:srgbClr val="E6E7E8"/>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80BE70" id="CoverBottomBand" o:spid="_x0000_s1026" style="position:absolute;margin-left:-53.85pt;margin-top:-3.25pt;width:595.3pt;height:53.6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" fillcolor="#e6e7e8" stroked="f" strokecolor="#243f60 [1604]" strokeweight="2pt"/>
                </w:pict>
              </mc:Fallback>
            </mc:AlternateContent>
          </w:r>
          <w:r>
            <w:t xml:space="preserve">   </w:t>
          </w:r>
        </w:p>
      </w:tc>
    </w:tr>
  </w:tbl>
  <w:p w:rsidR="00A36B7F" w:rsidRPr="00015EDE" w:rsidRDefault="00A36B7F" w:rsidP="00015EDE">
    <w:pPr>
      <w:spacing w:line="240" w:lineRule="auto"/>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7F" w:rsidRDefault="00A36B7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0A7B">
      <w:rPr>
        <w:rStyle w:val="PageNumber"/>
        <w:noProof/>
      </w:rPr>
      <w:t>i</w:t>
    </w:r>
    <w:r>
      <w:rPr>
        <w:rStyle w:val="PageNumber"/>
      </w:rPr>
      <w:fldChar w:fldCharType="end"/>
    </w:r>
  </w:p>
  <w:tbl>
    <w:tblPr>
      <w:tblStyle w:val="TableGrid"/>
      <w:tblW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1E0" w:firstRow="1" w:lastRow="1" w:firstColumn="1" w:lastColumn="1" w:noHBand="0" w:noVBand="0"/>
    </w:tblPr>
    <w:tblGrid>
      <w:gridCol w:w="378"/>
      <w:gridCol w:w="378"/>
      <w:gridCol w:w="378"/>
    </w:tblGrid>
    <w:tr w:rsidR="00A36B7F" w:rsidTr="00BD7189">
      <w:tc>
        <w:tcPr>
          <w:tcW w:w="0" w:type="auto"/>
          <w:noWrap/>
        </w:tcPr>
        <w:p w:rsidR="00A36B7F" w:rsidRPr="000C6910" w:rsidRDefault="00A36B7F" w:rsidP="000C6910">
          <w:pPr>
            <w:pStyle w:val="CompanyName"/>
          </w:pPr>
          <w:r w:rsidRPr="000C6910">
            <w:t xml:space="preserve">    </w:t>
          </w:r>
        </w:p>
      </w:tc>
      <w:tc>
        <w:tcPr>
          <w:tcW w:w="0" w:type="auto"/>
          <w:noWrap/>
        </w:tcPr>
        <w:p w:rsidR="00A36B7F" w:rsidRPr="000C6910" w:rsidRDefault="00A36B7F" w:rsidP="000C6910">
          <w:pPr>
            <w:pStyle w:val="CompanyName"/>
          </w:pPr>
          <w:r w:rsidRPr="000C6910">
            <w:t xml:space="preserve">   </w:t>
          </w:r>
        </w:p>
      </w:tc>
      <w:tc>
        <w:tcPr>
          <w:tcW w:w="0" w:type="auto"/>
          <w:noWrap/>
        </w:tcPr>
        <w:p w:rsidR="00A36B7F" w:rsidRPr="000C6910" w:rsidRDefault="00A36B7F" w:rsidP="000C6910">
          <w:pPr>
            <w:pStyle w:val="CompanyName"/>
          </w:pPr>
          <w:r w:rsidRPr="000C6910">
            <w:t xml:space="preserve">   </w:t>
          </w:r>
        </w:p>
      </w:tc>
    </w:tr>
  </w:tbl>
  <w:p w:rsidR="00A36B7F" w:rsidRDefault="00A36B7F" w:rsidP="00B83610">
    <w:pPr>
      <w:pStyle w:val="ClientNameCrossRef"/>
    </w:pPr>
  </w:p>
  <w:tbl>
    <w:tblPr>
      <w:tblW w:w="0" w:type="auto"/>
      <w:tblLayout w:type="fixed"/>
      <w:tblLook w:val="0000" w:firstRow="0" w:lastRow="0" w:firstColumn="0" w:lastColumn="0" w:noHBand="0" w:noVBand="0"/>
    </w:tblPr>
    <w:tblGrid>
      <w:gridCol w:w="8853"/>
    </w:tblGrid>
    <w:tr w:rsidR="00A36B7F">
      <w:trPr>
        <w:trHeight w:hRule="exact" w:val="230"/>
      </w:trPr>
      <w:tc>
        <w:tcPr>
          <w:tcW w:w="8853" w:type="dxa"/>
        </w:tcPr>
        <w:p w:rsidR="00A36B7F" w:rsidRDefault="00A36B7F">
          <w:pPr>
            <w:pStyle w:val="Filestamp"/>
          </w:pPr>
        </w:p>
      </w:tc>
    </w:tr>
    <w:tr w:rsidR="00A36B7F">
      <w:trPr>
        <w:trHeight w:val="107"/>
      </w:trPr>
      <w:tc>
        <w:tcPr>
          <w:tcW w:w="8853" w:type="dxa"/>
        </w:tcPr>
        <w:p w:rsidR="00A36B7F" w:rsidRDefault="00A36B7F" w:rsidP="00825EA2">
          <w:pPr>
            <w:pStyle w:val="Filestamp"/>
          </w:pPr>
        </w:p>
      </w:tc>
    </w:tr>
  </w:tbl>
  <w:p w:rsidR="00A36B7F" w:rsidRDefault="00A36B7F">
    <w:pPr>
      <w:pStyle w:val="Filestam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7F" w:rsidRDefault="00A36B7F">
    <w:pPr>
      <w:pStyle w:val="ClientNameCrossRef"/>
      <w:tabs>
        <w:tab w:val="right" w:pos="8640"/>
      </w:tabs>
      <w:spacing w:after="140"/>
    </w:pPr>
    <w:r>
      <w:t xml:space="preserve">Marsh </w:t>
    </w:r>
    <w:r>
      <w:sym w:font="Wingdings" w:char="F0A7"/>
    </w:r>
    <w:r>
      <w:t xml:space="preserve"> Mercer Human Resource Consulting </w:t>
    </w:r>
    <w:r>
      <w:sym w:font="Wingdings" w:char="F0A7"/>
    </w:r>
    <w:r>
      <w:t xml:space="preserve"> Mercer Delta Organisational Consulting</w:t>
    </w:r>
    <w:r>
      <w:tab/>
    </w:r>
    <w:r>
      <w:rPr>
        <w:rStyle w:val="PageNumber"/>
      </w:rPr>
      <w:fldChar w:fldCharType="begin"/>
    </w:r>
    <w:r>
      <w:rPr>
        <w:rStyle w:val="PageNumber"/>
      </w:rPr>
      <w:instrText xml:space="preserve"> PAGE </w:instrText>
    </w:r>
    <w:r>
      <w:rPr>
        <w:rStyle w:val="PageNumber"/>
      </w:rPr>
      <w:fldChar w:fldCharType="separate"/>
    </w:r>
    <w:r>
      <w:rPr>
        <w:rStyle w:val="PageNumber"/>
      </w:rPr>
      <w:t>i</w:t>
    </w:r>
    <w:r>
      <w:rPr>
        <w:rStyle w:val="PageNumber"/>
      </w:rPr>
      <w:fldChar w:fldCharType="end"/>
    </w:r>
  </w:p>
  <w:p w:rsidR="00A36B7F" w:rsidRDefault="00D91992">
    <w:pPr>
      <w:pStyle w:val="Filestamp"/>
    </w:pPr>
    <w:fldSimple w:instr=" FILENAME \* Lower\p  \* MERGEFORMAT ">
      <w:r w:rsidR="00A36B7F">
        <w:t>g:\retirement\sydney\client\public sector\department of finance (fdofa1)\actuarial - pcss &amp; judicial\ltcr (triennial)\val2017\judicial\7 - correspondence (including report)\fccjdds 2017 ltcr draft (2018 04 26).docx</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7F" w:rsidRDefault="00A36B7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0A7B">
      <w:rPr>
        <w:rStyle w:val="PageNumber"/>
        <w:noProof/>
      </w:rPr>
      <w:t>19</w:t>
    </w:r>
    <w:r>
      <w:rPr>
        <w:rStyle w:val="PageNumber"/>
      </w:rPr>
      <w:fldChar w:fldCharType="end"/>
    </w:r>
  </w:p>
  <w:tbl>
    <w:tblPr>
      <w:tblStyle w:val="TableGrid"/>
      <w:tblW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1E0" w:firstRow="1" w:lastRow="1" w:firstColumn="1" w:lastColumn="1" w:noHBand="0" w:noVBand="0"/>
    </w:tblPr>
    <w:tblGrid>
      <w:gridCol w:w="378"/>
      <w:gridCol w:w="378"/>
      <w:gridCol w:w="378"/>
    </w:tblGrid>
    <w:tr w:rsidR="00A36B7F" w:rsidTr="00BD7189">
      <w:tc>
        <w:tcPr>
          <w:tcW w:w="0" w:type="auto"/>
          <w:noWrap/>
        </w:tcPr>
        <w:p w:rsidR="00A36B7F" w:rsidRPr="000C6910" w:rsidRDefault="00A36B7F" w:rsidP="000C6910">
          <w:pPr>
            <w:pStyle w:val="CompanyName"/>
          </w:pPr>
          <w:bookmarkStart w:id="115" w:name="BICCompanyList1"/>
          <w:r w:rsidRPr="000C6910">
            <w:t xml:space="preserve">    </w:t>
          </w:r>
          <w:bookmarkEnd w:id="115"/>
        </w:p>
      </w:tc>
      <w:tc>
        <w:tcPr>
          <w:tcW w:w="0" w:type="auto"/>
          <w:noWrap/>
        </w:tcPr>
        <w:p w:rsidR="00A36B7F" w:rsidRPr="000C6910" w:rsidRDefault="00A36B7F" w:rsidP="000C6910">
          <w:pPr>
            <w:pStyle w:val="CompanyName"/>
          </w:pPr>
          <w:bookmarkStart w:id="116" w:name="BICCompanyList2"/>
          <w:r w:rsidRPr="000C6910">
            <w:t xml:space="preserve">   </w:t>
          </w:r>
          <w:bookmarkEnd w:id="116"/>
        </w:p>
      </w:tc>
      <w:tc>
        <w:tcPr>
          <w:tcW w:w="0" w:type="auto"/>
          <w:noWrap/>
        </w:tcPr>
        <w:p w:rsidR="00A36B7F" w:rsidRPr="000C6910" w:rsidRDefault="00A36B7F" w:rsidP="000C6910">
          <w:pPr>
            <w:pStyle w:val="CompanyName"/>
          </w:pPr>
          <w:bookmarkStart w:id="117" w:name="BICCompanyList3"/>
          <w:r w:rsidRPr="000C6910">
            <w:t xml:space="preserve">   </w:t>
          </w:r>
          <w:bookmarkEnd w:id="117"/>
        </w:p>
      </w:tc>
    </w:tr>
  </w:tbl>
  <w:p w:rsidR="00A36B7F" w:rsidRDefault="00A36B7F" w:rsidP="00B83610">
    <w:pPr>
      <w:pStyle w:val="ClientNameCrossRef"/>
    </w:pPr>
  </w:p>
  <w:tbl>
    <w:tblPr>
      <w:tblW w:w="0" w:type="auto"/>
      <w:tblLayout w:type="fixed"/>
      <w:tblLook w:val="0000" w:firstRow="0" w:lastRow="0" w:firstColumn="0" w:lastColumn="0" w:noHBand="0" w:noVBand="0"/>
    </w:tblPr>
    <w:tblGrid>
      <w:gridCol w:w="8853"/>
    </w:tblGrid>
    <w:tr w:rsidR="00A36B7F">
      <w:trPr>
        <w:trHeight w:hRule="exact" w:val="230"/>
      </w:trPr>
      <w:tc>
        <w:tcPr>
          <w:tcW w:w="8853" w:type="dxa"/>
        </w:tcPr>
        <w:p w:rsidR="00A36B7F" w:rsidRDefault="00A36B7F">
          <w:pPr>
            <w:pStyle w:val="Filestamp"/>
          </w:pPr>
        </w:p>
      </w:tc>
    </w:tr>
    <w:tr w:rsidR="00A36B7F">
      <w:trPr>
        <w:trHeight w:val="107"/>
      </w:trPr>
      <w:tc>
        <w:tcPr>
          <w:tcW w:w="8853" w:type="dxa"/>
        </w:tcPr>
        <w:p w:rsidR="00A36B7F" w:rsidRDefault="00A36B7F" w:rsidP="00825EA2">
          <w:pPr>
            <w:pStyle w:val="Filestamp"/>
          </w:pPr>
        </w:p>
      </w:tc>
    </w:tr>
  </w:tbl>
  <w:p w:rsidR="00A36B7F" w:rsidRDefault="00A36B7F">
    <w:pPr>
      <w:pStyle w:val="Filestam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7F" w:rsidRDefault="00A36B7F">
    <w:pPr>
      <w:pStyle w:val="ClientNameCrossRef"/>
      <w:tabs>
        <w:tab w:val="right" w:pos="8640"/>
      </w:tabs>
      <w:spacing w:after="140"/>
    </w:pPr>
    <w:r>
      <w:t xml:space="preserve">Marsh </w:t>
    </w:r>
    <w:r>
      <w:sym w:font="Wingdings" w:char="F0A7"/>
    </w:r>
    <w:r>
      <w:t xml:space="preserve"> Mercer Human Resource Consulting </w:t>
    </w:r>
    <w:r>
      <w:sym w:font="Wingdings" w:char="F0A7"/>
    </w:r>
    <w:r>
      <w:t xml:space="preserve"> Mercer Delta Organisational Consulting</w:t>
    </w:r>
    <w:r>
      <w:tab/>
    </w:r>
    <w:r>
      <w:rPr>
        <w:rStyle w:val="PageNumber"/>
      </w:rPr>
      <w:fldChar w:fldCharType="begin"/>
    </w:r>
    <w:r>
      <w:rPr>
        <w:rStyle w:val="PageNumber"/>
      </w:rPr>
      <w:instrText xml:space="preserve"> PAGE </w:instrText>
    </w:r>
    <w:r>
      <w:rPr>
        <w:rStyle w:val="PageNumber"/>
      </w:rPr>
      <w:fldChar w:fldCharType="separate"/>
    </w:r>
    <w:r>
      <w:rPr>
        <w:rStyle w:val="PageNumber"/>
      </w:rPr>
      <w:t>i</w:t>
    </w:r>
    <w:r>
      <w:rPr>
        <w:rStyle w:val="PageNumber"/>
      </w:rPr>
      <w:fldChar w:fldCharType="end"/>
    </w:r>
  </w:p>
  <w:p w:rsidR="00A36B7F" w:rsidRDefault="00D91992">
    <w:pPr>
      <w:pStyle w:val="Filestamp"/>
    </w:pPr>
    <w:fldSimple w:instr=" FILENAME \* Lower\p  \* MERGEFORMAT ">
      <w:r w:rsidR="00A36B7F">
        <w:t>g:\retirement\sydney\client\public sector\department of finance (fdofa1)\actuarial - pcss &amp; judicial\ltcr (triennial)\val2017\judicial\7 - correspondence (including report)\fccjdds 2017 ltcr draft (2018 04 26).docx</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95"/>
      <w:gridCol w:w="2719"/>
    </w:tblGrid>
    <w:tr w:rsidR="00A36B7F" w:rsidTr="00015EDE">
      <w:trPr>
        <w:trHeight w:val="720"/>
      </w:trPr>
      <w:tc>
        <w:tcPr>
          <w:tcW w:w="9214" w:type="dxa"/>
          <w:gridSpan w:val="2"/>
          <w:tcBorders>
            <w:top w:val="nil"/>
            <w:left w:val="nil"/>
            <w:bottom w:val="nil"/>
            <w:right w:val="nil"/>
          </w:tcBorders>
          <w:vAlign w:val="bottom"/>
        </w:tcPr>
        <w:p w:rsidR="00A36B7F" w:rsidRDefault="00A36B7F">
          <w:pPr>
            <w:pStyle w:val="Legalcopy"/>
            <w:framePr w:hSpace="0" w:vSpace="0" w:wrap="auto" w:yAlign="inline"/>
          </w:pPr>
          <w:bookmarkStart w:id="118" w:name="LegalText"/>
          <w:bookmarkEnd w:id="118"/>
        </w:p>
      </w:tc>
    </w:tr>
    <w:tr w:rsidR="00A36B7F" w:rsidRPr="006353D7" w:rsidTr="00713C5E">
      <w:trPr>
        <w:trHeight w:hRule="exact" w:val="584"/>
      </w:trPr>
      <w:tc>
        <w:tcPr>
          <w:tcW w:w="6495" w:type="dxa"/>
          <w:tcBorders>
            <w:top w:val="nil"/>
            <w:left w:val="nil"/>
            <w:bottom w:val="nil"/>
            <w:right w:val="nil"/>
          </w:tcBorders>
          <w:vAlign w:val="bottom"/>
        </w:tcPr>
        <w:p w:rsidR="00A36B7F" w:rsidRPr="006353D7" w:rsidRDefault="00A36B7F">
          <w:pPr>
            <w:pStyle w:val="Legalcopy"/>
            <w:framePr w:hSpace="0" w:vSpace="0" w:wrap="auto" w:yAlign="inline"/>
            <w:rPr>
              <w:sz w:val="20"/>
            </w:rPr>
          </w:pPr>
          <w:bookmarkStart w:id="119" w:name="SupportLogo"/>
          <w:r>
            <w:rPr>
              <w:noProof/>
              <w:sz w:val="20"/>
              <w:lang w:eastAsia="en-AU"/>
            </w:rPr>
            <w:drawing>
              <wp:anchor distT="0" distB="0" distL="114300" distR="114300" simplePos="0" relativeHeight="251658240" behindDoc="0" locked="0" layoutInCell="1" allowOverlap="1" wp14:anchorId="0B28113A" wp14:editId="1B298C9A">
                <wp:simplePos x="0" y="0"/>
                <wp:positionH relativeFrom="column">
                  <wp:posOffset>1905</wp:posOffset>
                </wp:positionH>
                <wp:positionV relativeFrom="paragraph">
                  <wp:posOffset>342900</wp:posOffset>
                </wp:positionV>
                <wp:extent cx="1565453" cy="247802"/>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5453" cy="247802"/>
                        </a:xfrm>
                        <a:prstGeom prst="rect">
                          <a:avLst/>
                        </a:prstGeom>
                      </pic:spPr>
                    </pic:pic>
                  </a:graphicData>
                </a:graphic>
              </wp:anchor>
            </w:drawing>
          </w:r>
          <w:bookmarkEnd w:id="119"/>
          <w:r w:rsidRPr="006353D7">
            <w:rPr>
              <w:sz w:val="20"/>
            </w:rPr>
            <w:t xml:space="preserve">   </w:t>
          </w:r>
        </w:p>
      </w:tc>
      <w:tc>
        <w:tcPr>
          <w:tcW w:w="2719" w:type="dxa"/>
          <w:tcBorders>
            <w:top w:val="nil"/>
            <w:left w:val="nil"/>
            <w:bottom w:val="nil"/>
            <w:right w:val="nil"/>
          </w:tcBorders>
          <w:vAlign w:val="bottom"/>
        </w:tcPr>
        <w:p w:rsidR="00A36B7F" w:rsidRPr="006353D7" w:rsidRDefault="00A36B7F">
          <w:pPr>
            <w:pStyle w:val="Legalcopy"/>
            <w:framePr w:hSpace="0" w:vSpace="0" w:wrap="auto" w:yAlign="inline"/>
            <w:rPr>
              <w:sz w:val="20"/>
            </w:rPr>
          </w:pPr>
          <w:bookmarkStart w:id="120" w:name="BICEndorsementBack"/>
          <w:r w:rsidRPr="006353D7">
            <w:rPr>
              <w:sz w:val="20"/>
            </w:rPr>
            <w:t xml:space="preserve">    </w:t>
          </w:r>
          <w:bookmarkEnd w:id="120"/>
        </w:p>
      </w:tc>
    </w:tr>
  </w:tbl>
  <w:p w:rsidR="00A36B7F" w:rsidRDefault="00A36B7F" w:rsidP="00D1494B">
    <w:pPr>
      <w:pStyle w:val="AddressBlock"/>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B7F" w:rsidRDefault="00A36B7F">
      <w:r>
        <w:separator/>
      </w:r>
    </w:p>
  </w:footnote>
  <w:footnote w:type="continuationSeparator" w:id="0">
    <w:p w:rsidR="00A36B7F" w:rsidRDefault="00A36B7F">
      <w:r>
        <w:continuationSeparator/>
      </w:r>
    </w:p>
  </w:footnote>
  <w:footnote w:type="continuationNotice" w:id="1">
    <w:p w:rsidR="00A36B7F" w:rsidRDefault="00A36B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50" w:type="dxa"/>
      </w:tblCellMar>
      <w:tblLook w:val="01E0" w:firstRow="1" w:lastRow="1" w:firstColumn="1" w:lastColumn="1" w:noHBand="0" w:noVBand="0"/>
    </w:tblPr>
    <w:tblGrid>
      <w:gridCol w:w="570"/>
      <w:gridCol w:w="570"/>
      <w:gridCol w:w="570"/>
      <w:gridCol w:w="7823"/>
      <w:gridCol w:w="570"/>
    </w:tblGrid>
    <w:tr w:rsidR="00A36B7F" w:rsidTr="00512253">
      <w:tc>
        <w:tcPr>
          <w:tcW w:w="570" w:type="dxa"/>
        </w:tcPr>
        <w:p w:rsidR="00A36B7F" w:rsidRDefault="00A36B7F" w:rsidP="000A3D02">
          <w:pPr>
            <w:pStyle w:val="Header"/>
          </w:pPr>
          <w:bookmarkStart w:id="6" w:name="LogoBICNo1Front"/>
          <w:r>
            <w:t xml:space="preserve"> </w:t>
          </w:r>
          <w:bookmarkEnd w:id="6"/>
        </w:p>
      </w:tc>
      <w:tc>
        <w:tcPr>
          <w:tcW w:w="570" w:type="dxa"/>
        </w:tcPr>
        <w:p w:rsidR="00A36B7F" w:rsidRDefault="00A36B7F" w:rsidP="000A3D02">
          <w:pPr>
            <w:pStyle w:val="Header"/>
          </w:pPr>
          <w:bookmarkStart w:id="7" w:name="LogoBICNo2Front"/>
          <w:r>
            <w:t xml:space="preserve"> </w:t>
          </w:r>
          <w:bookmarkEnd w:id="7"/>
        </w:p>
      </w:tc>
      <w:tc>
        <w:tcPr>
          <w:tcW w:w="570" w:type="dxa"/>
        </w:tcPr>
        <w:p w:rsidR="00A36B7F" w:rsidRDefault="00A36B7F" w:rsidP="000A3D02">
          <w:pPr>
            <w:pStyle w:val="Header"/>
          </w:pPr>
          <w:bookmarkStart w:id="8" w:name="LogoBICNo3Front"/>
          <w:r>
            <w:t xml:space="preserve"> </w:t>
          </w:r>
          <w:bookmarkEnd w:id="8"/>
        </w:p>
      </w:tc>
      <w:tc>
        <w:tcPr>
          <w:tcW w:w="7823" w:type="dxa"/>
          <w:tcMar>
            <w:right w:w="0" w:type="dxa"/>
          </w:tcMar>
          <w:vAlign w:val="bottom"/>
        </w:tcPr>
        <w:p w:rsidR="00A36B7F" w:rsidRDefault="00A36B7F" w:rsidP="00492869">
          <w:pPr>
            <w:pStyle w:val="Header"/>
            <w:jc w:val="right"/>
          </w:pPr>
          <w:bookmarkStart w:id="9" w:name="PillarLogo"/>
          <w:r>
            <w:t xml:space="preserve">   </w:t>
          </w:r>
          <w:bookmarkEnd w:id="9"/>
        </w:p>
      </w:tc>
      <w:tc>
        <w:tcPr>
          <w:tcW w:w="570" w:type="dxa"/>
        </w:tcPr>
        <w:p w:rsidR="00A36B7F" w:rsidRDefault="00A36B7F" w:rsidP="00B16134">
          <w:pPr>
            <w:pStyle w:val="Header"/>
            <w:ind w:right="-578"/>
          </w:pPr>
        </w:p>
      </w:tc>
    </w:tr>
  </w:tbl>
  <w:p w:rsidR="00A36B7F" w:rsidRDefault="00A36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7F" w:rsidRDefault="001E0A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margin-left:0;margin-top:0;width:491.05pt;height:196.4pt;rotation:315;z-index:-2516275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4874"/>
      <w:gridCol w:w="4878"/>
    </w:tblGrid>
    <w:tr w:rsidR="00A36B7F" w:rsidTr="00BF3B60">
      <w:tc>
        <w:tcPr>
          <w:tcW w:w="2499" w:type="pct"/>
        </w:tcPr>
        <w:p w:rsidR="00A36B7F" w:rsidRDefault="00A36B7F" w:rsidP="00E755CE">
          <w:pPr>
            <w:pStyle w:val="ReportCrossRef"/>
          </w:pPr>
          <w:r>
            <w:t xml:space="preserve">FCCJDDS </w:t>
          </w:r>
          <w:r>
            <w:br/>
            <w:t>Long Term Cost Report 2017</w:t>
          </w:r>
        </w:p>
      </w:tc>
      <w:tc>
        <w:tcPr>
          <w:tcW w:w="2501" w:type="pct"/>
        </w:tcPr>
        <w:p w:rsidR="00A36B7F" w:rsidRDefault="00A36B7F" w:rsidP="00E42C08">
          <w:pPr>
            <w:pStyle w:val="ClientNameCrossRef"/>
            <w:jc w:val="right"/>
          </w:pPr>
          <w:r>
            <w:t xml:space="preserve"> </w:t>
          </w:r>
        </w:p>
      </w:tc>
    </w:tr>
  </w:tbl>
  <w:p w:rsidR="00A36B7F" w:rsidRDefault="00A36B7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Layout w:type="fixed"/>
      <w:tblCellMar>
        <w:left w:w="0" w:type="dxa"/>
        <w:right w:w="0" w:type="dxa"/>
      </w:tblCellMar>
      <w:tblLook w:val="0000" w:firstRow="0" w:lastRow="0" w:firstColumn="0" w:lastColumn="0" w:noHBand="0" w:noVBand="0"/>
    </w:tblPr>
    <w:tblGrid>
      <w:gridCol w:w="3618"/>
      <w:gridCol w:w="5148"/>
    </w:tblGrid>
    <w:tr w:rsidR="00A36B7F">
      <w:tc>
        <w:tcPr>
          <w:tcW w:w="3618" w:type="dxa"/>
        </w:tcPr>
        <w:p w:rsidR="00A36B7F" w:rsidRDefault="001E0A7B" w:rsidP="00685334">
          <w:pPr>
            <w:pStyle w:val="ReportTit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491.05pt;height:196.4pt;rotation:315;z-index:-2516285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36B7F">
            <w:fldChar w:fldCharType="begin"/>
          </w:r>
          <w:r w:rsidR="00A36B7F">
            <w:instrText xml:space="preserve"> REF ReportTitle </w:instrText>
          </w:r>
          <w:r w:rsidR="00A36B7F">
            <w:fldChar w:fldCharType="separate"/>
          </w:r>
        </w:p>
        <w:p w:rsidR="00A36B7F" w:rsidRDefault="00A36B7F" w:rsidP="00685334">
          <w:pPr>
            <w:pStyle w:val="ReportTitle"/>
          </w:pPr>
          <w:r w:rsidRPr="005651C7">
            <w:rPr>
              <w:caps w:val="0"/>
              <w:sz w:val="32"/>
              <w:szCs w:val="32"/>
            </w:rPr>
            <w:t>DEPARTMENT OF FINANCE</w:t>
          </w:r>
        </w:p>
        <w:p w:rsidR="00A36B7F" w:rsidRPr="00BF3B60" w:rsidRDefault="00A36B7F" w:rsidP="00685334">
          <w:pPr>
            <w:pStyle w:val="ReportTitle"/>
            <w:rPr>
              <w:sz w:val="24"/>
              <w:szCs w:val="24"/>
            </w:rPr>
          </w:pPr>
        </w:p>
        <w:p w:rsidR="00A36B7F" w:rsidRDefault="00A36B7F">
          <w:pPr>
            <w:pStyle w:val="ReportCrossRef"/>
          </w:pPr>
          <w:r>
            <w:rPr>
              <w:sz w:val="48"/>
              <w:szCs w:val="48"/>
            </w:rPr>
            <w:t>Federal Circuit Court Of Australia Death and Invalidity Scheme</w:t>
          </w:r>
          <w:r>
            <w:rPr>
              <w:sz w:val="48"/>
              <w:szCs w:val="48"/>
            </w:rPr>
            <w:br/>
          </w:r>
          <w:r w:rsidRPr="00CB2730">
            <w:rPr>
              <w:sz w:val="48"/>
            </w:rPr>
            <w:t>Long Term Cost Report 2017</w:t>
          </w:r>
          <w:r>
            <w:fldChar w:fldCharType="end"/>
          </w:r>
        </w:p>
      </w:tc>
      <w:tc>
        <w:tcPr>
          <w:tcW w:w="5148" w:type="dxa"/>
        </w:tcPr>
        <w:p w:rsidR="00A36B7F" w:rsidRDefault="00A36B7F">
          <w:pPr>
            <w:pStyle w:val="ClientNameCrossRef"/>
          </w:pPr>
        </w:p>
      </w:tc>
    </w:tr>
  </w:tbl>
  <w:p w:rsidR="00A36B7F" w:rsidRDefault="00A36B7F">
    <w:pPr>
      <w:spacing w:after="154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7F" w:rsidRDefault="00A36B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Layout w:type="fixed"/>
      <w:tblCellMar>
        <w:left w:w="0" w:type="dxa"/>
        <w:right w:w="0" w:type="dxa"/>
      </w:tblCellMar>
      <w:tblLook w:val="0000" w:firstRow="0" w:lastRow="0" w:firstColumn="0" w:lastColumn="0" w:noHBand="0" w:noVBand="0"/>
    </w:tblPr>
    <w:tblGrid>
      <w:gridCol w:w="3618"/>
      <w:gridCol w:w="5148"/>
    </w:tblGrid>
    <w:tr w:rsidR="00A36B7F">
      <w:tc>
        <w:tcPr>
          <w:tcW w:w="3618" w:type="dxa"/>
        </w:tcPr>
        <w:p w:rsidR="00A36B7F" w:rsidRDefault="00A36B7F" w:rsidP="00685334">
          <w:pPr>
            <w:pStyle w:val="ReportTitle"/>
          </w:pPr>
          <w:r>
            <w:fldChar w:fldCharType="begin"/>
          </w:r>
          <w:r>
            <w:instrText xml:space="preserve"> REF ReportTitle </w:instrText>
          </w:r>
          <w:r>
            <w:fldChar w:fldCharType="separate"/>
          </w:r>
        </w:p>
        <w:p w:rsidR="00A36B7F" w:rsidRDefault="00A36B7F" w:rsidP="00685334">
          <w:pPr>
            <w:pStyle w:val="ReportTitle"/>
          </w:pPr>
          <w:r w:rsidRPr="005651C7">
            <w:rPr>
              <w:caps w:val="0"/>
              <w:sz w:val="32"/>
              <w:szCs w:val="32"/>
            </w:rPr>
            <w:t>DEPARTMENT OF FINANCE</w:t>
          </w:r>
        </w:p>
        <w:p w:rsidR="00A36B7F" w:rsidRPr="00BF3B60" w:rsidRDefault="00A36B7F" w:rsidP="00685334">
          <w:pPr>
            <w:pStyle w:val="ReportTitle"/>
            <w:rPr>
              <w:sz w:val="24"/>
              <w:szCs w:val="24"/>
            </w:rPr>
          </w:pPr>
        </w:p>
        <w:p w:rsidR="00A36B7F" w:rsidRDefault="00A36B7F">
          <w:pPr>
            <w:pStyle w:val="ReportCrossRef"/>
          </w:pPr>
          <w:r>
            <w:rPr>
              <w:sz w:val="48"/>
              <w:szCs w:val="48"/>
            </w:rPr>
            <w:t>Federal Circuit Court Of Australia Death and Invalidity Scheme</w:t>
          </w:r>
          <w:r>
            <w:rPr>
              <w:sz w:val="48"/>
              <w:szCs w:val="48"/>
            </w:rPr>
            <w:br/>
          </w:r>
          <w:r w:rsidRPr="00CB2730">
            <w:rPr>
              <w:sz w:val="48"/>
            </w:rPr>
            <w:t>Long Term Cost Report 2017</w:t>
          </w:r>
          <w:r>
            <w:fldChar w:fldCharType="end"/>
          </w:r>
        </w:p>
      </w:tc>
      <w:tc>
        <w:tcPr>
          <w:tcW w:w="5148" w:type="dxa"/>
        </w:tcPr>
        <w:p w:rsidR="00A36B7F" w:rsidRDefault="00A36B7F">
          <w:pPr>
            <w:pStyle w:val="ClientNameCrossRef"/>
          </w:pPr>
        </w:p>
      </w:tc>
    </w:tr>
  </w:tbl>
  <w:p w:rsidR="00A36B7F" w:rsidRDefault="001E0A7B">
    <w:pPr>
      <w:spacing w:after="1540"/>
    </w:pPr>
    <w:r>
      <w:rPr>
        <w:noProof/>
      </w:rPr>
      <w:pict w14:anchorId="6F85E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491.05pt;height:196.4pt;rotation:315;z-index:-2516326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7F" w:rsidRDefault="00A36B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Layout w:type="fixed"/>
      <w:tblCellMar>
        <w:left w:w="0" w:type="dxa"/>
        <w:right w:w="0" w:type="dxa"/>
      </w:tblCellMar>
      <w:tblLook w:val="0000" w:firstRow="0" w:lastRow="0" w:firstColumn="0" w:lastColumn="0" w:noHBand="0" w:noVBand="0"/>
    </w:tblPr>
    <w:tblGrid>
      <w:gridCol w:w="3600"/>
      <w:gridCol w:w="5148"/>
    </w:tblGrid>
    <w:tr w:rsidR="00A36B7F">
      <w:tc>
        <w:tcPr>
          <w:tcW w:w="3600" w:type="dxa"/>
        </w:tcPr>
        <w:p w:rsidR="00A36B7F" w:rsidRDefault="00A36B7F">
          <w:pPr>
            <w:pStyle w:val="ReportCrossRef"/>
          </w:pPr>
          <w:r>
            <w:t xml:space="preserve">    </w:t>
          </w:r>
        </w:p>
      </w:tc>
      <w:tc>
        <w:tcPr>
          <w:tcW w:w="5148" w:type="dxa"/>
        </w:tcPr>
        <w:p w:rsidR="00A36B7F" w:rsidRDefault="00A36B7F">
          <w:pPr>
            <w:pStyle w:val="ClientNameCrossRef"/>
          </w:pPr>
          <w:r>
            <w:t xml:space="preserve">             </w:t>
          </w:r>
        </w:p>
      </w:tc>
    </w:tr>
  </w:tbl>
  <w:p w:rsidR="00A36B7F" w:rsidRDefault="00A36B7F"/>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7F" w:rsidRDefault="00A36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F9F"/>
    <w:multiLevelType w:val="multilevel"/>
    <w:tmpl w:val="60DA2334"/>
    <w:name w:val="App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suff w:val="nothing"/>
      <w:lvlText w:val="Appendix: %5."/>
      <w:lvlJc w:val="left"/>
      <w:pPr>
        <w:tabs>
          <w:tab w:val="num" w:pos="0"/>
        </w:tabs>
        <w:ind w:left="0" w:firstLine="0"/>
      </w:pPr>
      <w:rPr>
        <w:b w:val="0"/>
        <w:i w:val="0"/>
        <w:caps w:val="0"/>
        <w:smallCaps w:val="0"/>
        <w:vanish/>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1" w15:restartNumberingAfterBreak="0">
    <w:nsid w:val="0D773DA1"/>
    <w:multiLevelType w:val="multilevel"/>
    <w:tmpl w:val="2872F1C4"/>
    <w:name w:val="S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0"/>
        </w:tabs>
        <w:ind w:left="0" w:firstLine="0"/>
      </w:pPr>
      <w:rPr>
        <w:b w:val="0"/>
        <w:i w:val="0"/>
        <w:caps w:val="0"/>
        <w:smallCaps w:val="0"/>
        <w:vanish w:val="0"/>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2" w15:restartNumberingAfterBreak="0">
    <w:nsid w:val="24091320"/>
    <w:multiLevelType w:val="singleLevel"/>
    <w:tmpl w:val="0B4A6690"/>
    <w:lvl w:ilvl="0">
      <w:start w:val="1"/>
      <w:numFmt w:val="decimal"/>
      <w:pStyle w:val="TOC1"/>
      <w:lvlText w:val="%1."/>
      <w:lvlJc w:val="left"/>
      <w:pPr>
        <w:tabs>
          <w:tab w:val="num" w:pos="360"/>
        </w:tabs>
        <w:ind w:left="360" w:hanging="360"/>
      </w:pPr>
      <w:rPr>
        <w:rFonts w:ascii="Arial" w:hAnsi="Arial" w:hint="default"/>
        <w:b w:val="0"/>
        <w:i w:val="0"/>
        <w:color w:val="404040"/>
        <w:sz w:val="22"/>
        <w:szCs w:val="22"/>
      </w:rPr>
    </w:lvl>
  </w:abstractNum>
  <w:abstractNum w:abstractNumId="3" w15:restartNumberingAfterBreak="0">
    <w:nsid w:val="24C0087F"/>
    <w:multiLevelType w:val="singleLevel"/>
    <w:tmpl w:val="FF807914"/>
    <w:lvl w:ilvl="0">
      <w:start w:val="1"/>
      <w:numFmt w:val="bullet"/>
      <w:pStyle w:val="TOC2"/>
      <w:lvlText w:val="•"/>
      <w:lvlJc w:val="left"/>
      <w:pPr>
        <w:tabs>
          <w:tab w:val="num" w:pos="806"/>
        </w:tabs>
        <w:ind w:left="806" w:hanging="360"/>
      </w:pPr>
      <w:rPr>
        <w:rFonts w:ascii="Arial" w:hAnsi="Arial" w:hint="default"/>
      </w:rPr>
    </w:lvl>
  </w:abstractNum>
  <w:abstractNum w:abstractNumId="4" w15:restartNumberingAfterBreak="0">
    <w:nsid w:val="28947024"/>
    <w:multiLevelType w:val="multilevel"/>
    <w:tmpl w:val="71F4198A"/>
    <w:name w:val="Table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TableBullet1"/>
      <w:lvlText w:val="•"/>
      <w:lvlJc w:val="left"/>
      <w:pPr>
        <w:tabs>
          <w:tab w:val="num" w:pos="360"/>
        </w:tabs>
        <w:ind w:left="360" w:hanging="360"/>
      </w:pPr>
      <w:rPr>
        <w:rFonts w:ascii="Arial" w:hAnsi="Arial" w:cs="Arial"/>
        <w:b w:val="0"/>
        <w:i w:val="0"/>
        <w:caps w:val="0"/>
        <w:smallCaps w:val="0"/>
        <w:vanish w:val="0"/>
        <w:u w:val="none"/>
      </w:rPr>
    </w:lvl>
    <w:lvl w:ilvl="5">
      <w:start w:val="1"/>
      <w:numFmt w:val="lowerRoman"/>
      <w:pStyle w:val="TableBullet2"/>
      <w:lvlText w:val="–"/>
      <w:lvlJc w:val="left"/>
      <w:pPr>
        <w:tabs>
          <w:tab w:val="num" w:pos="720"/>
        </w:tabs>
        <w:ind w:left="720" w:hanging="360"/>
      </w:pPr>
      <w:rPr>
        <w:rFonts w:ascii="Arial" w:hAnsi="Arial" w:cs="Arial"/>
        <w:b w:val="0"/>
        <w:i w:val="0"/>
        <w:caps w:val="0"/>
        <w:smallCaps w:val="0"/>
        <w:vanish w:val="0"/>
        <w:u w:val="none"/>
      </w:rPr>
    </w:lvl>
    <w:lvl w:ilvl="6">
      <w:start w:val="1"/>
      <w:numFmt w:val="decimal"/>
      <w:pStyle w:val="TableBullet3"/>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pStyle w:val="TableBullet4"/>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ind w:left="3240" w:hanging="360"/>
      </w:pPr>
    </w:lvl>
  </w:abstractNum>
  <w:abstractNum w:abstractNumId="5" w15:restartNumberingAfterBreak="0">
    <w:nsid w:val="36E77B1C"/>
    <w:multiLevelType w:val="multilevel"/>
    <w:tmpl w:val="3FE6B12C"/>
    <w:name w:val="SApp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lvlText w:val="Appendix: %5."/>
      <w:lvlJc w:val="left"/>
      <w:pPr>
        <w:tabs>
          <w:tab w:val="num" w:pos="0"/>
        </w:tabs>
        <w:ind w:left="0" w:firstLine="0"/>
      </w:pPr>
      <w:rPr>
        <w:b w:val="0"/>
        <w:i w:val="0"/>
        <w:caps w:val="0"/>
        <w:smallCaps w:val="0"/>
        <w:vanish w:val="0"/>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6" w15:restartNumberingAfterBreak="0">
    <w:nsid w:val="38252A45"/>
    <w:multiLevelType w:val="multilevel"/>
    <w:tmpl w:val="B928D0CE"/>
    <w:name w:val="HeadingList"/>
    <w:lvl w:ilvl="0">
      <w:start w:val="1"/>
      <w:numFmt w:val="none"/>
      <w:pStyle w:val="Heading1"/>
      <w:suff w:val="nothing"/>
      <w:lvlText w:val=""/>
      <w:lvlJc w:val="left"/>
      <w:pPr>
        <w:tabs>
          <w:tab w:val="num" w:pos="0"/>
        </w:tabs>
        <w:ind w:left="0" w:firstLine="0"/>
      </w:pPr>
      <w:rPr>
        <w:b w:val="0"/>
        <w:i w:val="0"/>
        <w:caps w:val="0"/>
        <w:smallCaps w:val="0"/>
        <w:vanish w:val="0"/>
        <w:u w:val="none"/>
      </w:rPr>
    </w:lvl>
    <w:lvl w:ilvl="1">
      <w:start w:val="1"/>
      <w:numFmt w:val="none"/>
      <w:pStyle w:val="AppendixHeading2"/>
      <w:suff w:val="nothing"/>
      <w:lvlText w:val=""/>
      <w:lvlJc w:val="left"/>
      <w:pPr>
        <w:tabs>
          <w:tab w:val="num" w:pos="0"/>
        </w:tabs>
        <w:ind w:left="0" w:firstLine="0"/>
      </w:pPr>
      <w:rPr>
        <w:b w:val="0"/>
        <w:i w:val="0"/>
        <w:caps w:val="0"/>
        <w:smallCaps w:val="0"/>
        <w:vanish w:val="0"/>
        <w:u w:val="none"/>
      </w:rPr>
    </w:lvl>
    <w:lvl w:ilvl="2">
      <w:start w:val="1"/>
      <w:numFmt w:val="none"/>
      <w:pStyle w:val="AppendixHeading3"/>
      <w:suff w:val="nothing"/>
      <w:lvlText w:val=""/>
      <w:lvlJc w:val="left"/>
      <w:pPr>
        <w:tabs>
          <w:tab w:val="num" w:pos="0"/>
        </w:tabs>
        <w:ind w:left="0" w:firstLine="0"/>
      </w:pPr>
      <w:rPr>
        <w:b w:val="0"/>
        <w:i w:val="0"/>
        <w:caps w:val="0"/>
        <w:smallCaps w:val="0"/>
        <w:vanish w:val="0"/>
        <w:u w:val="none"/>
      </w:rPr>
    </w:lvl>
    <w:lvl w:ilvl="3">
      <w:start w:val="1"/>
      <w:numFmt w:val="none"/>
      <w:pStyle w:val="Heading4"/>
      <w:suff w:val="nothing"/>
      <w:lvlText w:val=""/>
      <w:lvlJc w:val="left"/>
      <w:pPr>
        <w:tabs>
          <w:tab w:val="num" w:pos="0"/>
        </w:tabs>
        <w:ind w:left="0" w:firstLine="0"/>
      </w:pPr>
      <w:rPr>
        <w:b w:val="0"/>
        <w:i w:val="0"/>
        <w:caps w:val="0"/>
        <w:smallCaps w:val="0"/>
        <w:vanish w:val="0"/>
        <w:u w:val="none"/>
      </w:rPr>
    </w:lvl>
    <w:lvl w:ilvl="4">
      <w:start w:val="1"/>
      <w:numFmt w:val="none"/>
      <w:pStyle w:val="Heading5"/>
      <w:suff w:val="nothing"/>
      <w:lvlText w:val=""/>
      <w:lvlJc w:val="left"/>
      <w:pPr>
        <w:tabs>
          <w:tab w:val="num" w:pos="0"/>
        </w:tabs>
        <w:ind w:left="0" w:firstLine="0"/>
      </w:pPr>
      <w:rPr>
        <w:b w:val="0"/>
        <w:i w:val="0"/>
        <w:caps w:val="0"/>
        <w:smallCaps w:val="0"/>
        <w:vanish w:val="0"/>
        <w:u w:val="no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0262FD2"/>
    <w:multiLevelType w:val="multilevel"/>
    <w:tmpl w:val="B176920E"/>
    <w:name w:val="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0"/>
        </w:tabs>
        <w:ind w:left="0" w:firstLine="0"/>
      </w:pPr>
      <w:rPr>
        <w:b w:val="0"/>
        <w:i w:val="0"/>
        <w:caps w:val="0"/>
        <w:smallCaps w:val="0"/>
        <w:vanish/>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8" w15:restartNumberingAfterBreak="0">
    <w:nsid w:val="422A0216"/>
    <w:multiLevelType w:val="multilevel"/>
    <w:tmpl w:val="F5F2F0A6"/>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b w:val="0"/>
        <w:i w:val="0"/>
        <w:caps w:val="0"/>
        <w:smallCaps w:val="0"/>
        <w:vanish w:val="0"/>
        <w:u w:val="none"/>
      </w:rPr>
    </w:lvl>
    <w:lvl w:ilvl="5">
      <w:start w:val="1"/>
      <w:numFmt w:val="lowerRoman"/>
      <w:pStyle w:val="ListBullet2"/>
      <w:lvlText w:val="–"/>
      <w:lvlJc w:val="left"/>
      <w:pPr>
        <w:tabs>
          <w:tab w:val="num" w:pos="720"/>
        </w:tabs>
        <w:ind w:left="720" w:hanging="360"/>
      </w:pPr>
      <w:rPr>
        <w:rFonts w:ascii="Arial" w:hAnsi="Arial" w:cs="Arial"/>
        <w:b w:val="0"/>
        <w:i w:val="0"/>
        <w:caps w:val="0"/>
        <w:smallCaps w:val="0"/>
        <w:vanish w:val="0"/>
        <w:u w:val="none"/>
      </w:rPr>
    </w:lvl>
    <w:lvl w:ilvl="6">
      <w:start w:val="1"/>
      <w:numFmt w:val="decimal"/>
      <w:pStyle w:val="ListBullet3"/>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pStyle w:val="ListBullet4"/>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tabs>
          <w:tab w:val="num" w:pos="3240"/>
        </w:tabs>
        <w:ind w:left="3240" w:hanging="360"/>
      </w:pPr>
    </w:lvl>
  </w:abstractNum>
  <w:abstractNum w:abstractNumId="9" w15:restartNumberingAfterBreak="0">
    <w:nsid w:val="431D722B"/>
    <w:multiLevelType w:val="hybridMultilevel"/>
    <w:tmpl w:val="D5803968"/>
    <w:lvl w:ilvl="0" w:tplc="B030C902">
      <w:start w:val="1"/>
      <w:numFmt w:val="bullet"/>
      <w:pStyle w:val="TOC4"/>
      <w:lvlText w:val="−"/>
      <w:lvlJc w:val="left"/>
      <w:pPr>
        <w:tabs>
          <w:tab w:val="num" w:pos="1526"/>
        </w:tabs>
        <w:ind w:left="1526"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E475FE"/>
    <w:multiLevelType w:val="multilevel"/>
    <w:tmpl w:val="6D84CCB8"/>
    <w:name w:val="SREP_HEAD1"/>
    <w:lvl w:ilvl="0">
      <w:start w:val="1"/>
      <w:numFmt w:val="decimal"/>
      <w:lvlRestart w:val="0"/>
      <w:lvlText w:val="%1."/>
      <w:lvlJc w:val="left"/>
      <w:pPr>
        <w:tabs>
          <w:tab w:val="num" w:pos="0"/>
        </w:tabs>
        <w:ind w:left="0" w:hanging="600"/>
      </w:pPr>
      <w:rPr>
        <w:rFonts w:ascii="Arial" w:hAnsi="Arial" w:cs="Arial"/>
        <w:b w:val="0"/>
        <w:i w:val="0"/>
        <w:caps w:val="0"/>
        <w:smallCaps w:val="0"/>
        <w:vanish w:val="0"/>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603116"/>
    <w:multiLevelType w:val="multilevel"/>
    <w:tmpl w:val="3F2C05A6"/>
    <w:name w:val="SectionStart"/>
    <w:lvl w:ilvl="0">
      <w:start w:val="1"/>
      <w:numFmt w:val="decimal"/>
      <w:lvlRestart w:val="0"/>
      <w:lvlText w:val="%1"/>
      <w:lvlJc w:val="left"/>
      <w:pPr>
        <w:tabs>
          <w:tab w:val="num" w:pos="360"/>
        </w:tabs>
        <w:ind w:left="360" w:hanging="180"/>
      </w:pPr>
      <w:rPr>
        <w:b w:val="0"/>
        <w:i w:val="0"/>
        <w:caps w:val="0"/>
        <w:smallCaps w:val="0"/>
        <w:vanish w:val="0"/>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1523F7"/>
    <w:multiLevelType w:val="multilevel"/>
    <w:tmpl w:val="2D8247C8"/>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bullet"/>
      <w:lvlText w:val=""/>
      <w:lvlJc w:val="left"/>
      <w:pPr>
        <w:tabs>
          <w:tab w:val="num" w:pos="851"/>
        </w:tabs>
        <w:ind w:left="851" w:hanging="284"/>
      </w:pPr>
      <w:rPr>
        <w:rFonts w:ascii="Symbol" w:hAnsi="Symbol" w:hint="default"/>
      </w:rPr>
    </w:lvl>
    <w:lvl w:ilvl="5">
      <w:start w:val="1"/>
      <w:numFmt w:val="lowerRoman"/>
      <w:lvlText w:val="%6."/>
      <w:lvlJc w:val="left"/>
      <w:pPr>
        <w:tabs>
          <w:tab w:val="num" w:pos="1134"/>
        </w:tabs>
        <w:ind w:left="1134" w:hanging="283"/>
      </w:pPr>
      <w:rPr>
        <w:rFonts w:hint="default"/>
      </w:rPr>
    </w:lvl>
    <w:lvl w:ilvl="6">
      <w:start w:val="1"/>
      <w:numFmt w:val="decimal"/>
      <w:lvlRestart w:val="0"/>
      <w:suff w:val="space"/>
      <w:lvlText w:val="Figure %7:"/>
      <w:lvlJc w:val="left"/>
      <w:pPr>
        <w:ind w:left="0" w:firstLine="0"/>
      </w:pPr>
      <w:rPr>
        <w:rFonts w:hint="default"/>
      </w:rPr>
    </w:lvl>
    <w:lvl w:ilvl="7">
      <w:start w:val="1"/>
      <w:numFmt w:val="decimal"/>
      <w:lvlRestart w:val="0"/>
      <w:suff w:val="space"/>
      <w:lvlText w:val="Note %8:"/>
      <w:lvlJc w:val="left"/>
      <w:pPr>
        <w:ind w:left="0" w:firstLine="0"/>
      </w:pPr>
      <w:rPr>
        <w:rFonts w:hint="default"/>
      </w:rPr>
    </w:lvl>
    <w:lvl w:ilvl="8">
      <w:start w:val="1"/>
      <w:numFmt w:val="decimal"/>
      <w:lvlRestart w:val="1"/>
      <w:suff w:val="space"/>
      <w:lvlText w:val="Table %1.%9:"/>
      <w:lvlJc w:val="left"/>
      <w:pPr>
        <w:ind w:left="0" w:firstLine="0"/>
      </w:pPr>
      <w:rPr>
        <w:rFonts w:hint="default"/>
      </w:rPr>
    </w:lvl>
  </w:abstractNum>
  <w:abstractNum w:abstractNumId="13" w15:restartNumberingAfterBreak="0">
    <w:nsid w:val="51E15ED6"/>
    <w:multiLevelType w:val="multilevel"/>
    <w:tmpl w:val="21727412"/>
    <w:name w:val="NumHead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pStyle w:val="ListNumber"/>
      <w:lvlText w:val="%6."/>
      <w:lvlJc w:val="left"/>
      <w:pPr>
        <w:tabs>
          <w:tab w:val="num" w:pos="360"/>
        </w:tabs>
        <w:ind w:left="360" w:hanging="360"/>
      </w:pPr>
      <w:rPr>
        <w:b w:val="0"/>
        <w:i w:val="0"/>
        <w:caps w:val="0"/>
        <w:smallCaps w:val="0"/>
        <w:vanish w:val="0"/>
        <w:u w:val="none"/>
      </w:rPr>
    </w:lvl>
    <w:lvl w:ilvl="6">
      <w:start w:val="1"/>
      <w:numFmt w:val="upperLetter"/>
      <w:pStyle w:val="ListNumber2"/>
      <w:lvlText w:val="%7."/>
      <w:lvlJc w:val="left"/>
      <w:pPr>
        <w:tabs>
          <w:tab w:val="num" w:pos="720"/>
        </w:tabs>
        <w:ind w:left="720" w:hanging="360"/>
      </w:pPr>
      <w:rPr>
        <w:b w:val="0"/>
        <w:i w:val="0"/>
        <w:caps w:val="0"/>
        <w:smallCaps w:val="0"/>
        <w:vanish w:val="0"/>
        <w:u w:val="none"/>
      </w:rPr>
    </w:lvl>
    <w:lvl w:ilvl="7">
      <w:start w:val="1"/>
      <w:numFmt w:val="lowerRoman"/>
      <w:pStyle w:val="ListNumber3"/>
      <w:lvlText w:val="%8."/>
      <w:lvlJc w:val="left"/>
      <w:pPr>
        <w:tabs>
          <w:tab w:val="num" w:pos="1080"/>
        </w:tabs>
        <w:ind w:left="1080" w:hanging="360"/>
      </w:pPr>
      <w:rPr>
        <w:b w:val="0"/>
        <w:i w:val="0"/>
        <w:caps w:val="0"/>
        <w:smallCaps w:val="0"/>
        <w:vanish w:val="0"/>
        <w:u w:val="none"/>
      </w:rPr>
    </w:lvl>
    <w:lvl w:ilvl="8">
      <w:start w:val="1"/>
      <w:numFmt w:val="lowerLetter"/>
      <w:pStyle w:val="ListNumber4"/>
      <w:lvlText w:val="%9."/>
      <w:lvlJc w:val="left"/>
      <w:pPr>
        <w:tabs>
          <w:tab w:val="num" w:pos="1440"/>
        </w:tabs>
        <w:ind w:left="1440" w:hanging="360"/>
      </w:pPr>
      <w:rPr>
        <w:b w:val="0"/>
        <w:i w:val="0"/>
        <w:caps w:val="0"/>
        <w:smallCaps w:val="0"/>
        <w:vanish w:val="0"/>
        <w:u w:val="none"/>
      </w:rPr>
    </w:lvl>
  </w:abstractNum>
  <w:abstractNum w:abstractNumId="14" w15:restartNumberingAfterBreak="0">
    <w:nsid w:val="5476062E"/>
    <w:multiLevelType w:val="multilevel"/>
    <w:tmpl w:val="9B5232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0D34070"/>
    <w:multiLevelType w:val="hybridMultilevel"/>
    <w:tmpl w:val="4CE678A2"/>
    <w:lvl w:ilvl="0" w:tplc="387E9A4E">
      <w:start w:val="1"/>
      <w:numFmt w:val="bullet"/>
      <w:pStyle w:val="TOC3"/>
      <w:lvlText w:val="─"/>
      <w:lvlJc w:val="left"/>
      <w:pPr>
        <w:tabs>
          <w:tab w:val="num" w:pos="1267"/>
        </w:tabs>
        <w:ind w:left="1267"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66020D"/>
    <w:multiLevelType w:val="multilevel"/>
    <w:tmpl w:val="505EA1FA"/>
    <w:name w:val="HeadingNumberDo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720"/>
        </w:tabs>
        <w:ind w:left="720" w:hanging="720"/>
      </w:pPr>
      <w:rPr>
        <w:b w:val="0"/>
        <w:i w:val="0"/>
        <w:caps w:val="0"/>
        <w:smallCaps w:val="0"/>
        <w:vanish w:val="0"/>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17" w15:restartNumberingAfterBreak="0">
    <w:nsid w:val="66186296"/>
    <w:multiLevelType w:val="singleLevel"/>
    <w:tmpl w:val="9ADEC414"/>
    <w:lvl w:ilvl="0">
      <w:start w:val="1"/>
      <w:numFmt w:val="decimal"/>
      <w:pStyle w:val="SectionStart"/>
      <w:lvlText w:val="%1"/>
      <w:lvlJc w:val="left"/>
      <w:pPr>
        <w:tabs>
          <w:tab w:val="num" w:pos="0"/>
        </w:tabs>
        <w:ind w:left="0" w:firstLine="0"/>
      </w:pPr>
      <w:rPr>
        <w:rFonts w:hint="default"/>
      </w:rPr>
    </w:lvl>
  </w:abstractNum>
  <w:abstractNum w:abstractNumId="18" w15:restartNumberingAfterBreak="0">
    <w:nsid w:val="6AF932A6"/>
    <w:multiLevelType w:val="singleLevel"/>
    <w:tmpl w:val="BFAA8006"/>
    <w:lvl w:ilvl="0">
      <w:start w:val="1"/>
      <w:numFmt w:val="upperLetter"/>
      <w:pStyle w:val="AppendixStart"/>
      <w:lvlText w:val="Appendix %1"/>
      <w:lvlJc w:val="left"/>
      <w:pPr>
        <w:tabs>
          <w:tab w:val="num" w:pos="0"/>
        </w:tabs>
        <w:ind w:left="0" w:firstLine="0"/>
      </w:pPr>
      <w:rPr>
        <w:rFonts w:hint="default"/>
      </w:rPr>
    </w:lvl>
  </w:abstractNum>
  <w:abstractNum w:abstractNumId="19" w15:restartNumberingAfterBreak="0">
    <w:nsid w:val="6D0C248B"/>
    <w:multiLevelType w:val="multilevel"/>
    <w:tmpl w:val="27DCA814"/>
    <w:name w:val="TableBulletList"/>
    <w:lvl w:ilvl="0">
      <w:start w:val="1"/>
      <w:numFmt w:val="upperLetter"/>
      <w:pStyle w:val="TOC9"/>
      <w:lvlText w:val="Appendix %1:"/>
      <w:lvlJc w:val="left"/>
      <w:pPr>
        <w:tabs>
          <w:tab w:val="num" w:pos="360"/>
        </w:tabs>
        <w:ind w:left="360" w:hanging="360"/>
      </w:pPr>
      <w:rPr>
        <w:rFonts w:ascii="Arial" w:hAnsi="Arial" w:cs="Times New Roman" w:hint="default"/>
        <w:b w:val="0"/>
        <w:bCs w:val="0"/>
        <w:i w:val="0"/>
        <w:iCs w:val="0"/>
        <w:caps w:val="0"/>
        <w:smallCaps w:val="0"/>
        <w:strike w:val="0"/>
        <w:dstrike w:val="0"/>
        <w:outline w:val="0"/>
        <w:shadow w:val="0"/>
        <w:emboss w:val="0"/>
        <w:imprint w:val="0"/>
        <w:noProof w:val="0"/>
        <w:snapToGrid w:val="0"/>
        <w:vanish w:val="0"/>
        <w:color w:val="404040"/>
        <w:spacing w:val="0"/>
        <w:w w:val="0"/>
        <w:kern w:val="0"/>
        <w:position w:val="0"/>
        <w:sz w:val="22"/>
        <w:szCs w:val="18"/>
        <w:u w:val="none" w:color="000000"/>
        <w:vertAlign w:val="baseline"/>
        <w:em w:val="none"/>
        <w:lang w:val="x-none" w:eastAsia="x-none" w:bidi="x-none"/>
        <w14:ligatures w14:val="none"/>
        <w14:numForm w14:val="default"/>
        <w14:numSpacing w14:val="default"/>
        <w14:stylisticSets/>
        <w14:cntxtAlts w14:val="0"/>
      </w:rPr>
    </w:lvl>
    <w:lvl w:ilvl="1">
      <w:start w:val="137"/>
      <w:numFmt w:val="bullet"/>
      <w:lvlText w:val=""/>
      <w:lvlJc w:val="left"/>
      <w:pPr>
        <w:ind w:left="1440" w:hanging="360"/>
      </w:pPr>
      <w:rPr>
        <w:rFonts w:ascii="Symbol" w:eastAsia="Times New Roman" w:hAnsi="Symbol"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E1C715A"/>
    <w:multiLevelType w:val="multilevel"/>
    <w:tmpl w:val="50F05CFE"/>
    <w:name w:val="Appendix"/>
    <w:lvl w:ilvl="0">
      <w:start w:val="1"/>
      <w:numFmt w:val="upperLetter"/>
      <w:lvlRestart w:val="0"/>
      <w:lvlText w:val="Appendix: %1."/>
      <w:lvlJc w:val="left"/>
      <w:pPr>
        <w:tabs>
          <w:tab w:val="num" w:pos="360"/>
        </w:tabs>
        <w:ind w:left="360" w:hanging="360"/>
      </w:pPr>
      <w:rPr>
        <w:rFonts w:ascii="Arial" w:hAnsi="Arial" w:cs="Arial"/>
        <w:b w:val="0"/>
        <w:i w:val="0"/>
        <w:caps w:val="0"/>
        <w:smallCaps w:val="0"/>
        <w:vanish w:val="0"/>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1FA5B86"/>
    <w:multiLevelType w:val="multilevel"/>
    <w:tmpl w:val="0409001D"/>
    <w:name w:val="Heading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8"/>
  </w:num>
  <w:num w:numId="3">
    <w:abstractNumId w:val="2"/>
  </w:num>
  <w:num w:numId="4">
    <w:abstractNumId w:val="3"/>
  </w:num>
  <w:num w:numId="5">
    <w:abstractNumId w:val="18"/>
  </w:num>
  <w:num w:numId="6">
    <w:abstractNumId w:val="19"/>
  </w:num>
  <w:num w:numId="7">
    <w:abstractNumId w:val="15"/>
  </w:num>
  <w:num w:numId="8">
    <w:abstractNumId w:val="9"/>
  </w:num>
  <w:num w:numId="9">
    <w:abstractNumId w:val="8"/>
  </w:num>
  <w:num w:numId="10">
    <w:abstractNumId w:val="6"/>
  </w:num>
  <w:num w:numId="11">
    <w:abstractNumId w:val="13"/>
  </w:num>
  <w:num w:numId="12">
    <w:abstractNumId w:val="4"/>
  </w:num>
  <w:num w:numId="13">
    <w:abstractNumId w:val="14"/>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LockTheme/>
  <w:styleLockQFSet/>
  <w:defaultTabStop w:val="227"/>
  <w:displayHorizontalDrawingGridEvery w:val="0"/>
  <w:displayVerticalDrawingGridEvery w:val="0"/>
  <w:doNotUseMarginsForDrawingGridOrigin/>
  <w:noPunctuationKerning/>
  <w:characterSpacingControl w:val="doNotCompress"/>
  <w:hdrShapeDefaults>
    <o:shapedefaults v:ext="edit" spidmax="2064">
      <o:colormru v:ext="edit" colors="#bcd8d3"/>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B60"/>
    <w:rsid w:val="00001C47"/>
    <w:rsid w:val="0000360B"/>
    <w:rsid w:val="0000472B"/>
    <w:rsid w:val="000047BB"/>
    <w:rsid w:val="000100A8"/>
    <w:rsid w:val="0001182B"/>
    <w:rsid w:val="00013085"/>
    <w:rsid w:val="00013EAE"/>
    <w:rsid w:val="00015EDE"/>
    <w:rsid w:val="00017FCB"/>
    <w:rsid w:val="0002094E"/>
    <w:rsid w:val="00025ADD"/>
    <w:rsid w:val="00030DC4"/>
    <w:rsid w:val="000336C4"/>
    <w:rsid w:val="00034F57"/>
    <w:rsid w:val="000363E8"/>
    <w:rsid w:val="0003651C"/>
    <w:rsid w:val="00040475"/>
    <w:rsid w:val="000421E5"/>
    <w:rsid w:val="00047E45"/>
    <w:rsid w:val="00053D8B"/>
    <w:rsid w:val="0005535C"/>
    <w:rsid w:val="00056E3E"/>
    <w:rsid w:val="0005770D"/>
    <w:rsid w:val="00060643"/>
    <w:rsid w:val="00060E74"/>
    <w:rsid w:val="00062C18"/>
    <w:rsid w:val="0006577E"/>
    <w:rsid w:val="00065CF6"/>
    <w:rsid w:val="000717DD"/>
    <w:rsid w:val="00072A5A"/>
    <w:rsid w:val="000735F5"/>
    <w:rsid w:val="00076363"/>
    <w:rsid w:val="00080A06"/>
    <w:rsid w:val="00080BFF"/>
    <w:rsid w:val="000832F2"/>
    <w:rsid w:val="000850ED"/>
    <w:rsid w:val="00085420"/>
    <w:rsid w:val="00085804"/>
    <w:rsid w:val="0008666F"/>
    <w:rsid w:val="0009039C"/>
    <w:rsid w:val="00090E0B"/>
    <w:rsid w:val="000910F5"/>
    <w:rsid w:val="00093342"/>
    <w:rsid w:val="000943F1"/>
    <w:rsid w:val="00095196"/>
    <w:rsid w:val="00095E1C"/>
    <w:rsid w:val="000A3D02"/>
    <w:rsid w:val="000A3EF6"/>
    <w:rsid w:val="000A4957"/>
    <w:rsid w:val="000A672C"/>
    <w:rsid w:val="000A6D48"/>
    <w:rsid w:val="000A6F86"/>
    <w:rsid w:val="000B22E0"/>
    <w:rsid w:val="000B394A"/>
    <w:rsid w:val="000B460B"/>
    <w:rsid w:val="000B5DAD"/>
    <w:rsid w:val="000C0CD9"/>
    <w:rsid w:val="000C466A"/>
    <w:rsid w:val="000C5192"/>
    <w:rsid w:val="000C6910"/>
    <w:rsid w:val="000D0CA4"/>
    <w:rsid w:val="000D1851"/>
    <w:rsid w:val="000D1BA8"/>
    <w:rsid w:val="000D23BC"/>
    <w:rsid w:val="000D7601"/>
    <w:rsid w:val="000E004A"/>
    <w:rsid w:val="000E3149"/>
    <w:rsid w:val="000E5764"/>
    <w:rsid w:val="000F424B"/>
    <w:rsid w:val="000F53CA"/>
    <w:rsid w:val="000F6F72"/>
    <w:rsid w:val="00100EB1"/>
    <w:rsid w:val="00101205"/>
    <w:rsid w:val="00105A93"/>
    <w:rsid w:val="00107A20"/>
    <w:rsid w:val="0011074A"/>
    <w:rsid w:val="001115A6"/>
    <w:rsid w:val="001118C2"/>
    <w:rsid w:val="00113B93"/>
    <w:rsid w:val="00116AB9"/>
    <w:rsid w:val="001175A6"/>
    <w:rsid w:val="001179E5"/>
    <w:rsid w:val="00120518"/>
    <w:rsid w:val="00121B06"/>
    <w:rsid w:val="00122C44"/>
    <w:rsid w:val="00122F16"/>
    <w:rsid w:val="0012472A"/>
    <w:rsid w:val="00124E3C"/>
    <w:rsid w:val="00126160"/>
    <w:rsid w:val="00126602"/>
    <w:rsid w:val="00130E4C"/>
    <w:rsid w:val="00133ED7"/>
    <w:rsid w:val="001346BC"/>
    <w:rsid w:val="001368EE"/>
    <w:rsid w:val="00137A8F"/>
    <w:rsid w:val="00141C35"/>
    <w:rsid w:val="0014439D"/>
    <w:rsid w:val="00144CE1"/>
    <w:rsid w:val="001454AE"/>
    <w:rsid w:val="00145D2C"/>
    <w:rsid w:val="00150787"/>
    <w:rsid w:val="00150ABD"/>
    <w:rsid w:val="00153117"/>
    <w:rsid w:val="001533A1"/>
    <w:rsid w:val="00157F97"/>
    <w:rsid w:val="00160CCE"/>
    <w:rsid w:val="001620A3"/>
    <w:rsid w:val="0016261E"/>
    <w:rsid w:val="00163EA1"/>
    <w:rsid w:val="0016566C"/>
    <w:rsid w:val="00170D53"/>
    <w:rsid w:val="001712F9"/>
    <w:rsid w:val="00172C3C"/>
    <w:rsid w:val="00174050"/>
    <w:rsid w:val="00174C17"/>
    <w:rsid w:val="00174E0F"/>
    <w:rsid w:val="00175BF6"/>
    <w:rsid w:val="00177BFE"/>
    <w:rsid w:val="0018091D"/>
    <w:rsid w:val="00181203"/>
    <w:rsid w:val="00182DA8"/>
    <w:rsid w:val="00183A91"/>
    <w:rsid w:val="00184C86"/>
    <w:rsid w:val="00184F8A"/>
    <w:rsid w:val="00185763"/>
    <w:rsid w:val="0018604B"/>
    <w:rsid w:val="00186DFD"/>
    <w:rsid w:val="00187255"/>
    <w:rsid w:val="00190D77"/>
    <w:rsid w:val="001925C3"/>
    <w:rsid w:val="001A1A11"/>
    <w:rsid w:val="001A42EC"/>
    <w:rsid w:val="001A7306"/>
    <w:rsid w:val="001B24F4"/>
    <w:rsid w:val="001B77BF"/>
    <w:rsid w:val="001C0974"/>
    <w:rsid w:val="001C3885"/>
    <w:rsid w:val="001D198A"/>
    <w:rsid w:val="001D2498"/>
    <w:rsid w:val="001E0606"/>
    <w:rsid w:val="001E0A7B"/>
    <w:rsid w:val="001E4238"/>
    <w:rsid w:val="001F1B9E"/>
    <w:rsid w:val="001F3F79"/>
    <w:rsid w:val="001F40D3"/>
    <w:rsid w:val="001F476E"/>
    <w:rsid w:val="001F7D0B"/>
    <w:rsid w:val="0020369F"/>
    <w:rsid w:val="00206DA5"/>
    <w:rsid w:val="0021014C"/>
    <w:rsid w:val="002109ED"/>
    <w:rsid w:val="002135B0"/>
    <w:rsid w:val="00216A1E"/>
    <w:rsid w:val="00216CB8"/>
    <w:rsid w:val="00217DC7"/>
    <w:rsid w:val="00220003"/>
    <w:rsid w:val="00222167"/>
    <w:rsid w:val="00224449"/>
    <w:rsid w:val="002257DB"/>
    <w:rsid w:val="002326EC"/>
    <w:rsid w:val="00232E65"/>
    <w:rsid w:val="00233196"/>
    <w:rsid w:val="00235072"/>
    <w:rsid w:val="00235E12"/>
    <w:rsid w:val="00235FA8"/>
    <w:rsid w:val="00236955"/>
    <w:rsid w:val="0024049B"/>
    <w:rsid w:val="00240871"/>
    <w:rsid w:val="0024119F"/>
    <w:rsid w:val="00243E0A"/>
    <w:rsid w:val="002454A1"/>
    <w:rsid w:val="00251861"/>
    <w:rsid w:val="00253C2A"/>
    <w:rsid w:val="00254BE9"/>
    <w:rsid w:val="00256186"/>
    <w:rsid w:val="0026009B"/>
    <w:rsid w:val="0026079F"/>
    <w:rsid w:val="00262AB4"/>
    <w:rsid w:val="00263299"/>
    <w:rsid w:val="00263BEC"/>
    <w:rsid w:val="00272FD9"/>
    <w:rsid w:val="002740F6"/>
    <w:rsid w:val="00275109"/>
    <w:rsid w:val="00276ACD"/>
    <w:rsid w:val="00282E25"/>
    <w:rsid w:val="00290A86"/>
    <w:rsid w:val="0029220C"/>
    <w:rsid w:val="0029647D"/>
    <w:rsid w:val="002A4B46"/>
    <w:rsid w:val="002A5BD6"/>
    <w:rsid w:val="002A6713"/>
    <w:rsid w:val="002B251C"/>
    <w:rsid w:val="002B308A"/>
    <w:rsid w:val="002B523F"/>
    <w:rsid w:val="002B650A"/>
    <w:rsid w:val="002C095D"/>
    <w:rsid w:val="002C0B59"/>
    <w:rsid w:val="002C153E"/>
    <w:rsid w:val="002C1577"/>
    <w:rsid w:val="002C4482"/>
    <w:rsid w:val="002C4805"/>
    <w:rsid w:val="002D007F"/>
    <w:rsid w:val="002D08D8"/>
    <w:rsid w:val="002D36C6"/>
    <w:rsid w:val="002D37A6"/>
    <w:rsid w:val="002D478E"/>
    <w:rsid w:val="002D4856"/>
    <w:rsid w:val="002D715C"/>
    <w:rsid w:val="002E2260"/>
    <w:rsid w:val="002E3DF3"/>
    <w:rsid w:val="002E5A81"/>
    <w:rsid w:val="002E6B0F"/>
    <w:rsid w:val="002E7775"/>
    <w:rsid w:val="002F0E5A"/>
    <w:rsid w:val="002F3543"/>
    <w:rsid w:val="002F4AD9"/>
    <w:rsid w:val="002F4F41"/>
    <w:rsid w:val="002F6DE6"/>
    <w:rsid w:val="00302765"/>
    <w:rsid w:val="0030531E"/>
    <w:rsid w:val="003101DF"/>
    <w:rsid w:val="00312C53"/>
    <w:rsid w:val="00314AF0"/>
    <w:rsid w:val="00325AC8"/>
    <w:rsid w:val="00326788"/>
    <w:rsid w:val="00326DC7"/>
    <w:rsid w:val="00331428"/>
    <w:rsid w:val="003315BF"/>
    <w:rsid w:val="00331A3B"/>
    <w:rsid w:val="00332EFF"/>
    <w:rsid w:val="0033415A"/>
    <w:rsid w:val="00334355"/>
    <w:rsid w:val="00334BE4"/>
    <w:rsid w:val="00336040"/>
    <w:rsid w:val="003437B2"/>
    <w:rsid w:val="00345256"/>
    <w:rsid w:val="00345600"/>
    <w:rsid w:val="00346F05"/>
    <w:rsid w:val="0035079E"/>
    <w:rsid w:val="0035234B"/>
    <w:rsid w:val="003527BD"/>
    <w:rsid w:val="00355EB9"/>
    <w:rsid w:val="003562A8"/>
    <w:rsid w:val="003571D7"/>
    <w:rsid w:val="0035736D"/>
    <w:rsid w:val="00357513"/>
    <w:rsid w:val="00360814"/>
    <w:rsid w:val="00364510"/>
    <w:rsid w:val="003649B7"/>
    <w:rsid w:val="00364FCA"/>
    <w:rsid w:val="00367A49"/>
    <w:rsid w:val="00372F5A"/>
    <w:rsid w:val="003734BA"/>
    <w:rsid w:val="00373C0F"/>
    <w:rsid w:val="0037430F"/>
    <w:rsid w:val="00374DB4"/>
    <w:rsid w:val="003756E2"/>
    <w:rsid w:val="00375C43"/>
    <w:rsid w:val="0038406E"/>
    <w:rsid w:val="003842DF"/>
    <w:rsid w:val="003869F2"/>
    <w:rsid w:val="00394AD2"/>
    <w:rsid w:val="00394BBC"/>
    <w:rsid w:val="003950E6"/>
    <w:rsid w:val="003961D4"/>
    <w:rsid w:val="003A0BD4"/>
    <w:rsid w:val="003A3EA6"/>
    <w:rsid w:val="003A4848"/>
    <w:rsid w:val="003A6A90"/>
    <w:rsid w:val="003B0EEA"/>
    <w:rsid w:val="003B1B42"/>
    <w:rsid w:val="003B2291"/>
    <w:rsid w:val="003B34AE"/>
    <w:rsid w:val="003B43C4"/>
    <w:rsid w:val="003C17E0"/>
    <w:rsid w:val="003C1D5E"/>
    <w:rsid w:val="003C3998"/>
    <w:rsid w:val="003D338A"/>
    <w:rsid w:val="003D33E4"/>
    <w:rsid w:val="003D3D49"/>
    <w:rsid w:val="003D5478"/>
    <w:rsid w:val="003D6047"/>
    <w:rsid w:val="003D6676"/>
    <w:rsid w:val="003E1E4E"/>
    <w:rsid w:val="003E24CE"/>
    <w:rsid w:val="003E2FA2"/>
    <w:rsid w:val="003E3AB5"/>
    <w:rsid w:val="003E4266"/>
    <w:rsid w:val="003E5772"/>
    <w:rsid w:val="003F26B3"/>
    <w:rsid w:val="003F5DF4"/>
    <w:rsid w:val="003F702D"/>
    <w:rsid w:val="00400492"/>
    <w:rsid w:val="00400F74"/>
    <w:rsid w:val="0040267F"/>
    <w:rsid w:val="00403A8C"/>
    <w:rsid w:val="00405B2C"/>
    <w:rsid w:val="00406954"/>
    <w:rsid w:val="00407CFA"/>
    <w:rsid w:val="0041071F"/>
    <w:rsid w:val="00410867"/>
    <w:rsid w:val="0041261D"/>
    <w:rsid w:val="00414549"/>
    <w:rsid w:val="00414B20"/>
    <w:rsid w:val="0041527B"/>
    <w:rsid w:val="0041553D"/>
    <w:rsid w:val="00415E5B"/>
    <w:rsid w:val="004162A9"/>
    <w:rsid w:val="00417DA0"/>
    <w:rsid w:val="00420238"/>
    <w:rsid w:val="00433397"/>
    <w:rsid w:val="00435D99"/>
    <w:rsid w:val="00440B05"/>
    <w:rsid w:val="00441147"/>
    <w:rsid w:val="004423EB"/>
    <w:rsid w:val="00443E70"/>
    <w:rsid w:val="00445F62"/>
    <w:rsid w:val="00446932"/>
    <w:rsid w:val="0044751C"/>
    <w:rsid w:val="004478A9"/>
    <w:rsid w:val="00447981"/>
    <w:rsid w:val="00453D0E"/>
    <w:rsid w:val="0045642C"/>
    <w:rsid w:val="00460956"/>
    <w:rsid w:val="00461C98"/>
    <w:rsid w:val="00465149"/>
    <w:rsid w:val="00465496"/>
    <w:rsid w:val="004678B1"/>
    <w:rsid w:val="00467A28"/>
    <w:rsid w:val="00467D38"/>
    <w:rsid w:val="00472A68"/>
    <w:rsid w:val="00474E18"/>
    <w:rsid w:val="004773DD"/>
    <w:rsid w:val="0048168B"/>
    <w:rsid w:val="00482AD1"/>
    <w:rsid w:val="00484082"/>
    <w:rsid w:val="00485364"/>
    <w:rsid w:val="00486F49"/>
    <w:rsid w:val="00490A48"/>
    <w:rsid w:val="00492869"/>
    <w:rsid w:val="00492948"/>
    <w:rsid w:val="00493BCF"/>
    <w:rsid w:val="004953F4"/>
    <w:rsid w:val="00496F98"/>
    <w:rsid w:val="00497041"/>
    <w:rsid w:val="004A10CC"/>
    <w:rsid w:val="004A1F3F"/>
    <w:rsid w:val="004A212C"/>
    <w:rsid w:val="004A25AC"/>
    <w:rsid w:val="004A2C02"/>
    <w:rsid w:val="004A3003"/>
    <w:rsid w:val="004A544E"/>
    <w:rsid w:val="004B2939"/>
    <w:rsid w:val="004B31C7"/>
    <w:rsid w:val="004B4AF4"/>
    <w:rsid w:val="004B6CE2"/>
    <w:rsid w:val="004B790C"/>
    <w:rsid w:val="004C4828"/>
    <w:rsid w:val="004C66FD"/>
    <w:rsid w:val="004C69F1"/>
    <w:rsid w:val="004C7751"/>
    <w:rsid w:val="004D0A37"/>
    <w:rsid w:val="004D0C8C"/>
    <w:rsid w:val="004D134A"/>
    <w:rsid w:val="004D178B"/>
    <w:rsid w:val="004D22B3"/>
    <w:rsid w:val="004D46B1"/>
    <w:rsid w:val="004D578C"/>
    <w:rsid w:val="004D6D93"/>
    <w:rsid w:val="004D743B"/>
    <w:rsid w:val="004D78AF"/>
    <w:rsid w:val="004E126C"/>
    <w:rsid w:val="004E2BD9"/>
    <w:rsid w:val="004E52A2"/>
    <w:rsid w:val="004E5485"/>
    <w:rsid w:val="004F1A1B"/>
    <w:rsid w:val="004F24A4"/>
    <w:rsid w:val="004F3084"/>
    <w:rsid w:val="004F6CF1"/>
    <w:rsid w:val="004F7AA7"/>
    <w:rsid w:val="00500098"/>
    <w:rsid w:val="00502E75"/>
    <w:rsid w:val="0050338B"/>
    <w:rsid w:val="005061F5"/>
    <w:rsid w:val="00507780"/>
    <w:rsid w:val="005107EB"/>
    <w:rsid w:val="00510A61"/>
    <w:rsid w:val="00512253"/>
    <w:rsid w:val="00514B63"/>
    <w:rsid w:val="00515B66"/>
    <w:rsid w:val="005167E2"/>
    <w:rsid w:val="00521C48"/>
    <w:rsid w:val="00521F1F"/>
    <w:rsid w:val="00523897"/>
    <w:rsid w:val="00524997"/>
    <w:rsid w:val="00527CE8"/>
    <w:rsid w:val="00527E3A"/>
    <w:rsid w:val="0053249E"/>
    <w:rsid w:val="00536849"/>
    <w:rsid w:val="005409C0"/>
    <w:rsid w:val="00540BD0"/>
    <w:rsid w:val="00541404"/>
    <w:rsid w:val="005424BA"/>
    <w:rsid w:val="00546002"/>
    <w:rsid w:val="005472C4"/>
    <w:rsid w:val="00553295"/>
    <w:rsid w:val="00553DB5"/>
    <w:rsid w:val="00555C58"/>
    <w:rsid w:val="00562E56"/>
    <w:rsid w:val="005664E1"/>
    <w:rsid w:val="00572823"/>
    <w:rsid w:val="00572C01"/>
    <w:rsid w:val="00576576"/>
    <w:rsid w:val="00582E2E"/>
    <w:rsid w:val="0058517C"/>
    <w:rsid w:val="005859FB"/>
    <w:rsid w:val="0059232A"/>
    <w:rsid w:val="0059618D"/>
    <w:rsid w:val="00596814"/>
    <w:rsid w:val="005A1F31"/>
    <w:rsid w:val="005A5B64"/>
    <w:rsid w:val="005B1F11"/>
    <w:rsid w:val="005B2D9B"/>
    <w:rsid w:val="005B3559"/>
    <w:rsid w:val="005B3636"/>
    <w:rsid w:val="005B70A8"/>
    <w:rsid w:val="005C0BA9"/>
    <w:rsid w:val="005C0EBA"/>
    <w:rsid w:val="005C4190"/>
    <w:rsid w:val="005C4B66"/>
    <w:rsid w:val="005C5783"/>
    <w:rsid w:val="005D1E1A"/>
    <w:rsid w:val="005D1F10"/>
    <w:rsid w:val="005D3544"/>
    <w:rsid w:val="005D470F"/>
    <w:rsid w:val="005D5629"/>
    <w:rsid w:val="005E19B9"/>
    <w:rsid w:val="005E23F5"/>
    <w:rsid w:val="005E3B97"/>
    <w:rsid w:val="005E4705"/>
    <w:rsid w:val="005F0EE6"/>
    <w:rsid w:val="005F5E37"/>
    <w:rsid w:val="005F71CA"/>
    <w:rsid w:val="005F7380"/>
    <w:rsid w:val="006020A9"/>
    <w:rsid w:val="0061001C"/>
    <w:rsid w:val="00610FCE"/>
    <w:rsid w:val="00613BCA"/>
    <w:rsid w:val="00615619"/>
    <w:rsid w:val="006166A9"/>
    <w:rsid w:val="00617A89"/>
    <w:rsid w:val="00622BD0"/>
    <w:rsid w:val="00623152"/>
    <w:rsid w:val="00624984"/>
    <w:rsid w:val="00624CFB"/>
    <w:rsid w:val="00625E56"/>
    <w:rsid w:val="00627186"/>
    <w:rsid w:val="00627526"/>
    <w:rsid w:val="006327E4"/>
    <w:rsid w:val="00634251"/>
    <w:rsid w:val="006353D7"/>
    <w:rsid w:val="00636932"/>
    <w:rsid w:val="0063795E"/>
    <w:rsid w:val="00637B4D"/>
    <w:rsid w:val="00637D94"/>
    <w:rsid w:val="006409D5"/>
    <w:rsid w:val="0064180E"/>
    <w:rsid w:val="0064633A"/>
    <w:rsid w:val="0065380F"/>
    <w:rsid w:val="00654C9F"/>
    <w:rsid w:val="00654F47"/>
    <w:rsid w:val="006568AE"/>
    <w:rsid w:val="00660334"/>
    <w:rsid w:val="00662236"/>
    <w:rsid w:val="006651C3"/>
    <w:rsid w:val="00665BE4"/>
    <w:rsid w:val="006661D7"/>
    <w:rsid w:val="00666C00"/>
    <w:rsid w:val="0066770D"/>
    <w:rsid w:val="00670419"/>
    <w:rsid w:val="00671233"/>
    <w:rsid w:val="00671CD9"/>
    <w:rsid w:val="00671D31"/>
    <w:rsid w:val="0067459A"/>
    <w:rsid w:val="00675130"/>
    <w:rsid w:val="00675628"/>
    <w:rsid w:val="00676991"/>
    <w:rsid w:val="00685334"/>
    <w:rsid w:val="006854EB"/>
    <w:rsid w:val="00686380"/>
    <w:rsid w:val="0069055B"/>
    <w:rsid w:val="00692D7D"/>
    <w:rsid w:val="00692EE8"/>
    <w:rsid w:val="00696373"/>
    <w:rsid w:val="006A0A71"/>
    <w:rsid w:val="006A1FB0"/>
    <w:rsid w:val="006A40EA"/>
    <w:rsid w:val="006A48C4"/>
    <w:rsid w:val="006A4BB1"/>
    <w:rsid w:val="006A5A20"/>
    <w:rsid w:val="006A6348"/>
    <w:rsid w:val="006B359F"/>
    <w:rsid w:val="006B79AD"/>
    <w:rsid w:val="006C061D"/>
    <w:rsid w:val="006C1989"/>
    <w:rsid w:val="006C2FD3"/>
    <w:rsid w:val="006C3111"/>
    <w:rsid w:val="006D2189"/>
    <w:rsid w:val="006D2A07"/>
    <w:rsid w:val="006D2E32"/>
    <w:rsid w:val="006D5115"/>
    <w:rsid w:val="006D5237"/>
    <w:rsid w:val="006D591B"/>
    <w:rsid w:val="006D6A4B"/>
    <w:rsid w:val="006D792E"/>
    <w:rsid w:val="006D7CEF"/>
    <w:rsid w:val="006E008A"/>
    <w:rsid w:val="006E0F6D"/>
    <w:rsid w:val="006E1351"/>
    <w:rsid w:val="006E283A"/>
    <w:rsid w:val="006E7E91"/>
    <w:rsid w:val="006F4BA6"/>
    <w:rsid w:val="006F641D"/>
    <w:rsid w:val="006F6B5D"/>
    <w:rsid w:val="00704EBF"/>
    <w:rsid w:val="00706A8D"/>
    <w:rsid w:val="0070700B"/>
    <w:rsid w:val="007079B7"/>
    <w:rsid w:val="00711178"/>
    <w:rsid w:val="007121E6"/>
    <w:rsid w:val="007131B6"/>
    <w:rsid w:val="00713449"/>
    <w:rsid w:val="00713C5E"/>
    <w:rsid w:val="00714049"/>
    <w:rsid w:val="00715A72"/>
    <w:rsid w:val="00720979"/>
    <w:rsid w:val="00721776"/>
    <w:rsid w:val="00721AF8"/>
    <w:rsid w:val="0072270C"/>
    <w:rsid w:val="0072283D"/>
    <w:rsid w:val="007268C7"/>
    <w:rsid w:val="00726CA6"/>
    <w:rsid w:val="00730524"/>
    <w:rsid w:val="0073318D"/>
    <w:rsid w:val="00735125"/>
    <w:rsid w:val="007363B5"/>
    <w:rsid w:val="00737477"/>
    <w:rsid w:val="007377A0"/>
    <w:rsid w:val="00737DF4"/>
    <w:rsid w:val="00740656"/>
    <w:rsid w:val="0074307F"/>
    <w:rsid w:val="00743C53"/>
    <w:rsid w:val="007469B6"/>
    <w:rsid w:val="00751992"/>
    <w:rsid w:val="00752C87"/>
    <w:rsid w:val="00755FDE"/>
    <w:rsid w:val="00757FA7"/>
    <w:rsid w:val="007603ED"/>
    <w:rsid w:val="00760A3A"/>
    <w:rsid w:val="00762F33"/>
    <w:rsid w:val="00763B6E"/>
    <w:rsid w:val="00764B71"/>
    <w:rsid w:val="00765B15"/>
    <w:rsid w:val="00765ED6"/>
    <w:rsid w:val="007725A0"/>
    <w:rsid w:val="0077409B"/>
    <w:rsid w:val="00776BF7"/>
    <w:rsid w:val="0078023F"/>
    <w:rsid w:val="007808DA"/>
    <w:rsid w:val="00780FF2"/>
    <w:rsid w:val="007835B1"/>
    <w:rsid w:val="00783E46"/>
    <w:rsid w:val="00784864"/>
    <w:rsid w:val="007848D8"/>
    <w:rsid w:val="0079196B"/>
    <w:rsid w:val="00792DB9"/>
    <w:rsid w:val="00793471"/>
    <w:rsid w:val="007946D1"/>
    <w:rsid w:val="00795333"/>
    <w:rsid w:val="00795377"/>
    <w:rsid w:val="0079683D"/>
    <w:rsid w:val="007977EC"/>
    <w:rsid w:val="007A4B7A"/>
    <w:rsid w:val="007A522B"/>
    <w:rsid w:val="007A562D"/>
    <w:rsid w:val="007A5AC7"/>
    <w:rsid w:val="007A720B"/>
    <w:rsid w:val="007A728D"/>
    <w:rsid w:val="007B013B"/>
    <w:rsid w:val="007B45DE"/>
    <w:rsid w:val="007B59BD"/>
    <w:rsid w:val="007B7889"/>
    <w:rsid w:val="007C3D05"/>
    <w:rsid w:val="007C3D96"/>
    <w:rsid w:val="007C48BF"/>
    <w:rsid w:val="007C4CB6"/>
    <w:rsid w:val="007D1423"/>
    <w:rsid w:val="007D5E17"/>
    <w:rsid w:val="007D6566"/>
    <w:rsid w:val="007D7FC3"/>
    <w:rsid w:val="007E31B9"/>
    <w:rsid w:val="007E4875"/>
    <w:rsid w:val="007E7B1A"/>
    <w:rsid w:val="007F40C8"/>
    <w:rsid w:val="007F57BC"/>
    <w:rsid w:val="007F5F0D"/>
    <w:rsid w:val="007F7F27"/>
    <w:rsid w:val="0080055A"/>
    <w:rsid w:val="00803B6D"/>
    <w:rsid w:val="008051CC"/>
    <w:rsid w:val="00805D60"/>
    <w:rsid w:val="008067D4"/>
    <w:rsid w:val="00806FB0"/>
    <w:rsid w:val="008074DA"/>
    <w:rsid w:val="00810708"/>
    <w:rsid w:val="00810FA4"/>
    <w:rsid w:val="0081394E"/>
    <w:rsid w:val="00814698"/>
    <w:rsid w:val="008148AE"/>
    <w:rsid w:val="008155E3"/>
    <w:rsid w:val="00817E9E"/>
    <w:rsid w:val="008203DC"/>
    <w:rsid w:val="00822A14"/>
    <w:rsid w:val="0082575E"/>
    <w:rsid w:val="00825EA2"/>
    <w:rsid w:val="00827778"/>
    <w:rsid w:val="00830BB8"/>
    <w:rsid w:val="00831EF9"/>
    <w:rsid w:val="00841329"/>
    <w:rsid w:val="00841900"/>
    <w:rsid w:val="0084206F"/>
    <w:rsid w:val="008433DF"/>
    <w:rsid w:val="00844EA8"/>
    <w:rsid w:val="0085297B"/>
    <w:rsid w:val="00853175"/>
    <w:rsid w:val="008545C2"/>
    <w:rsid w:val="008549C8"/>
    <w:rsid w:val="00854B9C"/>
    <w:rsid w:val="00857B1B"/>
    <w:rsid w:val="00861720"/>
    <w:rsid w:val="00861D62"/>
    <w:rsid w:val="008679E0"/>
    <w:rsid w:val="00871886"/>
    <w:rsid w:val="00871EE2"/>
    <w:rsid w:val="0087201D"/>
    <w:rsid w:val="0087355D"/>
    <w:rsid w:val="008754B0"/>
    <w:rsid w:val="00875E45"/>
    <w:rsid w:val="00876516"/>
    <w:rsid w:val="0087786A"/>
    <w:rsid w:val="00881F7B"/>
    <w:rsid w:val="00884705"/>
    <w:rsid w:val="00886F7A"/>
    <w:rsid w:val="00893384"/>
    <w:rsid w:val="00893CDF"/>
    <w:rsid w:val="00896A32"/>
    <w:rsid w:val="0089722E"/>
    <w:rsid w:val="008972C4"/>
    <w:rsid w:val="008A083F"/>
    <w:rsid w:val="008A568D"/>
    <w:rsid w:val="008A6611"/>
    <w:rsid w:val="008A6922"/>
    <w:rsid w:val="008A7932"/>
    <w:rsid w:val="008B418C"/>
    <w:rsid w:val="008B4B47"/>
    <w:rsid w:val="008B61B2"/>
    <w:rsid w:val="008B6F35"/>
    <w:rsid w:val="008B740F"/>
    <w:rsid w:val="008C45C8"/>
    <w:rsid w:val="008D21CB"/>
    <w:rsid w:val="008D2CD7"/>
    <w:rsid w:val="008D3346"/>
    <w:rsid w:val="008D44AD"/>
    <w:rsid w:val="008D4B04"/>
    <w:rsid w:val="008D51C4"/>
    <w:rsid w:val="008D5666"/>
    <w:rsid w:val="008D5A98"/>
    <w:rsid w:val="008E0164"/>
    <w:rsid w:val="008E1E3C"/>
    <w:rsid w:val="008E2996"/>
    <w:rsid w:val="008E2E1A"/>
    <w:rsid w:val="008E4EF4"/>
    <w:rsid w:val="008E5FD6"/>
    <w:rsid w:val="008E7A61"/>
    <w:rsid w:val="008F25A5"/>
    <w:rsid w:val="008F4F94"/>
    <w:rsid w:val="008F6510"/>
    <w:rsid w:val="008F65C4"/>
    <w:rsid w:val="0090779D"/>
    <w:rsid w:val="00907CA8"/>
    <w:rsid w:val="00911888"/>
    <w:rsid w:val="00911EF5"/>
    <w:rsid w:val="00912BF1"/>
    <w:rsid w:val="00916B2E"/>
    <w:rsid w:val="00921478"/>
    <w:rsid w:val="00921C4F"/>
    <w:rsid w:val="0092257F"/>
    <w:rsid w:val="00923A36"/>
    <w:rsid w:val="00924315"/>
    <w:rsid w:val="00925451"/>
    <w:rsid w:val="0092683C"/>
    <w:rsid w:val="0092734D"/>
    <w:rsid w:val="009273FB"/>
    <w:rsid w:val="00927D01"/>
    <w:rsid w:val="009312E2"/>
    <w:rsid w:val="00932D30"/>
    <w:rsid w:val="00937CDB"/>
    <w:rsid w:val="0094072D"/>
    <w:rsid w:val="00941AD1"/>
    <w:rsid w:val="00943601"/>
    <w:rsid w:val="009459A6"/>
    <w:rsid w:val="00947E73"/>
    <w:rsid w:val="00950336"/>
    <w:rsid w:val="00952F8C"/>
    <w:rsid w:val="0095365C"/>
    <w:rsid w:val="00955BD9"/>
    <w:rsid w:val="00955C4B"/>
    <w:rsid w:val="009607F8"/>
    <w:rsid w:val="00967E80"/>
    <w:rsid w:val="00975601"/>
    <w:rsid w:val="00977D6D"/>
    <w:rsid w:val="009809D3"/>
    <w:rsid w:val="00983011"/>
    <w:rsid w:val="00984F58"/>
    <w:rsid w:val="00985D4F"/>
    <w:rsid w:val="00993C3A"/>
    <w:rsid w:val="00997831"/>
    <w:rsid w:val="009A5348"/>
    <w:rsid w:val="009B19B8"/>
    <w:rsid w:val="009B1E08"/>
    <w:rsid w:val="009B6793"/>
    <w:rsid w:val="009C1751"/>
    <w:rsid w:val="009D1189"/>
    <w:rsid w:val="009D4720"/>
    <w:rsid w:val="009D4AC8"/>
    <w:rsid w:val="009E0208"/>
    <w:rsid w:val="009E0575"/>
    <w:rsid w:val="009E12D6"/>
    <w:rsid w:val="009E3425"/>
    <w:rsid w:val="009F2993"/>
    <w:rsid w:val="009F392F"/>
    <w:rsid w:val="009F399E"/>
    <w:rsid w:val="009F432F"/>
    <w:rsid w:val="009F47FB"/>
    <w:rsid w:val="009F77F1"/>
    <w:rsid w:val="00A0137A"/>
    <w:rsid w:val="00A01459"/>
    <w:rsid w:val="00A01CFA"/>
    <w:rsid w:val="00A04D3C"/>
    <w:rsid w:val="00A0506E"/>
    <w:rsid w:val="00A05B95"/>
    <w:rsid w:val="00A06CBA"/>
    <w:rsid w:val="00A1113B"/>
    <w:rsid w:val="00A119C1"/>
    <w:rsid w:val="00A11B27"/>
    <w:rsid w:val="00A12294"/>
    <w:rsid w:val="00A12D77"/>
    <w:rsid w:val="00A15833"/>
    <w:rsid w:val="00A15C86"/>
    <w:rsid w:val="00A16C4E"/>
    <w:rsid w:val="00A17539"/>
    <w:rsid w:val="00A2126F"/>
    <w:rsid w:val="00A25C8F"/>
    <w:rsid w:val="00A2650D"/>
    <w:rsid w:val="00A26782"/>
    <w:rsid w:val="00A26BBD"/>
    <w:rsid w:val="00A2774D"/>
    <w:rsid w:val="00A33BEF"/>
    <w:rsid w:val="00A36AB4"/>
    <w:rsid w:val="00A36B7F"/>
    <w:rsid w:val="00A40411"/>
    <w:rsid w:val="00A41BB5"/>
    <w:rsid w:val="00A4225D"/>
    <w:rsid w:val="00A4545C"/>
    <w:rsid w:val="00A45E87"/>
    <w:rsid w:val="00A515C1"/>
    <w:rsid w:val="00A51909"/>
    <w:rsid w:val="00A5484A"/>
    <w:rsid w:val="00A605C6"/>
    <w:rsid w:val="00A61437"/>
    <w:rsid w:val="00A6341E"/>
    <w:rsid w:val="00A649F7"/>
    <w:rsid w:val="00A6528C"/>
    <w:rsid w:val="00A67DAD"/>
    <w:rsid w:val="00A70E65"/>
    <w:rsid w:val="00A72A62"/>
    <w:rsid w:val="00A73BBF"/>
    <w:rsid w:val="00A74906"/>
    <w:rsid w:val="00A77322"/>
    <w:rsid w:val="00A80CF5"/>
    <w:rsid w:val="00A83115"/>
    <w:rsid w:val="00A86807"/>
    <w:rsid w:val="00A93985"/>
    <w:rsid w:val="00AA1507"/>
    <w:rsid w:val="00AA1C20"/>
    <w:rsid w:val="00AA1D8E"/>
    <w:rsid w:val="00AA2669"/>
    <w:rsid w:val="00AA3A86"/>
    <w:rsid w:val="00AA584F"/>
    <w:rsid w:val="00AB232A"/>
    <w:rsid w:val="00AB3358"/>
    <w:rsid w:val="00AB6B87"/>
    <w:rsid w:val="00AB6E24"/>
    <w:rsid w:val="00AB78AA"/>
    <w:rsid w:val="00AC1DE4"/>
    <w:rsid w:val="00AC28C6"/>
    <w:rsid w:val="00AC2D9F"/>
    <w:rsid w:val="00AC3624"/>
    <w:rsid w:val="00AD529D"/>
    <w:rsid w:val="00AD617F"/>
    <w:rsid w:val="00AD6D25"/>
    <w:rsid w:val="00AE537B"/>
    <w:rsid w:val="00AF179F"/>
    <w:rsid w:val="00AF218B"/>
    <w:rsid w:val="00AF308B"/>
    <w:rsid w:val="00AF3ABE"/>
    <w:rsid w:val="00AF621E"/>
    <w:rsid w:val="00AF699A"/>
    <w:rsid w:val="00AF6D89"/>
    <w:rsid w:val="00AF6DB0"/>
    <w:rsid w:val="00B009FB"/>
    <w:rsid w:val="00B026EB"/>
    <w:rsid w:val="00B041D1"/>
    <w:rsid w:val="00B05CB0"/>
    <w:rsid w:val="00B1320A"/>
    <w:rsid w:val="00B13538"/>
    <w:rsid w:val="00B148C2"/>
    <w:rsid w:val="00B16130"/>
    <w:rsid w:val="00B16134"/>
    <w:rsid w:val="00B211BD"/>
    <w:rsid w:val="00B21777"/>
    <w:rsid w:val="00B25B98"/>
    <w:rsid w:val="00B2659D"/>
    <w:rsid w:val="00B27E80"/>
    <w:rsid w:val="00B3601A"/>
    <w:rsid w:val="00B36032"/>
    <w:rsid w:val="00B3658B"/>
    <w:rsid w:val="00B37B9B"/>
    <w:rsid w:val="00B4020F"/>
    <w:rsid w:val="00B40676"/>
    <w:rsid w:val="00B40CF3"/>
    <w:rsid w:val="00B42A4D"/>
    <w:rsid w:val="00B44971"/>
    <w:rsid w:val="00B46BF4"/>
    <w:rsid w:val="00B52BC7"/>
    <w:rsid w:val="00B52DBD"/>
    <w:rsid w:val="00B53B27"/>
    <w:rsid w:val="00B61B54"/>
    <w:rsid w:val="00B628DA"/>
    <w:rsid w:val="00B65A09"/>
    <w:rsid w:val="00B66C4F"/>
    <w:rsid w:val="00B7038F"/>
    <w:rsid w:val="00B7219E"/>
    <w:rsid w:val="00B73613"/>
    <w:rsid w:val="00B7371D"/>
    <w:rsid w:val="00B74E65"/>
    <w:rsid w:val="00B75352"/>
    <w:rsid w:val="00B80452"/>
    <w:rsid w:val="00B835DA"/>
    <w:rsid w:val="00B83610"/>
    <w:rsid w:val="00B83AAD"/>
    <w:rsid w:val="00B83FE4"/>
    <w:rsid w:val="00B8795C"/>
    <w:rsid w:val="00B915A8"/>
    <w:rsid w:val="00B92343"/>
    <w:rsid w:val="00B9655E"/>
    <w:rsid w:val="00BA099B"/>
    <w:rsid w:val="00BA4868"/>
    <w:rsid w:val="00BA49BD"/>
    <w:rsid w:val="00BA5A5C"/>
    <w:rsid w:val="00BA5BCE"/>
    <w:rsid w:val="00BA5C45"/>
    <w:rsid w:val="00BA5E1E"/>
    <w:rsid w:val="00BA67ED"/>
    <w:rsid w:val="00BB06F8"/>
    <w:rsid w:val="00BB3519"/>
    <w:rsid w:val="00BB6A12"/>
    <w:rsid w:val="00BB6BC5"/>
    <w:rsid w:val="00BB6F4B"/>
    <w:rsid w:val="00BB77ED"/>
    <w:rsid w:val="00BB7F77"/>
    <w:rsid w:val="00BC02E8"/>
    <w:rsid w:val="00BC3026"/>
    <w:rsid w:val="00BC4A09"/>
    <w:rsid w:val="00BC59A6"/>
    <w:rsid w:val="00BC67D4"/>
    <w:rsid w:val="00BC721D"/>
    <w:rsid w:val="00BC7858"/>
    <w:rsid w:val="00BD012B"/>
    <w:rsid w:val="00BD117F"/>
    <w:rsid w:val="00BD2C9F"/>
    <w:rsid w:val="00BD690A"/>
    <w:rsid w:val="00BD6F10"/>
    <w:rsid w:val="00BD7189"/>
    <w:rsid w:val="00BE0ACB"/>
    <w:rsid w:val="00BE1706"/>
    <w:rsid w:val="00BE6B45"/>
    <w:rsid w:val="00BF107D"/>
    <w:rsid w:val="00BF1B51"/>
    <w:rsid w:val="00BF1C3E"/>
    <w:rsid w:val="00BF1E6C"/>
    <w:rsid w:val="00BF205F"/>
    <w:rsid w:val="00BF3B60"/>
    <w:rsid w:val="00BF70D6"/>
    <w:rsid w:val="00BF7C88"/>
    <w:rsid w:val="00C0333F"/>
    <w:rsid w:val="00C03599"/>
    <w:rsid w:val="00C03CE7"/>
    <w:rsid w:val="00C0446F"/>
    <w:rsid w:val="00C06B6B"/>
    <w:rsid w:val="00C10EFB"/>
    <w:rsid w:val="00C17ED5"/>
    <w:rsid w:val="00C211B5"/>
    <w:rsid w:val="00C2120E"/>
    <w:rsid w:val="00C250FF"/>
    <w:rsid w:val="00C32128"/>
    <w:rsid w:val="00C37BB4"/>
    <w:rsid w:val="00C415D2"/>
    <w:rsid w:val="00C41FDB"/>
    <w:rsid w:val="00C4362C"/>
    <w:rsid w:val="00C441A2"/>
    <w:rsid w:val="00C4501B"/>
    <w:rsid w:val="00C45751"/>
    <w:rsid w:val="00C5021F"/>
    <w:rsid w:val="00C546DD"/>
    <w:rsid w:val="00C57C28"/>
    <w:rsid w:val="00C57FF7"/>
    <w:rsid w:val="00C63105"/>
    <w:rsid w:val="00C64179"/>
    <w:rsid w:val="00C642FE"/>
    <w:rsid w:val="00C64743"/>
    <w:rsid w:val="00C64FAB"/>
    <w:rsid w:val="00C65B4A"/>
    <w:rsid w:val="00C66006"/>
    <w:rsid w:val="00C6633A"/>
    <w:rsid w:val="00C705E1"/>
    <w:rsid w:val="00C719D1"/>
    <w:rsid w:val="00C73175"/>
    <w:rsid w:val="00C75535"/>
    <w:rsid w:val="00C75C5E"/>
    <w:rsid w:val="00C801E4"/>
    <w:rsid w:val="00C80881"/>
    <w:rsid w:val="00C8164B"/>
    <w:rsid w:val="00C84C0F"/>
    <w:rsid w:val="00C87FA6"/>
    <w:rsid w:val="00C922F9"/>
    <w:rsid w:val="00C93A37"/>
    <w:rsid w:val="00C93D10"/>
    <w:rsid w:val="00C95DC9"/>
    <w:rsid w:val="00CA1960"/>
    <w:rsid w:val="00CA4A10"/>
    <w:rsid w:val="00CB2730"/>
    <w:rsid w:val="00CB7948"/>
    <w:rsid w:val="00CC0E86"/>
    <w:rsid w:val="00CC1070"/>
    <w:rsid w:val="00CC36C9"/>
    <w:rsid w:val="00CD2387"/>
    <w:rsid w:val="00CD3724"/>
    <w:rsid w:val="00CD3F4B"/>
    <w:rsid w:val="00CD66B6"/>
    <w:rsid w:val="00CE0BAD"/>
    <w:rsid w:val="00CE338C"/>
    <w:rsid w:val="00CE5A60"/>
    <w:rsid w:val="00CE5C49"/>
    <w:rsid w:val="00CE62C7"/>
    <w:rsid w:val="00CF0008"/>
    <w:rsid w:val="00CF0A5E"/>
    <w:rsid w:val="00CF0D5A"/>
    <w:rsid w:val="00CF0F20"/>
    <w:rsid w:val="00CF1140"/>
    <w:rsid w:val="00CF718E"/>
    <w:rsid w:val="00CF7F94"/>
    <w:rsid w:val="00D02A24"/>
    <w:rsid w:val="00D02A60"/>
    <w:rsid w:val="00D02B1D"/>
    <w:rsid w:val="00D03807"/>
    <w:rsid w:val="00D10248"/>
    <w:rsid w:val="00D10C48"/>
    <w:rsid w:val="00D11A08"/>
    <w:rsid w:val="00D1494B"/>
    <w:rsid w:val="00D150E3"/>
    <w:rsid w:val="00D15469"/>
    <w:rsid w:val="00D17190"/>
    <w:rsid w:val="00D22DB4"/>
    <w:rsid w:val="00D3040F"/>
    <w:rsid w:val="00D31327"/>
    <w:rsid w:val="00D315BF"/>
    <w:rsid w:val="00D33BB5"/>
    <w:rsid w:val="00D41B3E"/>
    <w:rsid w:val="00D42CEE"/>
    <w:rsid w:val="00D43A48"/>
    <w:rsid w:val="00D463A9"/>
    <w:rsid w:val="00D47380"/>
    <w:rsid w:val="00D47967"/>
    <w:rsid w:val="00D52140"/>
    <w:rsid w:val="00D52B4F"/>
    <w:rsid w:val="00D53104"/>
    <w:rsid w:val="00D54AC6"/>
    <w:rsid w:val="00D54AF4"/>
    <w:rsid w:val="00D56CC3"/>
    <w:rsid w:val="00D603AC"/>
    <w:rsid w:val="00D6065E"/>
    <w:rsid w:val="00D629CE"/>
    <w:rsid w:val="00D66CB2"/>
    <w:rsid w:val="00D72C77"/>
    <w:rsid w:val="00D7658D"/>
    <w:rsid w:val="00D779E1"/>
    <w:rsid w:val="00D8157B"/>
    <w:rsid w:val="00D825BE"/>
    <w:rsid w:val="00D85910"/>
    <w:rsid w:val="00D86A83"/>
    <w:rsid w:val="00D913CC"/>
    <w:rsid w:val="00D91992"/>
    <w:rsid w:val="00D92E33"/>
    <w:rsid w:val="00D934BF"/>
    <w:rsid w:val="00D956C1"/>
    <w:rsid w:val="00D95D42"/>
    <w:rsid w:val="00D96275"/>
    <w:rsid w:val="00D97218"/>
    <w:rsid w:val="00DA3F42"/>
    <w:rsid w:val="00DA4914"/>
    <w:rsid w:val="00DA4D91"/>
    <w:rsid w:val="00DA55B8"/>
    <w:rsid w:val="00DA5AC6"/>
    <w:rsid w:val="00DB149B"/>
    <w:rsid w:val="00DB2925"/>
    <w:rsid w:val="00DB5C55"/>
    <w:rsid w:val="00DB6608"/>
    <w:rsid w:val="00DC1FF3"/>
    <w:rsid w:val="00DC2108"/>
    <w:rsid w:val="00DC2D61"/>
    <w:rsid w:val="00DC3421"/>
    <w:rsid w:val="00DC6839"/>
    <w:rsid w:val="00DD0833"/>
    <w:rsid w:val="00DD3670"/>
    <w:rsid w:val="00DD39AF"/>
    <w:rsid w:val="00DD4DE0"/>
    <w:rsid w:val="00DE179D"/>
    <w:rsid w:val="00DE212B"/>
    <w:rsid w:val="00DE4C22"/>
    <w:rsid w:val="00DE5D91"/>
    <w:rsid w:val="00DE6392"/>
    <w:rsid w:val="00DF0244"/>
    <w:rsid w:val="00DF23AF"/>
    <w:rsid w:val="00DF489C"/>
    <w:rsid w:val="00DF5956"/>
    <w:rsid w:val="00DF64C4"/>
    <w:rsid w:val="00DF7E07"/>
    <w:rsid w:val="00E010B0"/>
    <w:rsid w:val="00E01250"/>
    <w:rsid w:val="00E01B94"/>
    <w:rsid w:val="00E03F8B"/>
    <w:rsid w:val="00E04FC7"/>
    <w:rsid w:val="00E11F84"/>
    <w:rsid w:val="00E16C0F"/>
    <w:rsid w:val="00E17DBE"/>
    <w:rsid w:val="00E2094E"/>
    <w:rsid w:val="00E20D9F"/>
    <w:rsid w:val="00E21C7B"/>
    <w:rsid w:val="00E2312D"/>
    <w:rsid w:val="00E239C5"/>
    <w:rsid w:val="00E23A64"/>
    <w:rsid w:val="00E2563C"/>
    <w:rsid w:val="00E3054F"/>
    <w:rsid w:val="00E31619"/>
    <w:rsid w:val="00E32FD9"/>
    <w:rsid w:val="00E33232"/>
    <w:rsid w:val="00E33E91"/>
    <w:rsid w:val="00E35A8B"/>
    <w:rsid w:val="00E42C08"/>
    <w:rsid w:val="00E4384F"/>
    <w:rsid w:val="00E4399F"/>
    <w:rsid w:val="00E522E6"/>
    <w:rsid w:val="00E528DF"/>
    <w:rsid w:val="00E53D14"/>
    <w:rsid w:val="00E56075"/>
    <w:rsid w:val="00E56576"/>
    <w:rsid w:val="00E570B1"/>
    <w:rsid w:val="00E57B26"/>
    <w:rsid w:val="00E63F46"/>
    <w:rsid w:val="00E653FA"/>
    <w:rsid w:val="00E65D90"/>
    <w:rsid w:val="00E666D3"/>
    <w:rsid w:val="00E66E32"/>
    <w:rsid w:val="00E67E03"/>
    <w:rsid w:val="00E67E73"/>
    <w:rsid w:val="00E70EE3"/>
    <w:rsid w:val="00E71602"/>
    <w:rsid w:val="00E72038"/>
    <w:rsid w:val="00E755CE"/>
    <w:rsid w:val="00E77E45"/>
    <w:rsid w:val="00E80819"/>
    <w:rsid w:val="00E82230"/>
    <w:rsid w:val="00E83CD5"/>
    <w:rsid w:val="00E86414"/>
    <w:rsid w:val="00E86C17"/>
    <w:rsid w:val="00E917F9"/>
    <w:rsid w:val="00E95EC3"/>
    <w:rsid w:val="00E963D7"/>
    <w:rsid w:val="00EA0BB9"/>
    <w:rsid w:val="00EA276A"/>
    <w:rsid w:val="00EA405E"/>
    <w:rsid w:val="00EA49D2"/>
    <w:rsid w:val="00EA5FC5"/>
    <w:rsid w:val="00EA7C78"/>
    <w:rsid w:val="00EB03D8"/>
    <w:rsid w:val="00EB12B7"/>
    <w:rsid w:val="00EB152E"/>
    <w:rsid w:val="00EB3196"/>
    <w:rsid w:val="00EB3516"/>
    <w:rsid w:val="00EB6170"/>
    <w:rsid w:val="00EB78FB"/>
    <w:rsid w:val="00EC0997"/>
    <w:rsid w:val="00EC15AB"/>
    <w:rsid w:val="00EC1B6E"/>
    <w:rsid w:val="00EC1BC8"/>
    <w:rsid w:val="00EC2C39"/>
    <w:rsid w:val="00EC4517"/>
    <w:rsid w:val="00EC55FD"/>
    <w:rsid w:val="00ED0476"/>
    <w:rsid w:val="00ED0997"/>
    <w:rsid w:val="00ED4A35"/>
    <w:rsid w:val="00ED750D"/>
    <w:rsid w:val="00EE1251"/>
    <w:rsid w:val="00EE14B3"/>
    <w:rsid w:val="00EE164D"/>
    <w:rsid w:val="00EE1D7D"/>
    <w:rsid w:val="00EE2D91"/>
    <w:rsid w:val="00EE3722"/>
    <w:rsid w:val="00EE4B80"/>
    <w:rsid w:val="00EF0022"/>
    <w:rsid w:val="00EF10E6"/>
    <w:rsid w:val="00EF15CC"/>
    <w:rsid w:val="00EF1F12"/>
    <w:rsid w:val="00EF2A38"/>
    <w:rsid w:val="00EF41C0"/>
    <w:rsid w:val="00EF44D4"/>
    <w:rsid w:val="00EF6DD9"/>
    <w:rsid w:val="00F00E87"/>
    <w:rsid w:val="00F01473"/>
    <w:rsid w:val="00F01814"/>
    <w:rsid w:val="00F02634"/>
    <w:rsid w:val="00F06C01"/>
    <w:rsid w:val="00F102DD"/>
    <w:rsid w:val="00F1082A"/>
    <w:rsid w:val="00F124D8"/>
    <w:rsid w:val="00F1291F"/>
    <w:rsid w:val="00F21D60"/>
    <w:rsid w:val="00F301C5"/>
    <w:rsid w:val="00F32A38"/>
    <w:rsid w:val="00F343F1"/>
    <w:rsid w:val="00F35915"/>
    <w:rsid w:val="00F359CE"/>
    <w:rsid w:val="00F36460"/>
    <w:rsid w:val="00F37090"/>
    <w:rsid w:val="00F429D1"/>
    <w:rsid w:val="00F471DB"/>
    <w:rsid w:val="00F52758"/>
    <w:rsid w:val="00F52ADC"/>
    <w:rsid w:val="00F57B92"/>
    <w:rsid w:val="00F60306"/>
    <w:rsid w:val="00F6396C"/>
    <w:rsid w:val="00F70ADD"/>
    <w:rsid w:val="00F72242"/>
    <w:rsid w:val="00F731F4"/>
    <w:rsid w:val="00F75748"/>
    <w:rsid w:val="00F77317"/>
    <w:rsid w:val="00F80D03"/>
    <w:rsid w:val="00F81F92"/>
    <w:rsid w:val="00F8248C"/>
    <w:rsid w:val="00F841E3"/>
    <w:rsid w:val="00F84590"/>
    <w:rsid w:val="00F85CAE"/>
    <w:rsid w:val="00F917F4"/>
    <w:rsid w:val="00F960C0"/>
    <w:rsid w:val="00F96221"/>
    <w:rsid w:val="00F96264"/>
    <w:rsid w:val="00F96964"/>
    <w:rsid w:val="00FA3204"/>
    <w:rsid w:val="00FA4321"/>
    <w:rsid w:val="00FA44C6"/>
    <w:rsid w:val="00FA715D"/>
    <w:rsid w:val="00FB0F81"/>
    <w:rsid w:val="00FB3169"/>
    <w:rsid w:val="00FB67C6"/>
    <w:rsid w:val="00FC135F"/>
    <w:rsid w:val="00FC2BA7"/>
    <w:rsid w:val="00FC6761"/>
    <w:rsid w:val="00FC7C37"/>
    <w:rsid w:val="00FD4BBA"/>
    <w:rsid w:val="00FD7B6B"/>
    <w:rsid w:val="00FE11AE"/>
    <w:rsid w:val="00FE3DAC"/>
    <w:rsid w:val="00FE3F7B"/>
    <w:rsid w:val="00FE5EF0"/>
    <w:rsid w:val="00FF09AB"/>
    <w:rsid w:val="00FF1505"/>
    <w:rsid w:val="00FF3692"/>
    <w:rsid w:val="00FF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bcd8d3"/>
    </o:shapedefaults>
    <o:shapelayout v:ext="edit">
      <o:idmap v:ext="edit" data="1"/>
    </o:shapelayout>
  </w:shapeDefaults>
  <w:decimalSymbol w:val="."/>
  <w:listSeparator w:val=","/>
  <w14:docId w14:val="4C1EBD93"/>
  <w15:docId w15:val="{50E18370-C5E5-42F1-B1F4-62A867DC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871"/>
    <w:pPr>
      <w:spacing w:line="300" w:lineRule="atLeast"/>
    </w:pPr>
    <w:rPr>
      <w:rFonts w:ascii="Arial" w:hAnsi="Arial" w:cs="Arial"/>
      <w:color w:val="404040"/>
      <w:sz w:val="22"/>
      <w:lang w:val="en-AU"/>
    </w:rPr>
  </w:style>
  <w:style w:type="paragraph" w:styleId="Heading1">
    <w:name w:val="heading 1"/>
    <w:basedOn w:val="Normal"/>
    <w:next w:val="Normal"/>
    <w:qFormat/>
    <w:rsid w:val="00BF3B60"/>
    <w:pPr>
      <w:keepNext/>
      <w:numPr>
        <w:numId w:val="10"/>
      </w:numPr>
      <w:spacing w:after="360" w:line="400" w:lineRule="atLeast"/>
      <w:outlineLvl w:val="0"/>
    </w:pPr>
    <w:rPr>
      <w:caps/>
      <w:color w:val="00A8C8"/>
      <w:spacing w:val="40"/>
      <w:sz w:val="36"/>
    </w:rPr>
  </w:style>
  <w:style w:type="paragraph" w:styleId="Heading2">
    <w:name w:val="heading 2"/>
    <w:basedOn w:val="Normal"/>
    <w:next w:val="Normal"/>
    <w:qFormat/>
    <w:rsid w:val="00BF3B60"/>
    <w:pPr>
      <w:keepNext/>
      <w:outlineLvl w:val="1"/>
    </w:pPr>
    <w:rPr>
      <w:caps/>
      <w:color w:val="002C77"/>
      <w:spacing w:val="40"/>
    </w:rPr>
  </w:style>
  <w:style w:type="paragraph" w:styleId="Heading3">
    <w:name w:val="heading 3"/>
    <w:basedOn w:val="Normal"/>
    <w:next w:val="Normal"/>
    <w:qFormat/>
    <w:rsid w:val="00BF3B60"/>
    <w:pPr>
      <w:keepNext/>
      <w:outlineLvl w:val="2"/>
    </w:pPr>
    <w:rPr>
      <w:b/>
      <w:color w:val="006D9E"/>
    </w:rPr>
  </w:style>
  <w:style w:type="paragraph" w:styleId="Heading4">
    <w:name w:val="heading 4"/>
    <w:basedOn w:val="Normal"/>
    <w:next w:val="Normal"/>
    <w:qFormat/>
    <w:rsid w:val="00BF3B60"/>
    <w:pPr>
      <w:keepNext/>
      <w:numPr>
        <w:ilvl w:val="3"/>
        <w:numId w:val="10"/>
      </w:numPr>
      <w:outlineLvl w:val="3"/>
    </w:pPr>
    <w:rPr>
      <w:b/>
    </w:rPr>
  </w:style>
  <w:style w:type="paragraph" w:styleId="Heading5">
    <w:name w:val="heading 5"/>
    <w:basedOn w:val="Normal"/>
    <w:next w:val="Normal"/>
    <w:qFormat/>
    <w:rsid w:val="00BF3B60"/>
    <w:pPr>
      <w:keepNext/>
      <w:numPr>
        <w:ilvl w:val="4"/>
        <w:numId w:val="10"/>
      </w:numPr>
      <w:outlineLvl w:val="4"/>
    </w:pPr>
    <w:rPr>
      <w:color w:val="006D9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pPr>
      <w:spacing w:line="200" w:lineRule="atLeast"/>
    </w:pPr>
    <w:rPr>
      <w:rFonts w:ascii="Arial" w:hAnsi="Arial" w:cs="Arial"/>
      <w:color w:val="404040"/>
      <w:sz w:val="16"/>
      <w:lang w:val="en-AU"/>
    </w:rPr>
  </w:style>
  <w:style w:type="paragraph" w:customStyle="1" w:styleId="Legalcopy">
    <w:name w:val="Legal copy"/>
    <w:basedOn w:val="Base"/>
    <w:rsid w:val="007D6566"/>
    <w:pPr>
      <w:framePr w:hSpace="187" w:vSpace="187" w:wrap="around" w:hAnchor="text" w:yAlign="bottom"/>
      <w:spacing w:line="140" w:lineRule="atLeast"/>
    </w:pPr>
    <w:rPr>
      <w:sz w:val="12"/>
    </w:rPr>
  </w:style>
  <w:style w:type="character" w:styleId="PageNumber">
    <w:name w:val="page number"/>
    <w:basedOn w:val="DefaultParagraphFont"/>
    <w:rsid w:val="00C73175"/>
    <w:rPr>
      <w:rFonts w:ascii="Arial" w:hAnsi="Arial" w:cs="Arial"/>
      <w:b w:val="0"/>
      <w:i w:val="0"/>
      <w:caps w:val="0"/>
      <w:smallCaps w:val="0"/>
      <w:vanish w:val="0"/>
      <w:color w:val="404040"/>
      <w:sz w:val="16"/>
      <w:u w:val="none"/>
    </w:rPr>
  </w:style>
  <w:style w:type="paragraph" w:customStyle="1" w:styleId="Filestamp">
    <w:name w:val="Filestamp"/>
    <w:basedOn w:val="Base"/>
    <w:rsid w:val="00825EA2"/>
    <w:pPr>
      <w:spacing w:line="120" w:lineRule="atLeast"/>
    </w:pPr>
    <w:rPr>
      <w:noProof/>
      <w:color w:val="808080"/>
      <w:sz w:val="12"/>
    </w:rPr>
  </w:style>
  <w:style w:type="paragraph" w:styleId="FootnoteText">
    <w:name w:val="footnote text"/>
    <w:basedOn w:val="Normal"/>
    <w:semiHidden/>
    <w:pPr>
      <w:spacing w:after="120"/>
    </w:pPr>
    <w:rPr>
      <w:sz w:val="18"/>
    </w:rPr>
  </w:style>
  <w:style w:type="paragraph" w:customStyle="1" w:styleId="LetterDate">
    <w:name w:val="Letter Date"/>
    <w:basedOn w:val="Base"/>
    <w:next w:val="Normal"/>
    <w:rsid w:val="00967E80"/>
    <w:pPr>
      <w:spacing w:before="480" w:after="480" w:line="400" w:lineRule="atLeast"/>
    </w:pPr>
    <w:rPr>
      <w:caps/>
      <w:color w:val="00A8C8"/>
      <w:spacing w:val="40"/>
      <w:sz w:val="36"/>
    </w:rPr>
  </w:style>
  <w:style w:type="paragraph" w:customStyle="1" w:styleId="TableLogoText">
    <w:name w:val="Table Logo Text"/>
    <w:basedOn w:val="Base"/>
    <w:pPr>
      <w:spacing w:line="240" w:lineRule="auto"/>
    </w:pPr>
    <w:rPr>
      <w:sz w:val="24"/>
    </w:rPr>
  </w:style>
  <w:style w:type="paragraph" w:customStyle="1" w:styleId="ReportTitle">
    <w:name w:val="Report Title"/>
    <w:basedOn w:val="Base"/>
    <w:next w:val="Normal"/>
    <w:rsid w:val="00685334"/>
    <w:pPr>
      <w:spacing w:before="240" w:after="240" w:line="520" w:lineRule="atLeast"/>
    </w:pPr>
    <w:rPr>
      <w:b/>
      <w:caps/>
      <w:color w:val="002C77"/>
      <w:spacing w:val="40"/>
      <w:sz w:val="52"/>
    </w:rPr>
  </w:style>
  <w:style w:type="paragraph" w:customStyle="1" w:styleId="ClientName">
    <w:name w:val="Client Name"/>
    <w:basedOn w:val="Base"/>
    <w:rsid w:val="00685334"/>
    <w:pPr>
      <w:spacing w:after="240" w:line="240" w:lineRule="atLeast"/>
    </w:pPr>
    <w:rPr>
      <w:caps/>
      <w:color w:val="00A8C8"/>
      <w:spacing w:val="40"/>
      <w:sz w:val="52"/>
    </w:rPr>
  </w:style>
  <w:style w:type="paragraph" w:customStyle="1" w:styleId="ReportCrossRef">
    <w:name w:val="Report Cross Ref"/>
    <w:basedOn w:val="Base"/>
    <w:rsid w:val="00A06CBA"/>
    <w:pPr>
      <w:spacing w:line="160" w:lineRule="atLeast"/>
    </w:pPr>
    <w:rPr>
      <w:b/>
      <w:caps/>
      <w:color w:val="808080"/>
      <w:spacing w:val="40"/>
    </w:rPr>
  </w:style>
  <w:style w:type="paragraph" w:customStyle="1" w:styleId="ClientNameCrossRef">
    <w:name w:val="Client Name Cross Ref"/>
    <w:basedOn w:val="Base"/>
    <w:rsid w:val="000C6910"/>
    <w:pPr>
      <w:spacing w:line="160" w:lineRule="atLeast"/>
    </w:pPr>
    <w:rPr>
      <w:b/>
      <w:caps/>
      <w:color w:val="808080"/>
      <w:spacing w:val="40"/>
    </w:rPr>
  </w:style>
  <w:style w:type="paragraph" w:styleId="TOC1">
    <w:name w:val="toc 1"/>
    <w:basedOn w:val="Normal"/>
    <w:next w:val="Normal"/>
    <w:uiPriority w:val="39"/>
    <w:rsid w:val="00EC15AB"/>
    <w:pPr>
      <w:numPr>
        <w:numId w:val="3"/>
      </w:numPr>
      <w:tabs>
        <w:tab w:val="right" w:leader="dot" w:pos="9729"/>
      </w:tabs>
      <w:spacing w:before="300" w:line="300" w:lineRule="exact"/>
    </w:pPr>
    <w:rPr>
      <w:noProof/>
    </w:rPr>
  </w:style>
  <w:style w:type="paragraph" w:styleId="TOC2">
    <w:name w:val="toc 2"/>
    <w:basedOn w:val="Normal"/>
    <w:next w:val="Normal"/>
    <w:uiPriority w:val="39"/>
    <w:rsid w:val="007F57BC"/>
    <w:pPr>
      <w:numPr>
        <w:numId w:val="4"/>
      </w:numPr>
      <w:tabs>
        <w:tab w:val="clear" w:pos="806"/>
        <w:tab w:val="left" w:pos="720"/>
        <w:tab w:val="right" w:leader="dot" w:pos="9729"/>
      </w:tabs>
      <w:spacing w:line="300" w:lineRule="exact"/>
    </w:pPr>
    <w:rPr>
      <w:noProof/>
    </w:rPr>
  </w:style>
  <w:style w:type="paragraph" w:customStyle="1" w:styleId="SectionIntro">
    <w:name w:val="Section Intro"/>
    <w:basedOn w:val="Normal"/>
    <w:qFormat/>
    <w:pPr>
      <w:spacing w:line="360" w:lineRule="atLeast"/>
    </w:pPr>
    <w:rPr>
      <w:sz w:val="28"/>
    </w:rPr>
  </w:style>
  <w:style w:type="paragraph" w:customStyle="1" w:styleId="AppendixStart">
    <w:name w:val="Appendix Start"/>
    <w:basedOn w:val="Normal"/>
    <w:next w:val="AppendixHeading1"/>
    <w:qFormat/>
    <w:rsid w:val="00751992"/>
    <w:pPr>
      <w:keepNext/>
      <w:pageBreakBefore/>
      <w:numPr>
        <w:numId w:val="5"/>
      </w:numPr>
      <w:spacing w:before="1100" w:line="240" w:lineRule="auto"/>
    </w:pPr>
    <w:rPr>
      <w:b/>
      <w:caps/>
      <w:color w:val="002C77"/>
      <w:sz w:val="72"/>
    </w:rPr>
  </w:style>
  <w:style w:type="paragraph" w:styleId="NoteHeading">
    <w:name w:val="Note Heading"/>
    <w:basedOn w:val="Normal"/>
    <w:next w:val="NoteText"/>
    <w:qFormat/>
    <w:rsid w:val="0085297B"/>
    <w:pPr>
      <w:spacing w:line="264" w:lineRule="atLeast"/>
    </w:pPr>
  </w:style>
  <w:style w:type="paragraph" w:customStyle="1" w:styleId="NoteText">
    <w:name w:val="Note Text"/>
    <w:basedOn w:val="Normal"/>
    <w:qFormat/>
    <w:pPr>
      <w:spacing w:line="264" w:lineRule="atLeast"/>
    </w:pPr>
  </w:style>
  <w:style w:type="character" w:styleId="FootnoteReference">
    <w:name w:val="footnote reference"/>
    <w:basedOn w:val="DefaultParagraphFont"/>
    <w:semiHidden/>
    <w:rPr>
      <w:vertAlign w:val="superscript"/>
    </w:rPr>
  </w:style>
  <w:style w:type="paragraph" w:customStyle="1" w:styleId="SectionStart">
    <w:name w:val="Section Start"/>
    <w:basedOn w:val="Normal"/>
    <w:next w:val="Heading1"/>
    <w:qFormat/>
    <w:rsid w:val="00751992"/>
    <w:pPr>
      <w:keepNext/>
      <w:pageBreakBefore/>
      <w:numPr>
        <w:numId w:val="1"/>
      </w:numPr>
      <w:spacing w:before="1100" w:line="240" w:lineRule="auto"/>
    </w:pPr>
    <w:rPr>
      <w:b/>
      <w:color w:val="002C77"/>
      <w:sz w:val="72"/>
    </w:rPr>
  </w:style>
  <w:style w:type="paragraph" w:customStyle="1" w:styleId="AddressBlock">
    <w:name w:val="Address Block"/>
    <w:basedOn w:val="Base"/>
    <w:rsid w:val="00482AD1"/>
    <w:pPr>
      <w:spacing w:line="180" w:lineRule="atLeast"/>
    </w:pPr>
    <w:rPr>
      <w:sz w:val="18"/>
    </w:rPr>
  </w:style>
  <w:style w:type="paragraph" w:styleId="TOCHeading">
    <w:name w:val="TOC Heading"/>
    <w:basedOn w:val="Base"/>
    <w:qFormat/>
    <w:rsid w:val="0072270C"/>
    <w:pPr>
      <w:spacing w:after="500" w:line="360" w:lineRule="atLeast"/>
    </w:pPr>
    <w:rPr>
      <w:b/>
      <w:caps/>
      <w:spacing w:val="60"/>
      <w:sz w:val="36"/>
    </w:rPr>
  </w:style>
  <w:style w:type="paragraph" w:styleId="TOC3">
    <w:name w:val="toc 3"/>
    <w:basedOn w:val="Normal"/>
    <w:next w:val="Normal"/>
    <w:rsid w:val="007F57BC"/>
    <w:pPr>
      <w:numPr>
        <w:numId w:val="7"/>
      </w:numPr>
      <w:tabs>
        <w:tab w:val="clear" w:pos="1267"/>
        <w:tab w:val="left" w:pos="1166"/>
        <w:tab w:val="right" w:leader="dot" w:pos="9729"/>
      </w:tabs>
      <w:spacing w:line="300" w:lineRule="exact"/>
    </w:pPr>
  </w:style>
  <w:style w:type="paragraph" w:styleId="Header">
    <w:name w:val="header"/>
    <w:basedOn w:val="Normal"/>
    <w:rsid w:val="00FE5EF0"/>
    <w:pPr>
      <w:tabs>
        <w:tab w:val="center" w:pos="4320"/>
        <w:tab w:val="right" w:pos="8640"/>
      </w:tabs>
      <w:spacing w:line="260" w:lineRule="atLeast"/>
    </w:pPr>
  </w:style>
  <w:style w:type="paragraph" w:styleId="Footer">
    <w:name w:val="footer"/>
    <w:basedOn w:val="Normal"/>
    <w:pPr>
      <w:tabs>
        <w:tab w:val="center" w:pos="4320"/>
        <w:tab w:val="right" w:pos="8640"/>
      </w:tabs>
    </w:pPr>
  </w:style>
  <w:style w:type="paragraph" w:customStyle="1" w:styleId="AppendixHeading1">
    <w:name w:val="Appendix Heading 1"/>
    <w:basedOn w:val="Normal"/>
    <w:next w:val="Normal"/>
    <w:qFormat/>
    <w:rsid w:val="00751992"/>
    <w:pPr>
      <w:keepNext/>
      <w:spacing w:after="360" w:line="400" w:lineRule="atLeast"/>
    </w:pPr>
    <w:rPr>
      <w:caps/>
      <w:color w:val="00A8C8"/>
      <w:sz w:val="36"/>
    </w:rPr>
  </w:style>
  <w:style w:type="paragraph" w:styleId="TOC9">
    <w:name w:val="toc 9"/>
    <w:basedOn w:val="Normal"/>
    <w:next w:val="Normal"/>
    <w:uiPriority w:val="39"/>
    <w:rsid w:val="0020369F"/>
    <w:pPr>
      <w:numPr>
        <w:numId w:val="6"/>
      </w:numPr>
      <w:tabs>
        <w:tab w:val="left" w:pos="1368"/>
        <w:tab w:val="right" w:leader="dot" w:pos="9729"/>
      </w:tabs>
      <w:spacing w:before="240"/>
    </w:pPr>
    <w:rPr>
      <w:noProof/>
    </w:rPr>
  </w:style>
  <w:style w:type="paragraph" w:styleId="TOC4">
    <w:name w:val="toc 4"/>
    <w:basedOn w:val="Normal"/>
    <w:next w:val="Normal"/>
    <w:rsid w:val="007F57BC"/>
    <w:pPr>
      <w:numPr>
        <w:numId w:val="8"/>
      </w:numPr>
      <w:tabs>
        <w:tab w:val="left" w:pos="1526"/>
        <w:tab w:val="right" w:leader="dot" w:pos="9729"/>
      </w:tabs>
      <w:spacing w:line="300" w:lineRule="exact"/>
    </w:pPr>
  </w:style>
  <w:style w:type="paragraph" w:customStyle="1" w:styleId="AppendixHeading2">
    <w:name w:val="Appendix Heading 2"/>
    <w:basedOn w:val="Normal"/>
    <w:next w:val="Normal"/>
    <w:qFormat/>
    <w:rsid w:val="00BF3B60"/>
    <w:pPr>
      <w:keepNext/>
      <w:numPr>
        <w:ilvl w:val="1"/>
        <w:numId w:val="10"/>
      </w:numPr>
      <w:outlineLvl w:val="1"/>
    </w:pPr>
    <w:rPr>
      <w:caps/>
      <w:color w:val="002C77"/>
      <w:spacing w:val="40"/>
    </w:rPr>
  </w:style>
  <w:style w:type="paragraph" w:customStyle="1" w:styleId="AppendixHeading3">
    <w:name w:val="Appendix Heading 3"/>
    <w:basedOn w:val="Normal"/>
    <w:next w:val="Normal"/>
    <w:qFormat/>
    <w:rsid w:val="00BF3B60"/>
    <w:pPr>
      <w:keepNext/>
      <w:numPr>
        <w:ilvl w:val="2"/>
        <w:numId w:val="10"/>
      </w:numPr>
      <w:outlineLvl w:val="2"/>
    </w:pPr>
    <w:rPr>
      <w:b/>
      <w:color w:val="006D9E"/>
    </w:rPr>
  </w:style>
  <w:style w:type="table" w:styleId="TableGrid">
    <w:name w:val="Table Grid"/>
    <w:basedOn w:val="TableNormal"/>
    <w:rsid w:val="00441147"/>
    <w:pPr>
      <w:spacing w:line="27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link w:val="LogoChar"/>
    <w:rsid w:val="009B6793"/>
    <w:pPr>
      <w:spacing w:line="560" w:lineRule="exact"/>
      <w:jc w:val="center"/>
    </w:pPr>
    <w:rPr>
      <w:sz w:val="16"/>
      <w:szCs w:val="16"/>
    </w:rPr>
  </w:style>
  <w:style w:type="paragraph" w:customStyle="1" w:styleId="CompanyName">
    <w:name w:val="Company Name"/>
    <w:basedOn w:val="ClientNameCrossRef"/>
    <w:rsid w:val="000C6910"/>
    <w:rPr>
      <w:caps w:val="0"/>
    </w:rPr>
  </w:style>
  <w:style w:type="paragraph" w:customStyle="1" w:styleId="ReportSubtitle">
    <w:name w:val="Report Subtitle"/>
    <w:basedOn w:val="Base"/>
    <w:rsid w:val="00272FD9"/>
    <w:pPr>
      <w:spacing w:before="480" w:after="480" w:line="320" w:lineRule="atLeast"/>
    </w:pPr>
    <w:rPr>
      <w:b/>
      <w:sz w:val="28"/>
    </w:rPr>
  </w:style>
  <w:style w:type="paragraph" w:customStyle="1" w:styleId="ReportTagline">
    <w:name w:val="Report Tagline"/>
    <w:basedOn w:val="Base"/>
    <w:next w:val="Normal"/>
    <w:rsid w:val="00AA2669"/>
    <w:rPr>
      <w:b/>
      <w:caps/>
      <w:color w:val="BFBFBF"/>
      <w:spacing w:val="40"/>
      <w:sz w:val="20"/>
    </w:rPr>
  </w:style>
  <w:style w:type="paragraph" w:customStyle="1" w:styleId="BaseBold">
    <w:name w:val="Base Bold"/>
    <w:next w:val="Base"/>
    <w:link w:val="BaseBoldChar"/>
    <w:qFormat/>
    <w:rsid w:val="00BF3B60"/>
    <w:pPr>
      <w:spacing w:line="200" w:lineRule="atLeast"/>
    </w:pPr>
    <w:rPr>
      <w:rFonts w:ascii="Arial" w:hAnsi="Arial" w:cs="Arial"/>
      <w:color w:val="404040"/>
      <w:sz w:val="18"/>
      <w:lang w:val="en-AU"/>
    </w:rPr>
  </w:style>
  <w:style w:type="character" w:customStyle="1" w:styleId="BaseBoldChar">
    <w:name w:val="Base Bold Char"/>
    <w:basedOn w:val="DefaultParagraphFont"/>
    <w:link w:val="BaseBold"/>
    <w:rsid w:val="00BF3B60"/>
    <w:rPr>
      <w:rFonts w:ascii="Arial" w:hAnsi="Arial" w:cs="Arial"/>
      <w:color w:val="404040"/>
      <w:sz w:val="18"/>
      <w:lang w:val="en-AU"/>
    </w:rPr>
  </w:style>
  <w:style w:type="paragraph" w:styleId="ListBullet">
    <w:name w:val="List Bullet"/>
    <w:basedOn w:val="Normal"/>
    <w:qFormat/>
    <w:rsid w:val="00BF3B60"/>
    <w:pPr>
      <w:numPr>
        <w:ilvl w:val="4"/>
        <w:numId w:val="9"/>
      </w:numPr>
      <w:outlineLvl w:val="4"/>
    </w:pPr>
  </w:style>
  <w:style w:type="paragraph" w:styleId="ListBullet2">
    <w:name w:val="List Bullet 2"/>
    <w:basedOn w:val="Normal"/>
    <w:qFormat/>
    <w:rsid w:val="00BF3B60"/>
    <w:pPr>
      <w:numPr>
        <w:ilvl w:val="5"/>
        <w:numId w:val="9"/>
      </w:numPr>
      <w:outlineLvl w:val="5"/>
    </w:pPr>
  </w:style>
  <w:style w:type="paragraph" w:styleId="ListBullet3">
    <w:name w:val="List Bullet 3"/>
    <w:basedOn w:val="Normal"/>
    <w:qFormat/>
    <w:rsid w:val="00BF3B60"/>
    <w:pPr>
      <w:numPr>
        <w:ilvl w:val="6"/>
        <w:numId w:val="9"/>
      </w:numPr>
      <w:outlineLvl w:val="6"/>
    </w:pPr>
  </w:style>
  <w:style w:type="paragraph" w:styleId="ListBullet4">
    <w:name w:val="List Bullet 4"/>
    <w:basedOn w:val="Normal"/>
    <w:qFormat/>
    <w:rsid w:val="00BF3B60"/>
    <w:pPr>
      <w:numPr>
        <w:ilvl w:val="7"/>
        <w:numId w:val="9"/>
      </w:numPr>
      <w:outlineLvl w:val="7"/>
    </w:pPr>
  </w:style>
  <w:style w:type="paragraph" w:customStyle="1" w:styleId="NormalIndent1">
    <w:name w:val="Normal Indent 1"/>
    <w:basedOn w:val="Normal"/>
    <w:link w:val="NormalIndent1Char"/>
    <w:qFormat/>
    <w:rsid w:val="00BF3B60"/>
    <w:pPr>
      <w:ind w:left="360"/>
    </w:pPr>
  </w:style>
  <w:style w:type="character" w:customStyle="1" w:styleId="NormalIndent1Char">
    <w:name w:val="Normal Indent 1 Char"/>
    <w:basedOn w:val="DefaultParagraphFont"/>
    <w:link w:val="NormalIndent1"/>
    <w:rsid w:val="00BF3B60"/>
    <w:rPr>
      <w:rFonts w:ascii="Arial" w:hAnsi="Arial" w:cs="Arial"/>
      <w:color w:val="404040"/>
      <w:sz w:val="22"/>
      <w:lang w:val="en-AU"/>
    </w:rPr>
  </w:style>
  <w:style w:type="paragraph" w:customStyle="1" w:styleId="NormalIndent2">
    <w:name w:val="Normal Indent 2"/>
    <w:basedOn w:val="Normal"/>
    <w:link w:val="NormalIndent2Char"/>
    <w:qFormat/>
    <w:rsid w:val="00BF3B60"/>
    <w:pPr>
      <w:ind w:left="643"/>
    </w:pPr>
  </w:style>
  <w:style w:type="character" w:customStyle="1" w:styleId="NormalIndent2Char">
    <w:name w:val="Normal Indent 2 Char"/>
    <w:basedOn w:val="DefaultParagraphFont"/>
    <w:link w:val="NormalIndent2"/>
    <w:rsid w:val="00BF3B60"/>
    <w:rPr>
      <w:rFonts w:ascii="Arial" w:hAnsi="Arial" w:cs="Arial"/>
      <w:color w:val="404040"/>
      <w:sz w:val="22"/>
      <w:lang w:val="en-AU"/>
    </w:rPr>
  </w:style>
  <w:style w:type="paragraph" w:customStyle="1" w:styleId="NormalIndent3">
    <w:name w:val="Normal Indent 3"/>
    <w:basedOn w:val="Normal"/>
    <w:link w:val="NormalIndent3Char"/>
    <w:qFormat/>
    <w:rsid w:val="00BF3B60"/>
    <w:pPr>
      <w:ind w:left="926"/>
    </w:pPr>
  </w:style>
  <w:style w:type="character" w:customStyle="1" w:styleId="NormalIndent3Char">
    <w:name w:val="Normal Indent 3 Char"/>
    <w:basedOn w:val="DefaultParagraphFont"/>
    <w:link w:val="NormalIndent3"/>
    <w:rsid w:val="00BF3B60"/>
    <w:rPr>
      <w:rFonts w:ascii="Arial" w:hAnsi="Arial" w:cs="Arial"/>
      <w:color w:val="404040"/>
      <w:sz w:val="22"/>
      <w:lang w:val="en-AU"/>
    </w:rPr>
  </w:style>
  <w:style w:type="paragraph" w:customStyle="1" w:styleId="NormalIndent4">
    <w:name w:val="Normal Indent 4"/>
    <w:basedOn w:val="Normal"/>
    <w:link w:val="NormalIndent4Char"/>
    <w:qFormat/>
    <w:rsid w:val="00BF3B60"/>
    <w:pPr>
      <w:ind w:left="1209"/>
    </w:pPr>
  </w:style>
  <w:style w:type="character" w:customStyle="1" w:styleId="NormalIndent4Char">
    <w:name w:val="Normal Indent 4 Char"/>
    <w:basedOn w:val="DefaultParagraphFont"/>
    <w:link w:val="NormalIndent4"/>
    <w:rsid w:val="00BF3B60"/>
    <w:rPr>
      <w:rFonts w:ascii="Arial" w:hAnsi="Arial" w:cs="Arial"/>
      <w:color w:val="404040"/>
      <w:sz w:val="22"/>
      <w:lang w:val="en-AU"/>
    </w:rPr>
  </w:style>
  <w:style w:type="paragraph" w:styleId="ListNumber">
    <w:name w:val="List Number"/>
    <w:basedOn w:val="Normal"/>
    <w:qFormat/>
    <w:rsid w:val="00BF3B60"/>
    <w:pPr>
      <w:numPr>
        <w:ilvl w:val="5"/>
        <w:numId w:val="11"/>
      </w:numPr>
      <w:outlineLvl w:val="5"/>
    </w:pPr>
  </w:style>
  <w:style w:type="paragraph" w:styleId="ListNumber2">
    <w:name w:val="List Number 2"/>
    <w:basedOn w:val="Normal"/>
    <w:qFormat/>
    <w:rsid w:val="00BF3B60"/>
    <w:pPr>
      <w:numPr>
        <w:ilvl w:val="6"/>
        <w:numId w:val="11"/>
      </w:numPr>
      <w:outlineLvl w:val="6"/>
    </w:pPr>
  </w:style>
  <w:style w:type="paragraph" w:styleId="ListNumber3">
    <w:name w:val="List Number 3"/>
    <w:basedOn w:val="Normal"/>
    <w:qFormat/>
    <w:rsid w:val="00BF3B60"/>
    <w:pPr>
      <w:numPr>
        <w:ilvl w:val="7"/>
        <w:numId w:val="11"/>
      </w:numPr>
      <w:outlineLvl w:val="7"/>
    </w:pPr>
  </w:style>
  <w:style w:type="paragraph" w:styleId="ListNumber4">
    <w:name w:val="List Number 4"/>
    <w:basedOn w:val="Normal"/>
    <w:qFormat/>
    <w:rsid w:val="00BF3B60"/>
    <w:pPr>
      <w:numPr>
        <w:ilvl w:val="8"/>
        <w:numId w:val="11"/>
      </w:numPr>
      <w:outlineLvl w:val="8"/>
    </w:pPr>
  </w:style>
  <w:style w:type="paragraph" w:customStyle="1" w:styleId="LogoHide">
    <w:name w:val="Logo Hide"/>
    <w:basedOn w:val="Base"/>
    <w:next w:val="Base"/>
    <w:link w:val="LogoHideChar"/>
    <w:rsid w:val="00BF3B60"/>
    <w:pPr>
      <w:spacing w:line="20" w:lineRule="exact"/>
    </w:pPr>
    <w:rPr>
      <w:noProof/>
      <w:sz w:val="2"/>
    </w:rPr>
  </w:style>
  <w:style w:type="character" w:customStyle="1" w:styleId="LogoHideChar">
    <w:name w:val="Logo Hide Char"/>
    <w:basedOn w:val="DefaultParagraphFont"/>
    <w:link w:val="LogoHide"/>
    <w:rsid w:val="00BF3B60"/>
    <w:rPr>
      <w:rFonts w:ascii="Arial" w:hAnsi="Arial" w:cs="Arial"/>
      <w:noProof/>
      <w:color w:val="404040"/>
      <w:sz w:val="2"/>
      <w:lang w:val="en-AU"/>
    </w:rPr>
  </w:style>
  <w:style w:type="paragraph" w:customStyle="1" w:styleId="LogoHide2">
    <w:name w:val="Logo Hide 2"/>
    <w:basedOn w:val="Base"/>
    <w:next w:val="Base"/>
    <w:link w:val="LogoHide2Char"/>
    <w:rsid w:val="00BF3B60"/>
    <w:rPr>
      <w:noProof/>
    </w:rPr>
  </w:style>
  <w:style w:type="character" w:customStyle="1" w:styleId="LogoHide2Char">
    <w:name w:val="Logo Hide 2 Char"/>
    <w:basedOn w:val="DefaultParagraphFont"/>
    <w:link w:val="LogoHide2"/>
    <w:rsid w:val="00BF3B60"/>
    <w:rPr>
      <w:rFonts w:ascii="Arial" w:hAnsi="Arial" w:cs="Arial"/>
      <w:noProof/>
      <w:color w:val="404040"/>
      <w:sz w:val="16"/>
      <w:lang w:val="en-AU"/>
    </w:rPr>
  </w:style>
  <w:style w:type="paragraph" w:customStyle="1" w:styleId="Questions">
    <w:name w:val="Questions"/>
    <w:basedOn w:val="Normal"/>
    <w:next w:val="Normal"/>
    <w:link w:val="QuestionsChar"/>
    <w:qFormat/>
    <w:rsid w:val="00BF3B60"/>
    <w:pPr>
      <w:keepNext/>
    </w:pPr>
    <w:rPr>
      <w:b/>
      <w:color w:val="00A8C8"/>
    </w:rPr>
  </w:style>
  <w:style w:type="character" w:customStyle="1" w:styleId="QuestionsChar">
    <w:name w:val="Questions Char"/>
    <w:basedOn w:val="DefaultParagraphFont"/>
    <w:link w:val="Questions"/>
    <w:rsid w:val="00BF3B60"/>
    <w:rPr>
      <w:rFonts w:ascii="Arial" w:hAnsi="Arial" w:cs="Arial"/>
      <w:b/>
      <w:color w:val="00A8C8"/>
      <w:sz w:val="22"/>
      <w:lang w:val="en-AU"/>
    </w:rPr>
  </w:style>
  <w:style w:type="paragraph" w:styleId="Quote">
    <w:name w:val="Quote"/>
    <w:basedOn w:val="Normal"/>
    <w:next w:val="Normal"/>
    <w:link w:val="QuoteChar"/>
    <w:semiHidden/>
    <w:qFormat/>
    <w:rsid w:val="00BF3B60"/>
    <w:pPr>
      <w:spacing w:before="240" w:line="240" w:lineRule="auto"/>
    </w:pPr>
    <w:rPr>
      <w:rFonts w:ascii="Georgia" w:hAnsi="Georgia"/>
      <w:iCs/>
      <w:color w:val="00A8C8"/>
      <w:sz w:val="28"/>
    </w:rPr>
  </w:style>
  <w:style w:type="character" w:customStyle="1" w:styleId="QuoteChar">
    <w:name w:val="Quote Char"/>
    <w:basedOn w:val="DefaultParagraphFont"/>
    <w:link w:val="Quote"/>
    <w:uiPriority w:val="29"/>
    <w:rsid w:val="00BF3B60"/>
    <w:rPr>
      <w:rFonts w:ascii="Georgia" w:hAnsi="Georgia" w:cs="Arial"/>
      <w:iCs/>
      <w:color w:val="00A8C8"/>
      <w:sz w:val="28"/>
      <w:lang w:val="en-AU"/>
    </w:rPr>
  </w:style>
  <w:style w:type="paragraph" w:customStyle="1" w:styleId="TableBullet1">
    <w:name w:val="Table Bullet 1"/>
    <w:basedOn w:val="Normal"/>
    <w:link w:val="TableBullet1Char"/>
    <w:qFormat/>
    <w:rsid w:val="00BF3B60"/>
    <w:pPr>
      <w:numPr>
        <w:ilvl w:val="4"/>
        <w:numId w:val="12"/>
      </w:numPr>
      <w:spacing w:before="60" w:after="60" w:line="260" w:lineRule="atLeast"/>
      <w:outlineLvl w:val="4"/>
    </w:pPr>
    <w:rPr>
      <w:sz w:val="20"/>
    </w:rPr>
  </w:style>
  <w:style w:type="character" w:customStyle="1" w:styleId="TableBullet1Char">
    <w:name w:val="Table Bullet 1 Char"/>
    <w:basedOn w:val="DefaultParagraphFont"/>
    <w:link w:val="TableBullet1"/>
    <w:rsid w:val="00BF3B60"/>
    <w:rPr>
      <w:rFonts w:ascii="Arial" w:hAnsi="Arial" w:cs="Arial"/>
      <w:color w:val="404040"/>
      <w:lang w:val="en-AU"/>
    </w:rPr>
  </w:style>
  <w:style w:type="paragraph" w:customStyle="1" w:styleId="TableBullet2">
    <w:name w:val="Table Bullet 2"/>
    <w:basedOn w:val="Normal"/>
    <w:link w:val="TableBullet2Char"/>
    <w:qFormat/>
    <w:rsid w:val="00BF3B60"/>
    <w:pPr>
      <w:numPr>
        <w:ilvl w:val="5"/>
        <w:numId w:val="12"/>
      </w:numPr>
      <w:spacing w:before="60" w:after="60" w:line="260" w:lineRule="atLeast"/>
      <w:outlineLvl w:val="5"/>
    </w:pPr>
    <w:rPr>
      <w:sz w:val="20"/>
    </w:rPr>
  </w:style>
  <w:style w:type="character" w:customStyle="1" w:styleId="TableBullet2Char">
    <w:name w:val="Table Bullet 2 Char"/>
    <w:basedOn w:val="DefaultParagraphFont"/>
    <w:link w:val="TableBullet2"/>
    <w:rsid w:val="00BF3B60"/>
    <w:rPr>
      <w:rFonts w:ascii="Arial" w:hAnsi="Arial" w:cs="Arial"/>
      <w:color w:val="404040"/>
      <w:lang w:val="en-AU"/>
    </w:rPr>
  </w:style>
  <w:style w:type="paragraph" w:customStyle="1" w:styleId="TableBullet3">
    <w:name w:val="Table Bullet 3"/>
    <w:basedOn w:val="Normal"/>
    <w:link w:val="TableBullet3Char"/>
    <w:qFormat/>
    <w:rsid w:val="00BF3B60"/>
    <w:pPr>
      <w:numPr>
        <w:ilvl w:val="6"/>
        <w:numId w:val="12"/>
      </w:numPr>
      <w:spacing w:before="60" w:after="60" w:line="260" w:lineRule="atLeast"/>
      <w:outlineLvl w:val="6"/>
    </w:pPr>
    <w:rPr>
      <w:sz w:val="20"/>
    </w:rPr>
  </w:style>
  <w:style w:type="character" w:customStyle="1" w:styleId="TableBullet3Char">
    <w:name w:val="Table Bullet 3 Char"/>
    <w:basedOn w:val="DefaultParagraphFont"/>
    <w:link w:val="TableBullet3"/>
    <w:rsid w:val="00BF3B60"/>
    <w:rPr>
      <w:rFonts w:ascii="Arial" w:hAnsi="Arial" w:cs="Arial"/>
      <w:color w:val="404040"/>
      <w:lang w:val="en-AU"/>
    </w:rPr>
  </w:style>
  <w:style w:type="paragraph" w:customStyle="1" w:styleId="TableBullet4">
    <w:name w:val="Table Bullet 4"/>
    <w:basedOn w:val="Normal"/>
    <w:link w:val="TableBullet4Char"/>
    <w:qFormat/>
    <w:rsid w:val="00BF3B60"/>
    <w:pPr>
      <w:numPr>
        <w:ilvl w:val="7"/>
        <w:numId w:val="12"/>
      </w:numPr>
      <w:spacing w:before="60" w:after="60" w:line="260" w:lineRule="atLeast"/>
      <w:outlineLvl w:val="7"/>
    </w:pPr>
    <w:rPr>
      <w:sz w:val="20"/>
    </w:rPr>
  </w:style>
  <w:style w:type="character" w:customStyle="1" w:styleId="TableBullet4Char">
    <w:name w:val="Table Bullet 4 Char"/>
    <w:basedOn w:val="DefaultParagraphFont"/>
    <w:link w:val="TableBullet4"/>
    <w:rsid w:val="00BF3B60"/>
    <w:rPr>
      <w:rFonts w:ascii="Arial" w:hAnsi="Arial" w:cs="Arial"/>
      <w:color w:val="404040"/>
      <w:lang w:val="en-AU"/>
    </w:rPr>
  </w:style>
  <w:style w:type="paragraph" w:customStyle="1" w:styleId="TableHeadingText">
    <w:name w:val="Table Heading Text"/>
    <w:basedOn w:val="Normal"/>
    <w:link w:val="TableHeadingTextChar"/>
    <w:qFormat/>
    <w:rsid w:val="00BF3B60"/>
    <w:pPr>
      <w:keepNext/>
      <w:spacing w:before="60" w:after="60" w:line="260" w:lineRule="atLeast"/>
    </w:pPr>
    <w:rPr>
      <w:b/>
      <w:caps/>
      <w:color w:val="FFFFFF"/>
      <w:spacing w:val="40"/>
      <w:sz w:val="20"/>
    </w:rPr>
  </w:style>
  <w:style w:type="character" w:customStyle="1" w:styleId="TableHeadingTextChar">
    <w:name w:val="Table Heading Text Char"/>
    <w:basedOn w:val="DefaultParagraphFont"/>
    <w:link w:val="TableHeadingText"/>
    <w:rsid w:val="00BF3B60"/>
    <w:rPr>
      <w:rFonts w:ascii="Arial" w:hAnsi="Arial" w:cs="Arial"/>
      <w:b/>
      <w:caps/>
      <w:color w:val="FFFFFF"/>
      <w:spacing w:val="40"/>
      <w:lang w:val="en-AU"/>
    </w:rPr>
  </w:style>
  <w:style w:type="paragraph" w:customStyle="1" w:styleId="TableText">
    <w:name w:val="Table Text"/>
    <w:basedOn w:val="Normal"/>
    <w:link w:val="TableTextChar"/>
    <w:qFormat/>
    <w:rsid w:val="00BF3B60"/>
    <w:pPr>
      <w:spacing w:before="60" w:after="60" w:line="260" w:lineRule="atLeast"/>
    </w:pPr>
    <w:rPr>
      <w:sz w:val="20"/>
    </w:rPr>
  </w:style>
  <w:style w:type="character" w:customStyle="1" w:styleId="TableTextChar">
    <w:name w:val="Table Text Char"/>
    <w:basedOn w:val="DefaultParagraphFont"/>
    <w:link w:val="TableText"/>
    <w:rsid w:val="00BF3B60"/>
    <w:rPr>
      <w:rFonts w:ascii="Arial" w:hAnsi="Arial" w:cs="Arial"/>
      <w:color w:val="404040"/>
      <w:lang w:val="en-AU"/>
    </w:rPr>
  </w:style>
  <w:style w:type="paragraph" w:customStyle="1" w:styleId="LegalCompanyAddress">
    <w:name w:val="Legal Company Address"/>
    <w:basedOn w:val="Base"/>
    <w:link w:val="LegalCompanyAddressChar"/>
    <w:rsid w:val="00BF3B60"/>
    <w:rPr>
      <w:spacing w:val="5"/>
      <w:sz w:val="22"/>
    </w:rPr>
  </w:style>
  <w:style w:type="character" w:customStyle="1" w:styleId="LegalCompanyAddressChar">
    <w:name w:val="Legal Company Address Char"/>
    <w:basedOn w:val="DefaultParagraphFont"/>
    <w:link w:val="LegalCompanyAddress"/>
    <w:rsid w:val="00BF3B60"/>
    <w:rPr>
      <w:rFonts w:ascii="Arial" w:hAnsi="Arial" w:cs="Arial"/>
      <w:color w:val="404040"/>
      <w:spacing w:val="5"/>
      <w:sz w:val="22"/>
      <w:lang w:val="en-AU"/>
    </w:rPr>
  </w:style>
  <w:style w:type="paragraph" w:customStyle="1" w:styleId="LegalCompanyName">
    <w:name w:val="Legal Company Name"/>
    <w:basedOn w:val="Base"/>
    <w:link w:val="LegalCompanyNameChar"/>
    <w:rsid w:val="00BF3B60"/>
    <w:rPr>
      <w:b/>
      <w:caps/>
      <w:spacing w:val="40"/>
      <w:sz w:val="24"/>
    </w:rPr>
  </w:style>
  <w:style w:type="character" w:customStyle="1" w:styleId="LegalCompanyNameChar">
    <w:name w:val="Legal Company Name Char"/>
    <w:basedOn w:val="DefaultParagraphFont"/>
    <w:link w:val="LegalCompanyName"/>
    <w:rsid w:val="00BF3B60"/>
    <w:rPr>
      <w:rFonts w:ascii="Arial" w:hAnsi="Arial" w:cs="Arial"/>
      <w:b/>
      <w:caps/>
      <w:color w:val="404040"/>
      <w:spacing w:val="40"/>
      <w:sz w:val="24"/>
      <w:lang w:val="en-AU"/>
    </w:rPr>
  </w:style>
  <w:style w:type="paragraph" w:styleId="BalloonText">
    <w:name w:val="Balloon Text"/>
    <w:basedOn w:val="Normal"/>
    <w:link w:val="BalloonTextChar"/>
    <w:rsid w:val="00BF3B6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F3B60"/>
    <w:rPr>
      <w:rFonts w:ascii="Tahoma" w:hAnsi="Tahoma" w:cs="Tahoma"/>
      <w:color w:val="404040"/>
      <w:sz w:val="16"/>
      <w:szCs w:val="16"/>
      <w:lang w:val="en-AU"/>
    </w:rPr>
  </w:style>
  <w:style w:type="paragraph" w:styleId="Bibliography">
    <w:name w:val="Bibliography"/>
    <w:basedOn w:val="Normal"/>
    <w:next w:val="Normal"/>
    <w:uiPriority w:val="37"/>
    <w:semiHidden/>
    <w:rsid w:val="00BF3B60"/>
  </w:style>
  <w:style w:type="character" w:styleId="BookTitle">
    <w:name w:val="Book Title"/>
    <w:basedOn w:val="DefaultParagraphFont"/>
    <w:uiPriority w:val="33"/>
    <w:semiHidden/>
    <w:qFormat/>
    <w:rsid w:val="00BF3B60"/>
    <w:rPr>
      <w:b/>
      <w:bCs/>
      <w:smallCaps/>
      <w:spacing w:val="5"/>
    </w:rPr>
  </w:style>
  <w:style w:type="paragraph" w:styleId="Caption">
    <w:name w:val="caption"/>
    <w:basedOn w:val="Normal"/>
    <w:next w:val="Normal"/>
    <w:semiHidden/>
    <w:qFormat/>
    <w:rsid w:val="00BF3B60"/>
    <w:pPr>
      <w:spacing w:after="200" w:line="240" w:lineRule="auto"/>
    </w:pPr>
    <w:rPr>
      <w:b/>
      <w:bCs/>
      <w:color w:val="4F81BD" w:themeColor="accent1"/>
      <w:sz w:val="18"/>
      <w:szCs w:val="18"/>
    </w:rPr>
  </w:style>
  <w:style w:type="paragraph" w:styleId="DocumentMap">
    <w:name w:val="Document Map"/>
    <w:basedOn w:val="Normal"/>
    <w:link w:val="DocumentMapChar"/>
    <w:semiHidden/>
    <w:rsid w:val="00BF3B60"/>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BF3B60"/>
    <w:rPr>
      <w:rFonts w:ascii="Tahoma" w:hAnsi="Tahoma" w:cs="Tahoma"/>
      <w:color w:val="404040"/>
      <w:sz w:val="16"/>
      <w:szCs w:val="16"/>
      <w:lang w:val="en-AU"/>
    </w:rPr>
  </w:style>
  <w:style w:type="paragraph" w:styleId="ListParagraph">
    <w:name w:val="List Paragraph"/>
    <w:basedOn w:val="Normal"/>
    <w:uiPriority w:val="34"/>
    <w:qFormat/>
    <w:rsid w:val="00BF3B60"/>
    <w:pPr>
      <w:ind w:left="720"/>
      <w:contextualSpacing/>
    </w:pPr>
  </w:style>
  <w:style w:type="paragraph" w:styleId="MacroText">
    <w:name w:val="macro"/>
    <w:link w:val="MacroTextChar"/>
    <w:semiHidden/>
    <w:rsid w:val="00BF3B60"/>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Arial"/>
      <w:color w:val="404040"/>
      <w:lang w:val="en-AU"/>
    </w:rPr>
  </w:style>
  <w:style w:type="character" w:customStyle="1" w:styleId="MacroTextChar">
    <w:name w:val="Macro Text Char"/>
    <w:basedOn w:val="DefaultParagraphFont"/>
    <w:link w:val="MacroText"/>
    <w:rsid w:val="00BF3B60"/>
    <w:rPr>
      <w:rFonts w:ascii="Consolas" w:hAnsi="Consolas" w:cs="Arial"/>
      <w:color w:val="404040"/>
      <w:lang w:val="en-AU"/>
    </w:rPr>
  </w:style>
  <w:style w:type="paragraph" w:styleId="NoSpacing">
    <w:name w:val="No Spacing"/>
    <w:uiPriority w:val="1"/>
    <w:semiHidden/>
    <w:qFormat/>
    <w:rsid w:val="00BF3B60"/>
    <w:rPr>
      <w:rFonts w:ascii="Arial" w:hAnsi="Arial" w:cs="Arial"/>
      <w:color w:val="404040"/>
      <w:sz w:val="22"/>
      <w:lang w:val="en-AU"/>
    </w:rPr>
  </w:style>
  <w:style w:type="paragraph" w:styleId="NormalWeb">
    <w:name w:val="Normal (Web)"/>
    <w:basedOn w:val="Normal"/>
    <w:semiHidden/>
    <w:rsid w:val="00BF3B60"/>
    <w:rPr>
      <w:rFonts w:ascii="Times New Roman" w:hAnsi="Times New Roman" w:cs="Times New Roman"/>
      <w:sz w:val="24"/>
      <w:szCs w:val="24"/>
    </w:rPr>
  </w:style>
  <w:style w:type="character" w:styleId="PlaceholderText">
    <w:name w:val="Placeholder Text"/>
    <w:basedOn w:val="DefaultParagraphFont"/>
    <w:uiPriority w:val="99"/>
    <w:semiHidden/>
    <w:rsid w:val="00BF3B60"/>
    <w:rPr>
      <w:color w:val="808080"/>
    </w:rPr>
  </w:style>
  <w:style w:type="paragraph" w:styleId="TableofAuthorities">
    <w:name w:val="table of authorities"/>
    <w:basedOn w:val="Normal"/>
    <w:next w:val="Normal"/>
    <w:semiHidden/>
    <w:rsid w:val="00BF3B60"/>
    <w:pPr>
      <w:ind w:left="220" w:hanging="220"/>
    </w:pPr>
  </w:style>
  <w:style w:type="paragraph" w:styleId="TableofFigures">
    <w:name w:val="table of figures"/>
    <w:basedOn w:val="Normal"/>
    <w:next w:val="Normal"/>
    <w:semiHidden/>
    <w:rsid w:val="00BF3B60"/>
  </w:style>
  <w:style w:type="paragraph" w:styleId="TOAHeading">
    <w:name w:val="toa heading"/>
    <w:basedOn w:val="Normal"/>
    <w:next w:val="Normal"/>
    <w:semiHidden/>
    <w:rsid w:val="00BF3B60"/>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rsid w:val="00BF3B60"/>
    <w:rPr>
      <w:sz w:val="16"/>
      <w:szCs w:val="16"/>
    </w:rPr>
  </w:style>
  <w:style w:type="paragraph" w:styleId="CommentText">
    <w:name w:val="annotation text"/>
    <w:basedOn w:val="Normal"/>
    <w:link w:val="CommentTextChar"/>
    <w:rsid w:val="00BF3B60"/>
    <w:pPr>
      <w:spacing w:line="240" w:lineRule="auto"/>
    </w:pPr>
    <w:rPr>
      <w:sz w:val="20"/>
    </w:rPr>
  </w:style>
  <w:style w:type="character" w:customStyle="1" w:styleId="CommentTextChar">
    <w:name w:val="Comment Text Char"/>
    <w:basedOn w:val="DefaultParagraphFont"/>
    <w:link w:val="CommentText"/>
    <w:rsid w:val="00BF3B60"/>
    <w:rPr>
      <w:rFonts w:ascii="Arial" w:hAnsi="Arial" w:cs="Arial"/>
      <w:color w:val="404040"/>
      <w:lang w:val="en-AU"/>
    </w:rPr>
  </w:style>
  <w:style w:type="paragraph" w:styleId="CommentSubject">
    <w:name w:val="annotation subject"/>
    <w:basedOn w:val="CommentText"/>
    <w:next w:val="CommentText"/>
    <w:link w:val="CommentSubjectChar"/>
    <w:rsid w:val="00BF3B60"/>
    <w:rPr>
      <w:b/>
      <w:bCs/>
    </w:rPr>
  </w:style>
  <w:style w:type="character" w:customStyle="1" w:styleId="CommentSubjectChar">
    <w:name w:val="Comment Subject Char"/>
    <w:basedOn w:val="CommentTextChar"/>
    <w:link w:val="CommentSubject"/>
    <w:rsid w:val="00BF3B60"/>
    <w:rPr>
      <w:rFonts w:ascii="Arial" w:hAnsi="Arial" w:cs="Arial"/>
      <w:b/>
      <w:bCs/>
      <w:color w:val="404040"/>
      <w:lang w:val="en-AU"/>
    </w:rPr>
  </w:style>
  <w:style w:type="character" w:styleId="EndnoteReference">
    <w:name w:val="endnote reference"/>
    <w:basedOn w:val="DefaultParagraphFont"/>
    <w:semiHidden/>
    <w:rsid w:val="00BF3B60"/>
    <w:rPr>
      <w:vertAlign w:val="superscript"/>
    </w:rPr>
  </w:style>
  <w:style w:type="paragraph" w:styleId="EndnoteText">
    <w:name w:val="endnote text"/>
    <w:basedOn w:val="Normal"/>
    <w:link w:val="EndnoteTextChar"/>
    <w:rsid w:val="00BF3B60"/>
    <w:pPr>
      <w:spacing w:line="240" w:lineRule="auto"/>
    </w:pPr>
    <w:rPr>
      <w:sz w:val="20"/>
    </w:rPr>
  </w:style>
  <w:style w:type="character" w:customStyle="1" w:styleId="EndnoteTextChar">
    <w:name w:val="Endnote Text Char"/>
    <w:basedOn w:val="DefaultParagraphFont"/>
    <w:link w:val="EndnoteText"/>
    <w:rsid w:val="00BF3B60"/>
    <w:rPr>
      <w:rFonts w:ascii="Arial" w:hAnsi="Arial" w:cs="Arial"/>
      <w:color w:val="404040"/>
      <w:lang w:val="en-AU"/>
    </w:rPr>
  </w:style>
  <w:style w:type="character" w:styleId="HTMLAcronym">
    <w:name w:val="HTML Acronym"/>
    <w:basedOn w:val="DefaultParagraphFont"/>
    <w:semiHidden/>
    <w:rsid w:val="00BF3B60"/>
  </w:style>
  <w:style w:type="paragraph" w:styleId="HTMLAddress">
    <w:name w:val="HTML Address"/>
    <w:basedOn w:val="Normal"/>
    <w:link w:val="HTMLAddressChar"/>
    <w:semiHidden/>
    <w:rsid w:val="00BF3B60"/>
    <w:pPr>
      <w:spacing w:line="240" w:lineRule="auto"/>
    </w:pPr>
    <w:rPr>
      <w:i/>
      <w:iCs/>
    </w:rPr>
  </w:style>
  <w:style w:type="character" w:customStyle="1" w:styleId="HTMLAddressChar">
    <w:name w:val="HTML Address Char"/>
    <w:basedOn w:val="DefaultParagraphFont"/>
    <w:link w:val="HTMLAddress"/>
    <w:rsid w:val="00BF3B60"/>
    <w:rPr>
      <w:rFonts w:ascii="Arial" w:hAnsi="Arial" w:cs="Arial"/>
      <w:i/>
      <w:iCs/>
      <w:color w:val="404040"/>
      <w:sz w:val="22"/>
      <w:lang w:val="en-AU"/>
    </w:rPr>
  </w:style>
  <w:style w:type="character" w:styleId="HTMLCite">
    <w:name w:val="HTML Cite"/>
    <w:basedOn w:val="DefaultParagraphFont"/>
    <w:semiHidden/>
    <w:rsid w:val="00BF3B60"/>
    <w:rPr>
      <w:i/>
      <w:iCs/>
    </w:rPr>
  </w:style>
  <w:style w:type="character" w:styleId="HTMLCode">
    <w:name w:val="HTML Code"/>
    <w:basedOn w:val="DefaultParagraphFont"/>
    <w:semiHidden/>
    <w:rsid w:val="00BF3B60"/>
    <w:rPr>
      <w:rFonts w:ascii="Consolas" w:hAnsi="Consolas"/>
      <w:sz w:val="20"/>
      <w:szCs w:val="20"/>
    </w:rPr>
  </w:style>
  <w:style w:type="character" w:styleId="HTMLDefinition">
    <w:name w:val="HTML Definition"/>
    <w:basedOn w:val="DefaultParagraphFont"/>
    <w:semiHidden/>
    <w:rsid w:val="00BF3B60"/>
    <w:rPr>
      <w:i/>
      <w:iCs/>
    </w:rPr>
  </w:style>
  <w:style w:type="character" w:styleId="HTMLKeyboard">
    <w:name w:val="HTML Keyboard"/>
    <w:basedOn w:val="DefaultParagraphFont"/>
    <w:semiHidden/>
    <w:rsid w:val="00BF3B60"/>
    <w:rPr>
      <w:rFonts w:ascii="Consolas" w:hAnsi="Consolas"/>
      <w:sz w:val="20"/>
      <w:szCs w:val="20"/>
    </w:rPr>
  </w:style>
  <w:style w:type="paragraph" w:styleId="HTMLPreformatted">
    <w:name w:val="HTML Preformatted"/>
    <w:basedOn w:val="Normal"/>
    <w:link w:val="HTMLPreformattedChar"/>
    <w:semiHidden/>
    <w:rsid w:val="00BF3B60"/>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BF3B60"/>
    <w:rPr>
      <w:rFonts w:ascii="Consolas" w:hAnsi="Consolas" w:cs="Arial"/>
      <w:color w:val="404040"/>
      <w:lang w:val="en-AU"/>
    </w:rPr>
  </w:style>
  <w:style w:type="character" w:styleId="HTMLSample">
    <w:name w:val="HTML Sample"/>
    <w:basedOn w:val="DefaultParagraphFont"/>
    <w:semiHidden/>
    <w:rsid w:val="00BF3B60"/>
    <w:rPr>
      <w:rFonts w:ascii="Consolas" w:hAnsi="Consolas"/>
      <w:sz w:val="24"/>
      <w:szCs w:val="24"/>
    </w:rPr>
  </w:style>
  <w:style w:type="character" w:styleId="HTMLTypewriter">
    <w:name w:val="HTML Typewriter"/>
    <w:basedOn w:val="DefaultParagraphFont"/>
    <w:semiHidden/>
    <w:rsid w:val="00BF3B60"/>
    <w:rPr>
      <w:rFonts w:ascii="Consolas" w:hAnsi="Consolas"/>
      <w:sz w:val="20"/>
      <w:szCs w:val="20"/>
    </w:rPr>
  </w:style>
  <w:style w:type="character" w:styleId="HTMLVariable">
    <w:name w:val="HTML Variable"/>
    <w:basedOn w:val="DefaultParagraphFont"/>
    <w:semiHidden/>
    <w:rsid w:val="00BF3B60"/>
    <w:rPr>
      <w:i/>
      <w:iCs/>
    </w:rPr>
  </w:style>
  <w:style w:type="paragraph" w:styleId="Index1">
    <w:name w:val="index 1"/>
    <w:basedOn w:val="Normal"/>
    <w:next w:val="Normal"/>
    <w:autoRedefine/>
    <w:semiHidden/>
    <w:rsid w:val="00BF3B60"/>
    <w:pPr>
      <w:spacing w:line="240" w:lineRule="auto"/>
      <w:ind w:left="220" w:hanging="220"/>
    </w:pPr>
  </w:style>
  <w:style w:type="paragraph" w:styleId="Index2">
    <w:name w:val="index 2"/>
    <w:basedOn w:val="Normal"/>
    <w:next w:val="Normal"/>
    <w:autoRedefine/>
    <w:semiHidden/>
    <w:rsid w:val="00BF3B60"/>
    <w:pPr>
      <w:spacing w:line="240" w:lineRule="auto"/>
      <w:ind w:left="440" w:hanging="220"/>
    </w:pPr>
  </w:style>
  <w:style w:type="paragraph" w:styleId="Index3">
    <w:name w:val="index 3"/>
    <w:basedOn w:val="Normal"/>
    <w:next w:val="Normal"/>
    <w:autoRedefine/>
    <w:semiHidden/>
    <w:rsid w:val="00BF3B60"/>
    <w:pPr>
      <w:spacing w:line="240" w:lineRule="auto"/>
      <w:ind w:left="660" w:hanging="220"/>
    </w:pPr>
  </w:style>
  <w:style w:type="paragraph" w:styleId="Index4">
    <w:name w:val="index 4"/>
    <w:basedOn w:val="Normal"/>
    <w:next w:val="Normal"/>
    <w:autoRedefine/>
    <w:semiHidden/>
    <w:rsid w:val="00BF3B60"/>
    <w:pPr>
      <w:spacing w:line="240" w:lineRule="auto"/>
      <w:ind w:left="880" w:hanging="220"/>
    </w:pPr>
  </w:style>
  <w:style w:type="paragraph" w:styleId="Index5">
    <w:name w:val="index 5"/>
    <w:basedOn w:val="Normal"/>
    <w:next w:val="Normal"/>
    <w:autoRedefine/>
    <w:semiHidden/>
    <w:rsid w:val="00BF3B60"/>
    <w:pPr>
      <w:spacing w:line="240" w:lineRule="auto"/>
      <w:ind w:left="1100" w:hanging="220"/>
    </w:pPr>
  </w:style>
  <w:style w:type="paragraph" w:styleId="Index6">
    <w:name w:val="index 6"/>
    <w:basedOn w:val="Normal"/>
    <w:next w:val="Normal"/>
    <w:autoRedefine/>
    <w:semiHidden/>
    <w:rsid w:val="00BF3B60"/>
    <w:pPr>
      <w:spacing w:line="240" w:lineRule="auto"/>
      <w:ind w:left="1320" w:hanging="220"/>
    </w:pPr>
  </w:style>
  <w:style w:type="paragraph" w:styleId="Index7">
    <w:name w:val="index 7"/>
    <w:basedOn w:val="Normal"/>
    <w:next w:val="Normal"/>
    <w:autoRedefine/>
    <w:semiHidden/>
    <w:rsid w:val="00BF3B60"/>
    <w:pPr>
      <w:spacing w:line="240" w:lineRule="auto"/>
      <w:ind w:left="1540" w:hanging="220"/>
    </w:pPr>
  </w:style>
  <w:style w:type="paragraph" w:styleId="Index8">
    <w:name w:val="index 8"/>
    <w:basedOn w:val="Normal"/>
    <w:next w:val="Normal"/>
    <w:autoRedefine/>
    <w:semiHidden/>
    <w:rsid w:val="00BF3B60"/>
    <w:pPr>
      <w:spacing w:line="240" w:lineRule="auto"/>
      <w:ind w:left="1760" w:hanging="220"/>
    </w:pPr>
  </w:style>
  <w:style w:type="paragraph" w:styleId="Index9">
    <w:name w:val="index 9"/>
    <w:basedOn w:val="Normal"/>
    <w:next w:val="Normal"/>
    <w:autoRedefine/>
    <w:semiHidden/>
    <w:rsid w:val="00BF3B60"/>
    <w:pPr>
      <w:spacing w:line="240" w:lineRule="auto"/>
      <w:ind w:left="1980" w:hanging="220"/>
    </w:pPr>
  </w:style>
  <w:style w:type="paragraph" w:styleId="IndexHeading">
    <w:name w:val="index heading"/>
    <w:basedOn w:val="Normal"/>
    <w:next w:val="Index1"/>
    <w:semiHidden/>
    <w:rsid w:val="00BF3B60"/>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BF3B60"/>
    <w:rPr>
      <w:b/>
      <w:bCs/>
      <w:i/>
      <w:iCs/>
      <w:color w:val="4F81BD" w:themeColor="accent1"/>
    </w:rPr>
  </w:style>
  <w:style w:type="paragraph" w:styleId="IntenseQuote">
    <w:name w:val="Intense Quote"/>
    <w:basedOn w:val="Normal"/>
    <w:next w:val="Normal"/>
    <w:link w:val="IntenseQuoteChar"/>
    <w:uiPriority w:val="30"/>
    <w:semiHidden/>
    <w:qFormat/>
    <w:rsid w:val="00BF3B6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F3B60"/>
    <w:rPr>
      <w:rFonts w:ascii="Arial" w:hAnsi="Arial" w:cs="Arial"/>
      <w:b/>
      <w:bCs/>
      <w:i/>
      <w:iCs/>
      <w:color w:val="4F81BD" w:themeColor="accent1"/>
      <w:sz w:val="22"/>
      <w:lang w:val="en-AU"/>
    </w:rPr>
  </w:style>
  <w:style w:type="character" w:styleId="IntenseReference">
    <w:name w:val="Intense Reference"/>
    <w:basedOn w:val="DefaultParagraphFont"/>
    <w:uiPriority w:val="32"/>
    <w:semiHidden/>
    <w:qFormat/>
    <w:rsid w:val="00BF3B60"/>
    <w:rPr>
      <w:b/>
      <w:bCs/>
      <w:smallCaps/>
      <w:color w:val="C0504D" w:themeColor="accent2"/>
      <w:spacing w:val="5"/>
      <w:u w:val="single"/>
    </w:rPr>
  </w:style>
  <w:style w:type="character" w:styleId="SubtleEmphasis">
    <w:name w:val="Subtle Emphasis"/>
    <w:basedOn w:val="DefaultParagraphFont"/>
    <w:uiPriority w:val="19"/>
    <w:semiHidden/>
    <w:qFormat/>
    <w:rsid w:val="00BF3B60"/>
    <w:rPr>
      <w:i/>
      <w:iCs/>
      <w:color w:val="808080" w:themeColor="text1" w:themeTint="7F"/>
    </w:rPr>
  </w:style>
  <w:style w:type="character" w:styleId="SubtleReference">
    <w:name w:val="Subtle Reference"/>
    <w:basedOn w:val="DefaultParagraphFont"/>
    <w:uiPriority w:val="31"/>
    <w:semiHidden/>
    <w:qFormat/>
    <w:rsid w:val="00BF3B60"/>
    <w:rPr>
      <w:smallCaps/>
      <w:color w:val="C0504D" w:themeColor="accent2"/>
      <w:u w:val="single"/>
    </w:rPr>
  </w:style>
  <w:style w:type="character" w:customStyle="1" w:styleId="LogoChar">
    <w:name w:val="Logo Char"/>
    <w:basedOn w:val="DefaultParagraphFont"/>
    <w:link w:val="Logo"/>
    <w:rsid w:val="00BF3B60"/>
    <w:rPr>
      <w:rFonts w:ascii="Arial" w:hAnsi="Arial" w:cs="Arial"/>
      <w:color w:val="404040"/>
      <w:sz w:val="16"/>
      <w:szCs w:val="16"/>
      <w:lang w:val="en-AU"/>
    </w:rPr>
  </w:style>
  <w:style w:type="character" w:customStyle="1" w:styleId="TextHide">
    <w:name w:val="Text Hide"/>
    <w:basedOn w:val="DefaultParagraphFont"/>
    <w:rsid w:val="00BF3B60"/>
    <w:rPr>
      <w:szCs w:val="20"/>
    </w:rPr>
  </w:style>
  <w:style w:type="paragraph" w:styleId="BodyTextIndent">
    <w:name w:val="Body Text Indent"/>
    <w:basedOn w:val="Normal"/>
    <w:link w:val="BodyTextIndentChar"/>
    <w:rsid w:val="00BF3B60"/>
    <w:pPr>
      <w:tabs>
        <w:tab w:val="left" w:pos="-1440"/>
        <w:tab w:val="left" w:pos="-720"/>
      </w:tabs>
      <w:suppressAutoHyphens/>
      <w:spacing w:line="240" w:lineRule="auto"/>
      <w:ind w:left="426"/>
    </w:pPr>
    <w:rPr>
      <w:rFonts w:ascii="Times New Roman" w:hAnsi="Times New Roman" w:cs="Times New Roman"/>
      <w:color w:val="auto"/>
      <w:sz w:val="24"/>
    </w:rPr>
  </w:style>
  <w:style w:type="character" w:customStyle="1" w:styleId="BodyTextIndentChar">
    <w:name w:val="Body Text Indent Char"/>
    <w:basedOn w:val="DefaultParagraphFont"/>
    <w:link w:val="BodyTextIndent"/>
    <w:rsid w:val="00BF3B60"/>
    <w:rPr>
      <w:sz w:val="24"/>
      <w:lang w:val="en-AU"/>
    </w:rPr>
  </w:style>
  <w:style w:type="paragraph" w:styleId="Revision">
    <w:name w:val="Revision"/>
    <w:hidden/>
    <w:uiPriority w:val="99"/>
    <w:semiHidden/>
    <w:rsid w:val="00BF3B60"/>
    <w:rPr>
      <w:rFonts w:ascii="Arial" w:hAnsi="Arial" w:cs="Arial"/>
      <w:sz w:val="22"/>
      <w:lang w:val="en-GB"/>
    </w:rPr>
  </w:style>
  <w:style w:type="paragraph" w:customStyle="1" w:styleId="Figuretitle">
    <w:name w:val="Figure title"/>
    <w:next w:val="Normal"/>
    <w:qFormat/>
    <w:rsid w:val="00BF3B60"/>
    <w:pPr>
      <w:keepNext/>
      <w:keepLines/>
      <w:spacing w:before="340" w:after="170"/>
    </w:pPr>
    <w:rPr>
      <w:rFonts w:ascii="Arial" w:hAnsi="Arial"/>
      <w:b/>
      <w:color w:val="005A77"/>
      <w:spacing w:val="-6"/>
      <w:sz w:val="24"/>
      <w:szCs w:val="24"/>
    </w:rPr>
  </w:style>
  <w:style w:type="numbering" w:customStyle="1" w:styleId="Numbers">
    <w:name w:val="Numbers"/>
    <w:basedOn w:val="NoList"/>
    <w:rsid w:val="00BF3B60"/>
    <w:pPr>
      <w:numPr>
        <w:numId w:val="14"/>
      </w:numPr>
    </w:pPr>
  </w:style>
  <w:style w:type="paragraph" w:customStyle="1" w:styleId="Tabletitle">
    <w:name w:val="Table title"/>
    <w:next w:val="Normal"/>
    <w:qFormat/>
    <w:rsid w:val="00BF3B60"/>
    <w:pPr>
      <w:keepNext/>
      <w:spacing w:before="340" w:after="170"/>
    </w:pPr>
    <w:rPr>
      <w:rFonts w:ascii="Arial" w:hAnsi="Arial"/>
      <w:b/>
      <w:color w:val="005A77"/>
      <w:spacing w:val="-6"/>
      <w:sz w:val="24"/>
      <w:szCs w:val="24"/>
    </w:rPr>
  </w:style>
  <w:style w:type="paragraph" w:customStyle="1" w:styleId="Notetitle">
    <w:name w:val="Note title"/>
    <w:qFormat/>
    <w:rsid w:val="00BF3B60"/>
    <w:pPr>
      <w:keepNext/>
      <w:spacing w:before="340" w:after="170"/>
    </w:pPr>
    <w:rPr>
      <w:rFonts w:ascii="Arial" w:eastAsia="MS Gothic" w:hAnsi="Arial"/>
      <w:b/>
      <w:bCs/>
      <w:iCs/>
      <w:color w:val="005A77"/>
      <w:spacing w:val="-6"/>
      <w:sz w:val="24"/>
      <w:szCs w:val="28"/>
    </w:rPr>
  </w:style>
  <w:style w:type="paragraph" w:customStyle="1" w:styleId="Numberedpara1stindent">
    <w:name w:val="Numbered para (1st indent)"/>
    <w:basedOn w:val="Normal"/>
    <w:rsid w:val="00BF3B60"/>
    <w:pPr>
      <w:tabs>
        <w:tab w:val="num" w:pos="567"/>
      </w:tabs>
      <w:spacing w:line="240" w:lineRule="auto"/>
      <w:ind w:left="567" w:hanging="567"/>
    </w:pPr>
    <w:rPr>
      <w:rFonts w:ascii="Cambria" w:hAnsi="Cambria" w:cs="Times New Roman"/>
      <w:color w:val="auto"/>
      <w:szCs w:val="24"/>
    </w:rPr>
  </w:style>
  <w:style w:type="paragraph" w:customStyle="1" w:styleId="Numberedpara2ndindent">
    <w:name w:val="Numbered para (2nd indent)"/>
    <w:basedOn w:val="Normal"/>
    <w:rsid w:val="00BF3B60"/>
    <w:pPr>
      <w:tabs>
        <w:tab w:val="num" w:pos="851"/>
      </w:tabs>
      <w:spacing w:line="240" w:lineRule="auto"/>
      <w:ind w:left="851" w:hanging="284"/>
    </w:pPr>
    <w:rPr>
      <w:rFonts w:ascii="Cambria" w:hAnsi="Cambria" w:cs="Times New Roman"/>
      <w:color w:val="auto"/>
      <w:szCs w:val="24"/>
    </w:rPr>
  </w:style>
  <w:style w:type="paragraph" w:customStyle="1" w:styleId="Numberedpara3rdindent">
    <w:name w:val="Numbered para (3rd indent)"/>
    <w:basedOn w:val="Normal"/>
    <w:rsid w:val="00BF3B60"/>
    <w:pPr>
      <w:tabs>
        <w:tab w:val="num" w:pos="1134"/>
      </w:tabs>
      <w:spacing w:line="240" w:lineRule="auto"/>
      <w:ind w:left="1135" w:hanging="284"/>
    </w:pPr>
    <w:rPr>
      <w:rFonts w:ascii="Cambria" w:hAnsi="Cambria" w:cs="Times New Roman"/>
      <w:color w:val="auto"/>
      <w:szCs w:val="24"/>
    </w:rPr>
  </w:style>
  <w:style w:type="paragraph" w:styleId="BodyTextIndent2">
    <w:name w:val="Body Text Indent 2"/>
    <w:basedOn w:val="Normal"/>
    <w:link w:val="BodyTextIndent2Char"/>
    <w:rsid w:val="00676991"/>
    <w:pPr>
      <w:spacing w:after="120" w:line="480" w:lineRule="auto"/>
      <w:ind w:left="283"/>
    </w:pPr>
  </w:style>
  <w:style w:type="character" w:customStyle="1" w:styleId="BodyTextIndent2Char">
    <w:name w:val="Body Text Indent 2 Char"/>
    <w:basedOn w:val="DefaultParagraphFont"/>
    <w:link w:val="BodyTextIndent2"/>
    <w:rsid w:val="00676991"/>
    <w:rPr>
      <w:rFonts w:ascii="Arial" w:hAnsi="Arial" w:cs="Arial"/>
      <w:color w:val="404040"/>
      <w:sz w:val="22"/>
      <w:lang w:val="en-AU"/>
    </w:rPr>
  </w:style>
  <w:style w:type="paragraph" w:customStyle="1" w:styleId="Default">
    <w:name w:val="Default"/>
    <w:rsid w:val="00814698"/>
    <w:pPr>
      <w:autoSpaceDE w:val="0"/>
      <w:autoSpaceDN w:val="0"/>
      <w:adjustRightInd w:val="0"/>
    </w:pPr>
    <w:rPr>
      <w:rFonts w:ascii="QKXAS F+ Calibri" w:hAnsi="QKXAS F+ Calibri" w:cs="QKXAS F+ Calibri"/>
      <w:color w:val="000000"/>
      <w:sz w:val="24"/>
      <w:szCs w:val="24"/>
      <w:lang w:val="en-AU"/>
    </w:rPr>
  </w:style>
  <w:style w:type="paragraph" w:customStyle="1" w:styleId="BoxText">
    <w:name w:val="Box Text"/>
    <w:basedOn w:val="Normal"/>
    <w:rsid w:val="00985D4F"/>
    <w:pPr>
      <w:spacing w:before="120" w:after="120" w:line="240" w:lineRule="auto"/>
    </w:pPr>
    <w:rPr>
      <w:rFonts w:cs="Times New Roman"/>
      <w:color w:val="auto"/>
      <w:sz w:val="20"/>
    </w:rPr>
  </w:style>
  <w:style w:type="character" w:styleId="Hyperlink">
    <w:name w:val="Hyperlink"/>
    <w:basedOn w:val="DefaultParagraphFont"/>
    <w:rsid w:val="009607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7.xml.rels><?xml version="1.0" encoding="UTF-8" standalone="yes"?>
<Relationships xmlns="http://schemas.openxmlformats.org/package/2006/relationships"><Relationship Id="rId1"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MC%20Templates\Templates\ReportVertic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mageControl xmlns:xsi="http://www.w3.org/2001/XMLSchema-instance" xmlns:xsd="http://www.w3.org/2001/XMLSchema">
  <TypeOfImage>SolidColour</TypeOfImage>
  <Usage>WordCoverVertical</Usage>
  <PaletteName>Sapphire</PaletteName>
  <Design engine="MER2015">
    <Triangles>
      <Triangle>
        <RowGrid>1</RowGrid>
        <ColumnGrid>1</ColumnGrid>
        <Flip>0</Flip>
        <ColorNumber>4</ColorNumber>
        <Opacity>1</Opacity>
      </Triangle>
      <Triangle>
        <RowGrid>2</RowGrid>
        <ColumnGrid>2</ColumnGrid>
        <Flip>0</Flip>
        <ColorNumber>3</ColorNumber>
        <Opacity>1</Opacity>
      </Triangle>
      <Triangle>
        <RowGrid>3</RowGrid>
        <ColumnGrid>1</ColumnGrid>
        <Flip>0</Flip>
        <ColorNumber>4</ColorNumber>
        <Opacity>1</Opacity>
      </Triangle>
      <Triangle>
        <RowGrid>2</RowGrid>
        <ColumnGrid>2</ColumnGrid>
        <Flip>1</Flip>
        <ColorNumber>0</ColorNumber>
        <Opacity>1</Opacity>
      </Triangle>
      <Triangle>
        <RowGrid>5</RowGrid>
        <ColumnGrid>1</ColumnGrid>
        <Flip>0</Flip>
        <ColorNumber>3</ColorNumber>
        <Opacity>1</Opacity>
      </Triangle>
    </Triangles>
    <BlankCoordinates>
      <BlankCoordinate>
        <X>1</X>
        <Y>5</Y>
      </BlankCoordinate>
      <BlankCoordinate>
        <X>2</X>
        <Y>4</Y>
      </BlankCoordinate>
      <BlankCoordinate>
        <X>0</X>
        <Y>4</Y>
      </BlankCoordinate>
      <BlankCoordinate>
        <X>0</X>
        <Y>3</Y>
      </BlankCoordinate>
      <BlankCoordinate>
        <X>3</X>
        <Y>3</Y>
      </BlankCoordinate>
      <BlankCoordinate>
        <X>2</X>
        <Y>2</Y>
      </BlankCoordinate>
      <BlankCoordinate>
        <X>2</X>
        <Y>2</Y>
      </BlankCoordinate>
      <BlankCoordinate>
        <X>3</X>
        <Y>1</Y>
      </BlankCoordinate>
      <BlankCoordinate>
        <X>1</X>
        <Y>1</Y>
      </BlankCoordinate>
      <BlankCoordinate>
        <X>2</X>
        <Y>0</Y>
      </BlankCoordinate>
      <BlankCoordinate>
        <X>-1</X>
        <Y>0</Y>
      </BlankCoordinate>
      <BlankCoordinate>
        <X>-1</X>
        <Y>5</Y>
      </BlankCoordinate>
    </BlankCoordinates>
    <ImageRightCropPercent>0</ImageRightCropPercent>
    <TotalRows>5</TotalRows>
    <TrianglesGridShiftPercent>0</TrianglesGridShiftPercent>
    <ImageBlankTopRows>0</ImageBlankTopRows>
  </Design>
</ImageContro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F5B62-A74C-4534-9275-3071A16DCB96}">
  <ds:schemaRefs>
    <ds:schemaRef ds:uri="http://www.w3.org/2001/XMLSchema"/>
  </ds:schemaRefs>
</ds:datastoreItem>
</file>

<file path=customXml/itemProps2.xml><?xml version="1.0" encoding="utf-8"?>
<ds:datastoreItem xmlns:ds="http://schemas.openxmlformats.org/officeDocument/2006/customXml" ds:itemID="{78D152DF-DF44-40DB-8167-6421EFBB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ReportVertical</Template>
  <TotalTime>17</TotalTime>
  <Pages>23</Pages>
  <Words>3880</Words>
  <Characters>22119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Report (Vertical)</vt:lpstr>
    </vt:vector>
  </TitlesOfParts>
  <Company>Mercer (Australia) Pty Ltd</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(Vertical)</dc:title>
  <dc:creator>Nicola McGarel</dc:creator>
  <dc:description>MMC Templates_x000d_
Marsh &amp; McLennan Companies</dc:description>
  <cp:lastModifiedBy>Van Twist, Clara</cp:lastModifiedBy>
  <cp:revision>13</cp:revision>
  <cp:lastPrinted>2018-04-26T13:25:00Z</cp:lastPrinted>
  <dcterms:created xsi:type="dcterms:W3CDTF">2018-06-24T23:27:00Z</dcterms:created>
  <dcterms:modified xsi:type="dcterms:W3CDTF">2018-06-29T06:16:00Z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COA_Template">
    <vt:lpwstr>ReportVertical</vt:lpwstr>
  </property>
  <property fmtid="{D5CDD505-2E9C-101B-9397-08002B2CF9AE}" pid="3" name="MMCOA_PaperResize">
    <vt:lpwstr>StdAndCustom</vt:lpwstr>
  </property>
  <property fmtid="{D5CDD505-2E9C-101B-9397-08002B2CF9AE}" pid="4" name="MMCOA_CurrentPaperSetup">
    <vt:lpwstr>A4</vt:lpwstr>
  </property>
  <property fmtid="{D5CDD505-2E9C-101B-9397-08002B2CF9AE}" pid="5" name="MMCOA_Redate">
    <vt:lpwstr>Date;</vt:lpwstr>
  </property>
  <property fmtid="{D5CDD505-2E9C-101B-9397-08002B2CF9AE}" pid="6" name="MMCOA_BIC">
    <vt:bool>true</vt:bool>
  </property>
  <property fmtid="{D5CDD505-2E9C-101B-9397-08002B2CF9AE}" pid="7" name="BICCompanyNameNo1">
    <vt:lpwstr>Mercer</vt:lpwstr>
  </property>
  <property fmtid="{D5CDD505-2E9C-101B-9397-08002B2CF9AE}" pid="8" name="BICCompanyNameNo2">
    <vt:lpwstr/>
  </property>
  <property fmtid="{D5CDD505-2E9C-101B-9397-08002B2CF9AE}" pid="9" name="BICCompanyNameNo3">
    <vt:lpwstr/>
  </property>
  <property fmtid="{D5CDD505-2E9C-101B-9397-08002B2CF9AE}" pid="10" name="BICCompanyNameNo4">
    <vt:lpwstr> </vt:lpwstr>
  </property>
  <property fmtid="{D5CDD505-2E9C-101B-9397-08002B2CF9AE}" pid="11" name="BICCompanyAddressNo1">
    <vt:lpwstr>ABN 32 005 315 917_x000d_
Collins Square_x000d_
727 Collins Street Melbourne VIC 3008_x000d_
GPO Box 9946 Melbourne VIC 3001</vt:lpwstr>
  </property>
  <property fmtid="{D5CDD505-2E9C-101B-9397-08002B2CF9AE}" pid="12" name="BICCompanyAddressNo2">
    <vt:lpwstr/>
  </property>
  <property fmtid="{D5CDD505-2E9C-101B-9397-08002B2CF9AE}" pid="13" name="BICCompanyAddressNo3">
    <vt:lpwstr/>
  </property>
  <property fmtid="{D5CDD505-2E9C-101B-9397-08002B2CF9AE}" pid="14" name="BICCompanyAddressNo4">
    <vt:lpwstr> </vt:lpwstr>
  </property>
  <property fmtid="{D5CDD505-2E9C-101B-9397-08002B2CF9AE}" pid="15" name="BICCompanyPhoneNo1">
    <vt:lpwstr>+61 3 9623 5555</vt:lpwstr>
  </property>
  <property fmtid="{D5CDD505-2E9C-101B-9397-08002B2CF9AE}" pid="16" name="BICCompanyPhoneNo2">
    <vt:lpwstr/>
  </property>
  <property fmtid="{D5CDD505-2E9C-101B-9397-08002B2CF9AE}" pid="17" name="BICCompanyPhoneNo3">
    <vt:lpwstr/>
  </property>
  <property fmtid="{D5CDD505-2E9C-101B-9397-08002B2CF9AE}" pid="18" name="BICCompanyPhoneNo4">
    <vt:lpwstr> </vt:lpwstr>
  </property>
  <property fmtid="{D5CDD505-2E9C-101B-9397-08002B2CF9AE}" pid="19" name="BICCompanyAbbreviatedNameNo1">
    <vt:lpwstr>Mercer</vt:lpwstr>
  </property>
  <property fmtid="{D5CDD505-2E9C-101B-9397-08002B2CF9AE}" pid="20" name="BICCompanyAbbreviatedNameNo2">
    <vt:lpwstr/>
  </property>
  <property fmtid="{D5CDD505-2E9C-101B-9397-08002B2CF9AE}" pid="21" name="BICCompanyAbbreviatedNameNo3">
    <vt:lpwstr/>
  </property>
  <property fmtid="{D5CDD505-2E9C-101B-9397-08002B2CF9AE}" pid="22" name="BICCompanyAbbreviatedNameNo4">
    <vt:lpwstr> </vt:lpwstr>
  </property>
  <property fmtid="{D5CDD505-2E9C-101B-9397-08002B2CF9AE}" pid="23" name="BICCompanyAbbreviationNo1">
    <vt:lpwstr>MER</vt:lpwstr>
  </property>
  <property fmtid="{D5CDD505-2E9C-101B-9397-08002B2CF9AE}" pid="24" name="BICCompanyAbbreviationNo2">
    <vt:lpwstr/>
  </property>
  <property fmtid="{D5CDD505-2E9C-101B-9397-08002B2CF9AE}" pid="25" name="BICCompanyAbbreviationNo3">
    <vt:lpwstr/>
  </property>
  <property fmtid="{D5CDD505-2E9C-101B-9397-08002B2CF9AE}" pid="26" name="BICCompanyAbbreviationNo4">
    <vt:lpwstr> </vt:lpwstr>
  </property>
  <property fmtid="{D5CDD505-2E9C-101B-9397-08002B2CF9AE}" pid="27" name="MMCOA_TemplateVersion">
    <vt:lpwstr>7.0</vt:lpwstr>
  </property>
  <property fmtid="{D5CDD505-2E9C-101B-9397-08002B2CF9AE}" pid="28" name="MMCOA_UI_Language">
    <vt:lpwstr>en-GB</vt:lpwstr>
  </property>
  <property fmtid="{D5CDD505-2E9C-101B-9397-08002B2CF9AE}" pid="29" name="MMCOA_BaseCo">
    <vt:lpwstr>MER</vt:lpwstr>
  </property>
  <property fmtid="{D5CDD505-2E9C-101B-9397-08002B2CF9AE}" pid="30" name="MMCOA_Brand">
    <vt:lpwstr>MER2015</vt:lpwstr>
  </property>
  <property fmtid="{D5CDD505-2E9C-101B-9397-08002B2CF9AE}" pid="31" name="MMCOA_Language">
    <vt:lpwstr>en-AU</vt:lpwstr>
  </property>
  <property fmtid="{D5CDD505-2E9C-101B-9397-08002B2CF9AE}" pid="32" name="MMCOA_LanguageDateFormat">
    <vt:lpwstr>d MMMM yyyy</vt:lpwstr>
  </property>
  <property fmtid="{D5CDD505-2E9C-101B-9397-08002B2CF9AE}" pid="33" name="MMCOA_CoverColour">
    <vt:lpwstr>MMC_BlueCover</vt:lpwstr>
  </property>
  <property fmtid="{D5CDD505-2E9C-101B-9397-08002B2CF9AE}" pid="34" name="MMCOA_CoverDesignId">
    <vt:lpwstr>{F10F5B62-A74C-4534-9275-3071A16DCB96}</vt:lpwstr>
  </property>
  <property fmtid="{D5CDD505-2E9C-101B-9397-08002B2CF9AE}" pid="35" name="MMCOA_UseBlackHeadings">
    <vt:lpwstr>No</vt:lpwstr>
  </property>
  <property fmtid="{D5CDD505-2E9C-101B-9397-08002B2CF9AE}" pid="36" name="MMCOA_SectionNewPage">
    <vt:lpwstr>Yes</vt:lpwstr>
  </property>
  <property fmtid="{D5CDD505-2E9C-101B-9397-08002B2CF9AE}" pid="37" name="MMCOA_BaseStyle">
    <vt:lpwstr>Base</vt:lpwstr>
  </property>
  <property fmtid="{D5CDD505-2E9C-101B-9397-08002B2CF9AE}" pid="38" name="MMCOA_BaseBoldStyle">
    <vt:lpwstr>Base Bold</vt:lpwstr>
  </property>
  <property fmtid="{D5CDD505-2E9C-101B-9397-08002B2CF9AE}" pid="39" name="MMCOA_StyleMap">
    <vt:lpwstr>UnNumbered</vt:lpwstr>
  </property>
  <property fmtid="{D5CDD505-2E9C-101B-9397-08002B2CF9AE}" pid="40" name="MMCOA_StyleKeyBindings">
    <vt:lpwstr>NormalþList BulletþList Bullet 2þList Bullet 3þList Bullet 4þHeading 1þHeading 2þHeading 3þNormal Indent 1þNormal Indent 2þNormal Indent 3þNormal Indent 4þList NumberþList Number 2þList Number 3þList </vt:lpwstr>
  </property>
  <property fmtid="{D5CDD505-2E9C-101B-9397-08002B2CF9AE}" pid="41" name="MMCOA_StyleKeyBindings2">
    <vt:lpwstr>Number 4þHeading 5</vt:lpwstr>
  </property>
  <property fmtid="{D5CDD505-2E9C-101B-9397-08002B2CF9AE}" pid="42" name="MMCOA_StyleKeyBindingsKeys">
    <vt:lpwstr>846þ1590þ1591þ1592þ1593þ1585þ1586þ1587þ1653þ1654þ1655þ1656þ1648þ1649þ1650þ1651þ1589</vt:lpwstr>
  </property>
  <property fmtid="{D5CDD505-2E9C-101B-9397-08002B2CF9AE}" pid="43" name="MMCOA_TableStyles">
    <vt:lpwstr>Table Heading Text;Table Text</vt:lpwstr>
  </property>
  <property fmtid="{D5CDD505-2E9C-101B-9397-08002B2CF9AE}" pid="44" name="MMCOA_TOCStyles">
    <vt:lpwstr>Appendix Heading 1,9</vt:lpwstr>
  </property>
  <property fmtid="{D5CDD505-2E9C-101B-9397-08002B2CF9AE}" pid="45" name="MMCOA_Date">
    <vt:lpwstr>25 June 2018</vt:lpwstr>
  </property>
  <property fmtid="{D5CDD505-2E9C-101B-9397-08002B2CF9AE}" pid="46" name="MPR_DocID">
    <vt:lpwstr>1c66138160b94497ad758eb77902d641</vt:lpwstr>
  </property>
</Properties>
</file>